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484814">
      <w:pPr>
        <w:rPr>
          <w:rFonts w:hint="eastAsia" w:ascii="Times New Roman" w:hAnsi="Times New Roman" w:eastAsia="宋体" w:cs="Times New Roman"/>
          <w:color w:val="auto"/>
          <w:sz w:val="36"/>
          <w:szCs w:val="36"/>
          <w:lang w:eastAsia="zh-CN"/>
        </w:rPr>
      </w:pPr>
      <w:r>
        <w:rPr>
          <w:rFonts w:hint="eastAsia" w:ascii="Times New Roman" w:hAnsi="Times New Roman" w:eastAsia="宋体" w:cs="Times New Roman"/>
          <w:color w:val="auto"/>
          <w:sz w:val="36"/>
          <w:szCs w:val="36"/>
          <w:lang w:eastAsia="zh-CN"/>
        </w:rPr>
        <w:drawing>
          <wp:inline distT="0" distB="0" distL="114300" distR="114300">
            <wp:extent cx="5753735" cy="8136890"/>
            <wp:effectExtent l="0" t="0" r="6985" b="1270"/>
            <wp:docPr id="2" name="图片 2" descr="盖章封面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盖章封面_00"/>
                    <pic:cNvPicPr>
                      <a:picLocks noChangeAspect="1"/>
                    </pic:cNvPicPr>
                  </pic:nvPicPr>
                  <pic:blipFill>
                    <a:blip r:embed="rId5"/>
                    <a:stretch>
                      <a:fillRect/>
                    </a:stretch>
                  </pic:blipFill>
                  <pic:spPr>
                    <a:xfrm>
                      <a:off x="0" y="0"/>
                      <a:ext cx="5753735" cy="8136890"/>
                    </a:xfrm>
                    <a:prstGeom prst="rect">
                      <a:avLst/>
                    </a:prstGeom>
                  </pic:spPr>
                </pic:pic>
              </a:graphicData>
            </a:graphic>
          </wp:inline>
        </w:drawing>
      </w:r>
    </w:p>
    <w:p w14:paraId="1A98D3CA">
      <w:pPr>
        <w:rPr>
          <w:rFonts w:hint="default" w:ascii="Times New Roman" w:hAnsi="Times New Roman" w:eastAsia="宋体" w:cs="Times New Roman"/>
          <w:color w:val="auto"/>
          <w:sz w:val="36"/>
          <w:szCs w:val="36"/>
        </w:rPr>
      </w:pPr>
    </w:p>
    <w:p w14:paraId="3695BCE1">
      <w:pPr>
        <w:rPr>
          <w:rFonts w:hint="default" w:ascii="Times New Roman" w:hAnsi="Times New Roman" w:eastAsia="宋体" w:cs="Times New Roman"/>
          <w:color w:val="auto"/>
          <w:sz w:val="36"/>
          <w:szCs w:val="36"/>
        </w:rPr>
      </w:pPr>
    </w:p>
    <w:p w14:paraId="370BBD5E">
      <w:pPr>
        <w:rPr>
          <w:rFonts w:hint="eastAsia" w:ascii="Times New Roman" w:hAnsi="Times New Roman" w:eastAsia="宋体" w:cs="Times New Roman"/>
          <w:color w:val="auto"/>
          <w:sz w:val="36"/>
          <w:szCs w:val="36"/>
          <w:lang w:eastAsia="zh-CN"/>
        </w:rPr>
      </w:pPr>
      <w:r>
        <w:rPr>
          <w:rFonts w:hint="eastAsia" w:ascii="Times New Roman" w:hAnsi="Times New Roman" w:eastAsia="宋体" w:cs="Times New Roman"/>
          <w:color w:val="auto"/>
          <w:sz w:val="36"/>
          <w:szCs w:val="36"/>
          <w:lang w:eastAsia="zh-CN"/>
        </w:rPr>
        <w:drawing>
          <wp:inline distT="0" distB="0" distL="114300" distR="114300">
            <wp:extent cx="5753735" cy="8136890"/>
            <wp:effectExtent l="0" t="0" r="6985" b="1270"/>
            <wp:docPr id="8" name="图片 8" descr="资质及社保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资质及社保_00"/>
                    <pic:cNvPicPr>
                      <a:picLocks noChangeAspect="1"/>
                    </pic:cNvPicPr>
                  </pic:nvPicPr>
                  <pic:blipFill>
                    <a:blip r:embed="rId6"/>
                    <a:stretch>
                      <a:fillRect/>
                    </a:stretch>
                  </pic:blipFill>
                  <pic:spPr>
                    <a:xfrm>
                      <a:off x="0" y="0"/>
                      <a:ext cx="5753735" cy="8136890"/>
                    </a:xfrm>
                    <a:prstGeom prst="rect">
                      <a:avLst/>
                    </a:prstGeom>
                  </pic:spPr>
                </pic:pic>
              </a:graphicData>
            </a:graphic>
          </wp:inline>
        </w:drawing>
      </w:r>
    </w:p>
    <w:p w14:paraId="48FB3CBF">
      <w:pPr>
        <w:rPr>
          <w:rFonts w:hint="default" w:ascii="Times New Roman" w:hAnsi="Times New Roman" w:eastAsia="宋体" w:cs="Times New Roman"/>
          <w:color w:val="auto"/>
          <w:sz w:val="36"/>
          <w:szCs w:val="36"/>
        </w:rPr>
      </w:pPr>
      <w:bookmarkStart w:id="1" w:name="_GoBack"/>
      <w:bookmarkEnd w:id="1"/>
    </w:p>
    <w:p w14:paraId="4BE3CC0E">
      <w:pPr>
        <w:pStyle w:val="1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bottom"/>
        <w:outlineLvl w:val="0"/>
        <w:rPr>
          <w:rFonts w:hint="default" w:ascii="Times New Roman" w:hAnsi="Times New Roman" w:eastAsia="宋体" w:cs="Times New Roman"/>
          <w:b/>
          <w:bCs/>
          <w:snapToGrid w:val="0"/>
          <w:color w:val="auto"/>
          <w:sz w:val="30"/>
          <w:szCs w:val="30"/>
        </w:rPr>
      </w:pPr>
      <w:r>
        <w:rPr>
          <w:rFonts w:hint="default" w:ascii="Times New Roman" w:hAnsi="Times New Roman" w:eastAsia="宋体" w:cs="Times New Roman"/>
          <w:b/>
          <w:bCs/>
          <w:snapToGrid w:val="0"/>
          <w:color w:val="auto"/>
          <w:sz w:val="28"/>
          <w:szCs w:val="28"/>
        </w:rPr>
        <w:t>一、建设项目基本情况</w:t>
      </w:r>
    </w:p>
    <w:tbl>
      <w:tblPr>
        <w:tblStyle w:val="17"/>
        <w:tblW w:w="919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52"/>
        <w:gridCol w:w="2613"/>
        <w:gridCol w:w="2112"/>
        <w:gridCol w:w="2922"/>
      </w:tblGrid>
      <w:tr w14:paraId="73AA4A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52" w:type="dxa"/>
            <w:noWrap w:val="0"/>
            <w:tcMar>
              <w:top w:w="16" w:type="dxa"/>
              <w:left w:w="11" w:type="dxa"/>
              <w:right w:w="11" w:type="dxa"/>
            </w:tcMar>
            <w:vAlign w:val="center"/>
          </w:tcPr>
          <w:p w14:paraId="4B6885CD">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建设项目名称</w:t>
            </w:r>
          </w:p>
        </w:tc>
        <w:tc>
          <w:tcPr>
            <w:tcW w:w="7647" w:type="dxa"/>
            <w:gridSpan w:val="3"/>
            <w:noWrap w:val="0"/>
            <w:tcMar>
              <w:left w:w="11" w:type="dxa"/>
              <w:right w:w="11" w:type="dxa"/>
            </w:tcMar>
            <w:vAlign w:val="center"/>
          </w:tcPr>
          <w:p w14:paraId="79707DC0">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新建年产19万套新能源汽车电池PACK箱体零件项目</w:t>
            </w:r>
          </w:p>
        </w:tc>
      </w:tr>
      <w:tr w14:paraId="3F289E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52" w:type="dxa"/>
            <w:noWrap w:val="0"/>
            <w:tcMar>
              <w:top w:w="16" w:type="dxa"/>
              <w:left w:w="11" w:type="dxa"/>
              <w:right w:w="11" w:type="dxa"/>
            </w:tcMar>
            <w:vAlign w:val="center"/>
          </w:tcPr>
          <w:p w14:paraId="50F089AE">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项目代码</w:t>
            </w:r>
          </w:p>
        </w:tc>
        <w:tc>
          <w:tcPr>
            <w:tcW w:w="7647" w:type="dxa"/>
            <w:gridSpan w:val="3"/>
            <w:noWrap w:val="0"/>
            <w:tcMar>
              <w:left w:w="11" w:type="dxa"/>
              <w:right w:w="11" w:type="dxa"/>
            </w:tcMar>
            <w:vAlign w:val="center"/>
          </w:tcPr>
          <w:p w14:paraId="6B279997">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2404-320413-04-01-250707</w:t>
            </w:r>
          </w:p>
        </w:tc>
      </w:tr>
      <w:tr w14:paraId="5BA710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52" w:type="dxa"/>
            <w:noWrap w:val="0"/>
            <w:tcMar>
              <w:top w:w="16" w:type="dxa"/>
              <w:left w:w="11" w:type="dxa"/>
              <w:right w:w="11" w:type="dxa"/>
            </w:tcMar>
            <w:vAlign w:val="center"/>
          </w:tcPr>
          <w:p w14:paraId="109D6739">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建设单位联系人</w:t>
            </w:r>
          </w:p>
        </w:tc>
        <w:tc>
          <w:tcPr>
            <w:tcW w:w="2613" w:type="dxa"/>
            <w:noWrap w:val="0"/>
            <w:tcMar>
              <w:left w:w="11" w:type="dxa"/>
              <w:right w:w="11" w:type="dxa"/>
            </w:tcMar>
            <w:vAlign w:val="center"/>
          </w:tcPr>
          <w:p w14:paraId="1ADDD6A6">
            <w:pPr>
              <w:pStyle w:val="44"/>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邹岳华</w:t>
            </w:r>
          </w:p>
        </w:tc>
        <w:tc>
          <w:tcPr>
            <w:tcW w:w="2112" w:type="dxa"/>
            <w:noWrap w:val="0"/>
            <w:tcMar>
              <w:left w:w="11" w:type="dxa"/>
              <w:right w:w="11" w:type="dxa"/>
            </w:tcMar>
            <w:vAlign w:val="center"/>
          </w:tcPr>
          <w:p w14:paraId="55615ABB">
            <w:pPr>
              <w:pStyle w:val="44"/>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联系方式</w:t>
            </w:r>
          </w:p>
        </w:tc>
        <w:tc>
          <w:tcPr>
            <w:tcW w:w="2922" w:type="dxa"/>
            <w:noWrap w:val="0"/>
            <w:tcMar>
              <w:left w:w="11" w:type="dxa"/>
              <w:right w:w="11" w:type="dxa"/>
            </w:tcMar>
            <w:vAlign w:val="center"/>
          </w:tcPr>
          <w:p w14:paraId="3E00881A">
            <w:pPr>
              <w:pStyle w:val="44"/>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13382108033</w:t>
            </w:r>
          </w:p>
        </w:tc>
      </w:tr>
      <w:tr w14:paraId="0CFF5F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52" w:type="dxa"/>
            <w:noWrap w:val="0"/>
            <w:tcMar>
              <w:top w:w="16" w:type="dxa"/>
              <w:left w:w="11" w:type="dxa"/>
              <w:right w:w="11" w:type="dxa"/>
            </w:tcMar>
            <w:vAlign w:val="center"/>
          </w:tcPr>
          <w:p w14:paraId="124C0FD6">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p>
        </w:tc>
        <w:tc>
          <w:tcPr>
            <w:tcW w:w="7647" w:type="dxa"/>
            <w:gridSpan w:val="3"/>
            <w:noWrap w:val="0"/>
            <w:tcMar>
              <w:left w:w="11" w:type="dxa"/>
              <w:right w:w="11" w:type="dxa"/>
            </w:tcMar>
            <w:vAlign w:val="center"/>
          </w:tcPr>
          <w:p w14:paraId="74167CCD">
            <w:pPr>
              <w:keepNext w:val="0"/>
              <w:keepLines w:val="0"/>
              <w:pageBreakBefore w:val="0"/>
              <w:widowControl w:val="0"/>
              <w:kinsoku/>
              <w:wordWrap/>
              <w:overflowPunct/>
              <w:topLinePunct w:val="0"/>
              <w:bidi w:val="0"/>
              <w:adjustRightInd w:val="0"/>
              <w:snapToGrid w:val="0"/>
              <w:spacing w:line="240" w:lineRule="auto"/>
              <w:jc w:val="center"/>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eastAsia="zh-CN"/>
              </w:rPr>
              <w:t>常州市金坛区</w:t>
            </w:r>
            <w:r>
              <w:rPr>
                <w:rFonts w:hint="eastAsia" w:cs="Times New Roman"/>
                <w:color w:val="auto"/>
                <w:sz w:val="24"/>
                <w:szCs w:val="24"/>
                <w:lang w:eastAsia="zh-CN"/>
              </w:rPr>
              <w:t>直溪镇工业园区直东路6号</w:t>
            </w:r>
          </w:p>
        </w:tc>
      </w:tr>
      <w:tr w14:paraId="4135D67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52" w:type="dxa"/>
            <w:noWrap w:val="0"/>
            <w:tcMar>
              <w:top w:w="16" w:type="dxa"/>
              <w:left w:w="11" w:type="dxa"/>
              <w:right w:w="11" w:type="dxa"/>
            </w:tcMar>
            <w:vAlign w:val="center"/>
          </w:tcPr>
          <w:p w14:paraId="59113F1D">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地理坐标</w:t>
            </w:r>
          </w:p>
        </w:tc>
        <w:tc>
          <w:tcPr>
            <w:tcW w:w="7647" w:type="dxa"/>
            <w:gridSpan w:val="3"/>
            <w:noWrap w:val="0"/>
            <w:tcMar>
              <w:left w:w="11" w:type="dxa"/>
              <w:right w:w="11" w:type="dxa"/>
            </w:tcMar>
            <w:vAlign w:val="center"/>
          </w:tcPr>
          <w:p w14:paraId="5375060D">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u w:val="single"/>
              </w:rPr>
              <w:t>119</w:t>
            </w:r>
            <w:r>
              <w:rPr>
                <w:rFonts w:hint="default" w:ascii="Times New Roman" w:hAnsi="Times New Roman" w:eastAsia="宋体" w:cs="Times New Roman"/>
                <w:color w:val="auto"/>
                <w:sz w:val="24"/>
                <w:szCs w:val="24"/>
              </w:rPr>
              <w:t>度</w:t>
            </w:r>
            <w:r>
              <w:rPr>
                <w:rFonts w:hint="eastAsia" w:cs="Times New Roman"/>
                <w:color w:val="auto"/>
                <w:sz w:val="24"/>
                <w:szCs w:val="24"/>
                <w:u w:val="single"/>
                <w:lang w:val="en-US" w:eastAsia="zh-CN"/>
              </w:rPr>
              <w:t>27</w:t>
            </w:r>
            <w:r>
              <w:rPr>
                <w:rFonts w:hint="default" w:ascii="Times New Roman" w:hAnsi="Times New Roman" w:eastAsia="宋体" w:cs="Times New Roman"/>
                <w:color w:val="auto"/>
                <w:sz w:val="24"/>
                <w:szCs w:val="24"/>
              </w:rPr>
              <w:t>分</w:t>
            </w:r>
            <w:r>
              <w:rPr>
                <w:rFonts w:hint="eastAsia" w:cs="Times New Roman"/>
                <w:color w:val="auto"/>
                <w:sz w:val="24"/>
                <w:szCs w:val="24"/>
                <w:u w:val="single"/>
                <w:lang w:val="en-US" w:eastAsia="zh-CN"/>
              </w:rPr>
              <w:t>18.155</w:t>
            </w:r>
            <w:r>
              <w:rPr>
                <w:rFonts w:hint="default" w:ascii="Times New Roman" w:hAnsi="Times New Roman" w:eastAsia="宋体" w:cs="Times New Roman"/>
                <w:color w:val="auto"/>
                <w:sz w:val="24"/>
                <w:szCs w:val="24"/>
              </w:rPr>
              <w:t>秒，</w:t>
            </w:r>
            <w:r>
              <w:rPr>
                <w:rFonts w:hint="default" w:ascii="Times New Roman" w:hAnsi="Times New Roman" w:eastAsia="宋体" w:cs="Times New Roman"/>
                <w:color w:val="auto"/>
                <w:sz w:val="24"/>
                <w:szCs w:val="24"/>
                <w:u w:val="single"/>
              </w:rPr>
              <w:t xml:space="preserve"> 31</w:t>
            </w:r>
            <w:r>
              <w:rPr>
                <w:rFonts w:hint="default" w:ascii="Times New Roman" w:hAnsi="Times New Roman" w:eastAsia="宋体" w:cs="Times New Roman"/>
                <w:color w:val="auto"/>
                <w:sz w:val="24"/>
                <w:szCs w:val="24"/>
              </w:rPr>
              <w:t>度</w:t>
            </w:r>
            <w:r>
              <w:rPr>
                <w:rFonts w:hint="default" w:ascii="Times New Roman" w:hAnsi="Times New Roman" w:eastAsia="宋体" w:cs="Times New Roman"/>
                <w:color w:val="auto"/>
                <w:sz w:val="24"/>
                <w:szCs w:val="24"/>
                <w:u w:val="single"/>
                <w:lang w:val="en-US" w:eastAsia="zh-CN"/>
              </w:rPr>
              <w:t>4</w:t>
            </w:r>
            <w:r>
              <w:rPr>
                <w:rFonts w:hint="eastAsia" w:cs="Times New Roman"/>
                <w:color w:val="auto"/>
                <w:sz w:val="24"/>
                <w:szCs w:val="24"/>
                <w:u w:val="single"/>
                <w:lang w:val="en-US" w:eastAsia="zh-CN"/>
              </w:rPr>
              <w:t>7</w:t>
            </w:r>
            <w:r>
              <w:rPr>
                <w:rFonts w:hint="default" w:ascii="Times New Roman" w:hAnsi="Times New Roman" w:eastAsia="宋体" w:cs="Times New Roman"/>
                <w:color w:val="auto"/>
                <w:sz w:val="24"/>
                <w:szCs w:val="24"/>
              </w:rPr>
              <w:t>分</w:t>
            </w:r>
            <w:r>
              <w:rPr>
                <w:rFonts w:hint="eastAsia" w:cs="Times New Roman"/>
                <w:color w:val="auto"/>
                <w:sz w:val="24"/>
                <w:szCs w:val="24"/>
                <w:u w:val="single"/>
                <w:lang w:val="en-US" w:eastAsia="zh-CN"/>
              </w:rPr>
              <w:t>16.838</w:t>
            </w:r>
            <w:r>
              <w:rPr>
                <w:rFonts w:hint="default" w:ascii="Times New Roman" w:hAnsi="Times New Roman" w:eastAsia="宋体" w:cs="Times New Roman"/>
                <w:color w:val="auto"/>
                <w:sz w:val="24"/>
                <w:szCs w:val="24"/>
              </w:rPr>
              <w:t>秒）</w:t>
            </w:r>
          </w:p>
        </w:tc>
      </w:tr>
      <w:tr w14:paraId="475AB9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52" w:type="dxa"/>
            <w:noWrap w:val="0"/>
            <w:tcMar>
              <w:top w:w="16" w:type="dxa"/>
              <w:left w:w="11" w:type="dxa"/>
              <w:right w:w="11" w:type="dxa"/>
            </w:tcMar>
            <w:vAlign w:val="center"/>
          </w:tcPr>
          <w:p w14:paraId="0F0E0D3D">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国民经济</w:t>
            </w:r>
          </w:p>
          <w:p w14:paraId="4DACDF56">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p w14:paraId="035E4781">
            <w:pPr>
              <w:rPr>
                <w:color w:val="auto"/>
              </w:rPr>
            </w:pPr>
          </w:p>
        </w:tc>
        <w:tc>
          <w:tcPr>
            <w:tcW w:w="2613" w:type="dxa"/>
            <w:noWrap w:val="0"/>
            <w:tcMar>
              <w:left w:w="11" w:type="dxa"/>
              <w:right w:w="11" w:type="dxa"/>
            </w:tcMar>
            <w:vAlign w:val="center"/>
          </w:tcPr>
          <w:p w14:paraId="6F6E6763">
            <w:pPr>
              <w:pStyle w:val="44"/>
              <w:rPr>
                <w:rFonts w:hint="eastAsia" w:ascii="Times New Roman" w:hAnsi="Times New Roman" w:eastAsia="宋体" w:cs="Times New Roman"/>
                <w:color w:val="auto"/>
                <w:sz w:val="24"/>
                <w:szCs w:val="24"/>
                <w:lang w:val="en-US" w:eastAsia="zh-CN"/>
              </w:rPr>
            </w:pPr>
            <w:r>
              <w:rPr>
                <w:rFonts w:hint="eastAsia" w:eastAsia="宋体" w:cs="Times New Roman"/>
                <w:bCs/>
                <w:color w:val="auto"/>
                <w:sz w:val="24"/>
                <w:szCs w:val="24"/>
                <w:lang w:eastAsia="zh-CN"/>
              </w:rPr>
              <w:t>C3399其他未列明金属制品制造</w:t>
            </w:r>
          </w:p>
        </w:tc>
        <w:tc>
          <w:tcPr>
            <w:tcW w:w="2112" w:type="dxa"/>
            <w:noWrap w:val="0"/>
            <w:tcMar>
              <w:left w:w="11" w:type="dxa"/>
              <w:right w:w="11" w:type="dxa"/>
            </w:tcMar>
            <w:vAlign w:val="center"/>
          </w:tcPr>
          <w:p w14:paraId="5D364E97">
            <w:pPr>
              <w:adjustRightInd w:val="0"/>
              <w:snapToGrid w:val="0"/>
              <w:jc w:val="center"/>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4"/>
                <w:szCs w:val="24"/>
              </w:rPr>
              <w:t>建设项目</w:t>
            </w:r>
          </w:p>
          <w:p w14:paraId="529BEFA5">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b/>
                <w:color w:val="auto"/>
                <w:sz w:val="24"/>
                <w:szCs w:val="24"/>
              </w:rPr>
              <w:t>行业类别</w:t>
            </w:r>
          </w:p>
        </w:tc>
        <w:tc>
          <w:tcPr>
            <w:tcW w:w="2922" w:type="dxa"/>
            <w:noWrap w:val="0"/>
            <w:tcMar>
              <w:left w:w="11" w:type="dxa"/>
              <w:right w:w="11" w:type="dxa"/>
            </w:tcMar>
            <w:vAlign w:val="center"/>
          </w:tcPr>
          <w:p w14:paraId="049E1685">
            <w:pPr>
              <w:pStyle w:val="44"/>
              <w:jc w:val="both"/>
              <w:rPr>
                <w:rFonts w:hint="default" w:ascii="Times New Roman" w:hAnsi="Times New Roman" w:eastAsia="宋体" w:cs="Times New Roman"/>
                <w:color w:val="auto"/>
                <w:sz w:val="24"/>
                <w:szCs w:val="24"/>
                <w:lang w:val="en-US" w:eastAsia="zh-CN"/>
              </w:rPr>
            </w:pPr>
            <w:r>
              <w:rPr>
                <w:rFonts w:hint="eastAsia" w:eastAsia="宋体" w:cs="Times New Roman"/>
                <w:bCs/>
                <w:color w:val="auto"/>
                <w:sz w:val="24"/>
                <w:szCs w:val="24"/>
                <w:lang w:val="en-US" w:eastAsia="zh-CN"/>
              </w:rPr>
              <w:t>三十</w:t>
            </w:r>
            <w:r>
              <w:rPr>
                <w:rFonts w:hint="eastAsia" w:eastAsia="宋体" w:cs="Times New Roman"/>
                <w:bCs/>
                <w:color w:val="auto"/>
                <w:sz w:val="24"/>
                <w:szCs w:val="24"/>
                <w:lang w:eastAsia="zh-CN"/>
              </w:rPr>
              <w:t>-</w:t>
            </w:r>
            <w:r>
              <w:rPr>
                <w:rFonts w:hint="eastAsia" w:eastAsia="宋体" w:cs="Times New Roman"/>
                <w:bCs/>
                <w:color w:val="auto"/>
                <w:sz w:val="24"/>
                <w:szCs w:val="24"/>
                <w:lang w:val="en-US" w:eastAsia="zh-CN"/>
              </w:rPr>
              <w:t>68</w:t>
            </w:r>
            <w:r>
              <w:rPr>
                <w:rFonts w:hint="eastAsia" w:eastAsia="宋体" w:cs="Times New Roman"/>
                <w:bCs/>
                <w:color w:val="auto"/>
                <w:sz w:val="24"/>
                <w:szCs w:val="24"/>
                <w:lang w:eastAsia="zh-CN"/>
              </w:rPr>
              <w:t>铸造及其他金属制品</w:t>
            </w:r>
          </w:p>
        </w:tc>
      </w:tr>
      <w:tr w14:paraId="5ADE4C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52" w:type="dxa"/>
            <w:noWrap w:val="0"/>
            <w:tcMar>
              <w:top w:w="16" w:type="dxa"/>
              <w:left w:w="11" w:type="dxa"/>
              <w:right w:w="11" w:type="dxa"/>
            </w:tcMar>
            <w:vAlign w:val="center"/>
          </w:tcPr>
          <w:p w14:paraId="7BFB885C">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建设性质</w:t>
            </w:r>
          </w:p>
        </w:tc>
        <w:tc>
          <w:tcPr>
            <w:tcW w:w="2613" w:type="dxa"/>
            <w:noWrap w:val="0"/>
            <w:tcMar>
              <w:left w:w="11" w:type="dxa"/>
              <w:right w:w="11" w:type="dxa"/>
            </w:tcMar>
            <w:vAlign w:val="center"/>
          </w:tcPr>
          <w:p w14:paraId="5059FF5D">
            <w:pPr>
              <w:keepNext w:val="0"/>
              <w:keepLines w:val="0"/>
              <w:pageBreakBefore w:val="0"/>
              <w:kinsoku/>
              <w:wordWrap/>
              <w:overflowPunct/>
              <w:topLinePunct w:val="0"/>
              <w:bidi w:val="0"/>
              <w:jc w:val="left"/>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新建（迁建）</w:t>
            </w:r>
          </w:p>
          <w:p w14:paraId="60710E6F">
            <w:pPr>
              <w:keepNext w:val="0"/>
              <w:keepLines w:val="0"/>
              <w:pageBreakBefore w:val="0"/>
              <w:kinsoku/>
              <w:wordWrap/>
              <w:overflowPunct/>
              <w:topLinePunct w:val="0"/>
              <w:bidi w:val="0"/>
              <w:jc w:val="left"/>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改建</w:t>
            </w:r>
          </w:p>
          <w:p w14:paraId="01FF4969">
            <w:pPr>
              <w:keepNext w:val="0"/>
              <w:keepLines w:val="0"/>
              <w:pageBreakBefore w:val="0"/>
              <w:kinsoku/>
              <w:wordWrap/>
              <w:overflowPunct/>
              <w:topLinePunct w:val="0"/>
              <w:bidi w:val="0"/>
              <w:jc w:val="left"/>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扩建</w:t>
            </w:r>
          </w:p>
          <w:p w14:paraId="5F3316CA">
            <w:pPr>
              <w:keepNext w:val="0"/>
              <w:keepLines w:val="0"/>
              <w:pageBreakBefore w:val="0"/>
              <w:kinsoku/>
              <w:wordWrap/>
              <w:overflowPunct/>
              <w:topLinePunct w:val="0"/>
              <w:bidi w:val="0"/>
              <w:jc w:val="left"/>
              <w:textAlignment w:val="auto"/>
              <w:rPr>
                <w:rFonts w:hint="default" w:ascii="Times New Roman" w:hAnsi="Times New Roman" w:eastAsia="宋体" w:cs="Times New Roman"/>
                <w:color w:val="auto"/>
                <w:sz w:val="24"/>
                <w:szCs w:val="24"/>
              </w:rPr>
            </w:pPr>
            <w:r>
              <w:rPr>
                <w:rFonts w:hint="eastAsia" w:cs="Times New Roman"/>
                <w:color w:val="auto"/>
                <w:sz w:val="24"/>
                <w:szCs w:val="24"/>
                <w:lang w:eastAsia="zh-CN"/>
              </w:rPr>
              <w:t>□</w:t>
            </w:r>
            <w:r>
              <w:rPr>
                <w:rFonts w:hint="default" w:ascii="Times New Roman" w:hAnsi="Times New Roman" w:eastAsia="宋体" w:cs="Times New Roman"/>
                <w:color w:val="auto"/>
                <w:sz w:val="24"/>
                <w:szCs w:val="24"/>
              </w:rPr>
              <w:t>技术改造</w:t>
            </w:r>
          </w:p>
        </w:tc>
        <w:tc>
          <w:tcPr>
            <w:tcW w:w="2112" w:type="dxa"/>
            <w:noWrap w:val="0"/>
            <w:tcMar>
              <w:left w:w="11" w:type="dxa"/>
              <w:right w:w="11" w:type="dxa"/>
            </w:tcMar>
            <w:vAlign w:val="center"/>
          </w:tcPr>
          <w:p w14:paraId="59E82DF3">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建设项目</w:t>
            </w:r>
          </w:p>
          <w:p w14:paraId="6939F367">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申报情形</w:t>
            </w:r>
          </w:p>
        </w:tc>
        <w:tc>
          <w:tcPr>
            <w:tcW w:w="2922" w:type="dxa"/>
            <w:noWrap w:val="0"/>
            <w:tcMar>
              <w:left w:w="11" w:type="dxa"/>
              <w:right w:w="11" w:type="dxa"/>
            </w:tcMar>
            <w:vAlign w:val="center"/>
          </w:tcPr>
          <w:p w14:paraId="2C8F1F1F">
            <w:pPr>
              <w:keepNext w:val="0"/>
              <w:keepLines w:val="0"/>
              <w:pageBreakBefore w:val="0"/>
              <w:kinsoku/>
              <w:wordWrap/>
              <w:overflowPunct/>
              <w:topLinePunct w:val="0"/>
              <w:bidi w:val="0"/>
              <w:jc w:val="left"/>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首次申报项目</w:t>
            </w:r>
          </w:p>
          <w:p w14:paraId="56DA0313">
            <w:pPr>
              <w:keepNext w:val="0"/>
              <w:keepLines w:val="0"/>
              <w:pageBreakBefore w:val="0"/>
              <w:kinsoku/>
              <w:wordWrap/>
              <w:overflowPunct/>
              <w:topLinePunct w:val="0"/>
              <w:bidi w:val="0"/>
              <w:ind w:left="240" w:hanging="240" w:hangingChars="1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□不予批准后再次申报项目</w:t>
            </w:r>
          </w:p>
          <w:p w14:paraId="62BA6E95">
            <w:pPr>
              <w:keepNext w:val="0"/>
              <w:keepLines w:val="0"/>
              <w:pageBreakBefore w:val="0"/>
              <w:kinsoku/>
              <w:wordWrap/>
              <w:overflowPunct/>
              <w:topLinePunct w:val="0"/>
              <w:bidi w:val="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□超五年重新审核项目</w:t>
            </w:r>
          </w:p>
          <w:p w14:paraId="0AEC9D84">
            <w:pPr>
              <w:keepNext w:val="0"/>
              <w:keepLines w:val="0"/>
              <w:pageBreakBefore w:val="0"/>
              <w:kinsoku/>
              <w:wordWrap/>
              <w:overflowPunct/>
              <w:topLinePunct w:val="0"/>
              <w:bidi w:val="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□重大变动重新报批项目</w:t>
            </w:r>
          </w:p>
        </w:tc>
      </w:tr>
      <w:tr w14:paraId="16B25B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52" w:type="dxa"/>
            <w:noWrap w:val="0"/>
            <w:tcMar>
              <w:top w:w="16" w:type="dxa"/>
              <w:left w:w="11" w:type="dxa"/>
              <w:right w:w="11" w:type="dxa"/>
            </w:tcMar>
            <w:vAlign w:val="center"/>
          </w:tcPr>
          <w:p w14:paraId="4C2D7BA4">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项目审批部门</w:t>
            </w:r>
          </w:p>
        </w:tc>
        <w:tc>
          <w:tcPr>
            <w:tcW w:w="2613" w:type="dxa"/>
            <w:noWrap w:val="0"/>
            <w:tcMar>
              <w:left w:w="11" w:type="dxa"/>
              <w:right w:w="11" w:type="dxa"/>
            </w:tcMar>
            <w:vAlign w:val="center"/>
          </w:tcPr>
          <w:p w14:paraId="08F22513">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常州市金坛区发展和改革局</w:t>
            </w:r>
          </w:p>
        </w:tc>
        <w:tc>
          <w:tcPr>
            <w:tcW w:w="2112" w:type="dxa"/>
            <w:noWrap w:val="0"/>
            <w:tcMar>
              <w:left w:w="11" w:type="dxa"/>
              <w:right w:w="11" w:type="dxa"/>
            </w:tcMar>
            <w:vAlign w:val="center"/>
          </w:tcPr>
          <w:p w14:paraId="3C9C2D36">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项目审批文号</w:t>
            </w:r>
          </w:p>
        </w:tc>
        <w:tc>
          <w:tcPr>
            <w:tcW w:w="2922" w:type="dxa"/>
            <w:noWrap w:val="0"/>
            <w:tcMar>
              <w:left w:w="11" w:type="dxa"/>
              <w:right w:w="11" w:type="dxa"/>
            </w:tcMar>
            <w:vAlign w:val="center"/>
          </w:tcPr>
          <w:p w14:paraId="2CE926F2">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eastAsia" w:cs="Times New Roman"/>
                <w:color w:val="auto"/>
                <w:sz w:val="24"/>
                <w:szCs w:val="24"/>
                <w:lang w:val="en-US" w:eastAsia="zh-CN"/>
              </w:rPr>
              <w:t>坛发改备（2024）200号</w:t>
            </w:r>
          </w:p>
        </w:tc>
      </w:tr>
      <w:tr w14:paraId="363DA3E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52" w:type="dxa"/>
            <w:noWrap w:val="0"/>
            <w:tcMar>
              <w:top w:w="16" w:type="dxa"/>
              <w:left w:w="11" w:type="dxa"/>
              <w:right w:w="11" w:type="dxa"/>
            </w:tcMar>
            <w:vAlign w:val="center"/>
          </w:tcPr>
          <w:p w14:paraId="4798F1B0">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总投资（万元）</w:t>
            </w:r>
          </w:p>
        </w:tc>
        <w:tc>
          <w:tcPr>
            <w:tcW w:w="2613" w:type="dxa"/>
            <w:noWrap w:val="0"/>
            <w:tcMar>
              <w:left w:w="11" w:type="dxa"/>
              <w:right w:w="11" w:type="dxa"/>
            </w:tcMar>
            <w:vAlign w:val="center"/>
          </w:tcPr>
          <w:p w14:paraId="65C7F214">
            <w:pPr>
              <w:pStyle w:val="44"/>
              <w:rPr>
                <w:rFonts w:hint="default" w:ascii="Times New Roman" w:hAnsi="Times New Roman" w:eastAsia="宋体" w:cs="Times New Roman"/>
                <w:color w:val="auto"/>
                <w:sz w:val="24"/>
                <w:szCs w:val="24"/>
                <w:lang w:val="en-US" w:eastAsia="zh-CN"/>
              </w:rPr>
            </w:pPr>
            <w:r>
              <w:rPr>
                <w:rFonts w:hint="eastAsia" w:eastAsia="宋体" w:cs="Times New Roman"/>
                <w:color w:val="auto"/>
                <w:kern w:val="21"/>
                <w:sz w:val="24"/>
                <w:szCs w:val="24"/>
                <w:lang w:val="en-US" w:eastAsia="zh-CN"/>
              </w:rPr>
              <w:t>3500</w:t>
            </w:r>
          </w:p>
        </w:tc>
        <w:tc>
          <w:tcPr>
            <w:tcW w:w="2112" w:type="dxa"/>
            <w:noWrap w:val="0"/>
            <w:tcMar>
              <w:top w:w="16" w:type="dxa"/>
              <w:left w:w="11" w:type="dxa"/>
              <w:right w:w="11" w:type="dxa"/>
            </w:tcMar>
            <w:vAlign w:val="center"/>
          </w:tcPr>
          <w:p w14:paraId="27E2F1C7">
            <w:pPr>
              <w:adjustRightInd w:val="0"/>
              <w:snapToGrid w:val="0"/>
              <w:jc w:val="center"/>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环保投资（万元）</w:t>
            </w:r>
          </w:p>
        </w:tc>
        <w:tc>
          <w:tcPr>
            <w:tcW w:w="2922" w:type="dxa"/>
            <w:noWrap w:val="0"/>
            <w:tcMar>
              <w:left w:w="11" w:type="dxa"/>
              <w:right w:w="11" w:type="dxa"/>
            </w:tcMar>
            <w:vAlign w:val="center"/>
          </w:tcPr>
          <w:p w14:paraId="2AC7A8D2">
            <w:pPr>
              <w:pStyle w:val="44"/>
              <w:rPr>
                <w:rFonts w:hint="default" w:ascii="Times New Roman" w:hAnsi="Times New Roman" w:eastAsia="宋体" w:cs="Times New Roman"/>
                <w:color w:val="auto"/>
                <w:sz w:val="24"/>
                <w:szCs w:val="24"/>
                <w:lang w:val="en-US" w:eastAsia="zh-CN"/>
              </w:rPr>
            </w:pPr>
            <w:r>
              <w:rPr>
                <w:rFonts w:hint="eastAsia" w:eastAsia="宋体" w:cs="Times New Roman"/>
                <w:color w:val="auto"/>
                <w:kern w:val="21"/>
                <w:sz w:val="24"/>
                <w:szCs w:val="24"/>
                <w:lang w:val="en-US" w:eastAsia="zh-CN"/>
              </w:rPr>
              <w:t>35</w:t>
            </w:r>
          </w:p>
        </w:tc>
      </w:tr>
      <w:tr w14:paraId="4D5C9A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52" w:type="dxa"/>
            <w:noWrap w:val="0"/>
            <w:tcMar>
              <w:top w:w="16" w:type="dxa"/>
              <w:left w:w="11" w:type="dxa"/>
              <w:right w:w="11" w:type="dxa"/>
            </w:tcMar>
            <w:vAlign w:val="center"/>
          </w:tcPr>
          <w:p w14:paraId="23DDD6FC">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环保投资占比（%）</w:t>
            </w:r>
          </w:p>
        </w:tc>
        <w:tc>
          <w:tcPr>
            <w:tcW w:w="2613" w:type="dxa"/>
            <w:noWrap w:val="0"/>
            <w:tcMar>
              <w:left w:w="11" w:type="dxa"/>
              <w:right w:w="11" w:type="dxa"/>
            </w:tcMar>
            <w:vAlign w:val="center"/>
          </w:tcPr>
          <w:p w14:paraId="58348AAA">
            <w:pPr>
              <w:pStyle w:val="44"/>
              <w:rPr>
                <w:rFonts w:hint="default" w:ascii="Times New Roman" w:hAnsi="Times New Roman" w:eastAsia="宋体" w:cs="Times New Roman"/>
                <w:color w:val="auto"/>
                <w:sz w:val="24"/>
                <w:szCs w:val="24"/>
                <w:lang w:val="en-US" w:eastAsia="zh-CN"/>
              </w:rPr>
            </w:pPr>
            <w:r>
              <w:rPr>
                <w:rFonts w:hint="eastAsia" w:eastAsia="宋体" w:cs="Times New Roman"/>
                <w:color w:val="auto"/>
                <w:kern w:val="21"/>
                <w:sz w:val="24"/>
                <w:szCs w:val="24"/>
                <w:lang w:val="en-US" w:eastAsia="zh-CN"/>
              </w:rPr>
              <w:t>1.0</w:t>
            </w:r>
          </w:p>
        </w:tc>
        <w:tc>
          <w:tcPr>
            <w:tcW w:w="2112" w:type="dxa"/>
            <w:noWrap w:val="0"/>
            <w:tcMar>
              <w:top w:w="16" w:type="dxa"/>
              <w:left w:w="11" w:type="dxa"/>
              <w:right w:w="11" w:type="dxa"/>
            </w:tcMar>
            <w:vAlign w:val="center"/>
          </w:tcPr>
          <w:p w14:paraId="77816F0E">
            <w:pPr>
              <w:adjustRightInd w:val="0"/>
              <w:snapToGrid w:val="0"/>
              <w:jc w:val="center"/>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施工工期</w:t>
            </w:r>
          </w:p>
        </w:tc>
        <w:tc>
          <w:tcPr>
            <w:tcW w:w="2922" w:type="dxa"/>
            <w:noWrap w:val="0"/>
            <w:tcMar>
              <w:left w:w="11" w:type="dxa"/>
              <w:right w:w="11" w:type="dxa"/>
            </w:tcMar>
            <w:vAlign w:val="center"/>
          </w:tcPr>
          <w:p w14:paraId="4262352C">
            <w:pPr>
              <w:pStyle w:val="44"/>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kern w:val="21"/>
                <w:sz w:val="24"/>
                <w:szCs w:val="24"/>
              </w:rPr>
              <w:t>2个月</w:t>
            </w:r>
          </w:p>
        </w:tc>
      </w:tr>
      <w:tr w14:paraId="172F9C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552" w:type="dxa"/>
            <w:noWrap w:val="0"/>
            <w:tcMar>
              <w:top w:w="16" w:type="dxa"/>
              <w:left w:w="11" w:type="dxa"/>
              <w:right w:w="11" w:type="dxa"/>
            </w:tcMar>
            <w:vAlign w:val="center"/>
          </w:tcPr>
          <w:p w14:paraId="67523802">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是否开工建设</w:t>
            </w:r>
          </w:p>
        </w:tc>
        <w:tc>
          <w:tcPr>
            <w:tcW w:w="2613" w:type="dxa"/>
            <w:noWrap w:val="0"/>
            <w:tcMar>
              <w:left w:w="11" w:type="dxa"/>
              <w:right w:w="11" w:type="dxa"/>
            </w:tcMar>
            <w:vAlign w:val="center"/>
          </w:tcPr>
          <w:p w14:paraId="33DE4E4D">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eastAsia="宋体" w:cs="Times New Roman"/>
                <w:color w:val="auto"/>
                <w:sz w:val="24"/>
                <w:szCs w:val="24"/>
              </w:rPr>
              <w:t>否</w:t>
            </w:r>
          </w:p>
          <w:p w14:paraId="583576B3">
            <w:pPr>
              <w:keepNext w:val="0"/>
              <w:keepLines w:val="0"/>
              <w:pageBreakBefore w:val="0"/>
              <w:kinsoku/>
              <w:wordWrap/>
              <w:overflowPunct/>
              <w:topLinePunct w:val="0"/>
              <w:bidi w:val="0"/>
              <w:adjustRightInd w:val="0"/>
              <w:snapToGrid w:val="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□是：</w:t>
            </w:r>
            <w:r>
              <w:rPr>
                <w:rFonts w:hint="default" w:ascii="Times New Roman" w:hAnsi="Times New Roman" w:eastAsia="宋体" w:cs="Times New Roman"/>
                <w:color w:val="auto"/>
                <w:sz w:val="24"/>
                <w:szCs w:val="24"/>
                <w:u w:val="single"/>
              </w:rPr>
              <w:t xml:space="preserve">           </w:t>
            </w:r>
          </w:p>
        </w:tc>
        <w:tc>
          <w:tcPr>
            <w:tcW w:w="2112" w:type="dxa"/>
            <w:noWrap w:val="0"/>
            <w:tcMar>
              <w:top w:w="16" w:type="dxa"/>
              <w:left w:w="11" w:type="dxa"/>
              <w:right w:w="11" w:type="dxa"/>
            </w:tcMar>
            <w:vAlign w:val="center"/>
          </w:tcPr>
          <w:p w14:paraId="6C5897A6">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6"/>
                <w:sz w:val="24"/>
                <w:szCs w:val="24"/>
              </w:rPr>
              <w:t>用地面积（m</w:t>
            </w:r>
            <w:r>
              <w:rPr>
                <w:rFonts w:hint="default" w:ascii="Times New Roman" w:hAnsi="Times New Roman" w:eastAsia="宋体" w:cs="Times New Roman"/>
                <w:color w:val="auto"/>
                <w:spacing w:val="-6"/>
                <w:sz w:val="24"/>
                <w:szCs w:val="24"/>
                <w:vertAlign w:val="superscript"/>
              </w:rPr>
              <w:t>2</w:t>
            </w:r>
            <w:r>
              <w:rPr>
                <w:rFonts w:hint="default" w:ascii="Times New Roman" w:hAnsi="Times New Roman" w:eastAsia="宋体" w:cs="Times New Roman"/>
                <w:color w:val="auto"/>
                <w:spacing w:val="-6"/>
                <w:sz w:val="24"/>
                <w:szCs w:val="24"/>
              </w:rPr>
              <w:t>）</w:t>
            </w:r>
          </w:p>
        </w:tc>
        <w:tc>
          <w:tcPr>
            <w:tcW w:w="2922" w:type="dxa"/>
            <w:noWrap w:val="0"/>
            <w:tcMar>
              <w:left w:w="11" w:type="dxa"/>
              <w:right w:w="11" w:type="dxa"/>
            </w:tcMar>
            <w:vAlign w:val="center"/>
          </w:tcPr>
          <w:p w14:paraId="768FB551">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4350（租用）</w:t>
            </w:r>
          </w:p>
        </w:tc>
      </w:tr>
      <w:tr w14:paraId="044D34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noWrap w:val="0"/>
            <w:tcMar>
              <w:left w:w="11" w:type="dxa"/>
              <w:right w:w="11" w:type="dxa"/>
            </w:tcMar>
            <w:vAlign w:val="center"/>
          </w:tcPr>
          <w:p w14:paraId="36F1A0E1">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专项评价设置情况</w:t>
            </w:r>
          </w:p>
        </w:tc>
        <w:tc>
          <w:tcPr>
            <w:tcW w:w="7647" w:type="dxa"/>
            <w:gridSpan w:val="3"/>
            <w:noWrap w:val="0"/>
            <w:tcMar>
              <w:left w:w="11" w:type="dxa"/>
              <w:right w:w="11" w:type="dxa"/>
            </w:tcMar>
            <w:vAlign w:val="center"/>
          </w:tcPr>
          <w:p w14:paraId="3C4CD698">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无</w:t>
            </w:r>
          </w:p>
        </w:tc>
      </w:tr>
      <w:tr w14:paraId="42CC5E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noWrap w:val="0"/>
            <w:tcMar>
              <w:left w:w="11" w:type="dxa"/>
              <w:right w:w="11" w:type="dxa"/>
            </w:tcMar>
            <w:vAlign w:val="center"/>
          </w:tcPr>
          <w:p w14:paraId="65868D74">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规划情况</w:t>
            </w:r>
          </w:p>
        </w:tc>
        <w:tc>
          <w:tcPr>
            <w:tcW w:w="7647" w:type="dxa"/>
            <w:gridSpan w:val="3"/>
            <w:noWrap w:val="0"/>
            <w:tcMar>
              <w:left w:w="11" w:type="dxa"/>
              <w:right w:w="11" w:type="dxa"/>
            </w:tcMar>
            <w:vAlign w:val="center"/>
          </w:tcPr>
          <w:p w14:paraId="73C973D2">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规划名称：《</w:t>
            </w:r>
            <w:r>
              <w:rPr>
                <w:rFonts w:hint="eastAsia" w:cs="Times New Roman"/>
                <w:color w:val="auto"/>
                <w:sz w:val="24"/>
                <w:szCs w:val="24"/>
                <w:lang w:eastAsia="zh-CN"/>
              </w:rPr>
              <w:t>江苏省金坛经济开发区直溪现代产业园（新兴产业区）</w:t>
            </w:r>
            <w:r>
              <w:rPr>
                <w:rFonts w:hint="default" w:ascii="Times New Roman" w:hAnsi="Times New Roman" w:eastAsia="宋体" w:cs="Times New Roman"/>
                <w:color w:val="auto"/>
                <w:sz w:val="24"/>
                <w:szCs w:val="24"/>
              </w:rPr>
              <w:t>控制性详细规划》</w:t>
            </w:r>
          </w:p>
          <w:p w14:paraId="5B8C177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审批机关：</w:t>
            </w:r>
            <w:r>
              <w:rPr>
                <w:rFonts w:hint="eastAsia" w:cs="Times New Roman"/>
                <w:color w:val="auto"/>
                <w:sz w:val="24"/>
                <w:szCs w:val="24"/>
                <w:lang w:val="en-US" w:eastAsia="zh-CN"/>
              </w:rPr>
              <w:t>常州市</w:t>
            </w:r>
            <w:r>
              <w:rPr>
                <w:rFonts w:hint="default" w:ascii="Times New Roman" w:hAnsi="Times New Roman" w:eastAsia="宋体" w:cs="Times New Roman"/>
                <w:color w:val="auto"/>
                <w:sz w:val="24"/>
                <w:szCs w:val="24"/>
              </w:rPr>
              <w:t>金坛</w:t>
            </w:r>
            <w:r>
              <w:rPr>
                <w:rFonts w:hint="eastAsia" w:cs="Times New Roman"/>
                <w:color w:val="auto"/>
                <w:sz w:val="24"/>
                <w:szCs w:val="24"/>
                <w:lang w:val="en-US" w:eastAsia="zh-CN"/>
              </w:rPr>
              <w:t>区</w:t>
            </w:r>
            <w:r>
              <w:rPr>
                <w:rFonts w:hint="default" w:ascii="Times New Roman" w:hAnsi="Times New Roman" w:eastAsia="宋体" w:cs="Times New Roman"/>
                <w:color w:val="auto"/>
                <w:sz w:val="24"/>
                <w:szCs w:val="24"/>
              </w:rPr>
              <w:t>人民政府</w:t>
            </w:r>
          </w:p>
          <w:p w14:paraId="55B3BA6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sz w:val="24"/>
                <w:szCs w:val="24"/>
              </w:rPr>
              <w:t>审批文件名称及文号：坛政复（20</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3）</w:t>
            </w:r>
            <w:r>
              <w:rPr>
                <w:rFonts w:hint="eastAsia" w:cs="Times New Roman"/>
                <w:color w:val="auto"/>
                <w:sz w:val="24"/>
                <w:szCs w:val="24"/>
                <w:lang w:val="en-US" w:eastAsia="zh-CN"/>
              </w:rPr>
              <w:t>172</w:t>
            </w:r>
            <w:r>
              <w:rPr>
                <w:rFonts w:hint="default" w:ascii="Times New Roman" w:hAnsi="Times New Roman" w:eastAsia="宋体" w:cs="Times New Roman"/>
                <w:color w:val="auto"/>
                <w:sz w:val="24"/>
                <w:szCs w:val="24"/>
              </w:rPr>
              <w:t>号</w:t>
            </w:r>
          </w:p>
        </w:tc>
      </w:tr>
      <w:tr w14:paraId="48ECA7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52" w:type="dxa"/>
            <w:noWrap w:val="0"/>
            <w:tcMar>
              <w:left w:w="11" w:type="dxa"/>
              <w:right w:w="11" w:type="dxa"/>
            </w:tcMar>
            <w:vAlign w:val="center"/>
          </w:tcPr>
          <w:p w14:paraId="6DD7FADD">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规划环境影响</w:t>
            </w:r>
          </w:p>
          <w:p w14:paraId="6A8431BB">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评价情况</w:t>
            </w:r>
          </w:p>
        </w:tc>
        <w:tc>
          <w:tcPr>
            <w:tcW w:w="7647" w:type="dxa"/>
            <w:gridSpan w:val="3"/>
            <w:noWrap w:val="0"/>
            <w:tcMar>
              <w:left w:w="11" w:type="dxa"/>
              <w:right w:w="11" w:type="dxa"/>
            </w:tcMar>
            <w:vAlign w:val="center"/>
          </w:tcPr>
          <w:p w14:paraId="150E640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规划环评名称：《</w:t>
            </w:r>
            <w:r>
              <w:rPr>
                <w:rFonts w:hint="eastAsia" w:cs="Times New Roman"/>
                <w:color w:val="auto"/>
                <w:sz w:val="24"/>
                <w:szCs w:val="24"/>
                <w:lang w:eastAsia="zh-CN"/>
              </w:rPr>
              <w:t>江苏省金坛经济开发区直溪现代产业园（新兴产业区）发展规划（2023-2035年）</w:t>
            </w:r>
            <w:r>
              <w:rPr>
                <w:rFonts w:hint="default" w:ascii="Times New Roman" w:hAnsi="Times New Roman" w:eastAsia="宋体" w:cs="Times New Roman"/>
                <w:color w:val="auto"/>
                <w:sz w:val="24"/>
                <w:szCs w:val="24"/>
              </w:rPr>
              <w:t>环境影响报告书》</w:t>
            </w:r>
          </w:p>
          <w:p w14:paraId="7331A27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召集审查机关：常州市生态环境局</w:t>
            </w:r>
          </w:p>
          <w:p w14:paraId="7C08CB4F">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sz w:val="24"/>
                <w:szCs w:val="24"/>
              </w:rPr>
              <w:t>审查文件名称及文号：《市生态环境局关于</w:t>
            </w:r>
            <w:r>
              <w:rPr>
                <w:rFonts w:hint="eastAsia" w:cs="Times New Roman"/>
                <w:color w:val="auto"/>
                <w:sz w:val="24"/>
                <w:szCs w:val="24"/>
                <w:lang w:eastAsia="zh-CN"/>
              </w:rPr>
              <w:t>江苏省金坛经济开发区直溪现代产业园（新兴产业区）发展规划（2023-2035年）</w:t>
            </w:r>
            <w:r>
              <w:rPr>
                <w:rFonts w:hint="default" w:ascii="Times New Roman" w:hAnsi="Times New Roman" w:eastAsia="宋体" w:cs="Times New Roman"/>
                <w:color w:val="auto"/>
                <w:sz w:val="24"/>
                <w:szCs w:val="24"/>
              </w:rPr>
              <w:t>环境影响报告书的审查意见》（常环审（20</w:t>
            </w:r>
            <w:r>
              <w:rPr>
                <w:rFonts w:hint="eastAsia" w:cs="Times New Roman"/>
                <w:color w:val="auto"/>
                <w:sz w:val="24"/>
                <w:szCs w:val="24"/>
                <w:lang w:val="en-US" w:eastAsia="zh-CN"/>
              </w:rPr>
              <w:t>24</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rPr>
              <w:t>号）</w:t>
            </w:r>
          </w:p>
        </w:tc>
      </w:tr>
    </w:tbl>
    <w:p w14:paraId="2AF5B82F">
      <w:pPr>
        <w:rPr>
          <w:rFonts w:hint="default" w:ascii="Times New Roman" w:hAnsi="Times New Roman" w:eastAsia="宋体" w:cs="Times New Roman"/>
          <w:color w:val="auto"/>
        </w:rPr>
        <w:sectPr>
          <w:footerReference r:id="rId3" w:type="default"/>
          <w:pgSz w:w="11906" w:h="16838"/>
          <w:pgMar w:top="1417" w:right="1417" w:bottom="1417" w:left="1417"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17"/>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09"/>
        <w:gridCol w:w="8615"/>
      </w:tblGrid>
      <w:tr w14:paraId="69B59C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81" w:hRule="atLeast"/>
          <w:jc w:val="center"/>
        </w:trPr>
        <w:tc>
          <w:tcPr>
            <w:tcW w:w="279" w:type="pct"/>
            <w:noWrap w:val="0"/>
            <w:tcMar>
              <w:top w:w="0" w:type="dxa"/>
              <w:left w:w="28" w:type="dxa"/>
              <w:bottom w:w="0" w:type="dxa"/>
              <w:right w:w="28" w:type="dxa"/>
            </w:tcMar>
            <w:vAlign w:val="center"/>
          </w:tcPr>
          <w:p w14:paraId="159355B5">
            <w:pPr>
              <w:keepNext w:val="0"/>
              <w:keepLines w:val="0"/>
              <w:pageBreakBefore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规划及规划环境</w:t>
            </w:r>
          </w:p>
          <w:p w14:paraId="02D275CD">
            <w:pPr>
              <w:keepNext w:val="0"/>
              <w:keepLines w:val="0"/>
              <w:pageBreakBefore w:val="0"/>
              <w:kinsoku/>
              <w:wordWrap/>
              <w:overflowPunct/>
              <w:topLinePunct w:val="0"/>
              <w:bidi w:val="0"/>
              <w:adjustRightInd w:val="0"/>
              <w:snapToGrid w:val="0"/>
              <w:jc w:val="center"/>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Cs w:val="21"/>
                <w:highlight w:val="none"/>
              </w:rPr>
              <w:t>影响评价符合性分析</w:t>
            </w:r>
          </w:p>
        </w:tc>
        <w:tc>
          <w:tcPr>
            <w:tcW w:w="4720" w:type="pct"/>
            <w:noWrap w:val="0"/>
            <w:tcMar>
              <w:top w:w="0" w:type="dxa"/>
              <w:left w:w="28" w:type="dxa"/>
              <w:bottom w:w="0" w:type="dxa"/>
              <w:right w:w="28" w:type="dxa"/>
            </w:tcMar>
            <w:vAlign w:val="top"/>
          </w:tcPr>
          <w:p w14:paraId="0A04448A">
            <w:pPr>
              <w:keepNext w:val="0"/>
              <w:keepLines w:val="0"/>
              <w:pageBreakBefore w:val="0"/>
              <w:widowControl/>
              <w:suppressLineNumbers w:val="0"/>
              <w:kinsoku/>
              <w:wordWrap/>
              <w:overflowPunct/>
              <w:topLinePunct w:val="0"/>
              <w:bidi w:val="0"/>
              <w:jc w:val="both"/>
              <w:textAlignment w:val="auto"/>
              <w:rPr>
                <w:rFonts w:hint="default" w:ascii="Times New Roman" w:hAnsi="Times New Roman" w:eastAsia="宋体" w:cs="Times New Roman"/>
                <w:color w:val="auto"/>
              </w:rPr>
            </w:pPr>
            <w:r>
              <w:rPr>
                <w:rFonts w:hint="default" w:ascii="Times New Roman" w:hAnsi="Times New Roman" w:eastAsia="宋体" w:cs="Times New Roman"/>
                <w:b/>
                <w:bCs/>
                <w:color w:val="auto"/>
                <w:kern w:val="0"/>
                <w:sz w:val="24"/>
                <w:szCs w:val="24"/>
                <w:lang w:val="en-US" w:eastAsia="zh-CN" w:bidi="ar"/>
              </w:rPr>
              <w:t>1.1.1与</w:t>
            </w:r>
            <w:r>
              <w:rPr>
                <w:rFonts w:hint="eastAsia" w:cs="Times New Roman"/>
                <w:b/>
                <w:bCs/>
                <w:color w:val="auto"/>
                <w:kern w:val="0"/>
                <w:sz w:val="24"/>
                <w:szCs w:val="24"/>
                <w:lang w:val="en-US" w:eastAsia="zh-CN"/>
              </w:rPr>
              <w:t>《江苏省金坛经济开发区直溪现代产业园（新兴产业区）控制性详细规划》</w:t>
            </w:r>
            <w:r>
              <w:rPr>
                <w:rFonts w:hint="default" w:ascii="Times New Roman" w:hAnsi="Times New Roman" w:eastAsia="宋体" w:cs="Times New Roman"/>
                <w:b/>
                <w:bCs/>
                <w:color w:val="auto"/>
                <w:kern w:val="0"/>
                <w:sz w:val="24"/>
                <w:szCs w:val="24"/>
                <w:lang w:val="en-US" w:eastAsia="zh-CN" w:bidi="ar"/>
              </w:rPr>
              <w:t>规划相符性分析</w:t>
            </w:r>
          </w:p>
          <w:p w14:paraId="4A6DD334">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本项目与</w:t>
            </w:r>
            <w:r>
              <w:rPr>
                <w:rFonts w:hint="eastAsia" w:cs="Times New Roman"/>
                <w:color w:val="auto"/>
                <w:sz w:val="24"/>
                <w:szCs w:val="24"/>
                <w:lang w:eastAsia="zh-CN"/>
              </w:rPr>
              <w:t>《江苏省金坛经济开发区直溪现代产业园（新兴产业区）控制性详细规划》</w:t>
            </w:r>
            <w:r>
              <w:rPr>
                <w:rFonts w:hint="default" w:ascii="Times New Roman" w:hAnsi="Times New Roman" w:eastAsia="宋体" w:cs="Times New Roman"/>
                <w:color w:val="auto"/>
                <w:sz w:val="24"/>
                <w:szCs w:val="24"/>
              </w:rPr>
              <w:t>（坛政复（20</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3）</w:t>
            </w:r>
            <w:r>
              <w:rPr>
                <w:rFonts w:hint="eastAsia" w:cs="Times New Roman"/>
                <w:color w:val="auto"/>
                <w:sz w:val="24"/>
                <w:szCs w:val="24"/>
                <w:lang w:val="en-US" w:eastAsia="zh-CN"/>
              </w:rPr>
              <w:t>172</w:t>
            </w:r>
            <w:r>
              <w:rPr>
                <w:rFonts w:hint="default" w:ascii="Times New Roman" w:hAnsi="Times New Roman" w:eastAsia="宋体" w:cs="Times New Roman"/>
                <w:color w:val="auto"/>
                <w:sz w:val="24"/>
                <w:szCs w:val="24"/>
              </w:rPr>
              <w:t>号）</w:t>
            </w:r>
            <w:r>
              <w:rPr>
                <w:rFonts w:hint="default" w:ascii="Times New Roman" w:hAnsi="Times New Roman" w:eastAsia="宋体" w:cs="Times New Roman"/>
                <w:color w:val="auto"/>
                <w:kern w:val="0"/>
                <w:sz w:val="24"/>
                <w:szCs w:val="24"/>
                <w:lang w:val="en-US" w:eastAsia="zh-CN" w:bidi="ar"/>
              </w:rPr>
              <w:t>相符性分析见下表。</w:t>
            </w:r>
          </w:p>
          <w:p w14:paraId="5D2FC657">
            <w:pPr>
              <w:keepNext w:val="0"/>
              <w:keepLines w:val="0"/>
              <w:pageBreakBefore w:val="0"/>
              <w:widowControl/>
              <w:suppressLineNumbers w:val="0"/>
              <w:kinsoku/>
              <w:wordWrap/>
              <w:overflowPunct/>
              <w:topLinePunct w:val="0"/>
              <w:autoSpaceDE/>
              <w:autoSpaceDN/>
              <w:bidi w:val="0"/>
              <w:adjustRightInd/>
              <w:snapToGrid/>
              <w:ind w:firstLine="422" w:firstLineChars="200"/>
              <w:jc w:val="center"/>
              <w:textAlignment w:val="auto"/>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表1-1与</w:t>
            </w:r>
            <w:r>
              <w:rPr>
                <w:rFonts w:hint="default" w:ascii="Times New Roman" w:hAnsi="Times New Roman" w:eastAsia="宋体" w:cs="Times New Roman"/>
                <w:b/>
                <w:bCs/>
                <w:color w:val="auto"/>
                <w:sz w:val="21"/>
                <w:szCs w:val="21"/>
              </w:rPr>
              <w:t>坛政复（20</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rPr>
              <w:t>3）</w:t>
            </w:r>
            <w:r>
              <w:rPr>
                <w:rFonts w:hint="eastAsia" w:cs="Times New Roman"/>
                <w:b/>
                <w:bCs/>
                <w:color w:val="auto"/>
                <w:sz w:val="21"/>
                <w:szCs w:val="21"/>
                <w:lang w:val="en-US" w:eastAsia="zh-CN"/>
              </w:rPr>
              <w:t>172</w:t>
            </w:r>
            <w:r>
              <w:rPr>
                <w:rFonts w:hint="default" w:ascii="Times New Roman" w:hAnsi="Times New Roman" w:eastAsia="宋体" w:cs="Times New Roman"/>
                <w:b/>
                <w:bCs/>
                <w:color w:val="auto"/>
                <w:sz w:val="21"/>
                <w:szCs w:val="21"/>
              </w:rPr>
              <w:t>号</w:t>
            </w:r>
            <w:r>
              <w:rPr>
                <w:rFonts w:hint="default" w:ascii="Times New Roman" w:hAnsi="Times New Roman" w:eastAsia="宋体" w:cs="Times New Roman"/>
                <w:b/>
                <w:bCs/>
                <w:color w:val="auto"/>
                <w:kern w:val="0"/>
                <w:sz w:val="21"/>
                <w:szCs w:val="21"/>
                <w:lang w:val="en-US" w:eastAsia="zh-CN" w:bidi="ar"/>
              </w:rPr>
              <w:t>相符性简析</w:t>
            </w:r>
          </w:p>
          <w:tbl>
            <w:tblPr>
              <w:tblStyle w:val="17"/>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476"/>
              <w:gridCol w:w="3282"/>
              <w:gridCol w:w="788"/>
            </w:tblGrid>
            <w:tr w14:paraId="2D493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618" w:type="pct"/>
                  <w:noWrap w:val="0"/>
                  <w:vAlign w:val="center"/>
                </w:tcPr>
                <w:p w14:paraId="173158BC">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相关规划</w:t>
                  </w:r>
                </w:p>
              </w:tc>
              <w:tc>
                <w:tcPr>
                  <w:tcW w:w="1920" w:type="pct"/>
                  <w:noWrap w:val="0"/>
                  <w:vAlign w:val="center"/>
                </w:tcPr>
                <w:p w14:paraId="4D5B057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对照简析</w:t>
                  </w:r>
                </w:p>
              </w:tc>
              <w:tc>
                <w:tcPr>
                  <w:tcW w:w="461" w:type="pct"/>
                  <w:noWrap w:val="0"/>
                  <w:vAlign w:val="center"/>
                </w:tcPr>
                <w:p w14:paraId="63EC452D">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color w:val="auto"/>
                      <w:sz w:val="21"/>
                      <w:szCs w:val="21"/>
                    </w:rPr>
                    <w:t>相符性</w:t>
                  </w:r>
                </w:p>
              </w:tc>
            </w:tr>
            <w:tr w14:paraId="2161F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618" w:type="pct"/>
                  <w:noWrap w:val="0"/>
                  <w:vAlign w:val="center"/>
                </w:tcPr>
                <w:p w14:paraId="5926C2A8">
                  <w:pPr>
                    <w:contextualSpacing/>
                    <w:jc w:val="center"/>
                    <w:rPr>
                      <w:rFonts w:hint="eastAsia" w:asciiTheme="minorEastAsia" w:hAnsiTheme="minorEastAsia" w:eastAsiaTheme="minorEastAsia" w:cstheme="minorEastAsia"/>
                      <w:b w:val="0"/>
                      <w:bCs/>
                      <w:color w:val="auto"/>
                      <w:kern w:val="44"/>
                      <w:sz w:val="21"/>
                      <w:szCs w:val="21"/>
                    </w:rPr>
                  </w:pPr>
                  <w:r>
                    <w:rPr>
                      <w:rFonts w:hint="eastAsia" w:asciiTheme="minorEastAsia" w:hAnsiTheme="minorEastAsia" w:eastAsiaTheme="minorEastAsia" w:cstheme="minorEastAsia"/>
                      <w:color w:val="auto"/>
                      <w:sz w:val="21"/>
                      <w:szCs w:val="21"/>
                    </w:rPr>
                    <w:t>园区总面积为6.01km</w:t>
                  </w:r>
                  <w:r>
                    <w:rPr>
                      <w:rFonts w:hint="eastAsia" w:asciiTheme="minorEastAsia" w:hAnsiTheme="minorEastAsia" w:eastAsiaTheme="minorEastAsia" w:cstheme="minorEastAsia"/>
                      <w:color w:val="auto"/>
                      <w:sz w:val="21"/>
                      <w:szCs w:val="21"/>
                      <w:vertAlign w:val="superscript"/>
                    </w:rPr>
                    <w:t>2</w:t>
                  </w:r>
                  <w:r>
                    <w:rPr>
                      <w:rFonts w:hint="eastAsia" w:asciiTheme="minorEastAsia" w:hAnsiTheme="minorEastAsia" w:eastAsiaTheme="minorEastAsia" w:cstheme="minorEastAsia"/>
                      <w:color w:val="auto"/>
                      <w:sz w:val="21"/>
                      <w:szCs w:val="21"/>
                    </w:rPr>
                    <w:t>，四至范围为东至坞家河，南至金茅公路(规划340省道)，西至直别公路(规划240省道)，直延路，北至亚溪路。</w:t>
                  </w:r>
                </w:p>
              </w:tc>
              <w:tc>
                <w:tcPr>
                  <w:tcW w:w="1920" w:type="pct"/>
                  <w:noWrap w:val="0"/>
                  <w:vAlign w:val="center"/>
                </w:tcPr>
                <w:p w14:paraId="2ECA768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项目</w:t>
                  </w:r>
                  <w:r>
                    <w:rPr>
                      <w:rFonts w:hint="eastAsia" w:asciiTheme="minorEastAsia" w:hAnsiTheme="minorEastAsia" w:eastAsiaTheme="minorEastAsia" w:cstheme="minorEastAsia"/>
                      <w:color w:val="auto"/>
                      <w:sz w:val="21"/>
                      <w:szCs w:val="21"/>
                      <w:lang w:val="en-US" w:eastAsia="zh-CN"/>
                    </w:rPr>
                    <w:t>位于金坛直溪镇工业集中区东直东路6号，位于直溪现代产业园内</w:t>
                  </w:r>
                </w:p>
              </w:tc>
              <w:tc>
                <w:tcPr>
                  <w:tcW w:w="461" w:type="pct"/>
                  <w:noWrap w:val="0"/>
                  <w:vAlign w:val="center"/>
                </w:tcPr>
                <w:p w14:paraId="322CC989">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相符</w:t>
                  </w:r>
                </w:p>
              </w:tc>
            </w:tr>
            <w:tr w14:paraId="5DCE5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618" w:type="pct"/>
                  <w:noWrap w:val="0"/>
                  <w:vAlign w:val="center"/>
                </w:tcPr>
                <w:p w14:paraId="03294DFE">
                  <w:pPr>
                    <w:pStyle w:val="38"/>
                    <w:snapToGrid w:val="0"/>
                    <w:jc w:val="left"/>
                    <w:rPr>
                      <w:rFonts w:hint="eastAsia" w:asciiTheme="minorEastAsia" w:hAnsiTheme="minorEastAsia" w:eastAsiaTheme="minorEastAsia" w:cstheme="minorEastAsia"/>
                      <w:b w:val="0"/>
                      <w:bCs/>
                      <w:color w:val="auto"/>
                      <w:sz w:val="21"/>
                      <w:szCs w:val="21"/>
                      <w:lang w:val="en-US" w:eastAsia="zh-CN"/>
                    </w:rPr>
                  </w:pPr>
                  <w:r>
                    <w:rPr>
                      <w:rFonts w:hint="eastAsia" w:asciiTheme="minorEastAsia" w:hAnsiTheme="minorEastAsia" w:eastAsiaTheme="minorEastAsia" w:cstheme="minorEastAsia"/>
                      <w:color w:val="auto"/>
                      <w:sz w:val="21"/>
                      <w:szCs w:val="21"/>
                    </w:rPr>
                    <w:t>产业定位：园区将以新能源，医用新材料、新一代移动通信、绿色涂料为主导产业</w:t>
                  </w:r>
                  <w:r>
                    <w:rPr>
                      <w:rFonts w:hint="eastAsia" w:asciiTheme="minorEastAsia" w:hAnsiTheme="minorEastAsia" w:eastAsiaTheme="minorEastAsia" w:cstheme="minorEastAsia"/>
                      <w:color w:val="auto"/>
                      <w:sz w:val="21"/>
                      <w:szCs w:val="21"/>
                      <w:lang w:eastAsia="zh-CN"/>
                    </w:rPr>
                    <w:t>。</w:t>
                  </w:r>
                  <w:r>
                    <w:rPr>
                      <w:rFonts w:hint="eastAsia" w:asciiTheme="minorEastAsia" w:hAnsiTheme="minorEastAsia" w:eastAsiaTheme="minorEastAsia" w:cstheme="minorEastAsia"/>
                      <w:color w:val="auto"/>
                      <w:sz w:val="21"/>
                      <w:szCs w:val="21"/>
                      <w:lang w:val="en-US" w:eastAsia="zh-CN"/>
                    </w:rPr>
                    <w:t>园区</w:t>
                  </w:r>
                  <w:r>
                    <w:rPr>
                      <w:rFonts w:hint="default" w:ascii="Times New Roman" w:hAnsi="Times New Roman" w:eastAsia="宋体" w:cs="Times New Roman"/>
                      <w:b w:val="0"/>
                      <w:bCs w:val="0"/>
                      <w:color w:val="auto"/>
                      <w:sz w:val="21"/>
                      <w:szCs w:val="21"/>
                      <w:lang w:val="en-US" w:eastAsia="zh-CN"/>
                    </w:rPr>
                    <w:t>禁止引入《产业结构调整指导目录》中明确的淘汰类、禁止类项目，法律法规和相关政策明令禁止的项目</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禁止引入不符合《江苏省太湖水污染防治条例》、《长江经济带发展负面清单指南(试行)》、《长江经济带发展负面清单指南(试行)江苏省实施细则》的项目</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禁止引入排放含重点重金属(铅、汞、镉、铬、砷)水污染物的项目</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禁止引入生产《环境保护综合名录(2021年版)》“高污染、高环境风险”产品的项目</w:t>
                  </w:r>
                  <w:r>
                    <w:rPr>
                      <w:rFonts w:hint="eastAsia" w:ascii="Times New Roman" w:hAnsi="Times New Roman" w:eastAsia="宋体"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禁止引入纯电镀加工(仅进行电镀加工工段，项目部分工段涉及电镀工艺的除外)、纯铸造加工类型项目</w:t>
                  </w:r>
                  <w:r>
                    <w:rPr>
                      <w:rFonts w:hint="eastAsia" w:ascii="Times New Roman" w:hAnsi="Times New Roman" w:eastAsia="宋体" w:cs="Times New Roman"/>
                      <w:b w:val="0"/>
                      <w:bCs w:val="0"/>
                      <w:color w:val="auto"/>
                      <w:sz w:val="21"/>
                      <w:szCs w:val="21"/>
                      <w:lang w:val="en-US" w:eastAsia="zh-CN"/>
                    </w:rPr>
                    <w:t>；</w:t>
                  </w:r>
                </w:p>
              </w:tc>
              <w:tc>
                <w:tcPr>
                  <w:tcW w:w="1920" w:type="pct"/>
                  <w:noWrap w:val="0"/>
                  <w:vAlign w:val="center"/>
                </w:tcPr>
                <w:p w14:paraId="0A9E44C4">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heme="minorEastAsia" w:hAnsiTheme="minorEastAsia" w:eastAsiaTheme="minorEastAsia" w:cstheme="minorEastAsia"/>
                      <w:color w:val="auto"/>
                      <w:sz w:val="21"/>
                      <w:szCs w:val="21"/>
                      <w:lang w:val="en-US" w:eastAsia="zh-CN"/>
                    </w:rPr>
                  </w:pPr>
                  <w:r>
                    <w:rPr>
                      <w:rFonts w:hint="eastAsia" w:asciiTheme="minorEastAsia" w:hAnsiTheme="minorEastAsia" w:eastAsiaTheme="minorEastAsia" w:cstheme="minorEastAsia"/>
                      <w:color w:val="auto"/>
                      <w:sz w:val="21"/>
                      <w:szCs w:val="21"/>
                      <w:lang w:val="en-US" w:eastAsia="zh-CN"/>
                    </w:rPr>
                    <w:t>项目属于</w:t>
                  </w:r>
                  <w:r>
                    <w:rPr>
                      <w:rFonts w:hint="eastAsia" w:asciiTheme="minorEastAsia" w:hAnsiTheme="minorEastAsia" w:eastAsiaTheme="minorEastAsia" w:cstheme="minorEastAsia"/>
                      <w:color w:val="auto"/>
                      <w:sz w:val="21"/>
                      <w:szCs w:val="21"/>
                      <w:lang w:eastAsia="zh-CN"/>
                    </w:rPr>
                    <w:t>C3399其他未列明金属制品制造</w:t>
                  </w:r>
                  <w:r>
                    <w:rPr>
                      <w:rFonts w:hint="eastAsia" w:asciiTheme="minorEastAsia" w:hAnsiTheme="minorEastAsia" w:eastAsiaTheme="minorEastAsia" w:cstheme="minorEastAsia"/>
                      <w:color w:val="auto"/>
                      <w:sz w:val="21"/>
                      <w:szCs w:val="21"/>
                      <w:lang w:val="en-US" w:eastAsia="zh-CN"/>
                    </w:rPr>
                    <w:t>，不属于园区禁止引入项目，符合区域产业规划</w:t>
                  </w:r>
                </w:p>
              </w:tc>
              <w:tc>
                <w:tcPr>
                  <w:tcW w:w="461" w:type="pct"/>
                  <w:noWrap w:val="0"/>
                  <w:vAlign w:val="center"/>
                </w:tcPr>
                <w:p w14:paraId="6D013B46">
                  <w:pPr>
                    <w:keepNext w:val="0"/>
                    <w:keepLines w:val="0"/>
                    <w:pageBreakBefore w:val="0"/>
                    <w:widowControl w:val="0"/>
                    <w:kinsoku/>
                    <w:wordWrap/>
                    <w:overflowPunct/>
                    <w:topLinePunct w:val="0"/>
                    <w:autoSpaceDE/>
                    <w:autoSpaceDN/>
                    <w:bidi w:val="0"/>
                    <w:adjustRightInd/>
                    <w:snapToGrid w:val="0"/>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相符</w:t>
                  </w:r>
                </w:p>
              </w:tc>
            </w:tr>
            <w:tr w14:paraId="3631A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618" w:type="pct"/>
                  <w:noWrap w:val="0"/>
                  <w:vAlign w:val="center"/>
                </w:tcPr>
                <w:p w14:paraId="7D608E7F">
                  <w:pPr>
                    <w:contextualSpacing/>
                    <w:jc w:val="center"/>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b w:val="0"/>
                      <w:bCs w:val="0"/>
                      <w:color w:val="auto"/>
                      <w:kern w:val="2"/>
                      <w:sz w:val="21"/>
                      <w:szCs w:val="21"/>
                      <w:lang w:val="en-US" w:eastAsia="zh-CN" w:bidi="ar-SA"/>
                    </w:rPr>
                    <w:t>园区</w:t>
                  </w:r>
                  <w:r>
                    <w:rPr>
                      <w:rFonts w:hint="eastAsia" w:asciiTheme="minorEastAsia" w:hAnsiTheme="minorEastAsia" w:eastAsiaTheme="minorEastAsia" w:cstheme="minorEastAsia"/>
                      <w:b w:val="0"/>
                      <w:bCs w:val="0"/>
                      <w:color w:val="auto"/>
                      <w:sz w:val="21"/>
                      <w:szCs w:val="21"/>
                    </w:rPr>
                    <w:t>由市政给水管网统一供水，保留直溪镇给水增压站，远期向北扩大用地规模至8240m</w:t>
                  </w:r>
                  <w:r>
                    <w:rPr>
                      <w:rFonts w:hint="eastAsia" w:asciiTheme="minorEastAsia" w:hAnsiTheme="minorEastAsia" w:eastAsiaTheme="minorEastAsia" w:cstheme="minorEastAsia"/>
                      <w:b w:val="0"/>
                      <w:bCs w:val="0"/>
                      <w:color w:val="auto"/>
                      <w:sz w:val="21"/>
                      <w:szCs w:val="21"/>
                      <w:vertAlign w:val="superscript"/>
                    </w:rPr>
                    <w:t>2</w:t>
                  </w:r>
                  <w:r>
                    <w:rPr>
                      <w:rFonts w:hint="eastAsia" w:asciiTheme="minorEastAsia" w:hAnsiTheme="minorEastAsia" w:eastAsiaTheme="minorEastAsia" w:cstheme="minorEastAsia"/>
                      <w:b w:val="0"/>
                      <w:bCs w:val="0"/>
                      <w:color w:val="auto"/>
                      <w:sz w:val="21"/>
                      <w:szCs w:val="21"/>
                    </w:rPr>
                    <w:t>，加压站供水处理能力达到4.0万m</w:t>
                  </w:r>
                  <w:r>
                    <w:rPr>
                      <w:rFonts w:hint="eastAsia" w:asciiTheme="minorEastAsia" w:hAnsiTheme="minorEastAsia" w:eastAsiaTheme="minorEastAsia" w:cstheme="minorEastAsia"/>
                      <w:b w:val="0"/>
                      <w:bCs w:val="0"/>
                      <w:color w:val="auto"/>
                      <w:sz w:val="21"/>
                      <w:szCs w:val="21"/>
                      <w:vertAlign w:val="superscript"/>
                    </w:rPr>
                    <w:t>3</w:t>
                  </w:r>
                  <w:r>
                    <w:rPr>
                      <w:rFonts w:hint="eastAsia" w:asciiTheme="minorEastAsia" w:hAnsiTheme="minorEastAsia" w:eastAsiaTheme="minorEastAsia" w:cstheme="minorEastAsia"/>
                      <w:b w:val="0"/>
                      <w:bCs w:val="0"/>
                      <w:color w:val="auto"/>
                      <w:sz w:val="21"/>
                      <w:szCs w:val="21"/>
                    </w:rPr>
                    <w:t>/d</w:t>
                  </w:r>
                  <w:r>
                    <w:rPr>
                      <w:rFonts w:hint="eastAsia" w:asciiTheme="minorEastAsia" w:hAnsiTheme="minorEastAsia" w:eastAsiaTheme="minorEastAsia" w:cstheme="minorEastAsia"/>
                      <w:b w:val="0"/>
                      <w:bCs w:val="0"/>
                      <w:color w:val="auto"/>
                      <w:sz w:val="21"/>
                      <w:szCs w:val="21"/>
                      <w:lang w:eastAsia="zh-CN"/>
                    </w:rPr>
                    <w:t>；</w:t>
                  </w:r>
                  <w:r>
                    <w:rPr>
                      <w:rFonts w:hint="eastAsia" w:asciiTheme="minorEastAsia" w:hAnsiTheme="minorEastAsia" w:eastAsiaTheme="minorEastAsia" w:cstheme="minorEastAsia"/>
                      <w:b w:val="0"/>
                      <w:bCs w:val="0"/>
                      <w:color w:val="auto"/>
                      <w:sz w:val="21"/>
                      <w:szCs w:val="21"/>
                    </w:rPr>
                    <w:t>园区范围内生活污水、生产废水均接入园区外的溪城污水处理公司集中处理</w:t>
                  </w:r>
                  <w:r>
                    <w:rPr>
                      <w:rFonts w:hint="eastAsia" w:asciiTheme="minorEastAsia" w:hAnsiTheme="minorEastAsia" w:eastAsiaTheme="minorEastAsia" w:cstheme="minorEastAsia"/>
                      <w:b w:val="0"/>
                      <w:bCs w:val="0"/>
                      <w:color w:val="auto"/>
                      <w:sz w:val="21"/>
                      <w:szCs w:val="21"/>
                      <w:lang w:eastAsia="zh-CN"/>
                    </w:rPr>
                    <w:t>；</w:t>
                  </w:r>
                </w:p>
              </w:tc>
              <w:tc>
                <w:tcPr>
                  <w:tcW w:w="1920" w:type="pct"/>
                  <w:noWrap w:val="0"/>
                  <w:vAlign w:val="center"/>
                </w:tcPr>
                <w:p w14:paraId="287EBD41">
                  <w:pPr>
                    <w:contextualSpacing/>
                    <w:jc w:val="center"/>
                    <w:rPr>
                      <w:rFonts w:hint="default" w:asciiTheme="minorEastAsia" w:hAnsiTheme="minorEastAsia" w:eastAsiaTheme="minorEastAsia" w:cstheme="minorEastAsia"/>
                      <w:b w:val="0"/>
                      <w:bCs/>
                      <w:color w:val="auto"/>
                      <w:sz w:val="21"/>
                      <w:szCs w:val="21"/>
                      <w:lang w:val="en-US" w:eastAsia="zh-CN"/>
                    </w:rPr>
                  </w:pPr>
                  <w:r>
                    <w:rPr>
                      <w:rFonts w:hint="eastAsia" w:asciiTheme="minorEastAsia" w:hAnsiTheme="minorEastAsia" w:eastAsiaTheme="minorEastAsia" w:cstheme="minorEastAsia"/>
                      <w:color w:val="auto"/>
                      <w:sz w:val="21"/>
                      <w:szCs w:val="21"/>
                    </w:rPr>
                    <w:t>项目生活污水</w:t>
                  </w:r>
                  <w:r>
                    <w:rPr>
                      <w:rFonts w:hint="eastAsia" w:asciiTheme="minorEastAsia" w:hAnsiTheme="minorEastAsia" w:eastAsiaTheme="minorEastAsia" w:cstheme="minorEastAsia"/>
                      <w:color w:val="auto"/>
                      <w:sz w:val="21"/>
                      <w:szCs w:val="21"/>
                      <w:lang w:val="en-US" w:eastAsia="zh-CN"/>
                    </w:rPr>
                    <w:t>接管至</w:t>
                  </w:r>
                  <w:r>
                    <w:rPr>
                      <w:rFonts w:hint="eastAsia" w:asciiTheme="minorEastAsia" w:hAnsiTheme="minorEastAsia" w:eastAsiaTheme="minorEastAsia" w:cstheme="minorEastAsia"/>
                      <w:b w:val="0"/>
                      <w:bCs w:val="0"/>
                      <w:color w:val="auto"/>
                      <w:sz w:val="21"/>
                      <w:szCs w:val="21"/>
                    </w:rPr>
                    <w:t>溪城污水处理公司集中处理</w:t>
                  </w:r>
                  <w:r>
                    <w:rPr>
                      <w:rFonts w:hint="eastAsia" w:asciiTheme="minorEastAsia" w:hAnsiTheme="minorEastAsia" w:eastAsiaTheme="minorEastAsia" w:cstheme="minorEastAsia"/>
                      <w:color w:val="auto"/>
                      <w:sz w:val="21"/>
                      <w:szCs w:val="21"/>
                      <w:lang w:val="en-US" w:eastAsia="zh-CN"/>
                    </w:rPr>
                    <w:t>，工业废水经污水站处理后回用</w:t>
                  </w:r>
                </w:p>
              </w:tc>
              <w:tc>
                <w:tcPr>
                  <w:tcW w:w="461" w:type="pct"/>
                  <w:noWrap w:val="0"/>
                  <w:vAlign w:val="center"/>
                </w:tcPr>
                <w:p w14:paraId="5818B49D">
                  <w:pPr>
                    <w:contextualSpacing/>
                    <w:jc w:val="center"/>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color w:val="auto"/>
                      <w:sz w:val="21"/>
                      <w:szCs w:val="21"/>
                    </w:rPr>
                    <w:t>相符</w:t>
                  </w:r>
                </w:p>
              </w:tc>
            </w:tr>
            <w:tr w14:paraId="350F5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4481" w:type="dxa"/>
                  <w:noWrap w:val="0"/>
                  <w:vAlign w:val="center"/>
                </w:tcPr>
                <w:p w14:paraId="6FC40226">
                  <w:pPr>
                    <w:contextualSpacing/>
                    <w:jc w:val="center"/>
                    <w:rPr>
                      <w:rFonts w:hint="eastAsia" w:asciiTheme="minorEastAsia" w:hAnsiTheme="minorEastAsia" w:eastAsiaTheme="minorEastAsia" w:cstheme="minorEastAsia"/>
                      <w:b w:val="0"/>
                      <w:bCs/>
                      <w:color w:val="auto"/>
                      <w:sz w:val="21"/>
                      <w:szCs w:val="21"/>
                      <w:lang w:val="en-US" w:eastAsia="zh-CN"/>
                    </w:rPr>
                  </w:pPr>
                  <w:r>
                    <w:rPr>
                      <w:rFonts w:hint="eastAsia" w:asciiTheme="minorEastAsia" w:hAnsiTheme="minorEastAsia" w:eastAsiaTheme="minorEastAsia" w:cstheme="minorEastAsia"/>
                      <w:b w:val="0"/>
                      <w:bCs w:val="0"/>
                      <w:color w:val="auto"/>
                      <w:sz w:val="21"/>
                      <w:szCs w:val="21"/>
                    </w:rPr>
                    <w:t>园区不实行集中供热，由各企业按照环保要求、安全要求、能源消耗要求等自行供热</w:t>
                  </w:r>
                  <w:r>
                    <w:rPr>
                      <w:rFonts w:hint="eastAsia" w:asciiTheme="minorEastAsia" w:hAnsiTheme="minorEastAsia" w:eastAsiaTheme="minorEastAsia" w:cstheme="minorEastAsia"/>
                      <w:color w:val="auto"/>
                      <w:sz w:val="21"/>
                      <w:szCs w:val="21"/>
                    </w:rPr>
                    <w:t>。</w:t>
                  </w:r>
                </w:p>
              </w:tc>
              <w:tc>
                <w:tcPr>
                  <w:tcW w:w="3286" w:type="dxa"/>
                  <w:noWrap w:val="0"/>
                  <w:vAlign w:val="center"/>
                </w:tcPr>
                <w:p w14:paraId="6EFF4870">
                  <w:pPr>
                    <w:contextualSpacing/>
                    <w:jc w:val="center"/>
                    <w:rPr>
                      <w:rFonts w:hint="eastAsia" w:asciiTheme="minorEastAsia" w:hAnsiTheme="minorEastAsia" w:eastAsiaTheme="minorEastAsia" w:cstheme="minorEastAsia"/>
                      <w:b w:val="0"/>
                      <w:bCs/>
                      <w:color w:val="auto"/>
                      <w:sz w:val="21"/>
                      <w:szCs w:val="21"/>
                      <w:lang w:val="en-US" w:eastAsia="zh-CN"/>
                    </w:rPr>
                  </w:pPr>
                  <w:r>
                    <w:rPr>
                      <w:rFonts w:hint="eastAsia" w:asciiTheme="minorEastAsia" w:hAnsiTheme="minorEastAsia" w:eastAsiaTheme="minorEastAsia" w:cstheme="minorEastAsia"/>
                      <w:color w:val="auto"/>
                      <w:sz w:val="21"/>
                      <w:szCs w:val="21"/>
                    </w:rPr>
                    <w:t>项目</w:t>
                  </w:r>
                  <w:r>
                    <w:rPr>
                      <w:rFonts w:hint="eastAsia" w:asciiTheme="minorEastAsia" w:hAnsiTheme="minorEastAsia" w:eastAsiaTheme="minorEastAsia" w:cstheme="minorEastAsia"/>
                      <w:color w:val="auto"/>
                      <w:sz w:val="21"/>
                      <w:szCs w:val="21"/>
                      <w:lang w:val="en-US" w:eastAsia="zh-CN"/>
                    </w:rPr>
                    <w:t>不需要供热</w:t>
                  </w:r>
                  <w:r>
                    <w:rPr>
                      <w:rFonts w:hint="eastAsia" w:asciiTheme="minorEastAsia" w:hAnsiTheme="minorEastAsia" w:eastAsiaTheme="minorEastAsia" w:cstheme="minorEastAsia"/>
                      <w:color w:val="auto"/>
                      <w:sz w:val="21"/>
                      <w:szCs w:val="21"/>
                    </w:rPr>
                    <w:t>。</w:t>
                  </w:r>
                </w:p>
              </w:tc>
              <w:tc>
                <w:tcPr>
                  <w:tcW w:w="789" w:type="dxa"/>
                  <w:noWrap w:val="0"/>
                  <w:vAlign w:val="center"/>
                </w:tcPr>
                <w:p w14:paraId="027D8D69">
                  <w:pPr>
                    <w:contextualSpacing/>
                    <w:jc w:val="center"/>
                    <w:rPr>
                      <w:rFonts w:hint="eastAsia" w:asciiTheme="minorEastAsia" w:hAnsiTheme="minorEastAsia" w:eastAsiaTheme="minorEastAsia" w:cstheme="minorEastAsia"/>
                      <w:b w:val="0"/>
                      <w:bCs/>
                      <w:color w:val="auto"/>
                      <w:sz w:val="21"/>
                      <w:szCs w:val="21"/>
                    </w:rPr>
                  </w:pPr>
                  <w:r>
                    <w:rPr>
                      <w:rFonts w:hint="eastAsia" w:asciiTheme="minorEastAsia" w:hAnsiTheme="minorEastAsia" w:eastAsiaTheme="minorEastAsia" w:cstheme="minorEastAsia"/>
                      <w:color w:val="auto"/>
                      <w:sz w:val="21"/>
                      <w:szCs w:val="21"/>
                    </w:rPr>
                    <w:t>相符</w:t>
                  </w:r>
                </w:p>
              </w:tc>
            </w:tr>
          </w:tbl>
          <w:p w14:paraId="6E46E625">
            <w:pPr>
              <w:keepNext w:val="0"/>
              <w:keepLines w:val="0"/>
              <w:widowControl/>
              <w:suppressLineNumbers w:val="0"/>
              <w:jc w:val="both"/>
              <w:rPr>
                <w:rFonts w:hint="default" w:ascii="Times New Roman" w:hAnsi="Times New Roman" w:eastAsia="宋体" w:cs="Times New Roman"/>
                <w:color w:val="auto"/>
              </w:rPr>
            </w:pPr>
            <w:r>
              <w:rPr>
                <w:rFonts w:hint="default" w:ascii="Times New Roman" w:hAnsi="Times New Roman" w:eastAsia="宋体" w:cs="Times New Roman"/>
                <w:b/>
                <w:bCs/>
                <w:color w:val="auto"/>
                <w:kern w:val="0"/>
                <w:sz w:val="24"/>
                <w:szCs w:val="24"/>
                <w:lang w:val="en-US" w:eastAsia="zh-CN" w:bidi="ar"/>
              </w:rPr>
              <w:t>1.1.2规划环评相符性分析</w:t>
            </w:r>
          </w:p>
          <w:p w14:paraId="1C3D985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本项目与</w:t>
            </w:r>
            <w:r>
              <w:rPr>
                <w:rFonts w:hint="eastAsia" w:ascii="Times New Roman" w:hAnsi="Times New Roman" w:cs="Times New Roman"/>
                <w:color w:val="auto"/>
                <w:sz w:val="24"/>
                <w:szCs w:val="24"/>
                <w:lang w:eastAsia="zh-CN"/>
              </w:rPr>
              <w:t>《江苏省金坛经济开发区直溪现代产业园（新兴产业区）发展规划（2023-2035年）</w:t>
            </w:r>
            <w:r>
              <w:rPr>
                <w:rFonts w:hint="default" w:ascii="Times New Roman" w:hAnsi="Times New Roman" w:cs="Times New Roman"/>
                <w:color w:val="auto"/>
                <w:sz w:val="24"/>
                <w:szCs w:val="24"/>
                <w:lang w:eastAsia="zh-CN"/>
              </w:rPr>
              <w:t>环境影响报告书</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lang w:eastAsia="zh-CN"/>
              </w:rPr>
              <w:t>及</w:t>
            </w:r>
            <w:r>
              <w:rPr>
                <w:rFonts w:hint="eastAsia" w:ascii="Times New Roman" w:hAnsi="Times New Roman" w:cs="Times New Roman"/>
                <w:color w:val="auto"/>
                <w:sz w:val="24"/>
                <w:szCs w:val="24"/>
                <w:lang w:val="en-US" w:eastAsia="zh-CN"/>
              </w:rPr>
              <w:t>其</w:t>
            </w:r>
            <w:r>
              <w:rPr>
                <w:rFonts w:hint="default" w:ascii="Times New Roman" w:hAnsi="Times New Roman" w:cs="Times New Roman"/>
                <w:color w:val="auto"/>
                <w:sz w:val="24"/>
                <w:szCs w:val="24"/>
                <w:lang w:eastAsia="zh-CN"/>
              </w:rPr>
              <w:t>审查意见（常环审（20</w:t>
            </w:r>
            <w:r>
              <w:rPr>
                <w:rFonts w:hint="eastAsia" w:ascii="Times New Roman" w:hAnsi="Times New Roman" w:cs="Times New Roman"/>
                <w:color w:val="auto"/>
                <w:sz w:val="24"/>
                <w:szCs w:val="24"/>
                <w:lang w:val="en-US" w:eastAsia="zh-CN"/>
              </w:rPr>
              <w:t>24</w:t>
            </w:r>
            <w:r>
              <w:rPr>
                <w:rFonts w:hint="default"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8</w:t>
            </w:r>
            <w:r>
              <w:rPr>
                <w:rFonts w:hint="default" w:ascii="Times New Roman" w:hAnsi="Times New Roman" w:cs="Times New Roman"/>
                <w:color w:val="auto"/>
                <w:sz w:val="24"/>
                <w:szCs w:val="24"/>
                <w:lang w:eastAsia="zh-CN"/>
              </w:rPr>
              <w:t>号）</w:t>
            </w:r>
            <w:r>
              <w:rPr>
                <w:rFonts w:hint="default" w:ascii="Times New Roman" w:hAnsi="Times New Roman" w:eastAsia="宋体" w:cs="Times New Roman"/>
                <w:color w:val="auto"/>
                <w:kern w:val="0"/>
                <w:sz w:val="24"/>
                <w:szCs w:val="24"/>
                <w:lang w:val="en-US" w:eastAsia="zh-CN" w:bidi="ar"/>
              </w:rPr>
              <w:t>相符性分析见下表。</w:t>
            </w:r>
          </w:p>
          <w:p w14:paraId="60BDD882">
            <w:pPr>
              <w:keepNext w:val="0"/>
              <w:keepLines w:val="0"/>
              <w:pageBreakBefore w:val="0"/>
              <w:widowControl w:val="0"/>
              <w:kinsoku/>
              <w:wordWrap/>
              <w:overflowPunct/>
              <w:topLinePunct w:val="0"/>
              <w:autoSpaceDE/>
              <w:autoSpaceDN/>
              <w:bidi w:val="0"/>
              <w:adjustRightInd w:val="0"/>
              <w:snapToGrid w:val="0"/>
              <w:spacing w:line="500" w:lineRule="exact"/>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2</w:t>
            </w:r>
            <w:r>
              <w:rPr>
                <w:rFonts w:hint="default" w:ascii="Times New Roman" w:hAnsi="Times New Roman" w:eastAsia="宋体" w:cs="Times New Roman"/>
                <w:b/>
                <w:bCs/>
                <w:color w:val="auto"/>
                <w:sz w:val="21"/>
                <w:szCs w:val="21"/>
              </w:rPr>
              <w:t>与</w:t>
            </w:r>
            <w:r>
              <w:rPr>
                <w:rFonts w:hint="eastAsia" w:ascii="Times New Roman" w:hAnsi="Times New Roman" w:eastAsia="宋体" w:cs="Times New Roman"/>
                <w:b/>
                <w:bCs/>
                <w:color w:val="auto"/>
                <w:sz w:val="21"/>
                <w:szCs w:val="21"/>
                <w:lang w:eastAsia="zh-CN"/>
              </w:rPr>
              <w:t>直溪现代产业园发展规划</w:t>
            </w:r>
            <w:r>
              <w:rPr>
                <w:rFonts w:hint="default" w:ascii="Times New Roman" w:hAnsi="Times New Roman" w:eastAsia="宋体" w:cs="Times New Roman"/>
                <w:b/>
                <w:bCs/>
                <w:color w:val="auto"/>
                <w:sz w:val="21"/>
                <w:szCs w:val="21"/>
              </w:rPr>
              <w:t>环境影响报告书及审查意见相符性分析</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28" w:type="dxa"/>
                <w:left w:w="57" w:type="dxa"/>
                <w:bottom w:w="28" w:type="dxa"/>
                <w:right w:w="57" w:type="dxa"/>
              </w:tblCellMar>
            </w:tblPr>
            <w:tblGrid>
              <w:gridCol w:w="5431"/>
              <w:gridCol w:w="2248"/>
              <w:gridCol w:w="867"/>
            </w:tblGrid>
            <w:tr w14:paraId="5B60D0A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177" w:type="pct"/>
                  <w:noWrap w:val="0"/>
                  <w:vAlign w:val="center"/>
                </w:tcPr>
                <w:p w14:paraId="5FA5329D">
                  <w:pPr>
                    <w:pStyle w:val="38"/>
                    <w:snapToGrid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区域环评审查意见</w:t>
                  </w:r>
                </w:p>
              </w:tc>
              <w:tc>
                <w:tcPr>
                  <w:tcW w:w="1315" w:type="pct"/>
                  <w:noWrap w:val="0"/>
                  <w:vAlign w:val="center"/>
                </w:tcPr>
                <w:p w14:paraId="09553077">
                  <w:pPr>
                    <w:pStyle w:val="38"/>
                    <w:snapToGrid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w:t>
                  </w:r>
                </w:p>
              </w:tc>
              <w:tc>
                <w:tcPr>
                  <w:tcW w:w="507" w:type="pct"/>
                  <w:noWrap w:val="0"/>
                  <w:vAlign w:val="center"/>
                </w:tcPr>
                <w:p w14:paraId="42ADCA8F">
                  <w:pPr>
                    <w:pStyle w:val="38"/>
                    <w:snapToGrid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相符性</w:t>
                  </w:r>
                </w:p>
              </w:tc>
            </w:tr>
            <w:tr w14:paraId="66A4AE1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28" w:type="dxa"/>
                  <w:left w:w="57" w:type="dxa"/>
                  <w:bottom w:w="28" w:type="dxa"/>
                  <w:right w:w="57" w:type="dxa"/>
                </w:tblCellMar>
              </w:tblPrEx>
              <w:trPr>
                <w:trHeight w:val="90" w:hRule="atLeast"/>
                <w:jc w:val="center"/>
              </w:trPr>
              <w:tc>
                <w:tcPr>
                  <w:tcW w:w="3177" w:type="pct"/>
                  <w:noWrap w:val="0"/>
                  <w:vAlign w:val="center"/>
                </w:tcPr>
                <w:p w14:paraId="6B6FBAE9">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(二)严格空间管控，优化空间布局。《规划》应依据国</w:t>
                  </w:r>
                </w:p>
                <w:p w14:paraId="273DE517">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土空间规划加强城镇开发边界之外区域的规划控制，严格落实永久基本农田保护。涂料聚集区周边不宜规划建设居住区。园区工业用地与居民点间设置空间过渡带，确保产业布局与生态环境保护、人居环境安全相协调。</w:t>
                  </w:r>
                </w:p>
              </w:tc>
              <w:tc>
                <w:tcPr>
                  <w:tcW w:w="1315" w:type="pct"/>
                  <w:noWrap w:val="0"/>
                  <w:vAlign w:val="center"/>
                </w:tcPr>
                <w:p w14:paraId="49FD7936">
                  <w:pPr>
                    <w:contextualSpacing/>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项目</w:t>
                  </w:r>
                  <w:r>
                    <w:rPr>
                      <w:rFonts w:hint="eastAsia" w:ascii="Times New Roman" w:hAnsi="Times New Roman" w:eastAsia="宋体" w:cs="Times New Roman"/>
                      <w:color w:val="auto"/>
                      <w:szCs w:val="21"/>
                      <w:lang w:val="en-US" w:eastAsia="zh-CN"/>
                    </w:rPr>
                    <w:t>位于</w:t>
                  </w:r>
                  <w:r>
                    <w:rPr>
                      <w:rFonts w:hint="eastAsia" w:ascii="Times New Roman" w:hAnsi="Times New Roman" w:eastAsia="宋体" w:cs="Times New Roman"/>
                      <w:color w:val="auto"/>
                      <w:szCs w:val="21"/>
                      <w:lang w:eastAsia="zh-CN"/>
                    </w:rPr>
                    <w:t>直溪现代产业园</w:t>
                  </w:r>
                  <w:r>
                    <w:rPr>
                      <w:rFonts w:hint="eastAsia" w:ascii="Times New Roman" w:hAnsi="Times New Roman" w:eastAsia="宋体" w:cs="Times New Roman"/>
                      <w:color w:val="auto"/>
                      <w:szCs w:val="21"/>
                      <w:lang w:val="en-US" w:eastAsia="zh-CN"/>
                    </w:rPr>
                    <w:t>内，不涉及</w:t>
                  </w:r>
                  <w:r>
                    <w:rPr>
                      <w:rFonts w:hint="default" w:ascii="Times New Roman" w:hAnsi="Times New Roman" w:eastAsia="宋体" w:cs="Times New Roman"/>
                      <w:color w:val="auto"/>
                      <w:szCs w:val="21"/>
                    </w:rPr>
                    <w:t>基本农田保护</w:t>
                  </w:r>
                  <w:r>
                    <w:rPr>
                      <w:rFonts w:hint="eastAsia" w:ascii="Times New Roman" w:hAnsi="Times New Roman" w:eastAsia="宋体" w:cs="Times New Roman"/>
                      <w:color w:val="auto"/>
                      <w:szCs w:val="21"/>
                      <w:lang w:val="en-US" w:eastAsia="zh-CN"/>
                    </w:rPr>
                    <w:t>区；项目不在</w:t>
                  </w:r>
                  <w:r>
                    <w:rPr>
                      <w:rFonts w:hint="default" w:ascii="Times New Roman" w:hAnsi="Times New Roman" w:eastAsia="宋体" w:cs="Times New Roman"/>
                      <w:color w:val="auto"/>
                      <w:szCs w:val="21"/>
                    </w:rPr>
                    <w:t>涂料聚集区</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项目300m范围内无居民点。</w:t>
                  </w:r>
                </w:p>
              </w:tc>
              <w:tc>
                <w:tcPr>
                  <w:tcW w:w="507" w:type="pct"/>
                  <w:noWrap w:val="0"/>
                  <w:vAlign w:val="center"/>
                </w:tcPr>
                <w:p w14:paraId="7C6DEF1B">
                  <w:pPr>
                    <w:contextualSpacing/>
                    <w:jc w:val="center"/>
                    <w:rPr>
                      <w:color w:val="auto"/>
                      <w:szCs w:val="21"/>
                    </w:rPr>
                  </w:pPr>
                  <w:r>
                    <w:rPr>
                      <w:color w:val="auto"/>
                      <w:szCs w:val="21"/>
                    </w:rPr>
                    <w:t>相符</w:t>
                  </w:r>
                </w:p>
              </w:tc>
            </w:tr>
            <w:tr w14:paraId="3F9D907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177" w:type="pct"/>
                  <w:noWrap w:val="0"/>
                  <w:vAlign w:val="center"/>
                </w:tcPr>
                <w:p w14:paraId="5D6E60EE">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(三)严守环境质量底线，实施污染物排放限值限量管理。</w:t>
                  </w:r>
                </w:p>
                <w:p w14:paraId="581F393A">
                  <w:pPr>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根据国家和江苏省关于大气、水、土壤污染防治、区域生态环境分区管控、工业园区(集中区)污染物排放限值限量管理相关要求，建立以环境质量为核心的污染物总量控制管理体系。落实生态环境准入清单中的污染物排放管控要求，推进主要污染物排放浓度和总量“双管控”。</w:t>
                  </w:r>
                </w:p>
              </w:tc>
              <w:tc>
                <w:tcPr>
                  <w:tcW w:w="1315" w:type="pct"/>
                  <w:noWrap w:val="0"/>
                  <w:vAlign w:val="center"/>
                </w:tcPr>
                <w:p w14:paraId="51CB2C3E">
                  <w:pPr>
                    <w:contextualSpacing/>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Cs w:val="21"/>
                    </w:rPr>
                    <w:t>项目</w:t>
                  </w:r>
                  <w:r>
                    <w:rPr>
                      <w:rFonts w:hint="eastAsia" w:asciiTheme="minorEastAsia" w:hAnsiTheme="minorEastAsia" w:eastAsiaTheme="minorEastAsia" w:cstheme="minorEastAsia"/>
                      <w:color w:val="auto"/>
                      <w:sz w:val="21"/>
                      <w:szCs w:val="21"/>
                    </w:rPr>
                    <w:t>生活污水</w:t>
                  </w:r>
                  <w:r>
                    <w:rPr>
                      <w:rFonts w:hint="eastAsia" w:asciiTheme="minorEastAsia" w:hAnsiTheme="minorEastAsia" w:eastAsiaTheme="minorEastAsia" w:cstheme="minorEastAsia"/>
                      <w:color w:val="auto"/>
                      <w:sz w:val="21"/>
                      <w:szCs w:val="21"/>
                      <w:lang w:val="en-US" w:eastAsia="zh-CN"/>
                    </w:rPr>
                    <w:t>接管至</w:t>
                  </w:r>
                  <w:r>
                    <w:rPr>
                      <w:rFonts w:hint="eastAsia" w:asciiTheme="minorEastAsia" w:hAnsiTheme="minorEastAsia" w:eastAsiaTheme="minorEastAsia" w:cstheme="minorEastAsia"/>
                      <w:b w:val="0"/>
                      <w:bCs w:val="0"/>
                      <w:color w:val="auto"/>
                      <w:sz w:val="21"/>
                      <w:szCs w:val="21"/>
                    </w:rPr>
                    <w:t>溪城污水处理公司集中处理</w:t>
                  </w:r>
                  <w:r>
                    <w:rPr>
                      <w:rFonts w:hint="default" w:ascii="Times New Roman" w:hAnsi="Times New Roman" w:eastAsia="宋体" w:cs="Times New Roman"/>
                      <w:color w:val="auto"/>
                      <w:szCs w:val="21"/>
                    </w:rPr>
                    <w:t>；一般固废综合利用，危险废物委托有资质单位处置</w:t>
                  </w:r>
                  <w:r>
                    <w:rPr>
                      <w:rFonts w:hint="eastAsia" w:cs="Times New Roman"/>
                      <w:color w:val="auto"/>
                      <w:szCs w:val="21"/>
                      <w:lang w:eastAsia="zh-CN"/>
                    </w:rPr>
                    <w:t>。</w:t>
                  </w:r>
                </w:p>
              </w:tc>
              <w:tc>
                <w:tcPr>
                  <w:tcW w:w="507" w:type="pct"/>
                  <w:noWrap w:val="0"/>
                  <w:vAlign w:val="center"/>
                </w:tcPr>
                <w:p w14:paraId="3AB1584F">
                  <w:pPr>
                    <w:contextualSpacing/>
                    <w:jc w:val="center"/>
                    <w:rPr>
                      <w:rFonts w:hint="default" w:ascii="Times New Roman" w:hAnsi="Times New Roman" w:eastAsia="宋体" w:cs="Times New Roman"/>
                      <w:color w:val="auto"/>
                      <w:sz w:val="21"/>
                      <w:szCs w:val="21"/>
                    </w:rPr>
                  </w:pPr>
                  <w:r>
                    <w:rPr>
                      <w:color w:val="auto"/>
                      <w:szCs w:val="21"/>
                    </w:rPr>
                    <w:t>相符</w:t>
                  </w:r>
                </w:p>
              </w:tc>
            </w:tr>
            <w:tr w14:paraId="266B62A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177" w:type="pct"/>
                  <w:noWrap w:val="0"/>
                  <w:vAlign w:val="center"/>
                </w:tcPr>
                <w:p w14:paraId="5F3B09BA">
                  <w:pPr>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四)加强源头治理，协同推进减污降碳。严格落实生态环境准入清单，严格执行行业废水、废气排放控制要求。强化企业特征污染物排放控制、高效治理设施建设，落实精细化管控要求，有效防治涂料等产业的异味污染。园区入驻的涂料企业清洁生产水平应达到国内先进水平。全面开展清洁生产审核，推动重点行业依法实施强制性审核,引导其他行业自觉自愿开展审核。根据国家和地方碳达峰行动方案和路径要求，推进园区绿色低碳转型发展，实现减污降碳协同增效目标。</w:t>
                  </w:r>
                </w:p>
              </w:tc>
              <w:tc>
                <w:tcPr>
                  <w:tcW w:w="1315" w:type="pct"/>
                  <w:noWrap w:val="0"/>
                  <w:vAlign w:val="center"/>
                </w:tcPr>
                <w:p w14:paraId="2FC74050">
                  <w:pPr>
                    <w:contextualSpacing/>
                    <w:jc w:val="center"/>
                    <w:rPr>
                      <w:rFonts w:hint="default" w:ascii="Times New Roman" w:hAnsi="Times New Roman" w:eastAsia="宋体" w:cs="Times New Roman"/>
                      <w:color w:val="auto"/>
                      <w:sz w:val="21"/>
                      <w:szCs w:val="21"/>
                      <w:lang w:val="en-US" w:eastAsia="zh-CN"/>
                    </w:rPr>
                  </w:pPr>
                  <w:r>
                    <w:rPr>
                      <w:bCs/>
                      <w:color w:val="auto"/>
                      <w:szCs w:val="21"/>
                    </w:rPr>
                    <w:t>项目</w:t>
                  </w:r>
                  <w:r>
                    <w:rPr>
                      <w:rFonts w:hint="eastAsia" w:asciiTheme="minorEastAsia" w:hAnsiTheme="minorEastAsia" w:eastAsiaTheme="minorEastAsia" w:cstheme="minorEastAsia"/>
                      <w:color w:val="auto"/>
                      <w:sz w:val="21"/>
                      <w:szCs w:val="21"/>
                    </w:rPr>
                    <w:t>生活污水</w:t>
                  </w:r>
                  <w:r>
                    <w:rPr>
                      <w:rFonts w:hint="eastAsia" w:asciiTheme="minorEastAsia" w:hAnsiTheme="minorEastAsia" w:eastAsiaTheme="minorEastAsia" w:cstheme="minorEastAsia"/>
                      <w:color w:val="auto"/>
                      <w:sz w:val="21"/>
                      <w:szCs w:val="21"/>
                      <w:lang w:val="en-US" w:eastAsia="zh-CN"/>
                    </w:rPr>
                    <w:t>接管至</w:t>
                  </w:r>
                  <w:r>
                    <w:rPr>
                      <w:rFonts w:hint="eastAsia" w:asciiTheme="minorEastAsia" w:hAnsiTheme="minorEastAsia" w:eastAsiaTheme="minorEastAsia" w:cstheme="minorEastAsia"/>
                      <w:b w:val="0"/>
                      <w:bCs w:val="0"/>
                      <w:color w:val="auto"/>
                      <w:sz w:val="21"/>
                      <w:szCs w:val="21"/>
                    </w:rPr>
                    <w:t>溪城污水处理公司集中处理</w:t>
                  </w:r>
                  <w:r>
                    <w:rPr>
                      <w:rFonts w:hint="eastAsia"/>
                      <w:bCs/>
                      <w:color w:val="auto"/>
                      <w:szCs w:val="21"/>
                      <w:lang w:val="en-US" w:eastAsia="zh-CN"/>
                    </w:rPr>
                    <w:t>；</w:t>
                  </w:r>
                  <w:r>
                    <w:rPr>
                      <w:rFonts w:hint="default" w:ascii="Times New Roman" w:hAnsi="Times New Roman" w:eastAsia="宋体" w:cs="Times New Roman"/>
                      <w:color w:val="auto"/>
                    </w:rPr>
                    <w:t>项目</w:t>
                  </w:r>
                  <w:r>
                    <w:rPr>
                      <w:rFonts w:hint="eastAsia" w:ascii="Times New Roman" w:hAnsi="Times New Roman" w:eastAsia="宋体" w:cs="Times New Roman"/>
                      <w:color w:val="auto"/>
                      <w:lang w:val="en-US" w:eastAsia="zh-CN"/>
                    </w:rPr>
                    <w:t>仅有少量污水处理站废气产生</w:t>
                  </w:r>
                  <w:r>
                    <w:rPr>
                      <w:rFonts w:hint="eastAsia"/>
                      <w:bCs/>
                      <w:color w:val="auto"/>
                      <w:szCs w:val="21"/>
                      <w:lang w:eastAsia="zh-CN"/>
                    </w:rPr>
                    <w:t>；</w:t>
                  </w:r>
                  <w:r>
                    <w:rPr>
                      <w:rFonts w:hint="eastAsia"/>
                      <w:bCs/>
                      <w:color w:val="auto"/>
                      <w:szCs w:val="21"/>
                      <w:lang w:val="en-US" w:eastAsia="zh-CN"/>
                    </w:rPr>
                    <w:t>项目不属于涂料企业。</w:t>
                  </w:r>
                </w:p>
              </w:tc>
              <w:tc>
                <w:tcPr>
                  <w:tcW w:w="507" w:type="pct"/>
                  <w:noWrap w:val="0"/>
                  <w:vAlign w:val="center"/>
                </w:tcPr>
                <w:p w14:paraId="0446D5CE">
                  <w:pPr>
                    <w:contextualSpacing/>
                    <w:jc w:val="center"/>
                    <w:rPr>
                      <w:rFonts w:hint="default" w:ascii="Times New Roman" w:hAnsi="Times New Roman" w:eastAsia="宋体" w:cs="Times New Roman"/>
                      <w:color w:val="auto"/>
                      <w:sz w:val="21"/>
                      <w:szCs w:val="21"/>
                    </w:rPr>
                  </w:pPr>
                  <w:r>
                    <w:rPr>
                      <w:color w:val="auto"/>
                      <w:szCs w:val="21"/>
                    </w:rPr>
                    <w:t>相符</w:t>
                  </w:r>
                </w:p>
              </w:tc>
            </w:tr>
            <w:tr w14:paraId="7F69A12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177" w:type="pct"/>
                  <w:noWrap w:val="0"/>
                  <w:vAlign w:val="center"/>
                </w:tcPr>
                <w:p w14:paraId="0B77260D">
                  <w:pPr>
                    <w:contextualSpacing/>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(五)完善环境基础设施，提高基础设施运行效能。推动</w:t>
                  </w:r>
                </w:p>
                <w:p w14:paraId="10E5A13F">
                  <w:pPr>
                    <w:contextualSpacing/>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企业节约用水，采取有效节水措施，提高工业用水重复利用率，源头减少废水产生和排放。加快组织对接管工业企业排查工业废水与生活污水分质处理评估和整治工作，对经评估不能认定接管污水处理厂应尽快安排退出计划。全面排查加强园区固体废物资源化、减量化、无害化处理，一般工业固废、危险废物应依法依规收集、处理处置，做到“就地分类收集、就近转移处置”。加强涂料集聚区生产废水处理与回用设施、危险废物仓库的建设和运维管理。</w:t>
                  </w:r>
                </w:p>
              </w:tc>
              <w:tc>
                <w:tcPr>
                  <w:tcW w:w="1315" w:type="pct"/>
                  <w:noWrap w:val="0"/>
                  <w:vAlign w:val="center"/>
                </w:tcPr>
                <w:p w14:paraId="11A311B7">
                  <w:pPr>
                    <w:contextualSpacing/>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项目</w:t>
                  </w:r>
                  <w:r>
                    <w:rPr>
                      <w:rFonts w:hint="eastAsia" w:cs="Times New Roman"/>
                      <w:color w:val="auto"/>
                      <w:szCs w:val="21"/>
                      <w:lang w:val="en-US" w:eastAsia="zh-CN"/>
                    </w:rPr>
                    <w:t>漂洗废水经污水站处理后全部回用，无生产废水外排，</w:t>
                  </w:r>
                  <w:r>
                    <w:rPr>
                      <w:rFonts w:hint="eastAsia" w:asciiTheme="minorEastAsia" w:hAnsiTheme="minorEastAsia" w:eastAsiaTheme="minorEastAsia" w:cstheme="minorEastAsia"/>
                      <w:color w:val="auto"/>
                      <w:sz w:val="21"/>
                      <w:szCs w:val="21"/>
                    </w:rPr>
                    <w:t>生活污水</w:t>
                  </w:r>
                  <w:r>
                    <w:rPr>
                      <w:rFonts w:hint="eastAsia" w:asciiTheme="minorEastAsia" w:hAnsiTheme="minorEastAsia" w:eastAsiaTheme="minorEastAsia" w:cstheme="minorEastAsia"/>
                      <w:color w:val="auto"/>
                      <w:sz w:val="21"/>
                      <w:szCs w:val="21"/>
                      <w:lang w:val="en-US" w:eastAsia="zh-CN"/>
                    </w:rPr>
                    <w:t>接管至</w:t>
                  </w:r>
                  <w:r>
                    <w:rPr>
                      <w:rFonts w:hint="eastAsia" w:asciiTheme="minorEastAsia" w:hAnsiTheme="minorEastAsia" w:eastAsiaTheme="minorEastAsia" w:cstheme="minorEastAsia"/>
                      <w:b w:val="0"/>
                      <w:bCs w:val="0"/>
                      <w:color w:val="auto"/>
                      <w:sz w:val="21"/>
                      <w:szCs w:val="21"/>
                    </w:rPr>
                    <w:t>溪城污水处理公司集中处理</w:t>
                  </w:r>
                  <w:r>
                    <w:rPr>
                      <w:rFonts w:hint="eastAsia" w:cs="Times New Roman"/>
                      <w:color w:val="auto"/>
                      <w:szCs w:val="21"/>
                      <w:lang w:eastAsia="zh-CN"/>
                    </w:rPr>
                    <w:t>；</w:t>
                  </w:r>
                  <w:r>
                    <w:rPr>
                      <w:rFonts w:hint="eastAsia" w:cs="Times New Roman"/>
                      <w:color w:val="auto"/>
                      <w:szCs w:val="21"/>
                      <w:lang w:val="en-US" w:eastAsia="zh-CN"/>
                    </w:rPr>
                    <w:t>项目</w:t>
                  </w:r>
                  <w:r>
                    <w:rPr>
                      <w:rFonts w:hint="default" w:ascii="Times New Roman" w:hAnsi="Times New Roman" w:eastAsia="宋体" w:cs="Times New Roman"/>
                      <w:color w:val="auto"/>
                      <w:szCs w:val="21"/>
                    </w:rPr>
                    <w:t>一般固废</w:t>
                  </w:r>
                  <w:r>
                    <w:rPr>
                      <w:rFonts w:hint="eastAsia" w:cs="Times New Roman"/>
                      <w:color w:val="auto"/>
                      <w:szCs w:val="21"/>
                      <w:lang w:val="en-US" w:eastAsia="zh-CN"/>
                    </w:rPr>
                    <w:t>收集后外售</w:t>
                  </w:r>
                  <w:r>
                    <w:rPr>
                      <w:rFonts w:hint="default" w:ascii="Times New Roman" w:hAnsi="Times New Roman" w:eastAsia="宋体" w:cs="Times New Roman"/>
                      <w:color w:val="auto"/>
                      <w:szCs w:val="21"/>
                    </w:rPr>
                    <w:t>综合利用，危险废物</w:t>
                  </w:r>
                  <w:r>
                    <w:rPr>
                      <w:rFonts w:hint="eastAsia" w:cs="Times New Roman"/>
                      <w:color w:val="auto"/>
                      <w:szCs w:val="21"/>
                      <w:lang w:val="en-US" w:eastAsia="zh-CN"/>
                    </w:rPr>
                    <w:t>收集后</w:t>
                  </w:r>
                  <w:r>
                    <w:rPr>
                      <w:rFonts w:hint="default" w:ascii="Times New Roman" w:hAnsi="Times New Roman" w:eastAsia="宋体" w:cs="Times New Roman"/>
                      <w:color w:val="auto"/>
                      <w:szCs w:val="21"/>
                    </w:rPr>
                    <w:t>委托</w:t>
                  </w:r>
                  <w:r>
                    <w:rPr>
                      <w:rFonts w:hint="eastAsia" w:cs="Times New Roman"/>
                      <w:color w:val="auto"/>
                      <w:szCs w:val="21"/>
                      <w:lang w:val="en-US" w:eastAsia="zh-CN"/>
                    </w:rPr>
                    <w:t>周边危废处置</w:t>
                  </w:r>
                  <w:r>
                    <w:rPr>
                      <w:rFonts w:hint="default" w:ascii="Times New Roman" w:hAnsi="Times New Roman" w:eastAsia="宋体" w:cs="Times New Roman"/>
                      <w:color w:val="auto"/>
                      <w:szCs w:val="21"/>
                    </w:rPr>
                    <w:t>单位处置</w:t>
                  </w:r>
                  <w:r>
                    <w:rPr>
                      <w:rFonts w:hint="eastAsia" w:cs="Times New Roman"/>
                      <w:color w:val="auto"/>
                      <w:szCs w:val="21"/>
                      <w:lang w:eastAsia="zh-CN"/>
                    </w:rPr>
                    <w:t>，</w:t>
                  </w:r>
                  <w:r>
                    <w:rPr>
                      <w:rFonts w:hint="eastAsia" w:cs="Times New Roman"/>
                      <w:color w:val="auto"/>
                      <w:szCs w:val="21"/>
                      <w:lang w:val="en-US" w:eastAsia="zh-CN"/>
                    </w:rPr>
                    <w:t>做到</w:t>
                  </w:r>
                  <w:r>
                    <w:rPr>
                      <w:rFonts w:hint="default" w:ascii="Times New Roman" w:hAnsi="Times New Roman" w:eastAsia="宋体" w:cs="Times New Roman"/>
                      <w:color w:val="auto"/>
                      <w:szCs w:val="21"/>
                    </w:rPr>
                    <w:t>“就地分类收集、就近转移处置”</w:t>
                  </w:r>
                  <w:r>
                    <w:rPr>
                      <w:rFonts w:hint="eastAsia" w:cs="Times New Roman"/>
                      <w:color w:val="auto"/>
                      <w:szCs w:val="21"/>
                      <w:lang w:eastAsia="zh-CN"/>
                    </w:rPr>
                    <w:t>。</w:t>
                  </w:r>
                </w:p>
              </w:tc>
              <w:tc>
                <w:tcPr>
                  <w:tcW w:w="507" w:type="pct"/>
                  <w:noWrap w:val="0"/>
                  <w:vAlign w:val="center"/>
                </w:tcPr>
                <w:p w14:paraId="06D723ED">
                  <w:pPr>
                    <w:contextualSpacing/>
                    <w:jc w:val="center"/>
                    <w:rPr>
                      <w:rFonts w:hint="default" w:ascii="Times New Roman" w:hAnsi="Times New Roman" w:eastAsia="宋体" w:cs="Times New Roman"/>
                      <w:color w:val="auto"/>
                      <w:szCs w:val="21"/>
                    </w:rPr>
                  </w:pPr>
                  <w:r>
                    <w:rPr>
                      <w:color w:val="auto"/>
                      <w:sz w:val="21"/>
                      <w:szCs w:val="21"/>
                    </w:rPr>
                    <w:t>相符</w:t>
                  </w:r>
                </w:p>
              </w:tc>
            </w:tr>
            <w:tr w14:paraId="170154D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28" w:type="dxa"/>
                  <w:left w:w="57" w:type="dxa"/>
                  <w:bottom w:w="28" w:type="dxa"/>
                  <w:right w:w="57" w:type="dxa"/>
                </w:tblCellMar>
              </w:tblPrEx>
              <w:trPr>
                <w:trHeight w:val="340" w:hRule="atLeast"/>
                <w:jc w:val="center"/>
              </w:trPr>
              <w:tc>
                <w:tcPr>
                  <w:tcW w:w="3177" w:type="pct"/>
                  <w:noWrap w:val="0"/>
                  <w:vAlign w:val="center"/>
                </w:tcPr>
                <w:p w14:paraId="64E0F475">
                  <w:pPr>
                    <w:contextualSpacing/>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四、拟进入园区的建设项目，应结合规划环评提出的指导意见做好环境影响评价工作，落实相关要求，加强与规划环评的联动，重点开展工程分析、污染物允许排放量测算和环保措施的可行性论证工作，重点关注挥发性有机物管控措施、应急体系建设等内容，强化环境监测、环境保护和风险防控措施的落实。规划环评中协调性分析、环境现状、污染源调查等符合要求的资料可供建设项目环评共享，项目环评相应内容可结合实际情况予以简化。</w:t>
                  </w:r>
                </w:p>
              </w:tc>
              <w:tc>
                <w:tcPr>
                  <w:tcW w:w="1315" w:type="pct"/>
                  <w:noWrap w:val="0"/>
                  <w:vAlign w:val="center"/>
                </w:tcPr>
                <w:p w14:paraId="1356B371">
                  <w:pPr>
                    <w:contextualSpacing/>
                    <w:jc w:val="center"/>
                    <w:rPr>
                      <w:rFonts w:hint="eastAsia" w:eastAsia="宋体"/>
                      <w:color w:val="auto"/>
                      <w:sz w:val="21"/>
                      <w:szCs w:val="21"/>
                      <w:lang w:val="en-US" w:eastAsia="zh-CN"/>
                    </w:rPr>
                  </w:pPr>
                  <w:r>
                    <w:rPr>
                      <w:rFonts w:hint="eastAsia"/>
                      <w:color w:val="auto"/>
                      <w:sz w:val="21"/>
                      <w:szCs w:val="21"/>
                      <w:lang w:val="en-US" w:eastAsia="zh-CN"/>
                    </w:rPr>
                    <w:t>项目将根据</w:t>
                  </w:r>
                  <w:r>
                    <w:rPr>
                      <w:rFonts w:hint="eastAsia"/>
                      <w:color w:val="auto"/>
                      <w:lang w:val="en-US" w:eastAsia="zh-CN"/>
                    </w:rPr>
                    <w:t>规划环评要求</w:t>
                  </w:r>
                  <w:r>
                    <w:rPr>
                      <w:rFonts w:hint="default" w:ascii="Times New Roman" w:hAnsi="Times New Roman" w:eastAsia="宋体" w:cs="Times New Roman"/>
                      <w:color w:val="auto"/>
                      <w:szCs w:val="21"/>
                    </w:rPr>
                    <w:t>实施污染物排放限值限量管理</w:t>
                  </w:r>
                  <w:r>
                    <w:rPr>
                      <w:rFonts w:hint="eastAsia" w:cs="Times New Roman"/>
                      <w:color w:val="auto"/>
                      <w:szCs w:val="21"/>
                      <w:lang w:eastAsia="zh-CN"/>
                    </w:rPr>
                    <w:t>，</w:t>
                  </w:r>
                  <w:r>
                    <w:rPr>
                      <w:rFonts w:hint="eastAsia"/>
                      <w:color w:val="auto"/>
                      <w:lang w:val="en-US" w:eastAsia="zh-CN"/>
                    </w:rPr>
                    <w:t>项目投产前建设单位须落实应急体系的建设，</w:t>
                  </w:r>
                  <w:r>
                    <w:rPr>
                      <w:rFonts w:hint="default" w:ascii="Times New Roman" w:hAnsi="Times New Roman" w:eastAsia="宋体" w:cs="Times New Roman"/>
                      <w:b w:val="0"/>
                      <w:bCs w:val="0"/>
                      <w:color w:val="auto"/>
                      <w:sz w:val="21"/>
                      <w:szCs w:val="21"/>
                      <w:lang w:val="en-US" w:eastAsia="zh-CN"/>
                    </w:rPr>
                    <w:t>依托园区内及周边的熊家枢纽、直里枢纽、鲍塘站等，按照分区阻隔原则，选取合适河段科学设置突发水污染事件应急缓冲区</w:t>
                  </w:r>
                  <w:r>
                    <w:rPr>
                      <w:rFonts w:hint="eastAsia" w:cs="Times New Roman"/>
                      <w:color w:val="auto"/>
                      <w:szCs w:val="21"/>
                      <w:lang w:val="en-US" w:eastAsia="zh-CN"/>
                    </w:rPr>
                    <w:t>；</w:t>
                  </w:r>
                  <w:r>
                    <w:rPr>
                      <w:rFonts w:hint="eastAsia"/>
                      <w:color w:val="auto"/>
                      <w:sz w:val="21"/>
                      <w:szCs w:val="21"/>
                      <w:lang w:val="en-US" w:eastAsia="zh-CN"/>
                    </w:rPr>
                    <w:t>项目环评已开展</w:t>
                  </w:r>
                  <w:r>
                    <w:rPr>
                      <w:rFonts w:hint="default" w:ascii="Times New Roman" w:hAnsi="Times New Roman" w:eastAsia="宋体" w:cs="Times New Roman"/>
                      <w:color w:val="auto"/>
                      <w:szCs w:val="21"/>
                    </w:rPr>
                    <w:t>工程分析、污染物允许排放量测算和环保措施的可行性论证工作</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项目建成后将加强</w:t>
                  </w:r>
                  <w:r>
                    <w:rPr>
                      <w:rFonts w:hint="default" w:ascii="Times New Roman" w:hAnsi="Times New Roman" w:eastAsia="宋体" w:cs="Times New Roman"/>
                      <w:color w:val="auto"/>
                      <w:szCs w:val="21"/>
                    </w:rPr>
                    <w:t>应急体系建设</w:t>
                  </w:r>
                  <w:r>
                    <w:rPr>
                      <w:rFonts w:hint="eastAsia"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rPr>
                    <w:t>强化环境监测、环境保护和风险防控措施的落实</w:t>
                  </w:r>
                  <w:r>
                    <w:rPr>
                      <w:rFonts w:hint="eastAsia" w:ascii="Times New Roman" w:hAnsi="Times New Roman" w:eastAsia="宋体" w:cs="Times New Roman"/>
                      <w:color w:val="auto"/>
                      <w:szCs w:val="21"/>
                      <w:lang w:eastAsia="zh-CN"/>
                    </w:rPr>
                    <w:t>。</w:t>
                  </w:r>
                </w:p>
              </w:tc>
              <w:tc>
                <w:tcPr>
                  <w:tcW w:w="507" w:type="pct"/>
                  <w:noWrap w:val="0"/>
                  <w:vAlign w:val="center"/>
                </w:tcPr>
                <w:p w14:paraId="1B23A436">
                  <w:pPr>
                    <w:contextualSpacing/>
                    <w:jc w:val="center"/>
                    <w:rPr>
                      <w:color w:val="auto"/>
                      <w:sz w:val="21"/>
                      <w:szCs w:val="21"/>
                    </w:rPr>
                  </w:pPr>
                  <w:r>
                    <w:rPr>
                      <w:color w:val="auto"/>
                      <w:sz w:val="21"/>
                      <w:szCs w:val="21"/>
                    </w:rPr>
                    <w:t>相符</w:t>
                  </w:r>
                </w:p>
              </w:tc>
            </w:tr>
          </w:tbl>
          <w:p w14:paraId="450F2F83">
            <w:pPr>
              <w:pStyle w:val="6"/>
              <w:keepNext w:val="0"/>
              <w:keepLines w:val="0"/>
              <w:pageBreakBefore w:val="0"/>
              <w:widowControl/>
              <w:kinsoku/>
              <w:wordWrap/>
              <w:overflowPunct/>
              <w:topLinePunct w:val="0"/>
              <w:autoSpaceDE/>
              <w:autoSpaceDN/>
              <w:bidi w:val="0"/>
              <w:adjustRightInd w:val="0"/>
              <w:snapToGrid w:val="0"/>
              <w:spacing w:before="0" w:after="0" w:line="500" w:lineRule="exact"/>
              <w:ind w:right="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eastAsia="宋体" w:cs="Times New Roman"/>
                <w:b/>
                <w:bCs/>
                <w:color w:val="auto"/>
                <w:kern w:val="2"/>
                <w:sz w:val="21"/>
                <w:szCs w:val="21"/>
                <w:lang w:val="en-US" w:eastAsia="zh-CN" w:bidi="ar-SA"/>
              </w:rPr>
              <w:t>表1-</w:t>
            </w:r>
            <w:r>
              <w:rPr>
                <w:rFonts w:hint="eastAsia" w:ascii="Times New Roman" w:hAnsi="Times New Roman" w:cs="Times New Roman"/>
                <w:b/>
                <w:bCs/>
                <w:color w:val="auto"/>
                <w:kern w:val="2"/>
                <w:sz w:val="21"/>
                <w:szCs w:val="21"/>
                <w:lang w:val="en-US" w:eastAsia="zh-CN" w:bidi="ar-SA"/>
              </w:rPr>
              <w:t>3</w:t>
            </w:r>
            <w:r>
              <w:rPr>
                <w:rFonts w:hint="default" w:ascii="Times New Roman" w:hAnsi="Times New Roman" w:eastAsia="宋体" w:cs="Times New Roman"/>
                <w:b/>
                <w:bCs/>
                <w:color w:val="auto"/>
                <w:kern w:val="2"/>
                <w:sz w:val="21"/>
                <w:szCs w:val="21"/>
                <w:lang w:val="en-US" w:eastAsia="zh-CN" w:bidi="ar-SA"/>
              </w:rPr>
              <w:t>项目与</w:t>
            </w:r>
            <w:r>
              <w:rPr>
                <w:rFonts w:hint="eastAsia" w:ascii="Times New Roman" w:hAnsi="Times New Roman" w:eastAsia="宋体" w:cs="Times New Roman"/>
                <w:b/>
                <w:bCs/>
                <w:color w:val="auto"/>
                <w:sz w:val="21"/>
                <w:szCs w:val="21"/>
                <w:lang w:eastAsia="zh-CN"/>
              </w:rPr>
              <w:t>直溪现代产业园</w:t>
            </w:r>
            <w:r>
              <w:rPr>
                <w:rFonts w:hint="eastAsia" w:ascii="Times New Roman" w:hAnsi="Times New Roman" w:eastAsia="宋体" w:cs="Times New Roman"/>
                <w:b/>
                <w:bCs/>
                <w:color w:val="auto"/>
                <w:kern w:val="2"/>
                <w:sz w:val="21"/>
                <w:szCs w:val="21"/>
                <w:lang w:val="en-US" w:eastAsia="zh-CN" w:bidi="ar-SA"/>
              </w:rPr>
              <w:t>生态环境准入清单</w:t>
            </w:r>
            <w:r>
              <w:rPr>
                <w:rFonts w:hint="default" w:ascii="Times New Roman" w:hAnsi="Times New Roman" w:eastAsia="宋体" w:cs="Times New Roman"/>
                <w:b/>
                <w:bCs/>
                <w:color w:val="auto"/>
                <w:kern w:val="2"/>
                <w:sz w:val="21"/>
                <w:szCs w:val="21"/>
                <w:lang w:val="en-US" w:eastAsia="zh-CN" w:bidi="ar-SA"/>
              </w:rPr>
              <w:t>相符性分析</w:t>
            </w:r>
          </w:p>
          <w:tbl>
            <w:tblPr>
              <w:tblStyle w:val="17"/>
              <w:tblW w:w="4998" w:type="pct"/>
              <w:tblInd w:w="0" w:type="dxa"/>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Layout w:type="autofit"/>
              <w:tblCellMar>
                <w:top w:w="0" w:type="dxa"/>
                <w:left w:w="0" w:type="dxa"/>
                <w:bottom w:w="0" w:type="dxa"/>
                <w:right w:w="0" w:type="dxa"/>
              </w:tblCellMar>
            </w:tblPr>
            <w:tblGrid>
              <w:gridCol w:w="531"/>
              <w:gridCol w:w="437"/>
              <w:gridCol w:w="4596"/>
              <w:gridCol w:w="1975"/>
              <w:gridCol w:w="1017"/>
            </w:tblGrid>
            <w:tr w14:paraId="3D29203B">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trPr>
              <w:tc>
                <w:tcPr>
                  <w:tcW w:w="565" w:type="pct"/>
                  <w:gridSpan w:val="2"/>
                  <w:tcBorders>
                    <w:tl2br w:val="nil"/>
                    <w:tr2bl w:val="nil"/>
                  </w:tcBorders>
                  <w:shd w:val="clear" w:color="auto" w:fill="auto"/>
                  <w:vAlign w:val="center"/>
                </w:tcPr>
                <w:p w14:paraId="41E82FBD">
                  <w:pPr>
                    <w:pStyle w:val="38"/>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清单类别</w:t>
                  </w:r>
                </w:p>
              </w:tc>
              <w:tc>
                <w:tcPr>
                  <w:tcW w:w="2685" w:type="pct"/>
                  <w:tcBorders>
                    <w:tl2br w:val="nil"/>
                    <w:tr2bl w:val="nil"/>
                  </w:tcBorders>
                  <w:shd w:val="clear" w:color="auto" w:fill="auto"/>
                  <w:vAlign w:val="center"/>
                </w:tcPr>
                <w:p w14:paraId="48CD6210">
                  <w:pPr>
                    <w:pStyle w:val="38"/>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准入内容</w:t>
                  </w:r>
                </w:p>
              </w:tc>
              <w:tc>
                <w:tcPr>
                  <w:tcW w:w="1154" w:type="pct"/>
                  <w:tcBorders>
                    <w:tl2br w:val="nil"/>
                    <w:tr2bl w:val="nil"/>
                  </w:tcBorders>
                  <w:shd w:val="clear" w:color="auto" w:fill="auto"/>
                  <w:vAlign w:val="center"/>
                </w:tcPr>
                <w:p w14:paraId="3F1DE9C8">
                  <w:pPr>
                    <w:pStyle w:val="38"/>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对照分析</w:t>
                  </w:r>
                </w:p>
              </w:tc>
              <w:tc>
                <w:tcPr>
                  <w:tcW w:w="594" w:type="pct"/>
                  <w:tcBorders>
                    <w:tl2br w:val="nil"/>
                    <w:tr2bl w:val="nil"/>
                  </w:tcBorders>
                  <w:shd w:val="clear" w:color="auto" w:fill="auto"/>
                  <w:vAlign w:val="center"/>
                </w:tcPr>
                <w:p w14:paraId="4BB87D3D">
                  <w:pPr>
                    <w:pStyle w:val="38"/>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bCs/>
                      <w:color w:val="auto"/>
                      <w:sz w:val="21"/>
                      <w:szCs w:val="21"/>
                    </w:rPr>
                    <w:t>相符性</w:t>
                  </w:r>
                </w:p>
              </w:tc>
            </w:tr>
            <w:tr w14:paraId="77763E94">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trPr>
              <w:tc>
                <w:tcPr>
                  <w:tcW w:w="310" w:type="pct"/>
                  <w:vMerge w:val="restart"/>
                  <w:tcBorders>
                    <w:tl2br w:val="nil"/>
                    <w:tr2bl w:val="nil"/>
                  </w:tcBorders>
                  <w:shd w:val="clear" w:color="auto" w:fill="auto"/>
                  <w:vAlign w:val="center"/>
                </w:tcPr>
                <w:p w14:paraId="1986E979">
                  <w:pPr>
                    <w:pStyle w:val="38"/>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项目准入</w:t>
                  </w:r>
                </w:p>
              </w:tc>
              <w:tc>
                <w:tcPr>
                  <w:tcW w:w="255" w:type="pct"/>
                  <w:tcBorders>
                    <w:tl2br w:val="nil"/>
                    <w:tr2bl w:val="nil"/>
                  </w:tcBorders>
                  <w:shd w:val="clear" w:color="auto" w:fill="auto"/>
                  <w:vAlign w:val="center"/>
                </w:tcPr>
                <w:p w14:paraId="46266153">
                  <w:pPr>
                    <w:pStyle w:val="38"/>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优先引入</w:t>
                  </w:r>
                </w:p>
              </w:tc>
              <w:tc>
                <w:tcPr>
                  <w:tcW w:w="2685" w:type="pct"/>
                  <w:tcBorders>
                    <w:tl2br w:val="nil"/>
                    <w:tr2bl w:val="nil"/>
                  </w:tcBorders>
                  <w:shd w:val="clear" w:color="auto" w:fill="auto"/>
                  <w:vAlign w:val="center"/>
                </w:tcPr>
                <w:p w14:paraId="26385B83">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1、优先引入符合园区产业定位、排污负荷小、技术先进、清洁生产水平达到国内先进水平的项目。</w:t>
                  </w:r>
                </w:p>
                <w:p w14:paraId="051A0424">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2、优先引入《产业结构调整指导目录》鼓励类项目。</w:t>
                  </w:r>
                </w:p>
              </w:tc>
              <w:tc>
                <w:tcPr>
                  <w:tcW w:w="1154" w:type="pct"/>
                  <w:tcBorders>
                    <w:tl2br w:val="nil"/>
                    <w:tr2bl w:val="nil"/>
                  </w:tcBorders>
                  <w:shd w:val="clear" w:color="auto" w:fill="auto"/>
                  <w:vAlign w:val="center"/>
                </w:tcPr>
                <w:p w14:paraId="5539DFBD">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项目属于</w:t>
                  </w:r>
                  <w:r>
                    <w:rPr>
                      <w:rFonts w:hint="default" w:ascii="Times New Roman" w:hAnsi="Times New Roman" w:cs="Times New Roman" w:eastAsiaTheme="minorEastAsia"/>
                      <w:color w:val="auto"/>
                      <w:sz w:val="21"/>
                      <w:szCs w:val="21"/>
                      <w:lang w:eastAsia="zh-CN"/>
                    </w:rPr>
                    <w:t>C3399其他未列明金属制品制造</w:t>
                  </w:r>
                  <w:r>
                    <w:rPr>
                      <w:rFonts w:hint="default" w:ascii="Times New Roman" w:hAnsi="Times New Roman" w:eastAsia="宋体" w:cs="Times New Roman"/>
                      <w:b w:val="0"/>
                      <w:bCs w:val="0"/>
                      <w:color w:val="auto"/>
                      <w:sz w:val="21"/>
                      <w:szCs w:val="21"/>
                      <w:lang w:val="en-US" w:eastAsia="zh-CN"/>
                    </w:rPr>
                    <w:t>，排污负荷小，符合园区产业定位</w:t>
                  </w:r>
                </w:p>
              </w:tc>
              <w:tc>
                <w:tcPr>
                  <w:tcW w:w="594" w:type="pct"/>
                  <w:tcBorders>
                    <w:tl2br w:val="nil"/>
                    <w:tr2bl w:val="nil"/>
                  </w:tcBorders>
                  <w:shd w:val="clear" w:color="auto" w:fill="auto"/>
                  <w:vAlign w:val="center"/>
                </w:tcPr>
                <w:p w14:paraId="14FB4E4D">
                  <w:pPr>
                    <w:pStyle w:val="38"/>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相符</w:t>
                  </w:r>
                </w:p>
              </w:tc>
            </w:tr>
            <w:tr w14:paraId="26831A89">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trPr>
              <w:tc>
                <w:tcPr>
                  <w:tcW w:w="310" w:type="pct"/>
                  <w:vMerge w:val="continue"/>
                  <w:tcBorders>
                    <w:tl2br w:val="nil"/>
                    <w:tr2bl w:val="nil"/>
                  </w:tcBorders>
                  <w:shd w:val="clear" w:color="auto" w:fill="auto"/>
                  <w:vAlign w:val="center"/>
                </w:tcPr>
                <w:p w14:paraId="5E549913">
                  <w:pPr>
                    <w:pStyle w:val="38"/>
                    <w:snapToGrid w:val="0"/>
                    <w:jc w:val="center"/>
                    <w:rPr>
                      <w:rFonts w:hint="default" w:ascii="Times New Roman" w:hAnsi="Times New Roman" w:eastAsia="宋体" w:cs="Times New Roman"/>
                      <w:b w:val="0"/>
                      <w:bCs w:val="0"/>
                      <w:color w:val="auto"/>
                      <w:sz w:val="21"/>
                      <w:szCs w:val="21"/>
                      <w:lang w:val="en-US" w:eastAsia="zh-CN"/>
                    </w:rPr>
                  </w:pPr>
                </w:p>
              </w:tc>
              <w:tc>
                <w:tcPr>
                  <w:tcW w:w="255" w:type="pct"/>
                  <w:tcBorders>
                    <w:tl2br w:val="nil"/>
                    <w:tr2bl w:val="nil"/>
                  </w:tcBorders>
                  <w:shd w:val="clear" w:color="auto" w:fill="auto"/>
                  <w:vAlign w:val="center"/>
                </w:tcPr>
                <w:p w14:paraId="5C0E173B">
                  <w:pPr>
                    <w:pStyle w:val="38"/>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禁止引入</w:t>
                  </w:r>
                </w:p>
              </w:tc>
              <w:tc>
                <w:tcPr>
                  <w:tcW w:w="2685" w:type="pct"/>
                  <w:tcBorders>
                    <w:tl2br w:val="nil"/>
                    <w:tr2bl w:val="nil"/>
                  </w:tcBorders>
                  <w:shd w:val="clear" w:color="auto" w:fill="auto"/>
                  <w:vAlign w:val="center"/>
                </w:tcPr>
                <w:p w14:paraId="4592510A">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1、禁止引入《产业结构调整指导目录》中明确的淘汰类、禁止类项目，法律法规和相关政策明令禁止的项目；</w:t>
                  </w:r>
                </w:p>
                <w:p w14:paraId="5E4D7430">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2、禁止引入不符合《江苏省太湖水污染防治条例》、《长江经济带发展负面清单指南(试行)》、《长江经济带发展负面清单指南(试行)江苏省实施细则》的项目；</w:t>
                  </w:r>
                </w:p>
                <w:p w14:paraId="0E7CCF93">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3、禁止引入排放含重点重金属(铅、汞、镉、铬、砷)水污染物的项目；</w:t>
                  </w:r>
                </w:p>
                <w:p w14:paraId="31251D64">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4、禁止引入生产《环境保护综合名录(2021年版)》“高污染、高环境风险”产品的项目；</w:t>
                  </w:r>
                </w:p>
                <w:p w14:paraId="6B0229CA">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5、禁止引入纯电镀加工(仅进行电镀加工工段，项目部分工段涉及电镀工艺的除外)、纯铸造加工类型项目；</w:t>
                  </w:r>
                </w:p>
                <w:p w14:paraId="64441A09">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绿色涂料产业:禁止引入不符合《关于加强全省化工园区化工集中区外化工生产企业规范化管理的通知》(苏化治(2021)4号)及《常州市涂料行业综合整治提升实施方案》中“附件1涂料企业环保提升标准”的涂料项目。</w:t>
                  </w:r>
                </w:p>
              </w:tc>
              <w:tc>
                <w:tcPr>
                  <w:tcW w:w="1154" w:type="pct"/>
                  <w:tcBorders>
                    <w:tl2br w:val="nil"/>
                    <w:tr2bl w:val="nil"/>
                  </w:tcBorders>
                  <w:shd w:val="clear" w:color="auto" w:fill="auto"/>
                  <w:vAlign w:val="center"/>
                </w:tcPr>
                <w:p w14:paraId="31EED90B">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1、项目属于C3399其他未列明金属制品制造，不属于《产业结构调整指导目录》中明确的淘汰类、禁止类项目，法律法规和相关政策明令禁止的项目；</w:t>
                  </w:r>
                </w:p>
                <w:p w14:paraId="61CC82BA">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2、项目符合《江苏省太湖水污染防治条例》、《长江经济带发展负面清单指南(试行)》、《长江经济带发展负面清单指南(试行)江苏省实施细则》相关要求；</w:t>
                  </w:r>
                </w:p>
                <w:p w14:paraId="3A43A7E7">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3、项目不排放含重点重金属(铅、汞、镉、铬、砷)水污染物；</w:t>
                  </w:r>
                </w:p>
                <w:p w14:paraId="53A26F87">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4、项目产品不属于《环境保护综合名录(2021年版)》“高污染、高环境风险”产品；</w:t>
                  </w:r>
                </w:p>
                <w:p w14:paraId="7F747D18">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5、本项目不属于纯电镀加工、纯铸造加工类型项目；</w:t>
                  </w:r>
                </w:p>
                <w:p w14:paraId="52AF7107">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6、本项目不属于绿色涂料产业</w:t>
                  </w:r>
                </w:p>
                <w:p w14:paraId="4CE784D8">
                  <w:pPr>
                    <w:pStyle w:val="38"/>
                    <w:snapToGrid w:val="0"/>
                    <w:jc w:val="left"/>
                    <w:rPr>
                      <w:rFonts w:hint="default" w:ascii="Times New Roman" w:hAnsi="Times New Roman" w:eastAsia="宋体" w:cs="Times New Roman"/>
                      <w:color w:val="auto"/>
                      <w:lang w:val="en-US" w:eastAsia="zh-CN"/>
                    </w:rPr>
                  </w:pPr>
                </w:p>
              </w:tc>
              <w:tc>
                <w:tcPr>
                  <w:tcW w:w="594" w:type="pct"/>
                  <w:tcBorders>
                    <w:tl2br w:val="nil"/>
                    <w:tr2bl w:val="nil"/>
                  </w:tcBorders>
                  <w:shd w:val="clear" w:color="auto" w:fill="auto"/>
                  <w:vAlign w:val="center"/>
                </w:tcPr>
                <w:p w14:paraId="2432747F">
                  <w:pPr>
                    <w:pStyle w:val="38"/>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相符</w:t>
                  </w:r>
                </w:p>
              </w:tc>
            </w:tr>
            <w:tr w14:paraId="7DA5A32D">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trPr>
              <w:tc>
                <w:tcPr>
                  <w:tcW w:w="565" w:type="pct"/>
                  <w:gridSpan w:val="2"/>
                  <w:tcBorders>
                    <w:tl2br w:val="nil"/>
                    <w:tr2bl w:val="nil"/>
                  </w:tcBorders>
                  <w:shd w:val="clear" w:color="auto" w:fill="auto"/>
                  <w:vAlign w:val="center"/>
                </w:tcPr>
                <w:p w14:paraId="21661CE6">
                  <w:pPr>
                    <w:pStyle w:val="38"/>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空间布局约束</w:t>
                  </w:r>
                </w:p>
              </w:tc>
              <w:tc>
                <w:tcPr>
                  <w:tcW w:w="2685" w:type="pct"/>
                  <w:tcBorders>
                    <w:tl2br w:val="nil"/>
                    <w:tr2bl w:val="nil"/>
                  </w:tcBorders>
                  <w:shd w:val="clear" w:color="auto" w:fill="auto"/>
                  <w:vAlign w:val="center"/>
                </w:tcPr>
                <w:p w14:paraId="63BD5ABD">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1、禁止突破城镇开发边界和占用永久基本农田:</w:t>
                  </w:r>
                </w:p>
                <w:p w14:paraId="0D7E6ED0">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2、园区工业用地与居民点间设置不小于50m的空间过渡带。</w:t>
                  </w:r>
                </w:p>
              </w:tc>
              <w:tc>
                <w:tcPr>
                  <w:tcW w:w="1154" w:type="pct"/>
                  <w:tcBorders>
                    <w:tl2br w:val="nil"/>
                    <w:tr2bl w:val="nil"/>
                  </w:tcBorders>
                  <w:shd w:val="clear" w:color="auto" w:fill="auto"/>
                  <w:vAlign w:val="center"/>
                </w:tcPr>
                <w:p w14:paraId="4A271984">
                  <w:pPr>
                    <w:pStyle w:val="38"/>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项目用地为工业用地，周边300m范围不存在居民点。</w:t>
                  </w:r>
                </w:p>
              </w:tc>
              <w:tc>
                <w:tcPr>
                  <w:tcW w:w="594" w:type="pct"/>
                  <w:tcBorders>
                    <w:tl2br w:val="nil"/>
                    <w:tr2bl w:val="nil"/>
                  </w:tcBorders>
                  <w:shd w:val="clear" w:color="auto" w:fill="auto"/>
                  <w:vAlign w:val="center"/>
                </w:tcPr>
                <w:p w14:paraId="38E0B9AA">
                  <w:pPr>
                    <w:pStyle w:val="38"/>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相符</w:t>
                  </w:r>
                </w:p>
              </w:tc>
            </w:tr>
            <w:tr w14:paraId="54DBC9B3">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trPr>
              <w:tc>
                <w:tcPr>
                  <w:tcW w:w="310" w:type="pct"/>
                  <w:vMerge w:val="restart"/>
                  <w:tcBorders>
                    <w:tl2br w:val="nil"/>
                    <w:tr2bl w:val="nil"/>
                  </w:tcBorders>
                  <w:shd w:val="clear" w:color="auto" w:fill="auto"/>
                  <w:vAlign w:val="center"/>
                </w:tcPr>
                <w:p w14:paraId="3A8F1882">
                  <w:pPr>
                    <w:pStyle w:val="38"/>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污染物排放管控</w:t>
                  </w:r>
                </w:p>
              </w:tc>
              <w:tc>
                <w:tcPr>
                  <w:tcW w:w="255" w:type="pct"/>
                  <w:tcBorders>
                    <w:tl2br w:val="nil"/>
                    <w:tr2bl w:val="nil"/>
                  </w:tcBorders>
                  <w:shd w:val="clear" w:color="auto" w:fill="auto"/>
                  <w:vAlign w:val="center"/>
                </w:tcPr>
                <w:p w14:paraId="438CD6DA">
                  <w:pPr>
                    <w:pStyle w:val="38"/>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总体要求</w:t>
                  </w:r>
                </w:p>
              </w:tc>
              <w:tc>
                <w:tcPr>
                  <w:tcW w:w="2685" w:type="pct"/>
                  <w:tcBorders>
                    <w:tl2br w:val="nil"/>
                    <w:tr2bl w:val="nil"/>
                  </w:tcBorders>
                  <w:shd w:val="clear" w:color="auto" w:fill="auto"/>
                  <w:vAlign w:val="center"/>
                </w:tcPr>
                <w:p w14:paraId="7A2B2A90">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1、排放污染物必须达到国家和地方污染物排放标准;</w:t>
                  </w:r>
                </w:p>
                <w:p w14:paraId="531695E0">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2、建设项目大气污染物颗粒物、二氧化硫、氮氧化物、VOCs作为总量控制因子，根据省、市相关要求，进行污染物总量2倍减量替代:</w:t>
                  </w:r>
                </w:p>
                <w:p w14:paraId="5D4E176E">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现有区外涂料企业入区排放的VOCs总量在涂料行业内平衡，新建涂料企业入区排放的VOCs总量优先在涂料行业内平衡，其次考虑在区域内平衡。同时，考虑《关于印发&lt;常州市涂料行业综合整治提升实施方案&gt;的通知》(常危污乱散低办(2022)2号)要求，实现全市涂料行业VOCs排放量比2020年削减20%以上目标，立足解决现有涂料企业存量问题。</w:t>
                  </w:r>
                </w:p>
              </w:tc>
              <w:tc>
                <w:tcPr>
                  <w:tcW w:w="1154" w:type="pct"/>
                  <w:tcBorders>
                    <w:tl2br w:val="nil"/>
                    <w:tr2bl w:val="nil"/>
                  </w:tcBorders>
                  <w:shd w:val="clear" w:color="auto" w:fill="auto"/>
                  <w:vAlign w:val="center"/>
                </w:tcPr>
                <w:p w14:paraId="6D1456D5">
                  <w:pPr>
                    <w:pStyle w:val="38"/>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w:t>
                  </w:r>
                  <w:r>
                    <w:rPr>
                      <w:rFonts w:hint="default" w:ascii="Times New Roman" w:hAnsi="Times New Roman" w:eastAsia="宋体" w:cs="Times New Roman"/>
                      <w:b w:val="0"/>
                      <w:bCs w:val="0"/>
                      <w:color w:val="auto"/>
                      <w:sz w:val="21"/>
                      <w:szCs w:val="21"/>
                      <w:lang w:val="en-US" w:eastAsia="zh-CN"/>
                    </w:rPr>
                    <w:t>排放污染物达到国家和地方污染物排放标准；</w:t>
                  </w:r>
                </w:p>
                <w:p w14:paraId="5D37206B">
                  <w:pPr>
                    <w:pStyle w:val="38"/>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lang w:val="en-US" w:eastAsia="zh-CN"/>
                    </w:rPr>
                    <w:t>污水处理站有少量</w:t>
                  </w:r>
                  <w:r>
                    <w:rPr>
                      <w:rFonts w:hint="default" w:ascii="Times New Roman" w:hAnsi="Times New Roman" w:eastAsia="宋体" w:cs="Times New Roman"/>
                      <w:bCs/>
                      <w:color w:val="auto"/>
                      <w:spacing w:val="-10"/>
                      <w:kern w:val="2"/>
                      <w:sz w:val="21"/>
                      <w:szCs w:val="21"/>
                      <w:highlight w:val="none"/>
                      <w:lang w:val="en-US" w:eastAsia="zh-CN" w:bidi="ar-SA"/>
                    </w:rPr>
                    <w:t>NH</w:t>
                  </w:r>
                  <w:r>
                    <w:rPr>
                      <w:rFonts w:hint="default" w:ascii="Times New Roman" w:hAnsi="Times New Roman" w:eastAsia="宋体" w:cs="Times New Roman"/>
                      <w:bCs/>
                      <w:color w:val="auto"/>
                      <w:spacing w:val="-10"/>
                      <w:kern w:val="2"/>
                      <w:sz w:val="21"/>
                      <w:szCs w:val="21"/>
                      <w:highlight w:val="none"/>
                      <w:vertAlign w:val="subscript"/>
                      <w:lang w:val="en-US" w:eastAsia="zh-CN" w:bidi="ar-SA"/>
                    </w:rPr>
                    <w:t>3</w:t>
                  </w:r>
                  <w:r>
                    <w:rPr>
                      <w:rFonts w:hint="default" w:ascii="Times New Roman" w:hAnsi="Times New Roman" w:cs="Times New Roman"/>
                      <w:bCs/>
                      <w:color w:val="auto"/>
                      <w:spacing w:val="-10"/>
                      <w:kern w:val="2"/>
                      <w:sz w:val="21"/>
                      <w:szCs w:val="21"/>
                      <w:highlight w:val="none"/>
                      <w:lang w:val="en-US" w:eastAsia="zh-CN" w:bidi="ar-SA"/>
                    </w:rPr>
                    <w:t>、</w:t>
                  </w:r>
                  <w:r>
                    <w:rPr>
                      <w:rFonts w:hint="default" w:ascii="Times New Roman" w:hAnsi="Times New Roman" w:eastAsia="宋体" w:cs="Times New Roman"/>
                      <w:bCs/>
                      <w:color w:val="auto"/>
                      <w:spacing w:val="-10"/>
                      <w:kern w:val="2"/>
                      <w:sz w:val="21"/>
                      <w:szCs w:val="21"/>
                      <w:highlight w:val="none"/>
                      <w:lang w:val="en-US" w:eastAsia="zh-CN" w:bidi="ar-SA"/>
                    </w:rPr>
                    <w:t>H</w:t>
                  </w:r>
                  <w:r>
                    <w:rPr>
                      <w:rFonts w:hint="default" w:ascii="Times New Roman" w:hAnsi="Times New Roman" w:eastAsia="宋体" w:cs="Times New Roman"/>
                      <w:bCs/>
                      <w:color w:val="auto"/>
                      <w:spacing w:val="-10"/>
                      <w:kern w:val="2"/>
                      <w:sz w:val="21"/>
                      <w:szCs w:val="21"/>
                      <w:highlight w:val="none"/>
                      <w:vertAlign w:val="subscript"/>
                      <w:lang w:val="en-US" w:eastAsia="zh-CN" w:bidi="ar-SA"/>
                    </w:rPr>
                    <w:t>2</w:t>
                  </w:r>
                  <w:r>
                    <w:rPr>
                      <w:rFonts w:hint="default" w:ascii="Times New Roman" w:hAnsi="Times New Roman" w:eastAsia="宋体" w:cs="Times New Roman"/>
                      <w:bCs/>
                      <w:color w:val="auto"/>
                      <w:spacing w:val="-10"/>
                      <w:kern w:val="2"/>
                      <w:sz w:val="21"/>
                      <w:szCs w:val="21"/>
                      <w:highlight w:val="none"/>
                      <w:lang w:val="en-US" w:eastAsia="zh-CN" w:bidi="ar-SA"/>
                    </w:rPr>
                    <w:t>S</w:t>
                  </w:r>
                  <w:r>
                    <w:rPr>
                      <w:rFonts w:hint="default" w:ascii="Times New Roman" w:hAnsi="Times New Roman" w:eastAsia="宋体" w:cs="Times New Roman"/>
                      <w:color w:val="auto"/>
                      <w:sz w:val="21"/>
                      <w:szCs w:val="21"/>
                      <w:lang w:val="en-US" w:eastAsia="zh-CN"/>
                    </w:rPr>
                    <w:t>产生，不属于</w:t>
                  </w:r>
                  <w:r>
                    <w:rPr>
                      <w:rFonts w:hint="default" w:ascii="Times New Roman" w:hAnsi="Times New Roman" w:eastAsia="宋体" w:cs="Times New Roman"/>
                      <w:b w:val="0"/>
                      <w:bCs w:val="0"/>
                      <w:color w:val="auto"/>
                      <w:sz w:val="21"/>
                      <w:szCs w:val="21"/>
                      <w:lang w:val="en-US" w:eastAsia="zh-CN"/>
                    </w:rPr>
                    <w:t>总量控制因子；</w:t>
                  </w:r>
                </w:p>
              </w:tc>
              <w:tc>
                <w:tcPr>
                  <w:tcW w:w="594" w:type="pct"/>
                  <w:tcBorders>
                    <w:tl2br w:val="nil"/>
                    <w:tr2bl w:val="nil"/>
                  </w:tcBorders>
                  <w:shd w:val="clear" w:color="auto" w:fill="auto"/>
                  <w:vAlign w:val="center"/>
                </w:tcPr>
                <w:p w14:paraId="19F8662B">
                  <w:pPr>
                    <w:pStyle w:val="38"/>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相符</w:t>
                  </w:r>
                </w:p>
              </w:tc>
            </w:tr>
            <w:tr w14:paraId="75294D9A">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trPr>
              <w:tc>
                <w:tcPr>
                  <w:tcW w:w="310" w:type="pct"/>
                  <w:vMerge w:val="continue"/>
                  <w:tcBorders>
                    <w:tl2br w:val="nil"/>
                    <w:tr2bl w:val="nil"/>
                  </w:tcBorders>
                  <w:shd w:val="clear" w:color="auto" w:fill="auto"/>
                  <w:vAlign w:val="center"/>
                </w:tcPr>
                <w:p w14:paraId="391C2345">
                  <w:pPr>
                    <w:pStyle w:val="38"/>
                    <w:snapToGrid w:val="0"/>
                    <w:jc w:val="center"/>
                    <w:rPr>
                      <w:rFonts w:hint="default" w:ascii="Times New Roman" w:hAnsi="Times New Roman" w:eastAsia="宋体" w:cs="Times New Roman"/>
                      <w:b w:val="0"/>
                      <w:bCs w:val="0"/>
                      <w:color w:val="auto"/>
                      <w:sz w:val="21"/>
                      <w:szCs w:val="21"/>
                      <w:lang w:val="en-US" w:eastAsia="zh-CN"/>
                    </w:rPr>
                  </w:pPr>
                </w:p>
              </w:tc>
              <w:tc>
                <w:tcPr>
                  <w:tcW w:w="255" w:type="pct"/>
                  <w:tcBorders>
                    <w:tl2br w:val="nil"/>
                    <w:tr2bl w:val="nil"/>
                  </w:tcBorders>
                  <w:shd w:val="clear" w:color="auto" w:fill="auto"/>
                  <w:vAlign w:val="center"/>
                </w:tcPr>
                <w:p w14:paraId="382060B0">
                  <w:pPr>
                    <w:pStyle w:val="38"/>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环境质量</w:t>
                  </w:r>
                </w:p>
              </w:tc>
              <w:tc>
                <w:tcPr>
                  <w:tcW w:w="2685" w:type="pct"/>
                  <w:tcBorders>
                    <w:tl2br w:val="nil"/>
                    <w:tr2bl w:val="nil"/>
                  </w:tcBorders>
                  <w:shd w:val="clear" w:color="auto" w:fill="auto"/>
                  <w:vAlign w:val="center"/>
                </w:tcPr>
                <w:p w14:paraId="0FA8D00C">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1、到2025年，PM</w:t>
                  </w:r>
                  <w:r>
                    <w:rPr>
                      <w:rFonts w:hint="default" w:ascii="Times New Roman" w:hAnsi="Times New Roman" w:eastAsia="宋体" w:cs="Times New Roman"/>
                      <w:b w:val="0"/>
                      <w:bCs w:val="0"/>
                      <w:color w:val="auto"/>
                      <w:sz w:val="21"/>
                      <w:szCs w:val="21"/>
                      <w:vertAlign w:val="subscript"/>
                      <w:lang w:val="en-US" w:eastAsia="zh-CN"/>
                    </w:rPr>
                    <w:t>2.5</w:t>
                  </w:r>
                  <w:r>
                    <w:rPr>
                      <w:rFonts w:hint="default" w:ascii="Times New Roman" w:hAnsi="Times New Roman" w:eastAsia="宋体" w:cs="Times New Roman"/>
                      <w:b w:val="0"/>
                      <w:bCs w:val="0"/>
                      <w:color w:val="auto"/>
                      <w:sz w:val="21"/>
                      <w:szCs w:val="21"/>
                      <w:lang w:val="en-US" w:eastAsia="zh-CN"/>
                    </w:rPr>
                    <w:t>、臭氧、二氧化氮年均值达到考核要求;</w:t>
                  </w:r>
                </w:p>
                <w:p w14:paraId="66F22AC7">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2、通济河达到《地表水环境质量标准》(GB3838-2002)</w:t>
                  </w:r>
                  <w:r>
                    <w:rPr>
                      <w:rFonts w:hint="default" w:ascii="Times New Roman" w:hAnsi="Times New Roman" w:eastAsia="宋体" w:cs="Times New Roman"/>
                      <w:b w:val="0"/>
                      <w:bCs w:val="0"/>
                      <w:color w:val="auto"/>
                      <w:sz w:val="21"/>
                      <w:szCs w:val="21"/>
                      <w:lang w:val="en-US" w:eastAsia="zh-CN"/>
                    </w:rPr>
                    <w:fldChar w:fldCharType="begin"/>
                  </w:r>
                  <w:r>
                    <w:rPr>
                      <w:rFonts w:hint="default" w:ascii="Times New Roman" w:hAnsi="Times New Roman" w:eastAsia="宋体" w:cs="Times New Roman"/>
                      <w:b w:val="0"/>
                      <w:bCs w:val="0"/>
                      <w:color w:val="auto"/>
                      <w:sz w:val="21"/>
                      <w:szCs w:val="21"/>
                      <w:lang w:val="en-US" w:eastAsia="zh-CN"/>
                    </w:rPr>
                    <w:instrText xml:space="preserve"> = 4 \* ROMAN \* MERGEFORMAT </w:instrText>
                  </w:r>
                  <w:r>
                    <w:rPr>
                      <w:rFonts w:hint="default" w:ascii="Times New Roman" w:hAnsi="Times New Roman" w:eastAsia="宋体" w:cs="Times New Roman"/>
                      <w:b w:val="0"/>
                      <w:bCs w:val="0"/>
                      <w:color w:val="auto"/>
                      <w:sz w:val="21"/>
                      <w:szCs w:val="21"/>
                      <w:lang w:val="en-US" w:eastAsia="zh-CN"/>
                    </w:rPr>
                    <w:fldChar w:fldCharType="separate"/>
                  </w:r>
                  <w:r>
                    <w:rPr>
                      <w:rFonts w:hint="default" w:ascii="Times New Roman" w:hAnsi="Times New Roman" w:cs="Times New Roman"/>
                      <w:color w:val="auto"/>
                      <w:sz w:val="21"/>
                      <w:szCs w:val="21"/>
                    </w:rPr>
                    <w:t>IV</w:t>
                  </w:r>
                  <w:r>
                    <w:rPr>
                      <w:rFonts w:hint="default" w:ascii="Times New Roman" w:hAnsi="Times New Roman" w:eastAsia="宋体" w:cs="Times New Roman"/>
                      <w:b w:val="0"/>
                      <w:bCs w:val="0"/>
                      <w:color w:val="auto"/>
                      <w:sz w:val="21"/>
                      <w:szCs w:val="21"/>
                      <w:lang w:val="en-US" w:eastAsia="zh-CN"/>
                    </w:rPr>
                    <w:fldChar w:fldCharType="end"/>
                  </w:r>
                  <w:r>
                    <w:rPr>
                      <w:rFonts w:hint="default" w:ascii="Times New Roman" w:hAnsi="Times New Roman" w:eastAsia="宋体" w:cs="Times New Roman"/>
                      <w:b w:val="0"/>
                      <w:bCs w:val="0"/>
                      <w:color w:val="auto"/>
                      <w:sz w:val="21"/>
                      <w:szCs w:val="21"/>
                      <w:lang w:val="en-US" w:eastAsia="zh-CN"/>
                    </w:rPr>
                    <w:t>类标准:</w:t>
                  </w:r>
                </w:p>
                <w:p w14:paraId="4F82257E">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3、土壤环境质量满足《土壤环境质量建设用地土壤污染风险管控标准(试行)》(GB36600-2018):</w:t>
                  </w:r>
                </w:p>
                <w:p w14:paraId="03A994AD">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4、声环境质量满足《声环境质量标准》(GB3096-2008)。</w:t>
                  </w:r>
                </w:p>
              </w:tc>
              <w:tc>
                <w:tcPr>
                  <w:tcW w:w="1154" w:type="pct"/>
                  <w:tcBorders>
                    <w:tl2br w:val="nil"/>
                    <w:tr2bl w:val="nil"/>
                  </w:tcBorders>
                  <w:shd w:val="clear" w:color="auto" w:fill="auto"/>
                  <w:vAlign w:val="center"/>
                </w:tcPr>
                <w:p w14:paraId="33B29195">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 w:lineRule="atLeast"/>
                    <w:ind w:left="0" w:right="0" w:firstLine="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常</w:t>
                  </w:r>
                  <w:r>
                    <w:rPr>
                      <w:rFonts w:hint="default" w:ascii="Times New Roman" w:hAnsi="Times New Roman" w:eastAsia="宋体" w:cs="Times New Roman"/>
                      <w:b w:val="0"/>
                      <w:bCs w:val="0"/>
                      <w:color w:val="auto"/>
                      <w:kern w:val="44"/>
                      <w:sz w:val="21"/>
                      <w:szCs w:val="21"/>
                      <w:lang w:val="en-US" w:eastAsia="zh-CN" w:bidi="ar-SA"/>
                    </w:rPr>
                    <w:t>州市已出台《常州市空气质量持续改善行动计划实施方案》（常政发〔2024〕51号），</w:t>
                  </w:r>
                  <w:r>
                    <w:rPr>
                      <w:rFonts w:hint="default" w:ascii="Times New Roman" w:hAnsi="Times New Roman" w:eastAsia="宋体" w:cs="Times New Roman"/>
                      <w:b w:val="0"/>
                      <w:bCs w:val="0"/>
                      <w:color w:val="auto"/>
                      <w:sz w:val="21"/>
                      <w:szCs w:val="21"/>
                      <w:lang w:val="en-US" w:eastAsia="zh-CN"/>
                    </w:rPr>
                    <w:t>常</w:t>
                  </w:r>
                  <w:r>
                    <w:rPr>
                      <w:rFonts w:hint="default" w:ascii="Times New Roman" w:hAnsi="Times New Roman" w:eastAsia="宋体" w:cs="Times New Roman"/>
                      <w:b w:val="0"/>
                      <w:bCs w:val="0"/>
                      <w:color w:val="auto"/>
                      <w:kern w:val="44"/>
                      <w:sz w:val="21"/>
                      <w:szCs w:val="21"/>
                      <w:lang w:val="en-US" w:eastAsia="zh-CN" w:bidi="ar-SA"/>
                    </w:rPr>
                    <w:t>州市</w:t>
                  </w:r>
                  <w:r>
                    <w:rPr>
                      <w:rFonts w:hint="default" w:ascii="Times New Roman" w:hAnsi="Times New Roman" w:eastAsia="宋体" w:cs="Times New Roman"/>
                      <w:b w:val="0"/>
                      <w:bCs w:val="0"/>
                      <w:color w:val="auto"/>
                      <w:sz w:val="21"/>
                      <w:szCs w:val="21"/>
                      <w:highlight w:val="none"/>
                    </w:rPr>
                    <w:t>环境空气质量将得到持续改善</w:t>
                  </w:r>
                  <w:r>
                    <w:rPr>
                      <w:rFonts w:hint="default" w:ascii="Times New Roman" w:hAnsi="Times New Roman" w:eastAsia="宋体" w:cs="Times New Roman"/>
                      <w:b w:val="0"/>
                      <w:bCs w:val="0"/>
                      <w:color w:val="auto"/>
                      <w:kern w:val="44"/>
                      <w:sz w:val="21"/>
                      <w:szCs w:val="21"/>
                      <w:lang w:val="en-US" w:eastAsia="zh-CN" w:bidi="ar-SA"/>
                    </w:rPr>
                    <w:t>，</w:t>
                  </w:r>
                  <w:r>
                    <w:rPr>
                      <w:rFonts w:hint="default" w:ascii="Times New Roman" w:hAnsi="Times New Roman" w:eastAsia="宋体" w:cs="Times New Roman"/>
                      <w:b w:val="0"/>
                      <w:bCs w:val="0"/>
                      <w:color w:val="auto"/>
                      <w:sz w:val="21"/>
                      <w:szCs w:val="21"/>
                      <w:lang w:val="en-US" w:eastAsia="zh-CN"/>
                    </w:rPr>
                    <w:t>到2025年，PM</w:t>
                  </w:r>
                  <w:r>
                    <w:rPr>
                      <w:rFonts w:hint="default" w:ascii="Times New Roman" w:hAnsi="Times New Roman" w:eastAsia="宋体" w:cs="Times New Roman"/>
                      <w:b w:val="0"/>
                      <w:bCs w:val="0"/>
                      <w:color w:val="auto"/>
                      <w:sz w:val="21"/>
                      <w:szCs w:val="21"/>
                      <w:vertAlign w:val="subscript"/>
                      <w:lang w:val="en-US" w:eastAsia="zh-CN"/>
                    </w:rPr>
                    <w:t>2.5</w:t>
                  </w:r>
                  <w:r>
                    <w:rPr>
                      <w:rFonts w:hint="default" w:ascii="Times New Roman" w:hAnsi="Times New Roman" w:eastAsia="宋体" w:cs="Times New Roman"/>
                      <w:b w:val="0"/>
                      <w:bCs w:val="0"/>
                      <w:color w:val="auto"/>
                      <w:sz w:val="21"/>
                      <w:szCs w:val="21"/>
                      <w:lang w:val="en-US" w:eastAsia="zh-CN"/>
                    </w:rPr>
                    <w:t>、臭氧、二氧化氮年均值可达到考核要求；根据现状监测报告，项目受纳水体通济河能达到《地表水环境质量标准》(GB3838-2002)</w:t>
                  </w:r>
                  <w:r>
                    <w:rPr>
                      <w:rFonts w:hint="default" w:ascii="Times New Roman" w:hAnsi="Times New Roman" w:eastAsia="宋体" w:cs="Times New Roman"/>
                      <w:b w:val="0"/>
                      <w:bCs w:val="0"/>
                      <w:color w:val="auto"/>
                      <w:sz w:val="21"/>
                      <w:szCs w:val="21"/>
                      <w:lang w:val="en-US" w:eastAsia="zh-CN"/>
                    </w:rPr>
                    <w:fldChar w:fldCharType="begin"/>
                  </w:r>
                  <w:r>
                    <w:rPr>
                      <w:rFonts w:hint="default" w:ascii="Times New Roman" w:hAnsi="Times New Roman" w:eastAsia="宋体" w:cs="Times New Roman"/>
                      <w:b w:val="0"/>
                      <w:bCs w:val="0"/>
                      <w:color w:val="auto"/>
                      <w:sz w:val="21"/>
                      <w:szCs w:val="21"/>
                      <w:lang w:val="en-US" w:eastAsia="zh-CN"/>
                    </w:rPr>
                    <w:instrText xml:space="preserve"> = 4 \* ROMAN \* MERGEFORMAT </w:instrText>
                  </w:r>
                  <w:r>
                    <w:rPr>
                      <w:rFonts w:hint="default" w:ascii="Times New Roman" w:hAnsi="Times New Roman" w:eastAsia="宋体" w:cs="Times New Roman"/>
                      <w:b w:val="0"/>
                      <w:bCs w:val="0"/>
                      <w:color w:val="auto"/>
                      <w:sz w:val="21"/>
                      <w:szCs w:val="21"/>
                      <w:lang w:val="en-US" w:eastAsia="zh-CN"/>
                    </w:rPr>
                    <w:fldChar w:fldCharType="separate"/>
                  </w:r>
                  <w:r>
                    <w:rPr>
                      <w:rFonts w:hint="default" w:ascii="Times New Roman" w:hAnsi="Times New Roman" w:cs="Times New Roman"/>
                      <w:color w:val="auto"/>
                      <w:sz w:val="21"/>
                      <w:szCs w:val="21"/>
                    </w:rPr>
                    <w:t>IV</w:t>
                  </w:r>
                  <w:r>
                    <w:rPr>
                      <w:rFonts w:hint="default" w:ascii="Times New Roman" w:hAnsi="Times New Roman" w:eastAsia="宋体" w:cs="Times New Roman"/>
                      <w:b w:val="0"/>
                      <w:bCs w:val="0"/>
                      <w:color w:val="auto"/>
                      <w:sz w:val="21"/>
                      <w:szCs w:val="21"/>
                      <w:lang w:val="en-US" w:eastAsia="zh-CN"/>
                    </w:rPr>
                    <w:fldChar w:fldCharType="end"/>
                  </w:r>
                  <w:r>
                    <w:rPr>
                      <w:rFonts w:hint="default" w:ascii="Times New Roman" w:hAnsi="Times New Roman" w:eastAsia="宋体" w:cs="Times New Roman"/>
                      <w:b w:val="0"/>
                      <w:bCs w:val="0"/>
                      <w:color w:val="auto"/>
                      <w:sz w:val="21"/>
                      <w:szCs w:val="21"/>
                      <w:lang w:val="en-US" w:eastAsia="zh-CN"/>
                    </w:rPr>
                    <w:t>类标准；项目声环境质量满足《声环境质量标准》(GB3096-2008)3类区标准</w:t>
                  </w:r>
                </w:p>
              </w:tc>
              <w:tc>
                <w:tcPr>
                  <w:tcW w:w="594" w:type="pct"/>
                  <w:tcBorders>
                    <w:tl2br w:val="nil"/>
                    <w:tr2bl w:val="nil"/>
                  </w:tcBorders>
                  <w:shd w:val="clear" w:color="auto" w:fill="auto"/>
                  <w:vAlign w:val="center"/>
                </w:tcPr>
                <w:p w14:paraId="2B76DF2F">
                  <w:pPr>
                    <w:pStyle w:val="38"/>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相符</w:t>
                  </w:r>
                </w:p>
              </w:tc>
            </w:tr>
            <w:tr w14:paraId="71DD0422">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trPr>
              <w:tc>
                <w:tcPr>
                  <w:tcW w:w="310" w:type="pct"/>
                  <w:vMerge w:val="continue"/>
                  <w:tcBorders>
                    <w:tl2br w:val="nil"/>
                    <w:tr2bl w:val="nil"/>
                  </w:tcBorders>
                  <w:shd w:val="clear" w:color="auto" w:fill="auto"/>
                  <w:vAlign w:val="center"/>
                </w:tcPr>
                <w:p w14:paraId="2F6078E3">
                  <w:pPr>
                    <w:pStyle w:val="38"/>
                    <w:snapToGrid w:val="0"/>
                    <w:jc w:val="center"/>
                    <w:rPr>
                      <w:rFonts w:hint="default" w:ascii="Times New Roman" w:hAnsi="Times New Roman" w:eastAsia="宋体" w:cs="Times New Roman"/>
                      <w:b w:val="0"/>
                      <w:bCs w:val="0"/>
                      <w:color w:val="auto"/>
                      <w:sz w:val="21"/>
                      <w:szCs w:val="21"/>
                      <w:lang w:val="en-US" w:eastAsia="zh-CN"/>
                    </w:rPr>
                  </w:pPr>
                </w:p>
              </w:tc>
              <w:tc>
                <w:tcPr>
                  <w:tcW w:w="255" w:type="pct"/>
                  <w:tcBorders>
                    <w:tl2br w:val="nil"/>
                    <w:tr2bl w:val="nil"/>
                  </w:tcBorders>
                  <w:shd w:val="clear" w:color="auto" w:fill="auto"/>
                  <w:vAlign w:val="center"/>
                </w:tcPr>
                <w:p w14:paraId="0D454FB3">
                  <w:pPr>
                    <w:pStyle w:val="38"/>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排污总量</w:t>
                  </w:r>
                </w:p>
              </w:tc>
              <w:tc>
                <w:tcPr>
                  <w:tcW w:w="2685" w:type="pct"/>
                  <w:tcBorders>
                    <w:tl2br w:val="nil"/>
                    <w:tr2bl w:val="nil"/>
                  </w:tcBorders>
                  <w:shd w:val="clear" w:color="auto" w:fill="auto"/>
                  <w:vAlign w:val="center"/>
                </w:tcPr>
                <w:p w14:paraId="1A9BADC8">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1、废气污染物规划末期总量:SO</w:t>
                  </w:r>
                  <w:r>
                    <w:rPr>
                      <w:rFonts w:hint="default" w:ascii="Times New Roman" w:hAnsi="Times New Roman" w:eastAsia="宋体" w:cs="Times New Roman"/>
                      <w:b w:val="0"/>
                      <w:bCs w:val="0"/>
                      <w:color w:val="auto"/>
                      <w:sz w:val="21"/>
                      <w:szCs w:val="21"/>
                      <w:vertAlign w:val="subscript"/>
                      <w:lang w:val="en-US" w:eastAsia="zh-CN"/>
                    </w:rPr>
                    <w:t>2</w:t>
                  </w:r>
                  <w:r>
                    <w:rPr>
                      <w:rFonts w:hint="default" w:ascii="Times New Roman" w:hAnsi="Times New Roman" w:eastAsia="宋体" w:cs="Times New Roman"/>
                      <w:b w:val="0"/>
                      <w:bCs w:val="0"/>
                      <w:color w:val="auto"/>
                      <w:sz w:val="21"/>
                      <w:szCs w:val="21"/>
                      <w:lang w:val="en-US" w:eastAsia="zh-CN"/>
                    </w:rPr>
                    <w:t>16.14t/a、NO</w:t>
                  </w:r>
                  <w:r>
                    <w:rPr>
                      <w:rFonts w:hint="default" w:ascii="Times New Roman" w:hAnsi="Times New Roman" w:eastAsia="宋体" w:cs="Times New Roman"/>
                      <w:b w:val="0"/>
                      <w:bCs w:val="0"/>
                      <w:color w:val="auto"/>
                      <w:sz w:val="21"/>
                      <w:szCs w:val="21"/>
                      <w:vertAlign w:val="subscript"/>
                      <w:lang w:val="en-US" w:eastAsia="zh-CN"/>
                    </w:rPr>
                    <w:t>x</w:t>
                  </w:r>
                  <w:r>
                    <w:rPr>
                      <w:rFonts w:hint="default" w:ascii="Times New Roman" w:hAnsi="Times New Roman" w:eastAsia="宋体" w:cs="Times New Roman"/>
                      <w:b w:val="0"/>
                      <w:bCs w:val="0"/>
                      <w:color w:val="auto"/>
                      <w:sz w:val="21"/>
                      <w:szCs w:val="21"/>
                      <w:lang w:val="en-US" w:eastAsia="zh-CN"/>
                    </w:rPr>
                    <w:t>105.65t/a、颗粒物42.92t/a、VOCs95.99t/a;废水污染物规划末期总量:废水量514.91万t/a、化学需氧量154.47t/a、氨氮4.96t/a、总氮39.65t/a、总磷0.99t/a。</w:t>
                  </w:r>
                </w:p>
                <w:p w14:paraId="20B9814B">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2、根据区域环境质量改善目标及实际，及时调整规划末期大气污染物总量控制指标。</w:t>
                  </w:r>
                </w:p>
              </w:tc>
              <w:tc>
                <w:tcPr>
                  <w:tcW w:w="1154" w:type="pct"/>
                  <w:tcBorders>
                    <w:tl2br w:val="nil"/>
                    <w:tr2bl w:val="nil"/>
                  </w:tcBorders>
                  <w:shd w:val="clear" w:color="auto" w:fill="auto"/>
                  <w:vAlign w:val="center"/>
                </w:tcPr>
                <w:p w14:paraId="6B1FE2D4">
                  <w:pPr>
                    <w:pStyle w:val="38"/>
                    <w:snapToGrid w:val="0"/>
                    <w:jc w:val="center"/>
                    <w:rPr>
                      <w:rFonts w:hint="default" w:ascii="Times New Roman" w:hAnsi="Times New Roman" w:cs="Times New Roman" w:eastAsiaTheme="minorEastAsia"/>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w:t>
                  </w:r>
                  <w:r>
                    <w:rPr>
                      <w:rFonts w:hint="default" w:ascii="Times New Roman" w:hAnsi="Times New Roman" w:cs="Times New Roman" w:eastAsiaTheme="minorEastAsia"/>
                      <w:color w:val="auto"/>
                      <w:sz w:val="21"/>
                      <w:szCs w:val="21"/>
                    </w:rPr>
                    <w:t>生活污水</w:t>
                  </w:r>
                  <w:r>
                    <w:rPr>
                      <w:rFonts w:hint="default" w:ascii="Times New Roman" w:hAnsi="Times New Roman" w:cs="Times New Roman" w:eastAsiaTheme="minorEastAsia"/>
                      <w:color w:val="auto"/>
                      <w:sz w:val="21"/>
                      <w:szCs w:val="21"/>
                      <w:lang w:val="en-US" w:eastAsia="zh-CN"/>
                    </w:rPr>
                    <w:t>接管至</w:t>
                  </w:r>
                  <w:r>
                    <w:rPr>
                      <w:rFonts w:hint="default" w:ascii="Times New Roman" w:hAnsi="Times New Roman" w:cs="Times New Roman" w:eastAsiaTheme="minorEastAsia"/>
                      <w:b w:val="0"/>
                      <w:bCs w:val="0"/>
                      <w:color w:val="auto"/>
                      <w:sz w:val="21"/>
                      <w:szCs w:val="21"/>
                    </w:rPr>
                    <w:t>溪城污水处理公司集中处理</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总量在</w:t>
                  </w:r>
                  <w:r>
                    <w:rPr>
                      <w:rFonts w:hint="default" w:ascii="Times New Roman" w:hAnsi="Times New Roman" w:cs="Times New Roman" w:eastAsiaTheme="minorEastAsia"/>
                      <w:b w:val="0"/>
                      <w:bCs w:val="0"/>
                      <w:color w:val="auto"/>
                      <w:sz w:val="21"/>
                      <w:szCs w:val="21"/>
                    </w:rPr>
                    <w:t>溪城污水处理公司</w:t>
                  </w:r>
                  <w:r>
                    <w:rPr>
                      <w:rFonts w:hint="default" w:ascii="Times New Roman" w:hAnsi="Times New Roman" w:cs="Times New Roman" w:eastAsiaTheme="minorEastAsia"/>
                      <w:b w:val="0"/>
                      <w:bCs w:val="0"/>
                      <w:color w:val="auto"/>
                      <w:sz w:val="21"/>
                      <w:szCs w:val="21"/>
                      <w:lang w:val="en-US" w:eastAsia="zh-CN"/>
                    </w:rPr>
                    <w:t>平衡</w:t>
                  </w:r>
                  <w:r>
                    <w:rPr>
                      <w:rFonts w:hint="default" w:ascii="Times New Roman" w:hAnsi="Times New Roman" w:cs="Times New Roman"/>
                      <w:color w:val="auto"/>
                      <w:lang w:eastAsia="zh-CN"/>
                    </w:rPr>
                    <w:t>，</w:t>
                  </w:r>
                  <w:r>
                    <w:rPr>
                      <w:rFonts w:hint="default" w:ascii="Times New Roman" w:hAnsi="Times New Roman" w:eastAsia="宋体" w:cs="Times New Roman"/>
                      <w:color w:val="auto"/>
                      <w:sz w:val="21"/>
                      <w:szCs w:val="21"/>
                      <w:lang w:val="en-US" w:eastAsia="zh-CN"/>
                    </w:rPr>
                    <w:t>不会突破园区总量要求</w:t>
                  </w:r>
                  <w:r>
                    <w:rPr>
                      <w:rFonts w:hint="default" w:ascii="Times New Roman" w:hAnsi="Times New Roman" w:eastAsia="宋体" w:cs="Times New Roman"/>
                      <w:b w:val="0"/>
                      <w:bCs w:val="0"/>
                      <w:color w:val="auto"/>
                      <w:sz w:val="21"/>
                      <w:szCs w:val="21"/>
                      <w:lang w:val="en-US" w:eastAsia="zh-CN"/>
                    </w:rPr>
                    <w:t>。</w:t>
                  </w:r>
                </w:p>
              </w:tc>
              <w:tc>
                <w:tcPr>
                  <w:tcW w:w="594" w:type="pct"/>
                  <w:tcBorders>
                    <w:tl2br w:val="nil"/>
                    <w:tr2bl w:val="nil"/>
                  </w:tcBorders>
                  <w:shd w:val="clear" w:color="auto" w:fill="auto"/>
                  <w:vAlign w:val="center"/>
                </w:tcPr>
                <w:p w14:paraId="73A85BBD">
                  <w:pPr>
                    <w:pStyle w:val="38"/>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相符</w:t>
                  </w:r>
                </w:p>
              </w:tc>
            </w:tr>
            <w:tr w14:paraId="6EF87E34">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trPr>
              <w:tc>
                <w:tcPr>
                  <w:tcW w:w="310" w:type="pct"/>
                  <w:vMerge w:val="restart"/>
                  <w:tcBorders>
                    <w:tl2br w:val="nil"/>
                    <w:tr2bl w:val="nil"/>
                  </w:tcBorders>
                  <w:shd w:val="clear" w:color="auto" w:fill="auto"/>
                  <w:vAlign w:val="center"/>
                </w:tcPr>
                <w:p w14:paraId="77F0D61E">
                  <w:pPr>
                    <w:pStyle w:val="38"/>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环境风险防控</w:t>
                  </w:r>
                </w:p>
              </w:tc>
              <w:tc>
                <w:tcPr>
                  <w:tcW w:w="255" w:type="pct"/>
                  <w:tcBorders>
                    <w:tl2br w:val="nil"/>
                    <w:tr2bl w:val="nil"/>
                  </w:tcBorders>
                  <w:shd w:val="clear" w:color="auto" w:fill="auto"/>
                  <w:vAlign w:val="center"/>
                </w:tcPr>
                <w:p w14:paraId="7FF8608F">
                  <w:pPr>
                    <w:pStyle w:val="38"/>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园区环境风险防控要求</w:t>
                  </w:r>
                </w:p>
              </w:tc>
              <w:tc>
                <w:tcPr>
                  <w:tcW w:w="2685" w:type="pct"/>
                  <w:tcBorders>
                    <w:tl2br w:val="nil"/>
                    <w:tr2bl w:val="nil"/>
                  </w:tcBorders>
                  <w:shd w:val="clear" w:color="auto" w:fill="auto"/>
                  <w:vAlign w:val="center"/>
                </w:tcPr>
                <w:p w14:paraId="69340A30">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建立突发水污染事件应急防范体系，完善“企业+园区(事故池)+周边水体”三级防控基础设施，依托园区内及周边的熊家枢纽、直里枢纽、鲍塘站等，按照分区阻隔原则，选取合适河段科学设置突发水污染事件应急缓冲区。</w:t>
                  </w:r>
                </w:p>
                <w:p w14:paraId="20A4AE5F">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2、建立突发环境事件隐患排查整改及突发环境事件应急管理长效机制，及时编制园区突发环境事件应急预案。完善环境应急物资储备和应急队伍建设，按要求定期组织开展环境应急演练。</w:t>
                  </w:r>
                </w:p>
              </w:tc>
              <w:tc>
                <w:tcPr>
                  <w:tcW w:w="1154" w:type="pct"/>
                  <w:tcBorders>
                    <w:tl2br w:val="nil"/>
                    <w:tr2bl w:val="nil"/>
                  </w:tcBorders>
                  <w:shd w:val="clear" w:color="auto" w:fill="auto"/>
                  <w:vAlign w:val="center"/>
                </w:tcPr>
                <w:p w14:paraId="45202307">
                  <w:pPr>
                    <w:pStyle w:val="38"/>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项目建成后将落实三级防控设施，建立突发环境事件隐患排查整改及突发环境事件应急管理长效机制，完善环境应急物资储备和应急队伍建设，并按要求定期组织开展环境应急演练</w:t>
                  </w:r>
                </w:p>
              </w:tc>
              <w:tc>
                <w:tcPr>
                  <w:tcW w:w="594" w:type="pct"/>
                  <w:tcBorders>
                    <w:tl2br w:val="nil"/>
                    <w:tr2bl w:val="nil"/>
                  </w:tcBorders>
                  <w:shd w:val="clear" w:color="auto" w:fill="auto"/>
                  <w:vAlign w:val="center"/>
                </w:tcPr>
                <w:p w14:paraId="661BFE5C">
                  <w:pPr>
                    <w:pStyle w:val="38"/>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相符</w:t>
                  </w:r>
                </w:p>
              </w:tc>
            </w:tr>
            <w:tr w14:paraId="4A5DB7A6">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trPr>
              <w:tc>
                <w:tcPr>
                  <w:tcW w:w="310" w:type="pct"/>
                  <w:vMerge w:val="continue"/>
                  <w:tcBorders>
                    <w:tl2br w:val="nil"/>
                    <w:tr2bl w:val="nil"/>
                  </w:tcBorders>
                  <w:shd w:val="clear" w:color="auto" w:fill="auto"/>
                  <w:vAlign w:val="center"/>
                </w:tcPr>
                <w:p w14:paraId="002C5C26">
                  <w:pPr>
                    <w:pStyle w:val="38"/>
                    <w:snapToGrid w:val="0"/>
                    <w:jc w:val="center"/>
                    <w:rPr>
                      <w:rFonts w:hint="default" w:ascii="Times New Roman" w:hAnsi="Times New Roman" w:eastAsia="宋体" w:cs="Times New Roman"/>
                      <w:b w:val="0"/>
                      <w:bCs w:val="0"/>
                      <w:color w:val="auto"/>
                      <w:sz w:val="21"/>
                      <w:szCs w:val="21"/>
                      <w:lang w:val="en-US" w:eastAsia="zh-CN"/>
                    </w:rPr>
                  </w:pPr>
                </w:p>
              </w:tc>
              <w:tc>
                <w:tcPr>
                  <w:tcW w:w="255" w:type="pct"/>
                  <w:tcBorders>
                    <w:tl2br w:val="nil"/>
                    <w:tr2bl w:val="nil"/>
                  </w:tcBorders>
                  <w:shd w:val="clear" w:color="auto" w:fill="auto"/>
                  <w:vAlign w:val="center"/>
                </w:tcPr>
                <w:p w14:paraId="161BA958">
                  <w:pPr>
                    <w:pStyle w:val="38"/>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用地环境风险防控要求</w:t>
                  </w:r>
                </w:p>
              </w:tc>
              <w:tc>
                <w:tcPr>
                  <w:tcW w:w="2685" w:type="pct"/>
                  <w:tcBorders>
                    <w:tl2br w:val="nil"/>
                    <w:tr2bl w:val="nil"/>
                  </w:tcBorders>
                  <w:shd w:val="clear" w:color="auto" w:fill="auto"/>
                  <w:vAlign w:val="center"/>
                </w:tcPr>
                <w:p w14:paraId="03B26145">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1、用途变更为住宅、公共管理与公共服务用地的，变更前应当按照规定进行土壤污染状况调查;</w:t>
                  </w:r>
                </w:p>
                <w:p w14:paraId="361645B5">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2、用地污染风险重点管控区内关闭搬迁、拟变更土地利用方式和土地使用权人的重点行业企业用地，由土地使用权人负责开展土壤环境状况调查评估;</w:t>
                  </w:r>
                </w:p>
                <w:p w14:paraId="070E7BC9">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3、暂不开发利用或现阶段不具备治理与修复条件的污染地块，实施以防止污染扩散为目的的风险管控。</w:t>
                  </w:r>
                </w:p>
              </w:tc>
              <w:tc>
                <w:tcPr>
                  <w:tcW w:w="1154" w:type="pct"/>
                  <w:tcBorders>
                    <w:tl2br w:val="nil"/>
                    <w:tr2bl w:val="nil"/>
                  </w:tcBorders>
                  <w:shd w:val="clear" w:color="auto" w:fill="auto"/>
                  <w:vAlign w:val="center"/>
                </w:tcPr>
                <w:p w14:paraId="0548DFDE">
                  <w:pPr>
                    <w:pStyle w:val="38"/>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项目不涉及</w:t>
                  </w:r>
                </w:p>
              </w:tc>
              <w:tc>
                <w:tcPr>
                  <w:tcW w:w="594" w:type="pct"/>
                  <w:tcBorders>
                    <w:tl2br w:val="nil"/>
                    <w:tr2bl w:val="nil"/>
                  </w:tcBorders>
                  <w:shd w:val="clear" w:color="auto" w:fill="auto"/>
                  <w:vAlign w:val="center"/>
                </w:tcPr>
                <w:p w14:paraId="07475CD4">
                  <w:pPr>
                    <w:pStyle w:val="38"/>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6941BF13">
              <w:tblPrEx>
                <w:tblBorders>
                  <w:top w:val="single" w:color="auto" w:sz="4" w:space="0"/>
                  <w:left w:val="none" w:color="auto" w:sz="0" w:space="0"/>
                  <w:bottom w:val="single" w:color="auto" w:sz="4" w:space="0"/>
                  <w:right w:val="none" w:color="auto" w:sz="0" w:space="0"/>
                  <w:insideH w:val="single" w:color="auto" w:sz="2" w:space="0"/>
                  <w:insideV w:val="single" w:color="auto" w:sz="2" w:space="0"/>
                </w:tblBorders>
                <w:shd w:val="clear" w:color="auto" w:fill="auto"/>
                <w:tblCellMar>
                  <w:top w:w="0" w:type="dxa"/>
                  <w:left w:w="0" w:type="dxa"/>
                  <w:bottom w:w="0" w:type="dxa"/>
                  <w:right w:w="0" w:type="dxa"/>
                </w:tblCellMar>
              </w:tblPrEx>
              <w:trPr>
                <w:trHeight w:val="340" w:hRule="atLeast"/>
              </w:trPr>
              <w:tc>
                <w:tcPr>
                  <w:tcW w:w="565" w:type="pct"/>
                  <w:gridSpan w:val="2"/>
                  <w:tcBorders>
                    <w:tl2br w:val="nil"/>
                    <w:tr2bl w:val="nil"/>
                  </w:tcBorders>
                  <w:shd w:val="clear" w:color="auto" w:fill="auto"/>
                  <w:vAlign w:val="center"/>
                </w:tcPr>
                <w:p w14:paraId="23C368A2">
                  <w:pPr>
                    <w:pStyle w:val="38"/>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资源开发利用要求</w:t>
                  </w:r>
                </w:p>
              </w:tc>
              <w:tc>
                <w:tcPr>
                  <w:tcW w:w="2685" w:type="pct"/>
                  <w:tcBorders>
                    <w:tl2br w:val="nil"/>
                    <w:tr2bl w:val="nil"/>
                  </w:tcBorders>
                  <w:shd w:val="clear" w:color="auto" w:fill="auto"/>
                  <w:vAlign w:val="center"/>
                </w:tcPr>
                <w:p w14:paraId="0DF47F44">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1、到2035年，园区单位工业增加值新鲜水耗≤8m</w:t>
                  </w:r>
                  <w:r>
                    <w:rPr>
                      <w:rFonts w:hint="default" w:ascii="Times New Roman" w:hAnsi="Times New Roman" w:eastAsia="宋体" w:cs="Times New Roman"/>
                      <w:b w:val="0"/>
                      <w:bCs w:val="0"/>
                      <w:color w:val="auto"/>
                      <w:sz w:val="21"/>
                      <w:szCs w:val="21"/>
                      <w:vertAlign w:val="superscript"/>
                      <w:lang w:val="en-US" w:eastAsia="zh-CN"/>
                    </w:rPr>
                    <w:t>3</w:t>
                  </w:r>
                  <w:r>
                    <w:rPr>
                      <w:rFonts w:hint="default" w:ascii="Times New Roman" w:hAnsi="Times New Roman" w:eastAsia="宋体" w:cs="Times New Roman"/>
                      <w:b w:val="0"/>
                      <w:bCs w:val="0"/>
                      <w:color w:val="auto"/>
                      <w:sz w:val="21"/>
                      <w:szCs w:val="21"/>
                      <w:lang w:val="en-US" w:eastAsia="zh-CN"/>
                    </w:rPr>
                    <w:t>/万元:</w:t>
                  </w:r>
                </w:p>
                <w:p w14:paraId="614D56D6">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2、到2035年，园区单位工业增加值综合能耗≤0.18吨标煤/万元;</w:t>
                  </w:r>
                </w:p>
                <w:p w14:paraId="7F67935A">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土地资源可利用总面积上限6.01平方公里，建设用地总面积上限4.73平方公里，工业用地总面积上限3.49平方公里。在城镇开发边界调整之前，不得开发利用位于城镇开发边界外的4576亩(305.1公顷)地块，不得开发占用1203亩(80.2公顷)永久基本农田。</w:t>
                  </w:r>
                </w:p>
                <w:p w14:paraId="7ECF4668">
                  <w:pPr>
                    <w:pStyle w:val="38"/>
                    <w:snapToGrid w:val="0"/>
                    <w:jc w:val="left"/>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4、引进项目的生产工艺、设备，以及单位产品水耗、能耗、污染物排放控制和资源利用效率等应达到同行业国内先进水平。</w:t>
                  </w:r>
                </w:p>
              </w:tc>
              <w:tc>
                <w:tcPr>
                  <w:tcW w:w="1154" w:type="pct"/>
                  <w:tcBorders>
                    <w:tl2br w:val="nil"/>
                    <w:tr2bl w:val="nil"/>
                  </w:tcBorders>
                  <w:shd w:val="clear" w:color="auto" w:fill="auto"/>
                  <w:vAlign w:val="center"/>
                </w:tcPr>
                <w:p w14:paraId="598D9144">
                  <w:pPr>
                    <w:pStyle w:val="38"/>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1、项目</w:t>
                  </w:r>
                  <w:r>
                    <w:rPr>
                      <w:rFonts w:hint="default" w:ascii="Times New Roman" w:hAnsi="Times New Roman" w:eastAsia="宋体" w:cs="Times New Roman"/>
                      <w:b w:val="0"/>
                      <w:bCs w:val="0"/>
                      <w:color w:val="auto"/>
                      <w:sz w:val="21"/>
                      <w:szCs w:val="21"/>
                      <w:lang w:val="en-US" w:eastAsia="zh-CN"/>
                    </w:rPr>
                    <w:t>单位工业增加值</w:t>
                  </w:r>
                  <w:r>
                    <w:rPr>
                      <w:rFonts w:hint="default" w:ascii="Times New Roman" w:hAnsi="Times New Roman" w:eastAsia="宋体" w:cs="Times New Roman"/>
                      <w:color w:val="auto"/>
                      <w:sz w:val="21"/>
                      <w:szCs w:val="21"/>
                      <w:lang w:val="en-US" w:eastAsia="zh-CN"/>
                    </w:rPr>
                    <w:t>新鲜水耗为0.83m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万元</w:t>
                  </w:r>
                  <w:r>
                    <w:rPr>
                      <w:rFonts w:hint="default" w:ascii="Times New Roman" w:hAnsi="Times New Roman" w:eastAsia="宋体" w:cs="Times New Roman"/>
                      <w:color w:val="auto"/>
                      <w:sz w:val="21"/>
                      <w:szCs w:val="21"/>
                      <w:lang w:eastAsia="zh-CN"/>
                    </w:rPr>
                    <w:t>；</w:t>
                  </w:r>
                </w:p>
                <w:p w14:paraId="54E55A07">
                  <w:pPr>
                    <w:pStyle w:val="38"/>
                    <w:snapToGrid w:val="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bCs w:val="0"/>
                      <w:color w:val="auto"/>
                      <w:sz w:val="21"/>
                      <w:szCs w:val="21"/>
                      <w:lang w:val="en-US" w:eastAsia="zh-CN"/>
                    </w:rPr>
                    <w:t>2、项目单位工业增加值综合</w:t>
                  </w:r>
                  <w:r>
                    <w:rPr>
                      <w:rFonts w:hint="default" w:ascii="Times New Roman" w:hAnsi="Times New Roman" w:eastAsia="宋体" w:cs="Times New Roman"/>
                      <w:color w:val="auto"/>
                      <w:sz w:val="21"/>
                      <w:szCs w:val="21"/>
                      <w:lang w:val="en-US" w:eastAsia="zh-CN"/>
                    </w:rPr>
                    <w:t>能耗为</w:t>
                  </w:r>
                  <w:r>
                    <w:rPr>
                      <w:rFonts w:hint="default" w:ascii="Times New Roman" w:hAnsi="Times New Roman" w:eastAsia="宋体" w:cs="Times New Roman"/>
                      <w:color w:val="auto"/>
                      <w:sz w:val="21"/>
                      <w:szCs w:val="21"/>
                    </w:rPr>
                    <w:t>0.0</w:t>
                  </w:r>
                  <w:r>
                    <w:rPr>
                      <w:rFonts w:hint="default" w:ascii="Times New Roman" w:hAnsi="Times New Roman" w:eastAsia="宋体" w:cs="Times New Roman"/>
                      <w:color w:val="auto"/>
                      <w:sz w:val="21"/>
                      <w:szCs w:val="21"/>
                      <w:lang w:val="en-US" w:eastAsia="zh-CN"/>
                    </w:rPr>
                    <w:t>92</w:t>
                  </w:r>
                  <w:r>
                    <w:rPr>
                      <w:rFonts w:hint="default" w:ascii="Times New Roman" w:hAnsi="Times New Roman" w:eastAsia="宋体" w:cs="Times New Roman"/>
                      <w:color w:val="auto"/>
                      <w:sz w:val="21"/>
                      <w:szCs w:val="21"/>
                    </w:rPr>
                    <w:t>吨标准煤/万元</w:t>
                  </w:r>
                  <w:r>
                    <w:rPr>
                      <w:rFonts w:hint="default" w:ascii="Times New Roman" w:hAnsi="Times New Roman" w:eastAsia="宋体" w:cs="Times New Roman"/>
                      <w:color w:val="auto"/>
                      <w:sz w:val="21"/>
                      <w:szCs w:val="21"/>
                      <w:lang w:eastAsia="zh-CN"/>
                    </w:rPr>
                    <w:t>；</w:t>
                  </w:r>
                </w:p>
                <w:p w14:paraId="678DC6F4">
                  <w:pPr>
                    <w:pStyle w:val="38"/>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3、项目利用已建工业厂房建设，不占用永久基本农田；</w:t>
                  </w:r>
                </w:p>
                <w:p w14:paraId="0AA71E49">
                  <w:pPr>
                    <w:pStyle w:val="38"/>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4、项目生产工艺、设备，以及单位产品水耗、能耗、污染物排放控制和资源利用效率等应达到同行业国内先进水平。</w:t>
                  </w:r>
                </w:p>
              </w:tc>
              <w:tc>
                <w:tcPr>
                  <w:tcW w:w="594" w:type="pct"/>
                  <w:tcBorders>
                    <w:tl2br w:val="nil"/>
                    <w:tr2bl w:val="nil"/>
                  </w:tcBorders>
                  <w:shd w:val="clear" w:color="auto" w:fill="auto"/>
                  <w:vAlign w:val="center"/>
                </w:tcPr>
                <w:p w14:paraId="76FAB73D">
                  <w:pPr>
                    <w:pStyle w:val="38"/>
                    <w:snapToGrid w:val="0"/>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color w:val="auto"/>
                      <w:sz w:val="21"/>
                      <w:szCs w:val="21"/>
                    </w:rPr>
                    <w:t>相符</w:t>
                  </w:r>
                </w:p>
              </w:tc>
            </w:tr>
          </w:tbl>
          <w:p w14:paraId="79AEC34E">
            <w:pPr>
              <w:keepNext w:val="0"/>
              <w:keepLines w:val="0"/>
              <w:pageBreakBefore w:val="0"/>
              <w:kinsoku/>
              <w:wordWrap/>
              <w:overflowPunct/>
              <w:topLinePunct w:val="0"/>
              <w:autoSpaceDE w:val="0"/>
              <w:autoSpaceDN w:val="0"/>
              <w:bidi w:val="0"/>
              <w:adjustRightInd w:val="0"/>
              <w:snapToGrid w:val="0"/>
              <w:jc w:val="both"/>
              <w:textAlignment w:val="auto"/>
              <w:rPr>
                <w:rFonts w:hint="default" w:ascii="Times New Roman" w:hAnsi="Times New Roman" w:eastAsia="宋体" w:cs="Times New Roman"/>
                <w:color w:val="auto"/>
                <w:kern w:val="0"/>
                <w:sz w:val="24"/>
                <w:szCs w:val="24"/>
              </w:rPr>
            </w:pPr>
          </w:p>
        </w:tc>
      </w:tr>
    </w:tbl>
    <w:p w14:paraId="2959FEB2">
      <w:pPr>
        <w:pStyle w:val="25"/>
        <w:rPr>
          <w:rFonts w:hint="default" w:ascii="Times New Roman" w:hAnsi="Times New Roman" w:eastAsia="宋体" w:cs="Times New Roman"/>
          <w:color w:val="auto"/>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7"/>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1" w:type="dxa"/>
          <w:bottom w:w="0" w:type="dxa"/>
          <w:right w:w="11" w:type="dxa"/>
        </w:tblCellMar>
      </w:tblPr>
      <w:tblGrid>
        <w:gridCol w:w="344"/>
        <w:gridCol w:w="8748"/>
      </w:tblGrid>
      <w:tr w14:paraId="3ED921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13831" w:hRule="atLeast"/>
          <w:jc w:val="center"/>
        </w:trPr>
        <w:tc>
          <w:tcPr>
            <w:tcW w:w="189" w:type="pct"/>
            <w:noWrap w:val="0"/>
            <w:vAlign w:val="center"/>
          </w:tcPr>
          <w:p w14:paraId="61453279">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其他符合性分析</w:t>
            </w:r>
          </w:p>
        </w:tc>
        <w:tc>
          <w:tcPr>
            <w:tcW w:w="4810" w:type="pct"/>
            <w:noWrap w:val="0"/>
            <w:vAlign w:val="top"/>
          </w:tcPr>
          <w:p w14:paraId="3A4D08D9">
            <w:pPr>
              <w:pStyle w:val="28"/>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1.2</w:t>
            </w:r>
            <w:r>
              <w:rPr>
                <w:rFonts w:hint="default" w:ascii="Times New Roman" w:hAnsi="Times New Roman" w:eastAsia="宋体" w:cs="Times New Roman"/>
                <w:b/>
                <w:bCs/>
                <w:color w:val="auto"/>
                <w:sz w:val="24"/>
                <w:szCs w:val="24"/>
              </w:rPr>
              <w:t>“三线一单”</w:t>
            </w:r>
            <w:r>
              <w:rPr>
                <w:rFonts w:hint="default" w:ascii="Times New Roman" w:hAnsi="Times New Roman" w:eastAsia="宋体" w:cs="Times New Roman"/>
                <w:b/>
                <w:bCs/>
                <w:color w:val="auto"/>
                <w:sz w:val="24"/>
                <w:szCs w:val="24"/>
                <w:shd w:val="clear" w:fill="auto"/>
              </w:rPr>
              <w:t>符合</w:t>
            </w:r>
            <w:r>
              <w:rPr>
                <w:rFonts w:hint="default" w:ascii="Times New Roman" w:hAnsi="Times New Roman" w:eastAsia="宋体" w:cs="Times New Roman"/>
                <w:b/>
                <w:bCs/>
                <w:color w:val="auto"/>
                <w:sz w:val="24"/>
                <w:szCs w:val="24"/>
              </w:rPr>
              <w:t>性分析</w:t>
            </w:r>
          </w:p>
          <w:p w14:paraId="6181C6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表1-</w:t>
            </w:r>
            <w:r>
              <w:rPr>
                <w:rFonts w:hint="eastAsia" w:cs="Times New Roman"/>
                <w:b/>
                <w:color w:val="auto"/>
                <w:sz w:val="21"/>
                <w:szCs w:val="21"/>
                <w:lang w:val="en-US" w:eastAsia="zh-CN"/>
              </w:rPr>
              <w:t>4</w:t>
            </w:r>
            <w:r>
              <w:rPr>
                <w:rFonts w:hint="default" w:ascii="Times New Roman" w:hAnsi="Times New Roman" w:eastAsia="宋体" w:cs="Times New Roman"/>
                <w:b/>
                <w:color w:val="auto"/>
                <w:sz w:val="21"/>
                <w:szCs w:val="21"/>
                <w:lang w:val="en-US" w:eastAsia="zh-CN"/>
              </w:rPr>
              <w:t xml:space="preserve"> </w:t>
            </w:r>
            <w:r>
              <w:rPr>
                <w:rFonts w:hint="default" w:ascii="Times New Roman" w:hAnsi="Times New Roman" w:eastAsia="宋体" w:cs="Times New Roman"/>
                <w:b/>
                <w:color w:val="auto"/>
                <w:sz w:val="21"/>
                <w:szCs w:val="21"/>
              </w:rPr>
              <w:t>本项目与“三线一单”控制要求相符性分析表</w:t>
            </w:r>
          </w:p>
          <w:tbl>
            <w:tblPr>
              <w:tblStyle w:val="17"/>
              <w:tblW w:w="49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4"/>
              <w:gridCol w:w="7188"/>
              <w:gridCol w:w="692"/>
            </w:tblGrid>
            <w:tr w14:paraId="35F3B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31" w:type="pct"/>
                  <w:noWrap w:val="0"/>
                  <w:vAlign w:val="center"/>
                </w:tcPr>
                <w:p w14:paraId="12AB8F20">
                  <w:pPr>
                    <w:pStyle w:val="29"/>
                    <w:keepNext w:val="0"/>
                    <w:keepLines w:val="0"/>
                    <w:pageBreakBefore w:val="0"/>
                    <w:widowControl w:val="0"/>
                    <w:kinsoku/>
                    <w:wordWrap/>
                    <w:overflowPunct/>
                    <w:topLinePunct w:val="0"/>
                    <w:autoSpaceDE/>
                    <w:autoSpaceDN/>
                    <w:bidi w:val="0"/>
                    <w:adjustRightInd w:val="0"/>
                    <w:spacing w:line="240" w:lineRule="auto"/>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内容</w:t>
                  </w:r>
                </w:p>
              </w:tc>
              <w:tc>
                <w:tcPr>
                  <w:tcW w:w="4166" w:type="pct"/>
                  <w:noWrap w:val="0"/>
                  <w:vAlign w:val="center"/>
                </w:tcPr>
                <w:p w14:paraId="59C6538B">
                  <w:pPr>
                    <w:pStyle w:val="29"/>
                    <w:keepNext w:val="0"/>
                    <w:keepLines w:val="0"/>
                    <w:pageBreakBefore w:val="0"/>
                    <w:widowControl w:val="0"/>
                    <w:kinsoku/>
                    <w:wordWrap/>
                    <w:overflowPunct/>
                    <w:topLinePunct w:val="0"/>
                    <w:autoSpaceDE/>
                    <w:autoSpaceDN/>
                    <w:bidi w:val="0"/>
                    <w:adjustRightInd w:val="0"/>
                    <w:spacing w:line="240" w:lineRule="auto"/>
                    <w:ind w:firstLine="422"/>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对照分析</w:t>
                  </w:r>
                </w:p>
              </w:tc>
              <w:tc>
                <w:tcPr>
                  <w:tcW w:w="401" w:type="pct"/>
                  <w:noWrap w:val="0"/>
                  <w:vAlign w:val="center"/>
                </w:tcPr>
                <w:p w14:paraId="3A628BC4">
                  <w:pPr>
                    <w:pStyle w:val="29"/>
                    <w:keepNext w:val="0"/>
                    <w:keepLines w:val="0"/>
                    <w:pageBreakBefore w:val="0"/>
                    <w:widowControl w:val="0"/>
                    <w:kinsoku/>
                    <w:wordWrap/>
                    <w:overflowPunct/>
                    <w:topLinePunct w:val="0"/>
                    <w:autoSpaceDE/>
                    <w:autoSpaceDN/>
                    <w:bidi w:val="0"/>
                    <w:adjustRightInd w:val="0"/>
                    <w:spacing w:line="240" w:lineRule="auto"/>
                    <w:textAlignment w:val="auto"/>
                    <w:rPr>
                      <w:rFonts w:hint="default" w:ascii="Times New Roman" w:hAnsi="Times New Roman" w:eastAsia="宋体" w:cs="Times New Roman"/>
                      <w:b/>
                      <w:bCs/>
                      <w:color w:val="auto"/>
                      <w:spacing w:val="0"/>
                      <w:sz w:val="21"/>
                      <w:szCs w:val="21"/>
                    </w:rPr>
                  </w:pPr>
                  <w:r>
                    <w:rPr>
                      <w:rFonts w:hint="default" w:ascii="Times New Roman" w:hAnsi="Times New Roman" w:eastAsia="宋体" w:cs="Times New Roman"/>
                      <w:b/>
                      <w:bCs/>
                      <w:color w:val="auto"/>
                      <w:spacing w:val="0"/>
                      <w:sz w:val="21"/>
                      <w:szCs w:val="21"/>
                    </w:rPr>
                    <w:t>是否相符</w:t>
                  </w:r>
                </w:p>
              </w:tc>
            </w:tr>
            <w:tr w14:paraId="0359B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31" w:type="pct"/>
                  <w:noWrap w:val="0"/>
                  <w:vAlign w:val="center"/>
                </w:tcPr>
                <w:p w14:paraId="676B2ACD">
                  <w:pPr>
                    <w:pStyle w:val="29"/>
                    <w:keepNext w:val="0"/>
                    <w:keepLines w:val="0"/>
                    <w:pageBreakBefore w:val="0"/>
                    <w:widowControl w:val="0"/>
                    <w:kinsoku/>
                    <w:wordWrap/>
                    <w:overflowPunct/>
                    <w:topLinePunct w:val="0"/>
                    <w:autoSpaceDE/>
                    <w:autoSpaceDN/>
                    <w:bidi w:val="0"/>
                    <w:adjustRightInd w:val="0"/>
                    <w:spacing w:line="240" w:lineRule="auto"/>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highlight w:val="none"/>
                    </w:rPr>
                    <w:t>生态保护红线</w:t>
                  </w:r>
                </w:p>
              </w:tc>
              <w:tc>
                <w:tcPr>
                  <w:tcW w:w="4166" w:type="pct"/>
                  <w:noWrap w:val="0"/>
                  <w:vAlign w:val="center"/>
                </w:tcPr>
                <w:p w14:paraId="510F6FC9">
                  <w:pPr>
                    <w:pStyle w:val="29"/>
                    <w:keepNext w:val="0"/>
                    <w:keepLines w:val="0"/>
                    <w:pageBreakBefore w:val="0"/>
                    <w:widowControl w:val="0"/>
                    <w:kinsoku/>
                    <w:wordWrap/>
                    <w:overflowPunct/>
                    <w:topLinePunct w:val="0"/>
                    <w:autoSpaceDE/>
                    <w:autoSpaceDN/>
                    <w:bidi w:val="0"/>
                    <w:adjustRightInd w:val="0"/>
                    <w:spacing w:line="240" w:lineRule="auto"/>
                    <w:ind w:firstLine="420" w:firstLineChars="20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本项目位于</w:t>
                  </w:r>
                  <w:r>
                    <w:rPr>
                      <w:rFonts w:hint="default" w:ascii="Times New Roman" w:hAnsi="Times New Roman" w:eastAsia="宋体" w:cs="Times New Roman"/>
                      <w:color w:val="auto"/>
                      <w:spacing w:val="0"/>
                      <w:sz w:val="21"/>
                      <w:szCs w:val="21"/>
                      <w:lang w:val="en-US" w:eastAsia="zh-CN"/>
                    </w:rPr>
                    <w:t>江苏省常州市</w:t>
                  </w:r>
                  <w:r>
                    <w:rPr>
                      <w:rFonts w:hint="eastAsia" w:cs="Times New Roman"/>
                      <w:color w:val="auto"/>
                      <w:spacing w:val="0"/>
                      <w:sz w:val="21"/>
                      <w:szCs w:val="21"/>
                      <w:lang w:val="en-US" w:eastAsia="zh-CN"/>
                    </w:rPr>
                    <w:t>金坛区直溪镇工业园区直东路6号</w:t>
                  </w:r>
                  <w:r>
                    <w:rPr>
                      <w:rFonts w:hint="default" w:ascii="Times New Roman" w:hAnsi="Times New Roman" w:eastAsia="宋体" w:cs="Times New Roman"/>
                      <w:color w:val="auto"/>
                      <w:spacing w:val="0"/>
                      <w:sz w:val="21"/>
                      <w:szCs w:val="21"/>
                    </w:rPr>
                    <w:t>。对照</w:t>
                  </w:r>
                  <w:r>
                    <w:rPr>
                      <w:rFonts w:hint="default" w:ascii="Times New Roman" w:hAnsi="Times New Roman" w:eastAsia="宋体" w:cs="Times New Roman"/>
                      <w:color w:val="auto"/>
                      <w:spacing w:val="0"/>
                      <w:sz w:val="21"/>
                      <w:szCs w:val="21"/>
                      <w:shd w:val="clear" w:fill="auto"/>
                    </w:rPr>
                    <w:t>《</w:t>
                  </w:r>
                  <w:r>
                    <w:rPr>
                      <w:rFonts w:hint="default" w:ascii="Times New Roman" w:hAnsi="Times New Roman" w:eastAsia="宋体" w:cs="Times New Roman"/>
                      <w:color w:val="auto"/>
                      <w:spacing w:val="0"/>
                      <w:sz w:val="21"/>
                      <w:szCs w:val="21"/>
                    </w:rPr>
                    <w:t>江苏省生态空间管控区域规划</w:t>
                  </w:r>
                  <w:r>
                    <w:rPr>
                      <w:rFonts w:hint="default" w:ascii="Times New Roman" w:hAnsi="Times New Roman" w:eastAsia="宋体" w:cs="Times New Roman"/>
                      <w:color w:val="auto"/>
                      <w:spacing w:val="0"/>
                      <w:sz w:val="21"/>
                      <w:szCs w:val="21"/>
                      <w:shd w:val="clear" w:fill="auto"/>
                    </w:rPr>
                    <w:t>》</w:t>
                  </w:r>
                  <w:r>
                    <w:rPr>
                      <w:rFonts w:hint="default" w:ascii="Times New Roman" w:hAnsi="Times New Roman" w:eastAsia="宋体" w:cs="Times New Roman"/>
                      <w:color w:val="auto"/>
                      <w:spacing w:val="0"/>
                      <w:sz w:val="21"/>
                      <w:szCs w:val="21"/>
                    </w:rPr>
                    <w:t>（苏政发〔2020〕1号）、</w:t>
                  </w:r>
                  <w:r>
                    <w:rPr>
                      <w:rFonts w:hint="default" w:ascii="Times New Roman" w:hAnsi="Times New Roman" w:eastAsia="宋体" w:cs="Times New Roman"/>
                      <w:color w:val="auto"/>
                      <w:spacing w:val="0"/>
                      <w:sz w:val="21"/>
                      <w:szCs w:val="21"/>
                      <w:shd w:val="clear" w:fill="auto"/>
                    </w:rPr>
                    <w:t>《</w:t>
                  </w:r>
                  <w:r>
                    <w:rPr>
                      <w:rFonts w:hint="default" w:ascii="Times New Roman" w:hAnsi="Times New Roman" w:eastAsia="宋体" w:cs="Times New Roman"/>
                      <w:color w:val="auto"/>
                      <w:spacing w:val="0"/>
                      <w:sz w:val="21"/>
                      <w:szCs w:val="21"/>
                    </w:rPr>
                    <w:t>江苏省国家级</w:t>
                  </w:r>
                  <w:r>
                    <w:rPr>
                      <w:rFonts w:hint="default" w:ascii="Times New Roman" w:hAnsi="Times New Roman" w:eastAsia="宋体" w:cs="Times New Roman"/>
                      <w:color w:val="auto"/>
                      <w:spacing w:val="0"/>
                      <w:sz w:val="21"/>
                      <w:szCs w:val="21"/>
                      <w:highlight w:val="none"/>
                    </w:rPr>
                    <w:t>生态保护红线</w:t>
                  </w:r>
                  <w:r>
                    <w:rPr>
                      <w:rFonts w:hint="default" w:ascii="Times New Roman" w:hAnsi="Times New Roman" w:eastAsia="宋体" w:cs="Times New Roman"/>
                      <w:color w:val="auto"/>
                      <w:spacing w:val="0"/>
                      <w:sz w:val="21"/>
                      <w:szCs w:val="21"/>
                    </w:rPr>
                    <w:t>规划</w:t>
                  </w:r>
                  <w:r>
                    <w:rPr>
                      <w:rFonts w:hint="default" w:ascii="Times New Roman" w:hAnsi="Times New Roman" w:eastAsia="宋体" w:cs="Times New Roman"/>
                      <w:color w:val="auto"/>
                      <w:spacing w:val="0"/>
                      <w:sz w:val="21"/>
                      <w:szCs w:val="21"/>
                      <w:shd w:val="clear" w:fill="auto"/>
                    </w:rPr>
                    <w:t>》</w:t>
                  </w:r>
                  <w:r>
                    <w:rPr>
                      <w:rFonts w:hint="default" w:ascii="Times New Roman" w:hAnsi="Times New Roman" w:eastAsia="宋体" w:cs="Times New Roman"/>
                      <w:color w:val="auto"/>
                      <w:spacing w:val="0"/>
                      <w:sz w:val="21"/>
                      <w:szCs w:val="21"/>
                    </w:rPr>
                    <w:t>（苏政发〔2018〕74号）并结合项目地理位置，与本项目最近的生态空间管控区域</w:t>
                  </w:r>
                  <w:r>
                    <w:rPr>
                      <w:rFonts w:hint="default" w:ascii="Times New Roman" w:hAnsi="Times New Roman" w:eastAsia="宋体" w:cs="Times New Roman"/>
                      <w:color w:val="auto"/>
                      <w:spacing w:val="0"/>
                      <w:sz w:val="21"/>
                      <w:szCs w:val="21"/>
                      <w:lang w:val="en-US" w:eastAsia="zh-CN"/>
                    </w:rPr>
                    <w:t>为</w:t>
                  </w:r>
                  <w:r>
                    <w:rPr>
                      <w:rFonts w:hint="eastAsia" w:cs="Times New Roman"/>
                      <w:color w:val="auto"/>
                      <w:spacing w:val="0"/>
                      <w:sz w:val="21"/>
                      <w:szCs w:val="21"/>
                      <w:lang w:val="en-US" w:eastAsia="zh-CN"/>
                    </w:rPr>
                    <w:t>东北</w:t>
                  </w:r>
                  <w:r>
                    <w:rPr>
                      <w:rFonts w:hint="default" w:ascii="Times New Roman" w:hAnsi="Times New Roman" w:eastAsia="宋体" w:cs="Times New Roman"/>
                      <w:color w:val="auto"/>
                      <w:spacing w:val="0"/>
                      <w:sz w:val="21"/>
                      <w:szCs w:val="21"/>
                      <w:lang w:val="en-US" w:eastAsia="zh-CN"/>
                    </w:rPr>
                    <w:t>侧的</w:t>
                  </w:r>
                  <w:r>
                    <w:rPr>
                      <w:rFonts w:hint="default" w:ascii="Times New Roman" w:hAnsi="Times New Roman" w:eastAsia="宋体" w:cs="Times New Roman"/>
                      <w:color w:val="auto"/>
                      <w:sz w:val="21"/>
                      <w:szCs w:val="21"/>
                      <w:lang w:val="en-US" w:eastAsia="zh-CN"/>
                    </w:rPr>
                    <w:t>天荒湖饮用水水源保护区</w:t>
                  </w:r>
                  <w:r>
                    <w:rPr>
                      <w:rFonts w:hint="default" w:ascii="Times New Roman" w:hAnsi="Times New Roman" w:eastAsia="宋体" w:cs="Times New Roman"/>
                      <w:color w:val="auto"/>
                      <w:spacing w:val="2"/>
                      <w:sz w:val="21"/>
                      <w:szCs w:val="21"/>
                    </w:rPr>
                    <w:t>边界最</w:t>
                  </w:r>
                  <w:r>
                    <w:rPr>
                      <w:rFonts w:hint="default" w:ascii="Times New Roman" w:hAnsi="Times New Roman" w:eastAsia="宋体" w:cs="Times New Roman"/>
                      <w:color w:val="auto"/>
                      <w:spacing w:val="3"/>
                      <w:sz w:val="21"/>
                      <w:szCs w:val="21"/>
                    </w:rPr>
                    <w:t>近距离为</w:t>
                  </w:r>
                  <w:r>
                    <w:rPr>
                      <w:rFonts w:hint="eastAsia" w:cs="Times New Roman"/>
                      <w:color w:val="auto"/>
                      <w:spacing w:val="0"/>
                      <w:sz w:val="21"/>
                      <w:szCs w:val="21"/>
                      <w:highlight w:val="none"/>
                      <w:lang w:val="en-US" w:eastAsia="zh-CN"/>
                    </w:rPr>
                    <w:t>3.7</w:t>
                  </w:r>
                  <w:r>
                    <w:rPr>
                      <w:rFonts w:hint="default" w:ascii="Times New Roman" w:hAnsi="Times New Roman" w:eastAsia="宋体" w:cs="Times New Roman"/>
                      <w:color w:val="auto"/>
                      <w:spacing w:val="0"/>
                      <w:sz w:val="21"/>
                      <w:szCs w:val="21"/>
                      <w:highlight w:val="none"/>
                    </w:rPr>
                    <w:t>km，</w:t>
                  </w:r>
                  <w:r>
                    <w:rPr>
                      <w:rFonts w:hint="default" w:ascii="Times New Roman" w:hAnsi="Times New Roman" w:eastAsia="宋体" w:cs="Times New Roman"/>
                      <w:color w:val="auto"/>
                      <w:spacing w:val="0"/>
                      <w:sz w:val="21"/>
                      <w:szCs w:val="21"/>
                    </w:rPr>
                    <w:t>不在江苏省常州市生态空间保护区域范围内，符合</w:t>
                  </w:r>
                  <w:r>
                    <w:rPr>
                      <w:rFonts w:hint="default" w:ascii="Times New Roman" w:hAnsi="Times New Roman" w:eastAsia="宋体" w:cs="Times New Roman"/>
                      <w:color w:val="auto"/>
                      <w:spacing w:val="0"/>
                      <w:sz w:val="21"/>
                      <w:szCs w:val="21"/>
                      <w:shd w:val="clear" w:fill="auto"/>
                    </w:rPr>
                    <w:t>《</w:t>
                  </w:r>
                  <w:r>
                    <w:rPr>
                      <w:rFonts w:hint="default" w:ascii="Times New Roman" w:hAnsi="Times New Roman" w:eastAsia="宋体" w:cs="Times New Roman"/>
                      <w:color w:val="auto"/>
                      <w:spacing w:val="0"/>
                      <w:sz w:val="21"/>
                      <w:szCs w:val="21"/>
                    </w:rPr>
                    <w:t>江苏省生态空间管控区域</w:t>
                  </w:r>
                  <w:r>
                    <w:rPr>
                      <w:rFonts w:hint="default" w:ascii="Times New Roman" w:hAnsi="Times New Roman" w:eastAsia="宋体" w:cs="Times New Roman"/>
                      <w:color w:val="auto"/>
                      <w:spacing w:val="0"/>
                      <w:sz w:val="21"/>
                      <w:szCs w:val="21"/>
                      <w:shd w:val="clear" w:fill="auto"/>
                    </w:rPr>
                    <w:t>规划》</w:t>
                  </w:r>
                  <w:r>
                    <w:rPr>
                      <w:rFonts w:hint="default" w:ascii="Times New Roman" w:hAnsi="Times New Roman" w:eastAsia="宋体" w:cs="Times New Roman"/>
                      <w:color w:val="auto"/>
                      <w:spacing w:val="0"/>
                      <w:sz w:val="21"/>
                      <w:szCs w:val="21"/>
                    </w:rPr>
                    <w:t>和</w:t>
                  </w:r>
                  <w:r>
                    <w:rPr>
                      <w:rFonts w:hint="default" w:ascii="Times New Roman" w:hAnsi="Times New Roman" w:eastAsia="宋体" w:cs="Times New Roman"/>
                      <w:color w:val="auto"/>
                      <w:spacing w:val="0"/>
                      <w:sz w:val="21"/>
                      <w:szCs w:val="21"/>
                      <w:shd w:val="clear" w:fill="auto"/>
                    </w:rPr>
                    <w:t>《</w:t>
                  </w:r>
                  <w:r>
                    <w:rPr>
                      <w:rFonts w:hint="default" w:ascii="Times New Roman" w:hAnsi="Times New Roman" w:eastAsia="宋体" w:cs="Times New Roman"/>
                      <w:color w:val="auto"/>
                      <w:spacing w:val="0"/>
                      <w:sz w:val="21"/>
                      <w:szCs w:val="21"/>
                    </w:rPr>
                    <w:t>江苏省国家级</w:t>
                  </w:r>
                  <w:r>
                    <w:rPr>
                      <w:rFonts w:hint="default" w:ascii="Times New Roman" w:hAnsi="Times New Roman" w:eastAsia="宋体" w:cs="Times New Roman"/>
                      <w:color w:val="auto"/>
                      <w:spacing w:val="0"/>
                      <w:sz w:val="21"/>
                      <w:szCs w:val="21"/>
                      <w:highlight w:val="none"/>
                    </w:rPr>
                    <w:t>生态保护红线</w:t>
                  </w:r>
                  <w:r>
                    <w:rPr>
                      <w:rFonts w:hint="default" w:ascii="Times New Roman" w:hAnsi="Times New Roman" w:eastAsia="宋体" w:cs="Times New Roman"/>
                      <w:color w:val="auto"/>
                      <w:spacing w:val="0"/>
                      <w:sz w:val="21"/>
                      <w:szCs w:val="21"/>
                    </w:rPr>
                    <w:t>规划</w:t>
                  </w:r>
                  <w:r>
                    <w:rPr>
                      <w:rFonts w:hint="default" w:ascii="Times New Roman" w:hAnsi="Times New Roman" w:eastAsia="宋体" w:cs="Times New Roman"/>
                      <w:color w:val="auto"/>
                      <w:spacing w:val="0"/>
                      <w:sz w:val="21"/>
                      <w:szCs w:val="21"/>
                      <w:shd w:val="clear" w:fill="auto"/>
                    </w:rPr>
                    <w:t>》</w:t>
                  </w:r>
                  <w:r>
                    <w:rPr>
                      <w:rFonts w:hint="default" w:ascii="Times New Roman" w:hAnsi="Times New Roman" w:eastAsia="宋体" w:cs="Times New Roman"/>
                      <w:color w:val="auto"/>
                      <w:spacing w:val="0"/>
                      <w:sz w:val="21"/>
                      <w:szCs w:val="21"/>
                    </w:rPr>
                    <w:t>要求。</w:t>
                  </w:r>
                </w:p>
              </w:tc>
              <w:tc>
                <w:tcPr>
                  <w:tcW w:w="401" w:type="pct"/>
                  <w:noWrap w:val="0"/>
                  <w:vAlign w:val="center"/>
                </w:tcPr>
                <w:p w14:paraId="1AB2CE1A">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r>
            <w:tr w14:paraId="79566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31" w:type="pct"/>
                  <w:noWrap w:val="0"/>
                  <w:vAlign w:val="center"/>
                </w:tcPr>
                <w:p w14:paraId="5EBFAEF7">
                  <w:pPr>
                    <w:pStyle w:val="29"/>
                    <w:keepNext w:val="0"/>
                    <w:keepLines w:val="0"/>
                    <w:pageBreakBefore w:val="0"/>
                    <w:widowControl w:val="0"/>
                    <w:kinsoku/>
                    <w:wordWrap/>
                    <w:overflowPunct/>
                    <w:topLinePunct w:val="0"/>
                    <w:autoSpaceDE/>
                    <w:autoSpaceDN/>
                    <w:bidi w:val="0"/>
                    <w:adjustRightInd w:val="0"/>
                    <w:spacing w:line="240" w:lineRule="auto"/>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highlight w:val="none"/>
                    </w:rPr>
                    <w:t>环境质量底线</w:t>
                  </w:r>
                </w:p>
              </w:tc>
              <w:tc>
                <w:tcPr>
                  <w:tcW w:w="4166" w:type="pct"/>
                  <w:noWrap w:val="0"/>
                  <w:vAlign w:val="center"/>
                </w:tcPr>
                <w:p w14:paraId="79C084F8">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根据《</w:t>
                  </w:r>
                  <w:r>
                    <w:rPr>
                      <w:rFonts w:hint="eastAsia" w:cs="Times New Roman"/>
                      <w:color w:val="auto"/>
                      <w:spacing w:val="0"/>
                      <w:sz w:val="21"/>
                      <w:szCs w:val="21"/>
                      <w:lang w:eastAsia="zh-CN"/>
                    </w:rPr>
                    <w:t>2023年常州市生态环境状况公报</w:t>
                  </w:r>
                  <w:r>
                    <w:rPr>
                      <w:rFonts w:hint="default" w:ascii="Times New Roman" w:hAnsi="Times New Roman" w:eastAsia="宋体" w:cs="Times New Roman"/>
                      <w:color w:val="auto"/>
                      <w:spacing w:val="0"/>
                      <w:sz w:val="21"/>
                      <w:szCs w:val="21"/>
                    </w:rPr>
                    <w:t>》，项目所在地区域属</w:t>
                  </w:r>
                  <w:r>
                    <w:rPr>
                      <w:rFonts w:hint="default" w:ascii="Times New Roman" w:hAnsi="Times New Roman" w:eastAsia="宋体" w:cs="Times New Roman"/>
                      <w:color w:val="auto"/>
                      <w:spacing w:val="0"/>
                      <w:sz w:val="21"/>
                      <w:szCs w:val="21"/>
                      <w:shd w:val="clear" w:fill="auto"/>
                    </w:rPr>
                    <w:t>于</w:t>
                  </w:r>
                  <w:r>
                    <w:rPr>
                      <w:rFonts w:hint="default" w:ascii="Times New Roman" w:hAnsi="Times New Roman" w:eastAsia="宋体" w:cs="Times New Roman"/>
                      <w:color w:val="auto"/>
                      <w:spacing w:val="0"/>
                      <w:sz w:val="21"/>
                      <w:szCs w:val="21"/>
                    </w:rPr>
                    <w:t>环境空气质量不达标区，为进一步改善常州市环境空气质量情况，常州市政府制定了相应的空气整治方案和计划，随着整治方案的不断推进，区域空气质量将会得到一定的改善。项目所在区域地表水、声环境质量能够满足相应功能区划要求。本项目建成后采取严格的污染防治措施，废气、厂界噪声均可达标排放，固废合理处置，不会突破项目所在地的环境质量底线。</w:t>
                  </w:r>
                </w:p>
              </w:tc>
              <w:tc>
                <w:tcPr>
                  <w:tcW w:w="401" w:type="pct"/>
                  <w:noWrap w:val="0"/>
                  <w:vAlign w:val="center"/>
                </w:tcPr>
                <w:p w14:paraId="050933B0">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r>
            <w:tr w14:paraId="0A431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31" w:type="pct"/>
                  <w:noWrap w:val="0"/>
                  <w:vAlign w:val="center"/>
                </w:tcPr>
                <w:p w14:paraId="20856F1F">
                  <w:pPr>
                    <w:pStyle w:val="29"/>
                    <w:keepNext w:val="0"/>
                    <w:keepLines w:val="0"/>
                    <w:pageBreakBefore w:val="0"/>
                    <w:widowControl w:val="0"/>
                    <w:kinsoku/>
                    <w:wordWrap/>
                    <w:overflowPunct/>
                    <w:topLinePunct w:val="0"/>
                    <w:autoSpaceDE/>
                    <w:autoSpaceDN/>
                    <w:bidi w:val="0"/>
                    <w:adjustRightInd w:val="0"/>
                    <w:spacing w:line="240" w:lineRule="auto"/>
                    <w:textAlignment w:val="auto"/>
                    <w:rPr>
                      <w:rFonts w:hint="default" w:ascii="Times New Roman" w:hAnsi="Times New Roman" w:eastAsia="宋体" w:cs="Times New Roman"/>
                      <w:color w:val="auto"/>
                      <w:spacing w:val="0"/>
                      <w:sz w:val="21"/>
                      <w:szCs w:val="21"/>
                      <w:lang w:eastAsia="zh-CN"/>
                    </w:rPr>
                  </w:pPr>
                  <w:r>
                    <w:rPr>
                      <w:rFonts w:hint="default" w:ascii="Times New Roman" w:hAnsi="Times New Roman" w:eastAsia="宋体" w:cs="Times New Roman"/>
                      <w:color w:val="auto"/>
                      <w:spacing w:val="0"/>
                      <w:sz w:val="21"/>
                      <w:szCs w:val="21"/>
                      <w:highlight w:val="none"/>
                    </w:rPr>
                    <w:t>资源利用上</w:t>
                  </w:r>
                  <w:r>
                    <w:rPr>
                      <w:rFonts w:hint="default" w:ascii="Times New Roman" w:hAnsi="Times New Roman" w:eastAsia="宋体" w:cs="Times New Roman"/>
                      <w:color w:val="auto"/>
                      <w:spacing w:val="0"/>
                      <w:sz w:val="21"/>
                      <w:szCs w:val="21"/>
                      <w:highlight w:val="none"/>
                      <w:lang w:val="en-US" w:eastAsia="zh-CN"/>
                    </w:rPr>
                    <w:t>线</w:t>
                  </w:r>
                </w:p>
              </w:tc>
              <w:tc>
                <w:tcPr>
                  <w:tcW w:w="4166" w:type="pct"/>
                  <w:noWrap w:val="0"/>
                  <w:vAlign w:val="center"/>
                </w:tcPr>
                <w:p w14:paraId="2657A2AF">
                  <w:pPr>
                    <w:pStyle w:val="29"/>
                    <w:keepNext w:val="0"/>
                    <w:keepLines w:val="0"/>
                    <w:pageBreakBefore w:val="0"/>
                    <w:widowControl w:val="0"/>
                    <w:kinsoku/>
                    <w:wordWrap/>
                    <w:overflowPunct/>
                    <w:topLinePunct w:val="0"/>
                    <w:autoSpaceDE/>
                    <w:autoSpaceDN/>
                    <w:bidi w:val="0"/>
                    <w:adjustRightInd w:val="0"/>
                    <w:spacing w:line="240" w:lineRule="auto"/>
                    <w:ind w:firstLine="420" w:firstLineChars="20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本项目所使用的能源主要为水、电能，</w:t>
                  </w:r>
                  <w:r>
                    <w:rPr>
                      <w:rFonts w:hint="default" w:ascii="Times New Roman" w:hAnsi="Times New Roman" w:eastAsia="宋体" w:cs="Times New Roman"/>
                      <w:color w:val="auto"/>
                      <w:spacing w:val="0"/>
                      <w:sz w:val="21"/>
                      <w:szCs w:val="21"/>
                      <w:shd w:val="clear" w:fill="auto"/>
                    </w:rPr>
                    <w:t>物耗</w:t>
                  </w:r>
                  <w:r>
                    <w:rPr>
                      <w:rFonts w:hint="default" w:ascii="Times New Roman" w:hAnsi="Times New Roman" w:eastAsia="宋体" w:cs="Times New Roman"/>
                      <w:color w:val="auto"/>
                      <w:spacing w:val="0"/>
                      <w:sz w:val="21"/>
                      <w:szCs w:val="21"/>
                    </w:rPr>
                    <w:t>及能耗水平较低。项目所在地工业基础较好；电能依托市政供电，能够满足项目用电需求。</w:t>
                  </w:r>
                </w:p>
              </w:tc>
              <w:tc>
                <w:tcPr>
                  <w:tcW w:w="401" w:type="pct"/>
                  <w:noWrap w:val="0"/>
                  <w:vAlign w:val="center"/>
                </w:tcPr>
                <w:p w14:paraId="36BE1A9E">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r>
            <w:tr w14:paraId="51D2A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431" w:type="pct"/>
                  <w:noWrap w:val="0"/>
                  <w:vAlign w:val="center"/>
                </w:tcPr>
                <w:p w14:paraId="7DBA1822">
                  <w:pPr>
                    <w:pStyle w:val="29"/>
                    <w:keepNext w:val="0"/>
                    <w:keepLines w:val="0"/>
                    <w:pageBreakBefore w:val="0"/>
                    <w:widowControl w:val="0"/>
                    <w:kinsoku/>
                    <w:wordWrap/>
                    <w:overflowPunct/>
                    <w:topLinePunct w:val="0"/>
                    <w:autoSpaceDE/>
                    <w:autoSpaceDN/>
                    <w:bidi w:val="0"/>
                    <w:adjustRightInd w:val="0"/>
                    <w:spacing w:line="240" w:lineRule="auto"/>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环境准入负面清单</w:t>
                  </w:r>
                </w:p>
              </w:tc>
              <w:tc>
                <w:tcPr>
                  <w:tcW w:w="4166" w:type="pct"/>
                  <w:noWrap w:val="0"/>
                  <w:vAlign w:val="center"/>
                </w:tcPr>
                <w:p w14:paraId="6DF3B12F">
                  <w:pPr>
                    <w:pStyle w:val="29"/>
                    <w:keepNext w:val="0"/>
                    <w:keepLines w:val="0"/>
                    <w:pageBreakBefore w:val="0"/>
                    <w:widowControl w:val="0"/>
                    <w:kinsoku/>
                    <w:wordWrap/>
                    <w:overflowPunct/>
                    <w:topLinePunct w:val="0"/>
                    <w:autoSpaceDE/>
                    <w:autoSpaceDN/>
                    <w:bidi w:val="0"/>
                    <w:adjustRightInd w:val="0"/>
                    <w:spacing w:line="240" w:lineRule="auto"/>
                    <w:ind w:firstLine="420" w:firstLineChars="20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本项目属于</w:t>
                  </w:r>
                  <w:r>
                    <w:rPr>
                      <w:rFonts w:hint="eastAsia" w:cs="Times New Roman"/>
                      <w:color w:val="auto"/>
                      <w:spacing w:val="0"/>
                      <w:sz w:val="21"/>
                      <w:szCs w:val="21"/>
                      <w:lang w:val="en-US" w:eastAsia="zh-CN"/>
                    </w:rPr>
                    <w:t>C3399其他未列明金属制品制造</w:t>
                  </w:r>
                  <w:r>
                    <w:rPr>
                      <w:rFonts w:hint="default" w:ascii="Times New Roman" w:hAnsi="Times New Roman" w:eastAsia="宋体" w:cs="Times New Roman"/>
                      <w:color w:val="auto"/>
                      <w:spacing w:val="0"/>
                      <w:sz w:val="21"/>
                      <w:szCs w:val="21"/>
                    </w:rPr>
                    <w:t>，不属于</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Cs w:val="21"/>
                    </w:rPr>
                    <w:t>长江</w:t>
                  </w:r>
                  <w:r>
                    <w:rPr>
                      <w:rFonts w:hint="default" w:ascii="Times New Roman" w:hAnsi="Times New Roman" w:eastAsia="宋体" w:cs="Times New Roman"/>
                      <w:color w:val="auto"/>
                      <w:sz w:val="21"/>
                      <w:szCs w:val="21"/>
                      <w:lang w:val="en-US" w:eastAsia="zh-CN"/>
                    </w:rPr>
                    <w:t>经济带发展负面清单指南（试行，2022年版）〉江苏省实施细则》（苏</w:t>
                  </w:r>
                  <w:r>
                    <w:rPr>
                      <w:rFonts w:hint="default" w:ascii="Times New Roman" w:hAnsi="Times New Roman" w:eastAsia="宋体" w:cs="Times New Roman"/>
                      <w:color w:val="auto"/>
                      <w:szCs w:val="21"/>
                    </w:rPr>
                    <w:t>长江</w:t>
                  </w:r>
                  <w:r>
                    <w:rPr>
                      <w:rFonts w:hint="default" w:ascii="Times New Roman" w:hAnsi="Times New Roman" w:eastAsia="宋体" w:cs="Times New Roman"/>
                      <w:color w:val="auto"/>
                      <w:spacing w:val="0"/>
                      <w:sz w:val="21"/>
                      <w:szCs w:val="21"/>
                    </w:rPr>
                    <w:t>办发〔2022〕55号）中禁止建设</w:t>
                  </w:r>
                  <w:r>
                    <w:rPr>
                      <w:rFonts w:hint="default" w:ascii="Times New Roman" w:hAnsi="Times New Roman" w:eastAsia="宋体" w:cs="Times New Roman"/>
                      <w:color w:val="auto"/>
                      <w:spacing w:val="0"/>
                      <w:sz w:val="21"/>
                      <w:szCs w:val="21"/>
                      <w:shd w:val="clear" w:fill="auto"/>
                    </w:rPr>
                    <w:t>类</w:t>
                  </w:r>
                  <w:r>
                    <w:rPr>
                      <w:rFonts w:hint="default" w:ascii="Times New Roman" w:hAnsi="Times New Roman" w:eastAsia="宋体" w:cs="Times New Roman"/>
                      <w:color w:val="auto"/>
                      <w:spacing w:val="0"/>
                      <w:sz w:val="21"/>
                      <w:szCs w:val="21"/>
                    </w:rPr>
                    <w:t>项目，未列入</w:t>
                  </w:r>
                  <w:r>
                    <w:rPr>
                      <w:rFonts w:hint="default" w:ascii="Times New Roman" w:hAnsi="Times New Roman" w:eastAsia="宋体" w:cs="Times New Roman"/>
                      <w:color w:val="auto"/>
                      <w:szCs w:val="21"/>
                    </w:rPr>
                    <w:t>长江</w:t>
                  </w:r>
                  <w:r>
                    <w:rPr>
                      <w:rFonts w:hint="default" w:ascii="Times New Roman" w:hAnsi="Times New Roman" w:eastAsia="宋体" w:cs="Times New Roman"/>
                      <w:color w:val="auto"/>
                      <w:spacing w:val="0"/>
                      <w:sz w:val="21"/>
                      <w:szCs w:val="21"/>
                    </w:rPr>
                    <w:t>经济带发展负面清单。不属于</w:t>
                  </w:r>
                  <w:r>
                    <w:rPr>
                      <w:rFonts w:hint="default" w:ascii="Times New Roman" w:hAnsi="Times New Roman" w:eastAsia="宋体" w:cs="Times New Roman"/>
                      <w:color w:val="auto"/>
                      <w:spacing w:val="0"/>
                      <w:sz w:val="21"/>
                      <w:szCs w:val="21"/>
                      <w:shd w:val="clear" w:fill="auto"/>
                    </w:rPr>
                    <w:t>《</w:t>
                  </w:r>
                  <w:r>
                    <w:rPr>
                      <w:rFonts w:hint="default" w:ascii="Times New Roman" w:hAnsi="Times New Roman" w:eastAsia="宋体" w:cs="Times New Roman"/>
                      <w:color w:val="auto"/>
                      <w:spacing w:val="0"/>
                      <w:sz w:val="21"/>
                      <w:szCs w:val="21"/>
                    </w:rPr>
                    <w:t>市场准入负面清单</w:t>
                  </w:r>
                  <w:r>
                    <w:rPr>
                      <w:rFonts w:hint="default" w:ascii="Times New Roman" w:hAnsi="Times New Roman" w:eastAsia="宋体" w:cs="Times New Roman"/>
                      <w:color w:val="auto"/>
                      <w:spacing w:val="0"/>
                      <w:sz w:val="21"/>
                      <w:szCs w:val="21"/>
                      <w:shd w:val="clear" w:fill="auto"/>
                    </w:rPr>
                    <w:t>》</w:t>
                  </w:r>
                  <w:r>
                    <w:rPr>
                      <w:rFonts w:hint="default" w:ascii="Times New Roman" w:hAnsi="Times New Roman" w:eastAsia="宋体" w:cs="Times New Roman"/>
                      <w:color w:val="auto"/>
                      <w:spacing w:val="0"/>
                      <w:sz w:val="21"/>
                      <w:szCs w:val="21"/>
                    </w:rPr>
                    <w:t>（2022年版）中禁止建设</w:t>
                  </w:r>
                  <w:r>
                    <w:rPr>
                      <w:rFonts w:hint="default" w:ascii="Times New Roman" w:hAnsi="Times New Roman" w:eastAsia="宋体" w:cs="Times New Roman"/>
                      <w:color w:val="auto"/>
                      <w:spacing w:val="0"/>
                      <w:sz w:val="21"/>
                      <w:szCs w:val="21"/>
                      <w:shd w:val="clear" w:fill="auto"/>
                    </w:rPr>
                    <w:t>类</w:t>
                  </w:r>
                  <w:r>
                    <w:rPr>
                      <w:rFonts w:hint="default" w:ascii="Times New Roman" w:hAnsi="Times New Roman" w:eastAsia="宋体" w:cs="Times New Roman"/>
                      <w:color w:val="auto"/>
                      <w:spacing w:val="0"/>
                      <w:sz w:val="21"/>
                      <w:szCs w:val="21"/>
                    </w:rPr>
                    <w:t>项目。本项目不属于</w:t>
                  </w:r>
                  <w:r>
                    <w:rPr>
                      <w:rFonts w:hint="default" w:ascii="Times New Roman" w:hAnsi="Times New Roman" w:eastAsia="宋体" w:cs="Times New Roman"/>
                      <w:color w:val="auto"/>
                      <w:spacing w:val="0"/>
                      <w:sz w:val="21"/>
                      <w:szCs w:val="21"/>
                      <w:shd w:val="clear" w:fill="auto"/>
                    </w:rPr>
                    <w:t>《</w:t>
                  </w:r>
                  <w:r>
                    <w:rPr>
                      <w:rFonts w:hint="default" w:ascii="Times New Roman" w:hAnsi="Times New Roman" w:eastAsia="宋体" w:cs="Times New Roman"/>
                      <w:color w:val="auto"/>
                      <w:spacing w:val="0"/>
                      <w:sz w:val="21"/>
                      <w:szCs w:val="21"/>
                    </w:rPr>
                    <w:t>产业结构调整指导目录</w:t>
                  </w:r>
                  <w:r>
                    <w:rPr>
                      <w:rFonts w:hint="default" w:ascii="Times New Roman" w:hAnsi="Times New Roman" w:eastAsia="宋体" w:cs="Times New Roman"/>
                      <w:color w:val="auto"/>
                      <w:spacing w:val="0"/>
                      <w:sz w:val="21"/>
                      <w:szCs w:val="21"/>
                      <w:shd w:val="clear" w:fill="auto"/>
                    </w:rPr>
                    <w:t>》</w:t>
                  </w:r>
                  <w:r>
                    <w:rPr>
                      <w:rFonts w:hint="default" w:ascii="Times New Roman" w:hAnsi="Times New Roman" w:eastAsia="宋体" w:cs="Times New Roman"/>
                      <w:color w:val="auto"/>
                      <w:spacing w:val="0"/>
                      <w:sz w:val="21"/>
                      <w:szCs w:val="21"/>
                      <w:lang w:eastAsia="zh-CN"/>
                    </w:rPr>
                    <w:t>（</w:t>
                  </w:r>
                  <w:r>
                    <w:rPr>
                      <w:rFonts w:hint="default" w:ascii="Times New Roman" w:hAnsi="Times New Roman" w:eastAsia="宋体" w:cs="Times New Roman"/>
                      <w:color w:val="auto"/>
                      <w:spacing w:val="0"/>
                      <w:sz w:val="21"/>
                      <w:szCs w:val="21"/>
                    </w:rPr>
                    <w:t>20</w:t>
                  </w:r>
                  <w:r>
                    <w:rPr>
                      <w:rFonts w:hint="eastAsia" w:cs="Times New Roman"/>
                      <w:color w:val="auto"/>
                      <w:spacing w:val="0"/>
                      <w:sz w:val="21"/>
                      <w:szCs w:val="21"/>
                      <w:lang w:val="en-US" w:eastAsia="zh-CN"/>
                    </w:rPr>
                    <w:t>24</w:t>
                  </w:r>
                  <w:r>
                    <w:rPr>
                      <w:rFonts w:hint="default" w:ascii="Times New Roman" w:hAnsi="Times New Roman" w:eastAsia="宋体" w:cs="Times New Roman"/>
                      <w:color w:val="auto"/>
                      <w:spacing w:val="0"/>
                      <w:sz w:val="21"/>
                      <w:szCs w:val="21"/>
                    </w:rPr>
                    <w:t>年</w:t>
                  </w:r>
                  <w:r>
                    <w:rPr>
                      <w:rFonts w:hint="eastAsia" w:ascii="Times New Roman" w:hAnsi="Times New Roman" w:eastAsia="宋体" w:cs="Times New Roman"/>
                      <w:color w:val="auto"/>
                      <w:spacing w:val="0"/>
                      <w:sz w:val="21"/>
                      <w:szCs w:val="21"/>
                      <w:lang w:val="en-US" w:eastAsia="zh-CN"/>
                    </w:rPr>
                    <w:t>本</w:t>
                  </w:r>
                  <w:r>
                    <w:rPr>
                      <w:rFonts w:hint="eastAsia" w:cs="Times New Roman"/>
                      <w:color w:val="auto"/>
                      <w:spacing w:val="0"/>
                      <w:sz w:val="21"/>
                      <w:szCs w:val="21"/>
                      <w:lang w:eastAsia="zh-CN"/>
                    </w:rPr>
                    <w:t>）</w:t>
                  </w:r>
                  <w:r>
                    <w:rPr>
                      <w:rFonts w:hint="default" w:ascii="Times New Roman" w:hAnsi="Times New Roman" w:eastAsia="宋体" w:cs="Times New Roman"/>
                      <w:color w:val="auto"/>
                      <w:spacing w:val="0"/>
                      <w:sz w:val="21"/>
                      <w:szCs w:val="21"/>
                    </w:rPr>
                    <w:t>中的限制和淘汰类项目；</w:t>
                  </w:r>
                </w:p>
                <w:p w14:paraId="55A61C29">
                  <w:pPr>
                    <w:pStyle w:val="29"/>
                    <w:keepNext w:val="0"/>
                    <w:keepLines w:val="0"/>
                    <w:pageBreakBefore w:val="0"/>
                    <w:widowControl w:val="0"/>
                    <w:kinsoku/>
                    <w:wordWrap/>
                    <w:overflowPunct/>
                    <w:topLinePunct w:val="0"/>
                    <w:autoSpaceDE/>
                    <w:autoSpaceDN/>
                    <w:bidi w:val="0"/>
                    <w:adjustRightInd w:val="0"/>
                    <w:spacing w:line="240" w:lineRule="auto"/>
                    <w:ind w:firstLine="420" w:firstLineChars="200"/>
                    <w:jc w:val="left"/>
                    <w:textAlignment w:val="auto"/>
                    <w:rPr>
                      <w:rFonts w:hint="default" w:ascii="Times New Roman" w:hAnsi="Times New Roman" w:eastAsia="宋体" w:cs="Times New Roman"/>
                      <w:color w:val="auto"/>
                      <w:spacing w:val="0"/>
                      <w:sz w:val="21"/>
                      <w:szCs w:val="21"/>
                    </w:rPr>
                  </w:pPr>
                  <w:r>
                    <w:rPr>
                      <w:rFonts w:hint="default" w:ascii="Times New Roman" w:hAnsi="Times New Roman" w:eastAsia="宋体" w:cs="Times New Roman"/>
                      <w:color w:val="auto"/>
                      <w:spacing w:val="0"/>
                      <w:sz w:val="21"/>
                      <w:szCs w:val="21"/>
                    </w:rPr>
                    <w:t>本项目不属于《</w:t>
                  </w:r>
                  <w:r>
                    <w:rPr>
                      <w:rFonts w:hint="default" w:ascii="Times New Roman" w:hAnsi="Times New Roman" w:eastAsia="宋体" w:cs="Times New Roman"/>
                      <w:color w:val="auto"/>
                      <w:spacing w:val="0"/>
                      <w:sz w:val="21"/>
                      <w:szCs w:val="21"/>
                      <w:highlight w:val="none"/>
                    </w:rPr>
                    <w:t>江苏省太湖</w:t>
                  </w:r>
                  <w:r>
                    <w:rPr>
                      <w:rFonts w:hint="default" w:ascii="Times New Roman" w:hAnsi="Times New Roman" w:eastAsia="宋体" w:cs="Times New Roman"/>
                      <w:color w:val="auto"/>
                      <w:spacing w:val="0"/>
                      <w:sz w:val="21"/>
                      <w:szCs w:val="21"/>
                    </w:rPr>
                    <w:t>水污染</w:t>
                  </w:r>
                  <w:r>
                    <w:rPr>
                      <w:rFonts w:hint="default" w:ascii="Times New Roman" w:hAnsi="Times New Roman" w:eastAsia="宋体" w:cs="Times New Roman"/>
                      <w:color w:val="auto"/>
                      <w:spacing w:val="0"/>
                      <w:sz w:val="21"/>
                      <w:szCs w:val="21"/>
                      <w:highlight w:val="none"/>
                      <w:shd w:val="clear" w:fill="auto"/>
                    </w:rPr>
                    <w:t>防治</w:t>
                  </w:r>
                  <w:r>
                    <w:rPr>
                      <w:rFonts w:hint="default" w:ascii="Times New Roman" w:hAnsi="Times New Roman" w:eastAsia="宋体" w:cs="Times New Roman"/>
                      <w:color w:val="auto"/>
                      <w:spacing w:val="0"/>
                      <w:sz w:val="21"/>
                      <w:szCs w:val="21"/>
                    </w:rPr>
                    <w:t>条例》</w:t>
                  </w:r>
                  <w:r>
                    <w:rPr>
                      <w:rFonts w:hint="default" w:ascii="Times New Roman" w:hAnsi="Times New Roman" w:eastAsia="宋体" w:cs="Times New Roman"/>
                      <w:color w:val="auto"/>
                      <w:spacing w:val="0"/>
                      <w:sz w:val="21"/>
                      <w:szCs w:val="21"/>
                      <w:shd w:val="clear" w:fill="auto"/>
                    </w:rPr>
                    <w:t>《</w:t>
                  </w:r>
                  <w:r>
                    <w:rPr>
                      <w:rFonts w:hint="default" w:ascii="Times New Roman" w:hAnsi="Times New Roman" w:eastAsia="宋体" w:cs="Times New Roman"/>
                      <w:color w:val="auto"/>
                      <w:spacing w:val="0"/>
                      <w:sz w:val="21"/>
                      <w:szCs w:val="21"/>
                    </w:rPr>
                    <w:t>太湖流域管理条例</w:t>
                  </w:r>
                  <w:r>
                    <w:rPr>
                      <w:rFonts w:hint="default" w:ascii="Times New Roman" w:hAnsi="Times New Roman" w:eastAsia="宋体" w:cs="Times New Roman"/>
                      <w:color w:val="auto"/>
                      <w:spacing w:val="0"/>
                      <w:sz w:val="21"/>
                      <w:szCs w:val="21"/>
                      <w:shd w:val="clear" w:fill="auto"/>
                    </w:rPr>
                    <w:t>》</w:t>
                  </w:r>
                  <w:r>
                    <w:rPr>
                      <w:rFonts w:hint="default" w:ascii="Times New Roman" w:hAnsi="Times New Roman" w:eastAsia="宋体" w:cs="Times New Roman"/>
                      <w:color w:val="auto"/>
                      <w:spacing w:val="0"/>
                      <w:sz w:val="21"/>
                      <w:szCs w:val="21"/>
                    </w:rPr>
                    <w:t>禁止建设项目；本项目不属于</w:t>
                  </w:r>
                  <w:r>
                    <w:rPr>
                      <w:rFonts w:hint="default" w:ascii="Times New Roman" w:hAnsi="Times New Roman" w:eastAsia="宋体" w:cs="Times New Roman"/>
                      <w:color w:val="auto"/>
                      <w:spacing w:val="0"/>
                      <w:sz w:val="21"/>
                      <w:szCs w:val="21"/>
                      <w:shd w:val="clear" w:fill="auto"/>
                    </w:rPr>
                    <w:t>《</w:t>
                  </w:r>
                  <w:r>
                    <w:rPr>
                      <w:rFonts w:hint="default" w:ascii="Times New Roman" w:hAnsi="Times New Roman" w:eastAsia="宋体" w:cs="Times New Roman"/>
                      <w:color w:val="auto"/>
                      <w:spacing w:val="0"/>
                      <w:sz w:val="21"/>
                      <w:szCs w:val="21"/>
                    </w:rPr>
                    <w:t>市场准入负面清单（2022年版）</w:t>
                  </w:r>
                  <w:r>
                    <w:rPr>
                      <w:rFonts w:hint="default" w:ascii="Times New Roman" w:hAnsi="Times New Roman" w:eastAsia="宋体" w:cs="Times New Roman"/>
                      <w:color w:val="auto"/>
                      <w:spacing w:val="0"/>
                      <w:sz w:val="21"/>
                      <w:szCs w:val="21"/>
                      <w:shd w:val="clear" w:fill="auto"/>
                    </w:rPr>
                    <w:t>》</w:t>
                  </w:r>
                  <w:r>
                    <w:rPr>
                      <w:rFonts w:hint="default" w:ascii="Times New Roman" w:hAnsi="Times New Roman" w:eastAsia="宋体" w:cs="Times New Roman"/>
                      <w:color w:val="auto"/>
                      <w:spacing w:val="0"/>
                      <w:sz w:val="21"/>
                      <w:szCs w:val="21"/>
                    </w:rPr>
                    <w:t>及</w:t>
                  </w:r>
                  <w:r>
                    <w:rPr>
                      <w:rFonts w:hint="default" w:ascii="Times New Roman" w:hAnsi="Times New Roman" w:eastAsia="宋体" w:cs="Times New Roman"/>
                      <w:color w:val="auto"/>
                      <w:spacing w:val="0"/>
                      <w:sz w:val="21"/>
                      <w:szCs w:val="21"/>
                      <w:shd w:val="clear" w:fill="auto"/>
                    </w:rPr>
                    <w:t>《</w:t>
                  </w:r>
                  <w:r>
                    <w:rPr>
                      <w:rFonts w:hint="default" w:ascii="Times New Roman" w:hAnsi="Times New Roman" w:eastAsia="宋体" w:cs="Times New Roman"/>
                      <w:color w:val="auto"/>
                      <w:spacing w:val="0"/>
                      <w:sz w:val="21"/>
                      <w:szCs w:val="21"/>
                    </w:rPr>
                    <w:t>〈</w:t>
                  </w:r>
                  <w:r>
                    <w:rPr>
                      <w:rFonts w:hint="default" w:ascii="Times New Roman" w:hAnsi="Times New Roman" w:eastAsia="宋体" w:cs="Times New Roman"/>
                      <w:color w:val="auto"/>
                      <w:szCs w:val="21"/>
                    </w:rPr>
                    <w:t>长江</w:t>
                  </w:r>
                  <w:r>
                    <w:rPr>
                      <w:rFonts w:hint="default" w:ascii="Times New Roman" w:hAnsi="Times New Roman" w:eastAsia="宋体" w:cs="Times New Roman"/>
                      <w:color w:val="auto"/>
                      <w:spacing w:val="0"/>
                      <w:sz w:val="21"/>
                      <w:szCs w:val="21"/>
                    </w:rPr>
                    <w:t>经济带发展负面清单指南（试行，2022年版）〉江苏省实施细则</w:t>
                  </w:r>
                  <w:r>
                    <w:rPr>
                      <w:rFonts w:hint="default" w:ascii="Times New Roman" w:hAnsi="Times New Roman" w:eastAsia="宋体" w:cs="Times New Roman"/>
                      <w:color w:val="auto"/>
                      <w:spacing w:val="0"/>
                      <w:sz w:val="21"/>
                      <w:szCs w:val="21"/>
                      <w:shd w:val="clear" w:fill="auto"/>
                    </w:rPr>
                    <w:t>》</w:t>
                  </w:r>
                  <w:r>
                    <w:rPr>
                      <w:rFonts w:hint="default" w:ascii="Times New Roman" w:hAnsi="Times New Roman" w:eastAsia="宋体" w:cs="Times New Roman"/>
                      <w:color w:val="auto"/>
                      <w:spacing w:val="0"/>
                      <w:sz w:val="21"/>
                      <w:szCs w:val="21"/>
                    </w:rPr>
                    <w:t>（苏</w:t>
                  </w:r>
                  <w:r>
                    <w:rPr>
                      <w:rFonts w:hint="default" w:ascii="Times New Roman" w:hAnsi="Times New Roman" w:eastAsia="宋体" w:cs="Times New Roman"/>
                      <w:color w:val="auto"/>
                      <w:szCs w:val="21"/>
                    </w:rPr>
                    <w:t>长江</w:t>
                  </w:r>
                  <w:r>
                    <w:rPr>
                      <w:rFonts w:hint="default" w:ascii="Times New Roman" w:hAnsi="Times New Roman" w:eastAsia="宋体" w:cs="Times New Roman"/>
                      <w:color w:val="auto"/>
                      <w:spacing w:val="0"/>
                      <w:sz w:val="21"/>
                      <w:szCs w:val="21"/>
                    </w:rPr>
                    <w:t>办发〔2022〕55号）中禁止和限制</w:t>
                  </w:r>
                  <w:r>
                    <w:rPr>
                      <w:rFonts w:hint="default" w:ascii="Times New Roman" w:hAnsi="Times New Roman" w:eastAsia="宋体" w:cs="Times New Roman"/>
                      <w:color w:val="auto"/>
                      <w:spacing w:val="0"/>
                      <w:sz w:val="21"/>
                      <w:szCs w:val="21"/>
                      <w:shd w:val="clear" w:fill="auto"/>
                    </w:rPr>
                    <w:t>类</w:t>
                  </w:r>
                  <w:r>
                    <w:rPr>
                      <w:rFonts w:hint="default" w:ascii="Times New Roman" w:hAnsi="Times New Roman" w:eastAsia="宋体" w:cs="Times New Roman"/>
                      <w:color w:val="auto"/>
                      <w:spacing w:val="0"/>
                      <w:sz w:val="21"/>
                      <w:szCs w:val="21"/>
                    </w:rPr>
                    <w:t>项目。因此，本项目不在该功能区的负面清单内。</w:t>
                  </w:r>
                </w:p>
              </w:tc>
              <w:tc>
                <w:tcPr>
                  <w:tcW w:w="401" w:type="pct"/>
                  <w:noWrap w:val="0"/>
                  <w:vAlign w:val="center"/>
                </w:tcPr>
                <w:p w14:paraId="27E1288F">
                  <w:pPr>
                    <w:pStyle w:val="30"/>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r>
          </w:tbl>
          <w:p w14:paraId="5B80E98A">
            <w:pPr>
              <w:pStyle w:val="31"/>
              <w:spacing w:beforeLine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表1-</w:t>
            </w:r>
            <w:r>
              <w:rPr>
                <w:rFonts w:hint="eastAsia"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项目周边生态空间管控区域规划</w:t>
            </w:r>
          </w:p>
          <w:tbl>
            <w:tblPr>
              <w:tblStyle w:val="17"/>
              <w:tblW w:w="496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45"/>
              <w:gridCol w:w="762"/>
              <w:gridCol w:w="591"/>
              <w:gridCol w:w="1483"/>
              <w:gridCol w:w="2574"/>
              <w:gridCol w:w="1365"/>
              <w:gridCol w:w="835"/>
            </w:tblGrid>
            <w:tr w14:paraId="65DCA0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9" w:hRule="atLeast"/>
                <w:jc w:val="center"/>
              </w:trPr>
              <w:tc>
                <w:tcPr>
                  <w:tcW w:w="604" w:type="pct"/>
                  <w:vMerge w:val="restart"/>
                  <w:tcBorders>
                    <w:tl2br w:val="nil"/>
                    <w:tr2bl w:val="nil"/>
                  </w:tcBorders>
                  <w:vAlign w:val="center"/>
                </w:tcPr>
                <w:p w14:paraId="437C22A0">
                  <w:pPr>
                    <w:pStyle w:val="29"/>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生态空间保护名称</w:t>
                  </w:r>
                </w:p>
              </w:tc>
              <w:tc>
                <w:tcPr>
                  <w:tcW w:w="440" w:type="pct"/>
                  <w:vMerge w:val="restart"/>
                  <w:tcBorders>
                    <w:tl2br w:val="nil"/>
                    <w:tr2bl w:val="nil"/>
                  </w:tcBorders>
                  <w:vAlign w:val="center"/>
                </w:tcPr>
                <w:p w14:paraId="51ACF838">
                  <w:pPr>
                    <w:pStyle w:val="29"/>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县（市、区）</w:t>
                  </w:r>
                </w:p>
              </w:tc>
              <w:tc>
                <w:tcPr>
                  <w:tcW w:w="341" w:type="pct"/>
                  <w:vMerge w:val="restart"/>
                  <w:tcBorders>
                    <w:tl2br w:val="nil"/>
                    <w:tr2bl w:val="nil"/>
                  </w:tcBorders>
                  <w:vAlign w:val="center"/>
                </w:tcPr>
                <w:p w14:paraId="6672BF64">
                  <w:pPr>
                    <w:pStyle w:val="29"/>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主导生态功能</w:t>
                  </w:r>
                </w:p>
              </w:tc>
              <w:tc>
                <w:tcPr>
                  <w:tcW w:w="2342" w:type="pct"/>
                  <w:gridSpan w:val="2"/>
                  <w:tcBorders>
                    <w:tl2br w:val="nil"/>
                    <w:tr2bl w:val="nil"/>
                  </w:tcBorders>
                  <w:vAlign w:val="center"/>
                </w:tcPr>
                <w:p w14:paraId="27B9DF15">
                  <w:pPr>
                    <w:pStyle w:val="29"/>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范围</w:t>
                  </w:r>
                </w:p>
              </w:tc>
              <w:tc>
                <w:tcPr>
                  <w:tcW w:w="788" w:type="pct"/>
                  <w:vMerge w:val="restart"/>
                  <w:tcBorders>
                    <w:tl2br w:val="nil"/>
                    <w:tr2bl w:val="nil"/>
                  </w:tcBorders>
                  <w:vAlign w:val="center"/>
                </w:tcPr>
                <w:p w14:paraId="156324B3">
                  <w:pPr>
                    <w:pStyle w:val="29"/>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与本项目方位及距离（km）</w:t>
                  </w:r>
                </w:p>
              </w:tc>
              <w:tc>
                <w:tcPr>
                  <w:tcW w:w="482" w:type="pct"/>
                  <w:vMerge w:val="restart"/>
                  <w:tcBorders>
                    <w:tl2br w:val="nil"/>
                    <w:tr2bl w:val="nil"/>
                  </w:tcBorders>
                  <w:vAlign w:val="center"/>
                </w:tcPr>
                <w:p w14:paraId="14BF8156">
                  <w:pPr>
                    <w:pStyle w:val="29"/>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面积</w:t>
                  </w:r>
                </w:p>
                <w:p w14:paraId="0BF0F9DF">
                  <w:pPr>
                    <w:pStyle w:val="29"/>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km</w:t>
                  </w:r>
                  <w:r>
                    <w:rPr>
                      <w:rFonts w:hint="default" w:ascii="Times New Roman" w:hAnsi="Times New Roman" w:eastAsia="宋体" w:cs="Times New Roman"/>
                      <w:b/>
                      <w:color w:val="auto"/>
                      <w:szCs w:val="21"/>
                      <w:vertAlign w:val="superscript"/>
                      <w:lang w:val="en-US" w:eastAsia="zh-CN"/>
                    </w:rPr>
                    <w:t>2</w:t>
                  </w:r>
                </w:p>
              </w:tc>
            </w:tr>
            <w:tr w14:paraId="32A92E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jc w:val="center"/>
              </w:trPr>
              <w:tc>
                <w:tcPr>
                  <w:tcW w:w="604" w:type="pct"/>
                  <w:vMerge w:val="continue"/>
                  <w:tcBorders>
                    <w:tl2br w:val="nil"/>
                    <w:tr2bl w:val="nil"/>
                  </w:tcBorders>
                  <w:vAlign w:val="center"/>
                </w:tcPr>
                <w:p w14:paraId="442E209E">
                  <w:pPr>
                    <w:pStyle w:val="29"/>
                    <w:rPr>
                      <w:rFonts w:hint="default" w:ascii="Times New Roman" w:hAnsi="Times New Roman" w:eastAsia="宋体" w:cs="Times New Roman"/>
                      <w:b/>
                      <w:color w:val="auto"/>
                      <w:szCs w:val="21"/>
                    </w:rPr>
                  </w:pPr>
                </w:p>
              </w:tc>
              <w:tc>
                <w:tcPr>
                  <w:tcW w:w="440" w:type="pct"/>
                  <w:vMerge w:val="continue"/>
                  <w:tcBorders>
                    <w:tl2br w:val="nil"/>
                    <w:tr2bl w:val="nil"/>
                  </w:tcBorders>
                  <w:vAlign w:val="center"/>
                </w:tcPr>
                <w:p w14:paraId="7E81A1CB">
                  <w:pPr>
                    <w:pStyle w:val="29"/>
                    <w:rPr>
                      <w:rFonts w:hint="default" w:ascii="Times New Roman" w:hAnsi="Times New Roman" w:eastAsia="宋体" w:cs="Times New Roman"/>
                      <w:b/>
                      <w:color w:val="auto"/>
                      <w:szCs w:val="21"/>
                    </w:rPr>
                  </w:pPr>
                </w:p>
              </w:tc>
              <w:tc>
                <w:tcPr>
                  <w:tcW w:w="341" w:type="pct"/>
                  <w:vMerge w:val="continue"/>
                  <w:tcBorders>
                    <w:tl2br w:val="nil"/>
                    <w:tr2bl w:val="nil"/>
                  </w:tcBorders>
                  <w:vAlign w:val="center"/>
                </w:tcPr>
                <w:p w14:paraId="39DB824F">
                  <w:pPr>
                    <w:pStyle w:val="29"/>
                    <w:rPr>
                      <w:rFonts w:hint="default" w:ascii="Times New Roman" w:hAnsi="Times New Roman" w:eastAsia="宋体" w:cs="Times New Roman"/>
                      <w:b/>
                      <w:color w:val="auto"/>
                      <w:szCs w:val="21"/>
                    </w:rPr>
                  </w:pPr>
                </w:p>
              </w:tc>
              <w:tc>
                <w:tcPr>
                  <w:tcW w:w="856" w:type="pct"/>
                  <w:tcBorders>
                    <w:tl2br w:val="nil"/>
                    <w:tr2bl w:val="nil"/>
                  </w:tcBorders>
                  <w:vAlign w:val="center"/>
                </w:tcPr>
                <w:p w14:paraId="18E0784D">
                  <w:pPr>
                    <w:pStyle w:val="29"/>
                    <w:rPr>
                      <w:rFonts w:hint="eastAsia" w:ascii="Times New Roman" w:hAnsi="Times New Roman" w:eastAsia="宋体" w:cs="Times New Roman"/>
                      <w:b/>
                      <w:color w:val="auto"/>
                      <w:szCs w:val="21"/>
                      <w:lang w:eastAsia="zh-CN"/>
                    </w:rPr>
                  </w:pPr>
                  <w:r>
                    <w:rPr>
                      <w:rFonts w:hint="eastAsia" w:cs="Times New Roman"/>
                      <w:b/>
                      <w:color w:val="auto"/>
                      <w:szCs w:val="21"/>
                      <w:lang w:val="en-US" w:eastAsia="zh-CN"/>
                    </w:rPr>
                    <w:t>一级</w:t>
                  </w:r>
                  <w:r>
                    <w:rPr>
                      <w:rFonts w:hint="default" w:ascii="Times New Roman" w:hAnsi="Times New Roman" w:eastAsia="宋体" w:cs="Times New Roman"/>
                      <w:b/>
                      <w:color w:val="auto"/>
                      <w:szCs w:val="21"/>
                    </w:rPr>
                    <w:t>管控区</w:t>
                  </w:r>
                </w:p>
              </w:tc>
              <w:tc>
                <w:tcPr>
                  <w:tcW w:w="1485" w:type="pct"/>
                  <w:tcBorders>
                    <w:tl2br w:val="nil"/>
                    <w:tr2bl w:val="nil"/>
                  </w:tcBorders>
                  <w:vAlign w:val="center"/>
                </w:tcPr>
                <w:p w14:paraId="7B758822">
                  <w:pPr>
                    <w:pStyle w:val="29"/>
                    <w:rPr>
                      <w:rFonts w:hint="default" w:ascii="Times New Roman" w:hAnsi="Times New Roman" w:eastAsia="宋体" w:cs="Times New Roman"/>
                      <w:b/>
                      <w:color w:val="auto"/>
                      <w:szCs w:val="21"/>
                    </w:rPr>
                  </w:pPr>
                  <w:r>
                    <w:rPr>
                      <w:rFonts w:hint="eastAsia" w:cs="Times New Roman"/>
                      <w:b/>
                      <w:color w:val="auto"/>
                      <w:szCs w:val="21"/>
                      <w:lang w:val="en-US" w:eastAsia="zh-CN"/>
                    </w:rPr>
                    <w:t>二级</w:t>
                  </w:r>
                  <w:r>
                    <w:rPr>
                      <w:rFonts w:hint="default" w:ascii="Times New Roman" w:hAnsi="Times New Roman" w:eastAsia="宋体" w:cs="Times New Roman"/>
                      <w:b/>
                      <w:color w:val="auto"/>
                      <w:szCs w:val="21"/>
                    </w:rPr>
                    <w:t>管控区</w:t>
                  </w:r>
                </w:p>
              </w:tc>
              <w:tc>
                <w:tcPr>
                  <w:tcW w:w="788" w:type="pct"/>
                  <w:vMerge w:val="continue"/>
                  <w:tcBorders>
                    <w:tl2br w:val="nil"/>
                    <w:tr2bl w:val="nil"/>
                  </w:tcBorders>
                  <w:vAlign w:val="center"/>
                </w:tcPr>
                <w:p w14:paraId="6120DBF2">
                  <w:pPr>
                    <w:pStyle w:val="29"/>
                    <w:rPr>
                      <w:rFonts w:hint="default" w:ascii="Times New Roman" w:hAnsi="Times New Roman" w:eastAsia="宋体" w:cs="Times New Roman"/>
                      <w:color w:val="auto"/>
                      <w:szCs w:val="21"/>
                    </w:rPr>
                  </w:pPr>
                </w:p>
              </w:tc>
              <w:tc>
                <w:tcPr>
                  <w:tcW w:w="482" w:type="pct"/>
                  <w:vMerge w:val="continue"/>
                  <w:tcBorders>
                    <w:tl2br w:val="nil"/>
                    <w:tr2bl w:val="nil"/>
                  </w:tcBorders>
                  <w:vAlign w:val="center"/>
                </w:tcPr>
                <w:p w14:paraId="43B63F8B">
                  <w:pPr>
                    <w:pStyle w:val="29"/>
                    <w:rPr>
                      <w:rFonts w:hint="default" w:ascii="Times New Roman" w:hAnsi="Times New Roman" w:eastAsia="宋体" w:cs="Times New Roman"/>
                      <w:color w:val="auto"/>
                      <w:szCs w:val="21"/>
                    </w:rPr>
                  </w:pPr>
                </w:p>
              </w:tc>
            </w:tr>
            <w:tr w14:paraId="742241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4" w:hRule="atLeast"/>
                <w:jc w:val="center"/>
              </w:trPr>
              <w:tc>
                <w:tcPr>
                  <w:tcW w:w="604" w:type="pct"/>
                  <w:tcBorders>
                    <w:tl2br w:val="nil"/>
                    <w:tr2bl w:val="nil"/>
                  </w:tcBorders>
                  <w:vAlign w:val="center"/>
                </w:tcPr>
                <w:p w14:paraId="490193E4">
                  <w:pPr>
                    <w:pStyle w:val="29"/>
                    <w:rPr>
                      <w:rFonts w:hint="default" w:ascii="Times New Roman" w:hAnsi="Times New Roman" w:eastAsia="宋体" w:cs="Times New Roman"/>
                      <w:color w:val="auto"/>
                      <w:szCs w:val="21"/>
                    </w:rPr>
                  </w:pPr>
                  <w:r>
                    <w:rPr>
                      <w:rFonts w:hAnsi="宋体"/>
                      <w:color w:val="auto"/>
                      <w:szCs w:val="21"/>
                    </w:rPr>
                    <w:t>天荒湖饮用水水源保护区</w:t>
                  </w:r>
                </w:p>
              </w:tc>
              <w:tc>
                <w:tcPr>
                  <w:tcW w:w="440" w:type="pct"/>
                  <w:tcBorders>
                    <w:tl2br w:val="nil"/>
                    <w:tr2bl w:val="nil"/>
                  </w:tcBorders>
                  <w:vAlign w:val="center"/>
                </w:tcPr>
                <w:p w14:paraId="39D79565">
                  <w:pPr>
                    <w:pStyle w:val="29"/>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常州市</w:t>
                  </w:r>
                  <w:r>
                    <w:rPr>
                      <w:rFonts w:hint="eastAsia" w:cs="Times New Roman"/>
                      <w:color w:val="auto"/>
                      <w:szCs w:val="21"/>
                      <w:lang w:val="en-US" w:eastAsia="zh-CN"/>
                    </w:rPr>
                    <w:t>金坛区</w:t>
                  </w:r>
                </w:p>
              </w:tc>
              <w:tc>
                <w:tcPr>
                  <w:tcW w:w="341" w:type="pct"/>
                  <w:tcBorders>
                    <w:tl2br w:val="nil"/>
                    <w:tr2bl w:val="nil"/>
                  </w:tcBorders>
                  <w:vAlign w:val="center"/>
                </w:tcPr>
                <w:p w14:paraId="6D1C2AFD">
                  <w:pPr>
                    <w:pStyle w:val="29"/>
                    <w:ind w:firstLine="0" w:firstLineChars="0"/>
                    <w:rPr>
                      <w:rFonts w:hint="default" w:ascii="Times New Roman" w:hAnsi="Times New Roman" w:eastAsia="宋体" w:cs="Times New Roman"/>
                      <w:color w:val="auto"/>
                      <w:szCs w:val="21"/>
                    </w:rPr>
                  </w:pPr>
                  <w:r>
                    <w:rPr>
                      <w:rFonts w:hAnsi="宋体"/>
                      <w:color w:val="auto"/>
                      <w:szCs w:val="21"/>
                    </w:rPr>
                    <w:t>水源水质保护</w:t>
                  </w:r>
                </w:p>
              </w:tc>
              <w:tc>
                <w:tcPr>
                  <w:tcW w:w="856" w:type="pct"/>
                  <w:tcBorders>
                    <w:tl2br w:val="nil"/>
                    <w:tr2bl w:val="nil"/>
                  </w:tcBorders>
                  <w:vAlign w:val="center"/>
                </w:tcPr>
                <w:p w14:paraId="697A6604">
                  <w:pPr>
                    <w:pStyle w:val="29"/>
                    <w:ind w:firstLine="0" w:firstLineChars="0"/>
                    <w:rPr>
                      <w:rFonts w:hint="default" w:ascii="Times New Roman" w:hAnsi="Times New Roman" w:eastAsia="宋体" w:cs="Times New Roman"/>
                      <w:color w:val="auto"/>
                      <w:szCs w:val="21"/>
                    </w:rPr>
                  </w:pPr>
                  <w:r>
                    <w:rPr>
                      <w:rFonts w:hint="eastAsia" w:ascii="宋体" w:hAnsi="宋体" w:eastAsia="宋体"/>
                      <w:snapToGrid/>
                      <w:color w:val="auto"/>
                      <w:kern w:val="2"/>
                      <w:sz w:val="21"/>
                      <w:szCs w:val="21"/>
                    </w:rPr>
                    <w:t>南天荒全部水面区域</w:t>
                  </w:r>
                </w:p>
              </w:tc>
              <w:tc>
                <w:tcPr>
                  <w:tcW w:w="1485" w:type="pct"/>
                  <w:tcBorders>
                    <w:tl2br w:val="nil"/>
                    <w:tr2bl w:val="nil"/>
                  </w:tcBorders>
                  <w:vAlign w:val="center"/>
                </w:tcPr>
                <w:p w14:paraId="64F2ACE4">
                  <w:pPr>
                    <w:pStyle w:val="29"/>
                    <w:ind w:firstLine="0" w:firstLineChars="0"/>
                    <w:rPr>
                      <w:rFonts w:hint="default" w:ascii="Times New Roman" w:hAnsi="Times New Roman" w:eastAsia="宋体" w:cs="Times New Roman"/>
                      <w:color w:val="auto"/>
                      <w:szCs w:val="21"/>
                    </w:rPr>
                  </w:pPr>
                  <w:r>
                    <w:rPr>
                      <w:rFonts w:hint="eastAsia" w:ascii="宋体" w:hAnsi="宋体" w:eastAsia="宋体"/>
                      <w:snapToGrid/>
                      <w:color w:val="auto"/>
                      <w:kern w:val="2"/>
                      <w:sz w:val="21"/>
                      <w:szCs w:val="21"/>
                    </w:rPr>
                    <w:t>中天荒、北天荒、养殖场、东至北圩、西至建昌村、南至茅山河一线范围</w:t>
                  </w:r>
                </w:p>
              </w:tc>
              <w:tc>
                <w:tcPr>
                  <w:tcW w:w="788" w:type="pct"/>
                  <w:tcBorders>
                    <w:tl2br w:val="nil"/>
                    <w:tr2bl w:val="nil"/>
                  </w:tcBorders>
                  <w:vAlign w:val="center"/>
                </w:tcPr>
                <w:p w14:paraId="7BC33DDA">
                  <w:pPr>
                    <w:pStyle w:val="29"/>
                    <w:ind w:firstLine="0" w:firstLineChars="0"/>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NE</w:t>
                  </w:r>
                  <w:r>
                    <w:rPr>
                      <w:rFonts w:hint="eastAsia" w:ascii="Times New Roman" w:hAnsi="Times New Roman" w:eastAsia="宋体" w:cs="Times New Roman"/>
                      <w:color w:val="auto"/>
                      <w:szCs w:val="21"/>
                      <w:lang w:val="en-US" w:eastAsia="zh-CN"/>
                    </w:rPr>
                    <w:t>,3.</w:t>
                  </w:r>
                  <w:r>
                    <w:rPr>
                      <w:rFonts w:hint="eastAsia" w:cs="Times New Roman"/>
                      <w:color w:val="auto"/>
                      <w:szCs w:val="21"/>
                      <w:lang w:val="en-US" w:eastAsia="zh-CN"/>
                    </w:rPr>
                    <w:t>7</w:t>
                  </w:r>
                </w:p>
              </w:tc>
              <w:tc>
                <w:tcPr>
                  <w:tcW w:w="482" w:type="pct"/>
                  <w:tcBorders>
                    <w:tl2br w:val="nil"/>
                    <w:tr2bl w:val="nil"/>
                  </w:tcBorders>
                  <w:vAlign w:val="center"/>
                </w:tcPr>
                <w:p w14:paraId="001EEAE0">
                  <w:pPr>
                    <w:pStyle w:val="29"/>
                    <w:ind w:firstLine="0" w:firstLineChars="0"/>
                    <w:rPr>
                      <w:rFonts w:hint="default" w:ascii="Times New Roman" w:hAnsi="Times New Roman" w:eastAsia="宋体" w:cs="Times New Roman"/>
                      <w:color w:val="auto"/>
                      <w:szCs w:val="21"/>
                      <w:lang w:val="en-US" w:eastAsia="zh-CN"/>
                    </w:rPr>
                  </w:pPr>
                  <w:r>
                    <w:rPr>
                      <w:color w:val="auto"/>
                      <w:szCs w:val="21"/>
                    </w:rPr>
                    <w:t>18.08</w:t>
                  </w:r>
                </w:p>
              </w:tc>
            </w:tr>
          </w:tbl>
          <w:p w14:paraId="62C4E3B9">
            <w:pPr>
              <w:pStyle w:val="2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rPr>
              <w:t>本项目与</w:t>
            </w:r>
            <w:r>
              <w:rPr>
                <w:b w:val="0"/>
                <w:bCs/>
                <w:color w:val="auto"/>
                <w:sz w:val="24"/>
                <w:szCs w:val="24"/>
              </w:rPr>
              <w:t>《</w:t>
            </w:r>
            <w:r>
              <w:rPr>
                <w:rFonts w:hint="eastAsia"/>
                <w:b w:val="0"/>
                <w:bCs/>
                <w:color w:val="auto"/>
                <w:sz w:val="24"/>
                <w:szCs w:val="24"/>
                <w:lang w:eastAsia="zh-CN"/>
              </w:rPr>
              <w:t>江苏省2023年度生态环境分区管控动态更新成果公告</w:t>
            </w:r>
            <w:r>
              <w:rPr>
                <w:b w:val="0"/>
                <w:bCs/>
                <w:color w:val="auto"/>
                <w:sz w:val="24"/>
                <w:szCs w:val="24"/>
              </w:rPr>
              <w:t>》</w:t>
            </w:r>
            <w:r>
              <w:rPr>
                <w:rFonts w:hint="default" w:ascii="Times New Roman" w:hAnsi="Times New Roman" w:eastAsia="宋体" w:cs="Times New Roman"/>
                <w:b w:val="0"/>
                <w:bCs w:val="0"/>
                <w:color w:val="auto"/>
                <w:sz w:val="24"/>
                <w:szCs w:val="24"/>
              </w:rPr>
              <w:t>相符性分析见</w:t>
            </w:r>
            <w:r>
              <w:rPr>
                <w:rFonts w:hint="default" w:ascii="Times New Roman" w:hAnsi="Times New Roman" w:eastAsia="宋体" w:cs="Times New Roman"/>
                <w:b w:val="0"/>
                <w:bCs w:val="0"/>
                <w:color w:val="auto"/>
                <w:sz w:val="24"/>
                <w:szCs w:val="24"/>
                <w:lang w:val="en-US" w:eastAsia="zh-CN"/>
              </w:rPr>
              <w:t>表</w:t>
            </w:r>
            <w:r>
              <w:rPr>
                <w:rFonts w:hint="eastAsia" w:cs="Times New Roman"/>
                <w:b w:val="0"/>
                <w:bCs w:val="0"/>
                <w:color w:val="auto"/>
                <w:sz w:val="24"/>
                <w:szCs w:val="24"/>
                <w:lang w:val="en-US" w:eastAsia="zh-CN"/>
              </w:rPr>
              <w:t>1-6</w:t>
            </w:r>
            <w:r>
              <w:rPr>
                <w:rFonts w:hint="default" w:ascii="Times New Roman" w:hAnsi="Times New Roman" w:eastAsia="宋体" w:cs="Times New Roman"/>
                <w:b w:val="0"/>
                <w:bCs w:val="0"/>
                <w:color w:val="auto"/>
                <w:sz w:val="24"/>
                <w:szCs w:val="24"/>
                <w:lang w:val="en-US" w:eastAsia="zh-CN"/>
              </w:rPr>
              <w:t>。</w:t>
            </w:r>
          </w:p>
          <w:p w14:paraId="3F4B184F">
            <w:pPr>
              <w:pStyle w:val="2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szCs w:val="24"/>
                <w:lang w:val="en-US" w:eastAsia="zh-CN"/>
              </w:rPr>
            </w:pPr>
          </w:p>
          <w:p w14:paraId="6560FC95">
            <w:pPr>
              <w:pStyle w:val="2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szCs w:val="24"/>
                <w:lang w:val="en-US" w:eastAsia="zh-CN"/>
              </w:rPr>
            </w:pPr>
          </w:p>
          <w:p w14:paraId="13A5F920">
            <w:pPr>
              <w:pStyle w:val="2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szCs w:val="24"/>
                <w:lang w:val="en-US" w:eastAsia="zh-CN"/>
              </w:rPr>
            </w:pPr>
          </w:p>
          <w:p w14:paraId="5F423B04">
            <w:pPr>
              <w:pStyle w:val="2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szCs w:val="24"/>
                <w:lang w:val="en-US" w:eastAsia="zh-CN"/>
              </w:rPr>
            </w:pPr>
          </w:p>
          <w:p w14:paraId="0A41A47B">
            <w:pPr>
              <w:pStyle w:val="28"/>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firstLine="480" w:firstLineChars="200"/>
              <w:textAlignment w:val="auto"/>
              <w:rPr>
                <w:rFonts w:hint="default" w:ascii="Times New Roman" w:hAnsi="Times New Roman" w:eastAsia="宋体" w:cs="Times New Roman"/>
                <w:b w:val="0"/>
                <w:bCs w:val="0"/>
                <w:color w:val="auto"/>
                <w:sz w:val="24"/>
                <w:szCs w:val="24"/>
                <w:lang w:val="en-US" w:eastAsia="zh-CN"/>
              </w:rPr>
            </w:pPr>
          </w:p>
          <w:p w14:paraId="1F394287">
            <w:pPr>
              <w:pStyle w:val="28"/>
              <w:spacing w:line="240" w:lineRule="auto"/>
              <w:ind w:left="0" w:leftChars="0" w:firstLine="0" w:firstLineChars="0"/>
              <w:jc w:val="center"/>
              <w:rPr>
                <w:rFonts w:hint="eastAsia" w:ascii="Times New Roman" w:hAnsi="Times New Roman" w:eastAsia="宋体" w:cs="Times New Roman"/>
                <w:b/>
                <w:bCs/>
                <w:color w:val="auto"/>
                <w:sz w:val="21"/>
                <w:szCs w:val="22"/>
                <w:highlight w:val="yellow"/>
                <w:lang w:eastAsia="zh-CN"/>
              </w:rPr>
            </w:pPr>
            <w:r>
              <w:rPr>
                <w:rFonts w:hint="default" w:ascii="Times New Roman" w:hAnsi="Times New Roman" w:eastAsia="宋体" w:cs="Times New Roman"/>
                <w:b/>
                <w:bCs/>
                <w:color w:val="auto"/>
                <w:sz w:val="21"/>
                <w:szCs w:val="22"/>
                <w:highlight w:val="none"/>
              </w:rPr>
              <w:t>表1-</w:t>
            </w:r>
            <w:r>
              <w:rPr>
                <w:rFonts w:hint="eastAsia" w:cs="Times New Roman"/>
                <w:b/>
                <w:bCs/>
                <w:color w:val="auto"/>
                <w:sz w:val="21"/>
                <w:szCs w:val="22"/>
                <w:highlight w:val="none"/>
                <w:lang w:val="en-US" w:eastAsia="zh-CN"/>
              </w:rPr>
              <w:t xml:space="preserve">6 </w:t>
            </w:r>
            <w:r>
              <w:rPr>
                <w:rFonts w:hint="default" w:ascii="Times New Roman" w:hAnsi="Times New Roman" w:eastAsia="宋体" w:cs="Times New Roman"/>
                <w:b/>
                <w:bCs/>
                <w:color w:val="auto"/>
                <w:sz w:val="21"/>
                <w:szCs w:val="22"/>
                <w:highlight w:val="none"/>
              </w:rPr>
              <w:t>与《</w:t>
            </w:r>
            <w:r>
              <w:rPr>
                <w:rFonts w:hint="eastAsia" w:cs="Times New Roman"/>
                <w:b/>
                <w:bCs/>
                <w:color w:val="auto"/>
                <w:sz w:val="21"/>
                <w:szCs w:val="22"/>
                <w:highlight w:val="none"/>
                <w:lang w:eastAsia="zh-CN"/>
              </w:rPr>
              <w:t>江苏省2023年度生态环境分区管控动态更新成果公告</w:t>
            </w:r>
            <w:r>
              <w:rPr>
                <w:rFonts w:hint="default" w:ascii="Times New Roman" w:hAnsi="Times New Roman" w:eastAsia="宋体" w:cs="Times New Roman"/>
                <w:b/>
                <w:bCs/>
                <w:color w:val="auto"/>
                <w:sz w:val="21"/>
                <w:szCs w:val="22"/>
                <w:highlight w:val="none"/>
              </w:rPr>
              <w:t>》相符性分析</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511"/>
              <w:gridCol w:w="598"/>
              <w:gridCol w:w="3982"/>
              <w:gridCol w:w="2860"/>
              <w:gridCol w:w="762"/>
            </w:tblGrid>
            <w:tr w14:paraId="6408F4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4" w:type="pct"/>
                  <w:noWrap w:val="0"/>
                  <w:tcMar>
                    <w:top w:w="0" w:type="dxa"/>
                    <w:left w:w="0" w:type="dxa"/>
                    <w:bottom w:w="0" w:type="dxa"/>
                    <w:right w:w="0" w:type="dxa"/>
                  </w:tcMar>
                  <w:vAlign w:val="center"/>
                </w:tcPr>
                <w:p w14:paraId="79677C5A">
                  <w:pPr>
                    <w:jc w:val="center"/>
                    <w:rPr>
                      <w:b/>
                      <w:bCs/>
                      <w:color w:val="auto"/>
                      <w:szCs w:val="21"/>
                    </w:rPr>
                  </w:pPr>
                  <w:r>
                    <w:rPr>
                      <w:b/>
                      <w:bCs/>
                      <w:color w:val="auto"/>
                      <w:szCs w:val="21"/>
                    </w:rPr>
                    <w:t>序号</w:t>
                  </w:r>
                </w:p>
              </w:tc>
              <w:tc>
                <w:tcPr>
                  <w:tcW w:w="2628" w:type="pct"/>
                  <w:gridSpan w:val="2"/>
                  <w:noWrap w:val="0"/>
                  <w:tcMar>
                    <w:top w:w="0" w:type="dxa"/>
                    <w:left w:w="0" w:type="dxa"/>
                    <w:bottom w:w="0" w:type="dxa"/>
                    <w:right w:w="0" w:type="dxa"/>
                  </w:tcMar>
                  <w:vAlign w:val="center"/>
                </w:tcPr>
                <w:p w14:paraId="584EDB1E">
                  <w:pPr>
                    <w:jc w:val="center"/>
                    <w:rPr>
                      <w:b/>
                      <w:bCs/>
                      <w:color w:val="auto"/>
                      <w:szCs w:val="21"/>
                    </w:rPr>
                  </w:pPr>
                  <w:r>
                    <w:rPr>
                      <w:b/>
                      <w:bCs/>
                      <w:color w:val="auto"/>
                      <w:szCs w:val="21"/>
                    </w:rPr>
                    <w:t>管控要求</w:t>
                  </w:r>
                </w:p>
              </w:tc>
              <w:tc>
                <w:tcPr>
                  <w:tcW w:w="1641" w:type="pct"/>
                  <w:noWrap w:val="0"/>
                  <w:tcMar>
                    <w:top w:w="0" w:type="dxa"/>
                    <w:left w:w="0" w:type="dxa"/>
                    <w:bottom w:w="0" w:type="dxa"/>
                    <w:right w:w="0" w:type="dxa"/>
                  </w:tcMar>
                  <w:vAlign w:val="center"/>
                </w:tcPr>
                <w:p w14:paraId="7C5AFD97">
                  <w:pPr>
                    <w:jc w:val="center"/>
                    <w:rPr>
                      <w:b/>
                      <w:bCs/>
                      <w:color w:val="auto"/>
                      <w:szCs w:val="21"/>
                    </w:rPr>
                  </w:pPr>
                  <w:r>
                    <w:rPr>
                      <w:b/>
                      <w:bCs/>
                      <w:color w:val="auto"/>
                      <w:szCs w:val="21"/>
                    </w:rPr>
                    <w:t>本项目相关内容</w:t>
                  </w:r>
                </w:p>
              </w:tc>
              <w:tc>
                <w:tcPr>
                  <w:tcW w:w="436" w:type="pct"/>
                  <w:noWrap w:val="0"/>
                  <w:tcMar>
                    <w:top w:w="0" w:type="dxa"/>
                    <w:left w:w="0" w:type="dxa"/>
                    <w:bottom w:w="0" w:type="dxa"/>
                    <w:right w:w="0" w:type="dxa"/>
                  </w:tcMar>
                  <w:vAlign w:val="center"/>
                </w:tcPr>
                <w:p w14:paraId="5A8C5934">
                  <w:pPr>
                    <w:jc w:val="center"/>
                    <w:rPr>
                      <w:b/>
                      <w:bCs/>
                      <w:color w:val="auto"/>
                      <w:szCs w:val="21"/>
                    </w:rPr>
                  </w:pPr>
                  <w:r>
                    <w:rPr>
                      <w:b/>
                      <w:bCs/>
                      <w:color w:val="auto"/>
                      <w:szCs w:val="21"/>
                    </w:rPr>
                    <w:t>相符性</w:t>
                  </w:r>
                </w:p>
              </w:tc>
            </w:tr>
            <w:tr w14:paraId="37C04D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5"/>
                  <w:noWrap w:val="0"/>
                  <w:tcMar>
                    <w:top w:w="0" w:type="dxa"/>
                    <w:left w:w="0" w:type="dxa"/>
                    <w:bottom w:w="0" w:type="dxa"/>
                    <w:right w:w="0" w:type="dxa"/>
                  </w:tcMar>
                  <w:vAlign w:val="center"/>
                </w:tcPr>
                <w:p w14:paraId="7CB5946E">
                  <w:pPr>
                    <w:jc w:val="center"/>
                    <w:rPr>
                      <w:b/>
                      <w:bCs/>
                      <w:color w:val="auto"/>
                      <w:szCs w:val="21"/>
                    </w:rPr>
                  </w:pPr>
                  <w:r>
                    <w:rPr>
                      <w:rFonts w:hint="default" w:ascii="Times New Roman" w:hAnsi="Times New Roman" w:eastAsia="宋体" w:cs="Times New Roman"/>
                      <w:b/>
                      <w:color w:val="auto"/>
                    </w:rPr>
                    <w:t>长江流域</w:t>
                  </w:r>
                </w:p>
              </w:tc>
            </w:tr>
            <w:tr w14:paraId="03C3887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294" w:type="pct"/>
                  <w:vMerge w:val="restart"/>
                  <w:noWrap w:val="0"/>
                  <w:tcMar>
                    <w:top w:w="0" w:type="dxa"/>
                    <w:left w:w="0" w:type="dxa"/>
                    <w:bottom w:w="0" w:type="dxa"/>
                    <w:right w:w="0" w:type="dxa"/>
                  </w:tcMar>
                  <w:vAlign w:val="center"/>
                </w:tcPr>
                <w:p w14:paraId="057B5E3A">
                  <w:pPr>
                    <w:jc w:val="center"/>
                    <w:rPr>
                      <w:color w:val="auto"/>
                      <w:szCs w:val="21"/>
                    </w:rPr>
                  </w:pPr>
                  <w:r>
                    <w:rPr>
                      <w:color w:val="auto"/>
                      <w:szCs w:val="21"/>
                    </w:rPr>
                    <w:t>1</w:t>
                  </w:r>
                </w:p>
              </w:tc>
              <w:tc>
                <w:tcPr>
                  <w:tcW w:w="343" w:type="pct"/>
                  <w:vMerge w:val="restart"/>
                  <w:noWrap w:val="0"/>
                  <w:tcMar>
                    <w:top w:w="0" w:type="dxa"/>
                    <w:left w:w="0" w:type="dxa"/>
                    <w:bottom w:w="0" w:type="dxa"/>
                    <w:right w:w="0" w:type="dxa"/>
                  </w:tcMar>
                  <w:vAlign w:val="center"/>
                </w:tcPr>
                <w:p w14:paraId="5B02AF8B">
                  <w:pPr>
                    <w:jc w:val="center"/>
                    <w:rPr>
                      <w:color w:val="auto"/>
                      <w:szCs w:val="21"/>
                    </w:rPr>
                  </w:pPr>
                  <w:r>
                    <w:rPr>
                      <w:color w:val="auto"/>
                      <w:szCs w:val="21"/>
                    </w:rPr>
                    <w:t>空间布局约束</w:t>
                  </w:r>
                </w:p>
              </w:tc>
              <w:tc>
                <w:tcPr>
                  <w:tcW w:w="2285" w:type="pct"/>
                  <w:noWrap w:val="0"/>
                  <w:tcMar>
                    <w:top w:w="0" w:type="dxa"/>
                    <w:left w:w="0" w:type="dxa"/>
                    <w:bottom w:w="0" w:type="dxa"/>
                    <w:right w:w="0" w:type="dxa"/>
                  </w:tcMar>
                  <w:vAlign w:val="center"/>
                </w:tcPr>
                <w:p w14:paraId="1627D1B7">
                  <w:pPr>
                    <w:ind w:firstLine="420" w:firstLineChars="200"/>
                    <w:rPr>
                      <w:rFonts w:hint="eastAsia"/>
                      <w:color w:val="auto"/>
                      <w:szCs w:val="21"/>
                    </w:rPr>
                  </w:pPr>
                  <w:r>
                    <w:rPr>
                      <w:rFonts w:hint="eastAsia"/>
                      <w:color w:val="auto"/>
                      <w:szCs w:val="21"/>
                    </w:rPr>
                    <w:t>1．</w:t>
                  </w:r>
                  <w:r>
                    <w:rPr>
                      <w:rFonts w:hint="default" w:ascii="Times New Roman" w:hAnsi="Times New Roman" w:eastAsia="宋体" w:cs="Times New Roman"/>
                      <w:color w:val="auto"/>
                    </w:rPr>
                    <w:t>始终把长江生态修复放在首位，坚持共抓大保护、不搞大开发，引导长江流域产业转型升级和布局优化调整，实现科学发展、有序发展、高质量发展。</w:t>
                  </w:r>
                </w:p>
              </w:tc>
              <w:tc>
                <w:tcPr>
                  <w:tcW w:w="1641" w:type="pct"/>
                  <w:noWrap w:val="0"/>
                  <w:tcMar>
                    <w:top w:w="0" w:type="dxa"/>
                    <w:left w:w="0" w:type="dxa"/>
                    <w:bottom w:w="0" w:type="dxa"/>
                    <w:right w:w="0" w:type="dxa"/>
                  </w:tcMar>
                  <w:vAlign w:val="center"/>
                </w:tcPr>
                <w:p w14:paraId="2446C25D">
                  <w:pPr>
                    <w:jc w:val="center"/>
                    <w:rPr>
                      <w:rFonts w:hint="eastAsia"/>
                      <w:color w:val="auto"/>
                      <w:szCs w:val="21"/>
                    </w:rPr>
                  </w:pPr>
                  <w:r>
                    <w:rPr>
                      <w:color w:val="auto"/>
                      <w:szCs w:val="21"/>
                    </w:rPr>
                    <w:t>本项目不在生态保护红线范围内，项目实施后，不会使生态功能降低、不会影响生态空间面积、不会改变生态空间性质</w:t>
                  </w:r>
                  <w:r>
                    <w:rPr>
                      <w:rFonts w:hint="eastAsia"/>
                      <w:color w:val="auto"/>
                      <w:szCs w:val="21"/>
                    </w:rPr>
                    <w:t>。</w:t>
                  </w:r>
                </w:p>
              </w:tc>
              <w:tc>
                <w:tcPr>
                  <w:tcW w:w="436" w:type="pct"/>
                  <w:noWrap w:val="0"/>
                  <w:tcMar>
                    <w:top w:w="0" w:type="dxa"/>
                    <w:left w:w="0" w:type="dxa"/>
                    <w:bottom w:w="0" w:type="dxa"/>
                    <w:right w:w="0" w:type="dxa"/>
                  </w:tcMar>
                  <w:vAlign w:val="center"/>
                </w:tcPr>
                <w:p w14:paraId="24CDF799">
                  <w:pPr>
                    <w:jc w:val="center"/>
                    <w:rPr>
                      <w:color w:val="auto"/>
                      <w:szCs w:val="21"/>
                    </w:rPr>
                  </w:pPr>
                  <w:r>
                    <w:rPr>
                      <w:color w:val="auto"/>
                      <w:szCs w:val="21"/>
                    </w:rPr>
                    <w:t>相符</w:t>
                  </w:r>
                </w:p>
              </w:tc>
            </w:tr>
            <w:tr w14:paraId="1840F6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294" w:type="pct"/>
                  <w:vMerge w:val="continue"/>
                  <w:noWrap w:val="0"/>
                  <w:tcMar>
                    <w:top w:w="0" w:type="dxa"/>
                    <w:left w:w="0" w:type="dxa"/>
                    <w:bottom w:w="0" w:type="dxa"/>
                    <w:right w:w="0" w:type="dxa"/>
                  </w:tcMar>
                  <w:vAlign w:val="center"/>
                </w:tcPr>
                <w:p w14:paraId="69F64C16">
                  <w:pPr>
                    <w:jc w:val="center"/>
                    <w:rPr>
                      <w:color w:val="auto"/>
                    </w:rPr>
                  </w:pPr>
                </w:p>
              </w:tc>
              <w:tc>
                <w:tcPr>
                  <w:tcW w:w="343" w:type="pct"/>
                  <w:vMerge w:val="continue"/>
                  <w:noWrap w:val="0"/>
                  <w:tcMar>
                    <w:top w:w="0" w:type="dxa"/>
                    <w:left w:w="0" w:type="dxa"/>
                    <w:bottom w:w="0" w:type="dxa"/>
                    <w:right w:w="0" w:type="dxa"/>
                  </w:tcMar>
                  <w:vAlign w:val="center"/>
                </w:tcPr>
                <w:p w14:paraId="70035A9F">
                  <w:pPr>
                    <w:jc w:val="center"/>
                    <w:rPr>
                      <w:color w:val="auto"/>
                    </w:rPr>
                  </w:pPr>
                </w:p>
              </w:tc>
              <w:tc>
                <w:tcPr>
                  <w:tcW w:w="2285" w:type="pct"/>
                  <w:noWrap w:val="0"/>
                  <w:tcMar>
                    <w:top w:w="0" w:type="dxa"/>
                    <w:left w:w="0" w:type="dxa"/>
                    <w:bottom w:w="0" w:type="dxa"/>
                    <w:right w:w="0" w:type="dxa"/>
                  </w:tcMar>
                  <w:vAlign w:val="center"/>
                </w:tcPr>
                <w:p w14:paraId="714DE08D">
                  <w:pPr>
                    <w:ind w:firstLine="420" w:firstLineChars="200"/>
                    <w:rPr>
                      <w:rFonts w:hint="eastAsia"/>
                      <w:color w:val="auto"/>
                      <w:szCs w:val="21"/>
                    </w:rPr>
                  </w:pPr>
                  <w:r>
                    <w:rPr>
                      <w:rFonts w:hint="eastAsia"/>
                      <w:color w:val="auto"/>
                      <w:szCs w:val="21"/>
                    </w:rPr>
                    <w:t>2．</w:t>
                  </w:r>
                  <w:r>
                    <w:rPr>
                      <w:rFonts w:hint="default" w:ascii="Times New Roman" w:hAnsi="Times New Roman" w:eastAsia="宋体" w:cs="Times New Roman"/>
                      <w:color w:val="auto"/>
                    </w:rPr>
                    <w:t>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r>
                    <w:rPr>
                      <w:rFonts w:hint="eastAsia"/>
                      <w:color w:val="auto"/>
                      <w:szCs w:val="21"/>
                    </w:rPr>
                    <w:t>。</w:t>
                  </w:r>
                </w:p>
              </w:tc>
              <w:tc>
                <w:tcPr>
                  <w:tcW w:w="1641" w:type="pct"/>
                  <w:noWrap w:val="0"/>
                  <w:tcMar>
                    <w:top w:w="0" w:type="dxa"/>
                    <w:left w:w="0" w:type="dxa"/>
                    <w:bottom w:w="0" w:type="dxa"/>
                    <w:right w:w="0" w:type="dxa"/>
                  </w:tcMar>
                  <w:vAlign w:val="center"/>
                </w:tcPr>
                <w:p w14:paraId="68F3DDF2">
                  <w:pPr>
                    <w:jc w:val="center"/>
                    <w:rPr>
                      <w:rFonts w:hint="default" w:eastAsia="宋体"/>
                      <w:color w:val="auto"/>
                      <w:szCs w:val="21"/>
                      <w:lang w:val="en-US" w:eastAsia="zh-CN"/>
                    </w:rPr>
                  </w:pPr>
                  <w:r>
                    <w:rPr>
                      <w:color w:val="auto"/>
                      <w:szCs w:val="21"/>
                    </w:rPr>
                    <w:t>本项目</w:t>
                  </w:r>
                  <w:r>
                    <w:rPr>
                      <w:rFonts w:hint="eastAsia"/>
                      <w:color w:val="auto"/>
                      <w:szCs w:val="21"/>
                      <w:lang w:val="en-US" w:eastAsia="zh-CN"/>
                    </w:rPr>
                    <w:t>不涉及</w:t>
                  </w:r>
                  <w:r>
                    <w:rPr>
                      <w:color w:val="auto"/>
                      <w:szCs w:val="21"/>
                    </w:rPr>
                    <w:t>生态保护红线</w:t>
                  </w:r>
                  <w:r>
                    <w:rPr>
                      <w:rFonts w:hint="eastAsia"/>
                      <w:color w:val="auto"/>
                      <w:szCs w:val="21"/>
                      <w:lang w:val="en-US" w:eastAsia="zh-CN"/>
                    </w:rPr>
                    <w:t>和</w:t>
                  </w:r>
                  <w:r>
                    <w:rPr>
                      <w:rFonts w:hint="default" w:ascii="Times New Roman" w:hAnsi="Times New Roman" w:eastAsia="宋体" w:cs="Times New Roman"/>
                      <w:color w:val="auto"/>
                    </w:rPr>
                    <w:t>永久基本农田</w:t>
                  </w:r>
                  <w:r>
                    <w:rPr>
                      <w:rFonts w:hint="eastAsia"/>
                      <w:color w:val="auto"/>
                      <w:szCs w:val="21"/>
                      <w:lang w:eastAsia="zh-CN"/>
                    </w:rPr>
                    <w:t>。</w:t>
                  </w:r>
                </w:p>
              </w:tc>
              <w:tc>
                <w:tcPr>
                  <w:tcW w:w="436" w:type="pct"/>
                  <w:noWrap w:val="0"/>
                  <w:tcMar>
                    <w:top w:w="0" w:type="dxa"/>
                    <w:left w:w="0" w:type="dxa"/>
                    <w:bottom w:w="0" w:type="dxa"/>
                    <w:right w:w="0" w:type="dxa"/>
                  </w:tcMar>
                  <w:vAlign w:val="center"/>
                </w:tcPr>
                <w:p w14:paraId="1FCEC748">
                  <w:pPr>
                    <w:jc w:val="center"/>
                    <w:rPr>
                      <w:rFonts w:hint="eastAsia"/>
                      <w:color w:val="auto"/>
                      <w:szCs w:val="21"/>
                    </w:rPr>
                  </w:pPr>
                  <w:r>
                    <w:rPr>
                      <w:color w:val="auto"/>
                      <w:szCs w:val="21"/>
                    </w:rPr>
                    <w:t>相符</w:t>
                  </w:r>
                </w:p>
              </w:tc>
            </w:tr>
            <w:tr w14:paraId="0C18CB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294" w:type="pct"/>
                  <w:vMerge w:val="continue"/>
                  <w:noWrap w:val="0"/>
                  <w:tcMar>
                    <w:top w:w="0" w:type="dxa"/>
                    <w:left w:w="0" w:type="dxa"/>
                    <w:bottom w:w="0" w:type="dxa"/>
                    <w:right w:w="0" w:type="dxa"/>
                  </w:tcMar>
                  <w:vAlign w:val="center"/>
                </w:tcPr>
                <w:p w14:paraId="3B8B4654">
                  <w:pPr>
                    <w:jc w:val="center"/>
                    <w:rPr>
                      <w:rFonts w:hint="eastAsia"/>
                      <w:color w:val="auto"/>
                      <w:szCs w:val="21"/>
                    </w:rPr>
                  </w:pPr>
                </w:p>
              </w:tc>
              <w:tc>
                <w:tcPr>
                  <w:tcW w:w="343" w:type="pct"/>
                  <w:vMerge w:val="continue"/>
                  <w:noWrap w:val="0"/>
                  <w:tcMar>
                    <w:top w:w="0" w:type="dxa"/>
                    <w:left w:w="0" w:type="dxa"/>
                    <w:bottom w:w="0" w:type="dxa"/>
                    <w:right w:w="0" w:type="dxa"/>
                  </w:tcMar>
                  <w:vAlign w:val="center"/>
                </w:tcPr>
                <w:p w14:paraId="01B17943">
                  <w:pPr>
                    <w:jc w:val="center"/>
                    <w:rPr>
                      <w:rFonts w:hint="eastAsia"/>
                      <w:color w:val="auto"/>
                      <w:szCs w:val="21"/>
                    </w:rPr>
                  </w:pPr>
                </w:p>
              </w:tc>
              <w:tc>
                <w:tcPr>
                  <w:tcW w:w="2285" w:type="pct"/>
                  <w:noWrap w:val="0"/>
                  <w:tcMar>
                    <w:top w:w="0" w:type="dxa"/>
                    <w:left w:w="0" w:type="dxa"/>
                    <w:bottom w:w="0" w:type="dxa"/>
                    <w:right w:w="0" w:type="dxa"/>
                  </w:tcMar>
                  <w:vAlign w:val="center"/>
                </w:tcPr>
                <w:p w14:paraId="442F8EA4">
                  <w:pPr>
                    <w:ind w:firstLine="420" w:firstLineChars="200"/>
                    <w:rPr>
                      <w:rFonts w:hint="eastAsia"/>
                      <w:color w:val="auto"/>
                      <w:szCs w:val="21"/>
                    </w:rPr>
                  </w:pPr>
                  <w:r>
                    <w:rPr>
                      <w:rFonts w:hint="eastAsia"/>
                      <w:color w:val="auto"/>
                      <w:szCs w:val="21"/>
                    </w:rPr>
                    <w:t>3．</w:t>
                  </w:r>
                  <w:r>
                    <w:rPr>
                      <w:rFonts w:hint="default" w:ascii="Times New Roman" w:hAnsi="Times New Roman" w:eastAsia="宋体" w:cs="Times New Roman"/>
                      <w:color w:val="auto"/>
                    </w:rPr>
                    <w:t>禁止在沿江地区新建或扩建化学工业园区，禁止新建或扩建以大宗进口油气资源为原料的石油加工、石油化工、基础有机无机化工、煤化工项目；禁止在长江干流和主要支流岸线1公里范围内新建危化品码头</w:t>
                  </w:r>
                  <w:r>
                    <w:rPr>
                      <w:rFonts w:hint="eastAsia"/>
                      <w:color w:val="auto"/>
                      <w:szCs w:val="21"/>
                    </w:rPr>
                    <w:t>。</w:t>
                  </w:r>
                </w:p>
              </w:tc>
              <w:tc>
                <w:tcPr>
                  <w:tcW w:w="1641" w:type="pct"/>
                  <w:noWrap w:val="0"/>
                  <w:tcMar>
                    <w:top w:w="0" w:type="dxa"/>
                    <w:left w:w="0" w:type="dxa"/>
                    <w:bottom w:w="0" w:type="dxa"/>
                    <w:right w:w="0" w:type="dxa"/>
                  </w:tcMar>
                  <w:vAlign w:val="center"/>
                </w:tcPr>
                <w:p w14:paraId="2125A284">
                  <w:pPr>
                    <w:jc w:val="center"/>
                    <w:rPr>
                      <w:rFonts w:hint="default" w:eastAsia="宋体"/>
                      <w:color w:val="auto"/>
                      <w:szCs w:val="21"/>
                      <w:lang w:val="en-US" w:eastAsia="zh-CN"/>
                    </w:rPr>
                  </w:pPr>
                  <w:r>
                    <w:rPr>
                      <w:rFonts w:hint="eastAsia"/>
                      <w:color w:val="auto"/>
                      <w:szCs w:val="21"/>
                      <w:lang w:val="en-US" w:eastAsia="zh-CN"/>
                    </w:rPr>
                    <w:t>本项目不在</w:t>
                  </w:r>
                  <w:r>
                    <w:rPr>
                      <w:rFonts w:hint="default" w:ascii="Times New Roman" w:hAnsi="Times New Roman" w:eastAsia="宋体" w:cs="Times New Roman"/>
                      <w:color w:val="auto"/>
                    </w:rPr>
                    <w:t>长江干流和主要支流岸线1公里范围</w:t>
                  </w:r>
                  <w:r>
                    <w:rPr>
                      <w:rFonts w:hint="eastAsia"/>
                      <w:color w:val="auto"/>
                      <w:szCs w:val="21"/>
                      <w:lang w:val="en-US" w:eastAsia="zh-CN"/>
                    </w:rPr>
                    <w:t>内。</w:t>
                  </w:r>
                </w:p>
              </w:tc>
              <w:tc>
                <w:tcPr>
                  <w:tcW w:w="436" w:type="pct"/>
                  <w:noWrap w:val="0"/>
                  <w:tcMar>
                    <w:top w:w="0" w:type="dxa"/>
                    <w:left w:w="0" w:type="dxa"/>
                    <w:bottom w:w="0" w:type="dxa"/>
                    <w:right w:w="0" w:type="dxa"/>
                  </w:tcMar>
                  <w:vAlign w:val="center"/>
                </w:tcPr>
                <w:p w14:paraId="1A219D4A">
                  <w:pPr>
                    <w:jc w:val="center"/>
                    <w:rPr>
                      <w:rFonts w:hint="eastAsia"/>
                      <w:color w:val="auto"/>
                      <w:szCs w:val="21"/>
                    </w:rPr>
                  </w:pPr>
                  <w:r>
                    <w:rPr>
                      <w:color w:val="auto"/>
                      <w:szCs w:val="21"/>
                    </w:rPr>
                    <w:t>相符</w:t>
                  </w:r>
                </w:p>
              </w:tc>
            </w:tr>
            <w:tr w14:paraId="02BDF89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685" w:hRule="atLeast"/>
                <w:jc w:val="center"/>
              </w:trPr>
              <w:tc>
                <w:tcPr>
                  <w:tcW w:w="294" w:type="pct"/>
                  <w:vMerge w:val="continue"/>
                  <w:noWrap w:val="0"/>
                  <w:tcMar>
                    <w:top w:w="0" w:type="dxa"/>
                    <w:left w:w="0" w:type="dxa"/>
                    <w:bottom w:w="0" w:type="dxa"/>
                    <w:right w:w="0" w:type="dxa"/>
                  </w:tcMar>
                  <w:vAlign w:val="center"/>
                </w:tcPr>
                <w:p w14:paraId="50A74992">
                  <w:pPr>
                    <w:jc w:val="center"/>
                    <w:rPr>
                      <w:rFonts w:hint="eastAsia"/>
                      <w:color w:val="auto"/>
                      <w:szCs w:val="21"/>
                    </w:rPr>
                  </w:pPr>
                </w:p>
              </w:tc>
              <w:tc>
                <w:tcPr>
                  <w:tcW w:w="343" w:type="pct"/>
                  <w:vMerge w:val="continue"/>
                  <w:noWrap w:val="0"/>
                  <w:tcMar>
                    <w:top w:w="0" w:type="dxa"/>
                    <w:left w:w="0" w:type="dxa"/>
                    <w:bottom w:w="0" w:type="dxa"/>
                    <w:right w:w="0" w:type="dxa"/>
                  </w:tcMar>
                  <w:vAlign w:val="center"/>
                </w:tcPr>
                <w:p w14:paraId="5D5BC216">
                  <w:pPr>
                    <w:jc w:val="center"/>
                    <w:rPr>
                      <w:rFonts w:hint="eastAsia"/>
                      <w:color w:val="auto"/>
                      <w:szCs w:val="21"/>
                    </w:rPr>
                  </w:pPr>
                </w:p>
              </w:tc>
              <w:tc>
                <w:tcPr>
                  <w:tcW w:w="2285" w:type="pct"/>
                  <w:noWrap w:val="0"/>
                  <w:tcMar>
                    <w:top w:w="0" w:type="dxa"/>
                    <w:left w:w="0" w:type="dxa"/>
                    <w:bottom w:w="0" w:type="dxa"/>
                    <w:right w:w="0" w:type="dxa"/>
                  </w:tcMar>
                  <w:vAlign w:val="center"/>
                </w:tcPr>
                <w:p w14:paraId="4246D401">
                  <w:pPr>
                    <w:jc w:val="center"/>
                    <w:rPr>
                      <w:rFonts w:hint="eastAsia"/>
                      <w:color w:val="auto"/>
                      <w:szCs w:val="21"/>
                    </w:rPr>
                  </w:pPr>
                  <w:r>
                    <w:rPr>
                      <w:rFonts w:hint="eastAsia"/>
                      <w:color w:val="auto"/>
                      <w:szCs w:val="21"/>
                    </w:rPr>
                    <w:t>4．</w:t>
                  </w:r>
                  <w:r>
                    <w:rPr>
                      <w:rFonts w:hint="default" w:ascii="Times New Roman" w:hAnsi="Times New Roman" w:eastAsia="宋体" w:cs="Times New Roman"/>
                      <w:color w:val="auto"/>
                    </w:rPr>
                    <w:t>强化港口布局优化，禁止建设不符合国家港口布局规划和《江苏省沿江沿海港口布局规划（2015-2030年）》《江苏省内河港口布局规划（2017-2035年）》的码头项</w:t>
                  </w:r>
                  <w:r>
                    <w:rPr>
                      <w:rFonts w:hint="eastAsia" w:cs="Times New Roman"/>
                      <w:color w:val="auto"/>
                      <w:lang w:eastAsia="zh-CN"/>
                    </w:rPr>
                    <w:t>目</w:t>
                  </w:r>
                  <w:r>
                    <w:rPr>
                      <w:rFonts w:hint="eastAsia" w:cs="Times New Roman"/>
                      <w:color w:val="auto"/>
                      <w:lang w:val="en-US" w:eastAsia="zh-CN"/>
                    </w:rPr>
                    <w:t>,禁止建设未纳入《长江干线过江通道布局规划》的过江干线通道项目</w:t>
                  </w:r>
                  <w:r>
                    <w:rPr>
                      <w:rFonts w:hint="eastAsia"/>
                      <w:color w:val="auto"/>
                      <w:szCs w:val="21"/>
                    </w:rPr>
                    <w:t>。</w:t>
                  </w:r>
                </w:p>
              </w:tc>
              <w:tc>
                <w:tcPr>
                  <w:tcW w:w="1641" w:type="pct"/>
                  <w:noWrap w:val="0"/>
                  <w:tcMar>
                    <w:top w:w="0" w:type="dxa"/>
                    <w:left w:w="0" w:type="dxa"/>
                    <w:bottom w:w="0" w:type="dxa"/>
                    <w:right w:w="0" w:type="dxa"/>
                  </w:tcMar>
                  <w:vAlign w:val="center"/>
                </w:tcPr>
                <w:p w14:paraId="129C8308">
                  <w:pPr>
                    <w:jc w:val="center"/>
                    <w:rPr>
                      <w:rFonts w:hint="default" w:eastAsia="宋体"/>
                      <w:color w:val="auto"/>
                      <w:szCs w:val="21"/>
                      <w:lang w:val="en-US" w:eastAsia="zh-CN"/>
                    </w:rPr>
                  </w:pPr>
                  <w:r>
                    <w:rPr>
                      <w:rFonts w:hint="eastAsia"/>
                      <w:color w:val="auto"/>
                      <w:szCs w:val="21"/>
                      <w:lang w:val="en-US" w:eastAsia="zh-CN"/>
                    </w:rPr>
                    <w:t>本项目不属于</w:t>
                  </w:r>
                  <w:r>
                    <w:rPr>
                      <w:rFonts w:hint="default" w:ascii="Times New Roman" w:hAnsi="Times New Roman" w:eastAsia="宋体" w:cs="Times New Roman"/>
                      <w:color w:val="auto"/>
                    </w:rPr>
                    <w:t>码头项</w:t>
                  </w:r>
                  <w:r>
                    <w:rPr>
                      <w:rFonts w:hint="eastAsia" w:cs="Times New Roman"/>
                      <w:color w:val="auto"/>
                      <w:lang w:eastAsia="zh-CN"/>
                    </w:rPr>
                    <w:t>目、</w:t>
                  </w:r>
                  <w:r>
                    <w:rPr>
                      <w:rFonts w:hint="eastAsia" w:cs="Times New Roman"/>
                      <w:color w:val="auto"/>
                      <w:lang w:val="en-US" w:eastAsia="zh-CN"/>
                    </w:rPr>
                    <w:t>过江干线通道项目</w:t>
                  </w:r>
                  <w:r>
                    <w:rPr>
                      <w:rFonts w:hint="eastAsia"/>
                      <w:color w:val="auto"/>
                      <w:szCs w:val="21"/>
                      <w:lang w:val="en-US" w:eastAsia="zh-CN"/>
                    </w:rPr>
                    <w:t>。</w:t>
                  </w:r>
                </w:p>
              </w:tc>
              <w:tc>
                <w:tcPr>
                  <w:tcW w:w="436" w:type="pct"/>
                  <w:noWrap w:val="0"/>
                  <w:tcMar>
                    <w:top w:w="0" w:type="dxa"/>
                    <w:left w:w="0" w:type="dxa"/>
                    <w:bottom w:w="0" w:type="dxa"/>
                    <w:right w:w="0" w:type="dxa"/>
                  </w:tcMar>
                  <w:vAlign w:val="center"/>
                </w:tcPr>
                <w:p w14:paraId="25315E99">
                  <w:pPr>
                    <w:jc w:val="center"/>
                    <w:rPr>
                      <w:rFonts w:hint="eastAsia"/>
                      <w:color w:val="auto"/>
                      <w:szCs w:val="21"/>
                    </w:rPr>
                  </w:pPr>
                  <w:r>
                    <w:rPr>
                      <w:color w:val="auto"/>
                      <w:szCs w:val="21"/>
                    </w:rPr>
                    <w:t>相符</w:t>
                  </w:r>
                </w:p>
              </w:tc>
            </w:tr>
            <w:tr w14:paraId="46F0BEF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4" w:type="pct"/>
                  <w:vMerge w:val="continue"/>
                  <w:noWrap w:val="0"/>
                  <w:tcMar>
                    <w:top w:w="0" w:type="dxa"/>
                    <w:left w:w="0" w:type="dxa"/>
                    <w:bottom w:w="0" w:type="dxa"/>
                    <w:right w:w="0" w:type="dxa"/>
                  </w:tcMar>
                  <w:vAlign w:val="center"/>
                </w:tcPr>
                <w:p w14:paraId="5A813AA1">
                  <w:pPr>
                    <w:jc w:val="center"/>
                    <w:rPr>
                      <w:color w:val="auto"/>
                      <w:szCs w:val="21"/>
                    </w:rPr>
                  </w:pPr>
                </w:p>
              </w:tc>
              <w:tc>
                <w:tcPr>
                  <w:tcW w:w="343" w:type="pct"/>
                  <w:vMerge w:val="continue"/>
                  <w:noWrap w:val="0"/>
                  <w:tcMar>
                    <w:top w:w="0" w:type="dxa"/>
                    <w:left w:w="0" w:type="dxa"/>
                    <w:bottom w:w="0" w:type="dxa"/>
                    <w:right w:w="0" w:type="dxa"/>
                  </w:tcMar>
                  <w:vAlign w:val="center"/>
                </w:tcPr>
                <w:p w14:paraId="19EF718B">
                  <w:pPr>
                    <w:jc w:val="center"/>
                    <w:rPr>
                      <w:color w:val="auto"/>
                      <w:szCs w:val="21"/>
                    </w:rPr>
                  </w:pPr>
                </w:p>
              </w:tc>
              <w:tc>
                <w:tcPr>
                  <w:tcW w:w="2285" w:type="pct"/>
                  <w:noWrap w:val="0"/>
                  <w:tcMar>
                    <w:top w:w="0" w:type="dxa"/>
                    <w:left w:w="0" w:type="dxa"/>
                    <w:bottom w:w="0" w:type="dxa"/>
                    <w:right w:w="0" w:type="dxa"/>
                  </w:tcMar>
                  <w:vAlign w:val="center"/>
                </w:tcPr>
                <w:p w14:paraId="7D6E643F">
                  <w:pPr>
                    <w:jc w:val="center"/>
                    <w:rPr>
                      <w:rFonts w:hint="eastAsia" w:eastAsia="宋体"/>
                      <w:color w:val="auto"/>
                      <w:szCs w:val="21"/>
                      <w:lang w:eastAsia="zh-CN"/>
                    </w:rPr>
                  </w:pPr>
                  <w:r>
                    <w:rPr>
                      <w:rFonts w:hint="eastAsia"/>
                      <w:color w:val="auto"/>
                      <w:szCs w:val="21"/>
                    </w:rPr>
                    <w:t>5．</w:t>
                  </w:r>
                  <w:r>
                    <w:rPr>
                      <w:rFonts w:hint="default" w:ascii="Times New Roman" w:hAnsi="Times New Roman" w:eastAsia="宋体" w:cs="Times New Roman"/>
                      <w:color w:val="auto"/>
                    </w:rPr>
                    <w:t>禁止新建独立焦化项目</w:t>
                  </w:r>
                  <w:r>
                    <w:rPr>
                      <w:rFonts w:hint="eastAsia"/>
                      <w:color w:val="auto"/>
                      <w:szCs w:val="21"/>
                      <w:lang w:eastAsia="zh-CN"/>
                    </w:rPr>
                    <w:t>。</w:t>
                  </w:r>
                </w:p>
              </w:tc>
              <w:tc>
                <w:tcPr>
                  <w:tcW w:w="1641" w:type="pct"/>
                  <w:noWrap w:val="0"/>
                  <w:tcMar>
                    <w:top w:w="0" w:type="dxa"/>
                    <w:left w:w="0" w:type="dxa"/>
                    <w:bottom w:w="0" w:type="dxa"/>
                    <w:right w:w="0" w:type="dxa"/>
                  </w:tcMar>
                  <w:vAlign w:val="center"/>
                </w:tcPr>
                <w:p w14:paraId="755C2B5B">
                  <w:pPr>
                    <w:jc w:val="center"/>
                    <w:rPr>
                      <w:rFonts w:hint="eastAsia"/>
                      <w:color w:val="auto"/>
                      <w:szCs w:val="21"/>
                    </w:rPr>
                  </w:pPr>
                  <w:r>
                    <w:rPr>
                      <w:color w:val="auto"/>
                      <w:szCs w:val="21"/>
                    </w:rPr>
                    <w:t>本项目</w:t>
                  </w:r>
                  <w:r>
                    <w:rPr>
                      <w:rFonts w:hint="eastAsia"/>
                      <w:color w:val="auto"/>
                      <w:szCs w:val="21"/>
                      <w:lang w:val="en-US" w:eastAsia="zh-CN"/>
                    </w:rPr>
                    <w:t>不属于</w:t>
                  </w:r>
                  <w:r>
                    <w:rPr>
                      <w:rFonts w:hint="default" w:ascii="Times New Roman" w:hAnsi="Times New Roman" w:eastAsia="宋体" w:cs="Times New Roman"/>
                      <w:color w:val="auto"/>
                    </w:rPr>
                    <w:t>焦化项目</w:t>
                  </w:r>
                  <w:r>
                    <w:rPr>
                      <w:rFonts w:hint="eastAsia"/>
                      <w:color w:val="auto"/>
                      <w:szCs w:val="21"/>
                      <w:lang w:eastAsia="zh-CN"/>
                    </w:rPr>
                    <w:t>。</w:t>
                  </w:r>
                </w:p>
              </w:tc>
              <w:tc>
                <w:tcPr>
                  <w:tcW w:w="436" w:type="pct"/>
                  <w:noWrap w:val="0"/>
                  <w:tcMar>
                    <w:top w:w="0" w:type="dxa"/>
                    <w:left w:w="0" w:type="dxa"/>
                    <w:bottom w:w="0" w:type="dxa"/>
                    <w:right w:w="0" w:type="dxa"/>
                  </w:tcMar>
                  <w:vAlign w:val="center"/>
                </w:tcPr>
                <w:p w14:paraId="0E6B5050">
                  <w:pPr>
                    <w:jc w:val="center"/>
                    <w:rPr>
                      <w:color w:val="auto"/>
                      <w:szCs w:val="21"/>
                    </w:rPr>
                  </w:pPr>
                  <w:r>
                    <w:rPr>
                      <w:color w:val="auto"/>
                      <w:szCs w:val="21"/>
                    </w:rPr>
                    <w:t>相符</w:t>
                  </w:r>
                </w:p>
              </w:tc>
            </w:tr>
            <w:tr w14:paraId="47E336C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4" w:type="pct"/>
                  <w:vMerge w:val="restart"/>
                  <w:noWrap w:val="0"/>
                  <w:tcMar>
                    <w:top w:w="0" w:type="dxa"/>
                    <w:left w:w="0" w:type="dxa"/>
                    <w:bottom w:w="0" w:type="dxa"/>
                    <w:right w:w="0" w:type="dxa"/>
                  </w:tcMar>
                  <w:vAlign w:val="center"/>
                </w:tcPr>
                <w:p w14:paraId="71955609">
                  <w:pPr>
                    <w:jc w:val="center"/>
                    <w:rPr>
                      <w:color w:val="auto"/>
                      <w:szCs w:val="21"/>
                    </w:rPr>
                  </w:pPr>
                  <w:r>
                    <w:rPr>
                      <w:color w:val="auto"/>
                      <w:szCs w:val="21"/>
                    </w:rPr>
                    <w:t>2</w:t>
                  </w:r>
                </w:p>
              </w:tc>
              <w:tc>
                <w:tcPr>
                  <w:tcW w:w="343" w:type="pct"/>
                  <w:vMerge w:val="restart"/>
                  <w:noWrap w:val="0"/>
                  <w:tcMar>
                    <w:top w:w="0" w:type="dxa"/>
                    <w:left w:w="0" w:type="dxa"/>
                    <w:bottom w:w="0" w:type="dxa"/>
                    <w:right w:w="0" w:type="dxa"/>
                  </w:tcMar>
                  <w:vAlign w:val="center"/>
                </w:tcPr>
                <w:p w14:paraId="11C86704">
                  <w:pPr>
                    <w:jc w:val="center"/>
                    <w:rPr>
                      <w:color w:val="auto"/>
                      <w:szCs w:val="21"/>
                    </w:rPr>
                  </w:pPr>
                  <w:r>
                    <w:rPr>
                      <w:color w:val="auto"/>
                      <w:szCs w:val="21"/>
                    </w:rPr>
                    <w:t>污染物排放管控</w:t>
                  </w:r>
                </w:p>
              </w:tc>
              <w:tc>
                <w:tcPr>
                  <w:tcW w:w="2285" w:type="pct"/>
                  <w:noWrap w:val="0"/>
                  <w:tcMar>
                    <w:top w:w="0" w:type="dxa"/>
                    <w:left w:w="0" w:type="dxa"/>
                    <w:bottom w:w="0" w:type="dxa"/>
                    <w:right w:w="0" w:type="dxa"/>
                  </w:tcMar>
                  <w:vAlign w:val="center"/>
                </w:tcPr>
                <w:p w14:paraId="262584FE">
                  <w:pPr>
                    <w:jc w:val="center"/>
                    <w:rPr>
                      <w:color w:val="auto"/>
                      <w:szCs w:val="21"/>
                    </w:rPr>
                  </w:pPr>
                  <w:r>
                    <w:rPr>
                      <w:color w:val="auto"/>
                      <w:szCs w:val="21"/>
                      <w:lang w:val="en-US" w:eastAsia="zh-CN"/>
                    </w:rPr>
                    <w:t>1．</w:t>
                  </w:r>
                  <w:r>
                    <w:rPr>
                      <w:rFonts w:hint="default" w:ascii="Times New Roman" w:hAnsi="Times New Roman" w:eastAsia="宋体" w:cs="Times New Roman"/>
                      <w:color w:val="auto"/>
                    </w:rPr>
                    <w:t>根据《江苏省长江水污染防治条例》实施污染物总量控制制度</w:t>
                  </w:r>
                  <w:r>
                    <w:rPr>
                      <w:rFonts w:hint="default"/>
                      <w:color w:val="auto"/>
                      <w:szCs w:val="21"/>
                      <w:lang w:val="en-US" w:eastAsia="zh-CN"/>
                    </w:rPr>
                    <w:t>。</w:t>
                  </w:r>
                </w:p>
              </w:tc>
              <w:tc>
                <w:tcPr>
                  <w:tcW w:w="1641" w:type="pct"/>
                  <w:noWrap w:val="0"/>
                  <w:tcMar>
                    <w:top w:w="0" w:type="dxa"/>
                    <w:left w:w="0" w:type="dxa"/>
                    <w:bottom w:w="0" w:type="dxa"/>
                    <w:right w:w="0" w:type="dxa"/>
                  </w:tcMar>
                  <w:vAlign w:val="center"/>
                </w:tcPr>
                <w:p w14:paraId="7AA00FBB">
                  <w:pPr>
                    <w:jc w:val="center"/>
                    <w:rPr>
                      <w:rFonts w:hint="eastAsia"/>
                      <w:color w:val="auto"/>
                      <w:szCs w:val="21"/>
                    </w:rPr>
                  </w:pPr>
                  <w:r>
                    <w:rPr>
                      <w:color w:val="auto"/>
                      <w:szCs w:val="21"/>
                    </w:rPr>
                    <w:t>本项目应按要求向常州市金坛生态环境局申请总量</w:t>
                  </w:r>
                  <w:r>
                    <w:rPr>
                      <w:rFonts w:hint="eastAsia"/>
                      <w:color w:val="auto"/>
                      <w:szCs w:val="21"/>
                    </w:rPr>
                    <w:t>。</w:t>
                  </w:r>
                </w:p>
              </w:tc>
              <w:tc>
                <w:tcPr>
                  <w:tcW w:w="436" w:type="pct"/>
                  <w:noWrap w:val="0"/>
                  <w:tcMar>
                    <w:top w:w="0" w:type="dxa"/>
                    <w:left w:w="0" w:type="dxa"/>
                    <w:bottom w:w="0" w:type="dxa"/>
                    <w:right w:w="0" w:type="dxa"/>
                  </w:tcMar>
                  <w:vAlign w:val="center"/>
                </w:tcPr>
                <w:p w14:paraId="10EAE9FF">
                  <w:pPr>
                    <w:jc w:val="center"/>
                    <w:rPr>
                      <w:color w:val="auto"/>
                      <w:szCs w:val="21"/>
                    </w:rPr>
                  </w:pPr>
                  <w:r>
                    <w:rPr>
                      <w:color w:val="auto"/>
                      <w:szCs w:val="21"/>
                    </w:rPr>
                    <w:t>相符</w:t>
                  </w:r>
                </w:p>
              </w:tc>
            </w:tr>
            <w:tr w14:paraId="56F6E1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4" w:type="pct"/>
                  <w:vMerge w:val="continue"/>
                  <w:noWrap w:val="0"/>
                  <w:tcMar>
                    <w:top w:w="0" w:type="dxa"/>
                    <w:left w:w="0" w:type="dxa"/>
                    <w:bottom w:w="0" w:type="dxa"/>
                    <w:right w:w="0" w:type="dxa"/>
                  </w:tcMar>
                  <w:vAlign w:val="center"/>
                </w:tcPr>
                <w:p w14:paraId="40E154D8">
                  <w:pPr>
                    <w:jc w:val="center"/>
                    <w:rPr>
                      <w:color w:val="auto"/>
                      <w:szCs w:val="21"/>
                    </w:rPr>
                  </w:pPr>
                </w:p>
              </w:tc>
              <w:tc>
                <w:tcPr>
                  <w:tcW w:w="343" w:type="pct"/>
                  <w:vMerge w:val="continue"/>
                  <w:noWrap w:val="0"/>
                  <w:tcMar>
                    <w:top w:w="0" w:type="dxa"/>
                    <w:left w:w="0" w:type="dxa"/>
                    <w:bottom w:w="0" w:type="dxa"/>
                    <w:right w:w="0" w:type="dxa"/>
                  </w:tcMar>
                  <w:vAlign w:val="center"/>
                </w:tcPr>
                <w:p w14:paraId="1D92AE25">
                  <w:pPr>
                    <w:jc w:val="center"/>
                    <w:rPr>
                      <w:color w:val="auto"/>
                      <w:szCs w:val="21"/>
                    </w:rPr>
                  </w:pPr>
                </w:p>
              </w:tc>
              <w:tc>
                <w:tcPr>
                  <w:tcW w:w="2285" w:type="pct"/>
                  <w:noWrap w:val="0"/>
                  <w:tcMar>
                    <w:top w:w="0" w:type="dxa"/>
                    <w:left w:w="0" w:type="dxa"/>
                    <w:bottom w:w="0" w:type="dxa"/>
                    <w:right w:w="0" w:type="dxa"/>
                  </w:tcMar>
                  <w:vAlign w:val="center"/>
                </w:tcPr>
                <w:p w14:paraId="1A82DE1C">
                  <w:pPr>
                    <w:jc w:val="center"/>
                    <w:rPr>
                      <w:color w:val="auto"/>
                      <w:szCs w:val="21"/>
                    </w:rPr>
                  </w:pPr>
                  <w:r>
                    <w:rPr>
                      <w:rFonts w:hint="default"/>
                      <w:color w:val="auto"/>
                      <w:szCs w:val="21"/>
                      <w:lang w:val="en-US" w:eastAsia="zh-CN"/>
                    </w:rPr>
                    <w:t>2．</w:t>
                  </w:r>
                  <w:r>
                    <w:rPr>
                      <w:rFonts w:hint="default" w:ascii="Times New Roman" w:hAnsi="Times New Roman" w:eastAsia="宋体" w:cs="Times New Roman"/>
                      <w:color w:val="auto"/>
                    </w:rPr>
                    <w:t>全面加强和规范长江入河排污口管理，有效管控入河污染物排放，形成权责清晰、监控到位、管理规范的长江入河排污口监管体系，加快改善长江水环境质量</w:t>
                  </w:r>
                  <w:r>
                    <w:rPr>
                      <w:rFonts w:hint="default"/>
                      <w:color w:val="auto"/>
                      <w:szCs w:val="21"/>
                      <w:lang w:val="en-US" w:eastAsia="zh-CN"/>
                    </w:rPr>
                    <w:t>。</w:t>
                  </w:r>
                </w:p>
              </w:tc>
              <w:tc>
                <w:tcPr>
                  <w:tcW w:w="1641" w:type="pct"/>
                  <w:noWrap w:val="0"/>
                  <w:tcMar>
                    <w:top w:w="0" w:type="dxa"/>
                    <w:left w:w="0" w:type="dxa"/>
                    <w:bottom w:w="0" w:type="dxa"/>
                    <w:right w:w="0" w:type="dxa"/>
                  </w:tcMar>
                  <w:vAlign w:val="center"/>
                </w:tcPr>
                <w:p w14:paraId="0822E011">
                  <w:pPr>
                    <w:jc w:val="center"/>
                    <w:rPr>
                      <w:rFonts w:hint="eastAsia"/>
                      <w:color w:val="auto"/>
                      <w:szCs w:val="21"/>
                    </w:rPr>
                  </w:pPr>
                  <w:r>
                    <w:rPr>
                      <w:color w:val="auto"/>
                      <w:szCs w:val="21"/>
                    </w:rPr>
                    <w:t>本项目</w:t>
                  </w:r>
                  <w:r>
                    <w:rPr>
                      <w:rFonts w:hint="default" w:ascii="Times New Roman" w:hAnsi="Times New Roman" w:eastAsia="宋体" w:cs="Times New Roman"/>
                      <w:b w:val="0"/>
                      <w:bCs w:val="0"/>
                      <w:color w:val="auto"/>
                      <w:sz w:val="21"/>
                      <w:szCs w:val="21"/>
                      <w:lang w:val="en-US" w:eastAsia="zh-CN"/>
                    </w:rPr>
                    <w:t>不涉及长江入河排污口</w:t>
                  </w:r>
                  <w:r>
                    <w:rPr>
                      <w:rFonts w:hint="eastAsia"/>
                      <w:color w:val="auto"/>
                      <w:szCs w:val="21"/>
                    </w:rPr>
                    <w:t>。</w:t>
                  </w:r>
                </w:p>
              </w:tc>
              <w:tc>
                <w:tcPr>
                  <w:tcW w:w="436" w:type="pct"/>
                  <w:noWrap w:val="0"/>
                  <w:tcMar>
                    <w:top w:w="0" w:type="dxa"/>
                    <w:left w:w="0" w:type="dxa"/>
                    <w:bottom w:w="0" w:type="dxa"/>
                    <w:right w:w="0" w:type="dxa"/>
                  </w:tcMar>
                  <w:vAlign w:val="center"/>
                </w:tcPr>
                <w:p w14:paraId="53FA8989">
                  <w:pPr>
                    <w:jc w:val="center"/>
                    <w:rPr>
                      <w:color w:val="auto"/>
                      <w:szCs w:val="21"/>
                    </w:rPr>
                  </w:pPr>
                  <w:r>
                    <w:rPr>
                      <w:color w:val="auto"/>
                      <w:szCs w:val="21"/>
                    </w:rPr>
                    <w:t>相符</w:t>
                  </w:r>
                </w:p>
              </w:tc>
            </w:tr>
            <w:tr w14:paraId="1C29B1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4" w:type="pct"/>
                  <w:vMerge w:val="restart"/>
                  <w:noWrap w:val="0"/>
                  <w:tcMar>
                    <w:top w:w="0" w:type="dxa"/>
                    <w:left w:w="0" w:type="dxa"/>
                    <w:bottom w:w="0" w:type="dxa"/>
                    <w:right w:w="0" w:type="dxa"/>
                  </w:tcMar>
                  <w:vAlign w:val="center"/>
                </w:tcPr>
                <w:p w14:paraId="7C247497">
                  <w:pPr>
                    <w:jc w:val="center"/>
                    <w:rPr>
                      <w:color w:val="auto"/>
                      <w:szCs w:val="21"/>
                    </w:rPr>
                  </w:pPr>
                  <w:r>
                    <w:rPr>
                      <w:color w:val="auto"/>
                      <w:szCs w:val="21"/>
                    </w:rPr>
                    <w:t>3</w:t>
                  </w:r>
                </w:p>
              </w:tc>
              <w:tc>
                <w:tcPr>
                  <w:tcW w:w="343" w:type="pct"/>
                  <w:vMerge w:val="restart"/>
                  <w:noWrap w:val="0"/>
                  <w:tcMar>
                    <w:top w:w="0" w:type="dxa"/>
                    <w:left w:w="0" w:type="dxa"/>
                    <w:bottom w:w="0" w:type="dxa"/>
                    <w:right w:w="0" w:type="dxa"/>
                  </w:tcMar>
                  <w:vAlign w:val="center"/>
                </w:tcPr>
                <w:p w14:paraId="743AE3C9">
                  <w:pPr>
                    <w:jc w:val="center"/>
                    <w:rPr>
                      <w:color w:val="auto"/>
                      <w:szCs w:val="21"/>
                    </w:rPr>
                  </w:pPr>
                  <w:r>
                    <w:rPr>
                      <w:color w:val="auto"/>
                      <w:szCs w:val="21"/>
                    </w:rPr>
                    <w:t>环境风险防控</w:t>
                  </w:r>
                </w:p>
              </w:tc>
              <w:tc>
                <w:tcPr>
                  <w:tcW w:w="2285" w:type="pct"/>
                  <w:noWrap w:val="0"/>
                  <w:tcMar>
                    <w:top w:w="0" w:type="dxa"/>
                    <w:left w:w="0" w:type="dxa"/>
                    <w:bottom w:w="0" w:type="dxa"/>
                    <w:right w:w="0" w:type="dxa"/>
                  </w:tcMar>
                  <w:vAlign w:val="center"/>
                </w:tcPr>
                <w:p w14:paraId="65085AD0">
                  <w:pPr>
                    <w:jc w:val="center"/>
                    <w:rPr>
                      <w:rFonts w:hint="eastAsia"/>
                      <w:color w:val="auto"/>
                      <w:kern w:val="2"/>
                      <w:sz w:val="21"/>
                      <w:szCs w:val="21"/>
                      <w:lang w:val="en-US" w:eastAsia="zh-CN" w:bidi="ar-SA"/>
                    </w:rPr>
                  </w:pPr>
                  <w:r>
                    <w:rPr>
                      <w:rFonts w:hint="eastAsia"/>
                      <w:color w:val="auto"/>
                      <w:szCs w:val="21"/>
                      <w:lang w:val="en-US" w:eastAsia="zh-CN"/>
                    </w:rPr>
                    <w:t>1．</w:t>
                  </w:r>
                  <w:r>
                    <w:rPr>
                      <w:rFonts w:hint="default" w:ascii="Times New Roman" w:hAnsi="Times New Roman" w:eastAsia="宋体" w:cs="Times New Roman"/>
                      <w:color w:val="auto"/>
                    </w:rPr>
                    <w:t>防范沿江环境风险。深化沿江石化、化工、医药、纺织、印染、化纤、危化品和石油类仓储、涉重金属和危险废物处置等重点企业环境风险防控</w:t>
                  </w:r>
                  <w:r>
                    <w:rPr>
                      <w:rFonts w:hint="eastAsia"/>
                      <w:color w:val="auto"/>
                      <w:szCs w:val="21"/>
                      <w:lang w:val="en-US" w:eastAsia="zh-CN"/>
                    </w:rPr>
                    <w:t>。</w:t>
                  </w:r>
                </w:p>
              </w:tc>
              <w:tc>
                <w:tcPr>
                  <w:tcW w:w="1641" w:type="pct"/>
                  <w:noWrap w:val="0"/>
                  <w:tcMar>
                    <w:top w:w="0" w:type="dxa"/>
                    <w:left w:w="0" w:type="dxa"/>
                    <w:bottom w:w="0" w:type="dxa"/>
                    <w:right w:w="0" w:type="dxa"/>
                  </w:tcMar>
                  <w:vAlign w:val="center"/>
                </w:tcPr>
                <w:p w14:paraId="2C7526C0">
                  <w:pPr>
                    <w:jc w:val="center"/>
                    <w:rPr>
                      <w:rFonts w:hint="eastAsia"/>
                      <w:color w:val="auto"/>
                      <w:kern w:val="2"/>
                      <w:sz w:val="21"/>
                      <w:szCs w:val="21"/>
                      <w:lang w:val="en-US" w:eastAsia="zh-CN" w:bidi="ar-SA"/>
                    </w:rPr>
                  </w:pPr>
                  <w:r>
                    <w:rPr>
                      <w:color w:val="auto"/>
                      <w:szCs w:val="21"/>
                    </w:rPr>
                    <w:t>本项目不</w:t>
                  </w:r>
                  <w:r>
                    <w:rPr>
                      <w:rFonts w:hint="eastAsia"/>
                      <w:color w:val="auto"/>
                      <w:szCs w:val="21"/>
                      <w:lang w:val="en-US" w:eastAsia="zh-CN"/>
                    </w:rPr>
                    <w:t>涉及</w:t>
                  </w:r>
                  <w:r>
                    <w:rPr>
                      <w:rFonts w:hint="default" w:ascii="Times New Roman" w:hAnsi="Times New Roman" w:eastAsia="宋体" w:cs="Times New Roman"/>
                      <w:color w:val="auto"/>
                    </w:rPr>
                    <w:t>石化、化工、医药、纺织、印染、化纤、危化品和石油类仓储</w:t>
                  </w:r>
                  <w:r>
                    <w:rPr>
                      <w:rFonts w:hint="eastAsia"/>
                      <w:color w:val="auto"/>
                      <w:szCs w:val="21"/>
                    </w:rPr>
                    <w:t>；</w:t>
                  </w:r>
                  <w:r>
                    <w:rPr>
                      <w:rFonts w:hint="eastAsia"/>
                      <w:color w:val="auto"/>
                      <w:szCs w:val="21"/>
                      <w:lang w:val="en-US" w:eastAsia="zh-CN"/>
                    </w:rPr>
                    <w:t>本项目</w:t>
                  </w:r>
                  <w:r>
                    <w:rPr>
                      <w:color w:val="auto"/>
                      <w:szCs w:val="21"/>
                    </w:rPr>
                    <w:t>产生的危险废物交由有资质单位处置，</w:t>
                  </w:r>
                  <w:r>
                    <w:rPr>
                      <w:rFonts w:hint="eastAsia"/>
                      <w:color w:val="auto"/>
                      <w:szCs w:val="21"/>
                      <w:lang w:val="en-US" w:eastAsia="zh-CN"/>
                    </w:rPr>
                    <w:t>零</w:t>
                  </w:r>
                  <w:r>
                    <w:rPr>
                      <w:color w:val="auto"/>
                      <w:szCs w:val="21"/>
                    </w:rPr>
                    <w:t>排放。</w:t>
                  </w:r>
                </w:p>
              </w:tc>
              <w:tc>
                <w:tcPr>
                  <w:tcW w:w="436" w:type="pct"/>
                  <w:noWrap w:val="0"/>
                  <w:tcMar>
                    <w:top w:w="0" w:type="dxa"/>
                    <w:left w:w="0" w:type="dxa"/>
                    <w:bottom w:w="0" w:type="dxa"/>
                    <w:right w:w="0" w:type="dxa"/>
                  </w:tcMar>
                  <w:vAlign w:val="center"/>
                </w:tcPr>
                <w:p w14:paraId="7FA546B7">
                  <w:pPr>
                    <w:jc w:val="center"/>
                    <w:rPr>
                      <w:color w:val="auto"/>
                      <w:kern w:val="2"/>
                      <w:sz w:val="21"/>
                      <w:szCs w:val="21"/>
                      <w:lang w:val="en-US" w:eastAsia="zh-CN" w:bidi="ar-SA"/>
                    </w:rPr>
                  </w:pPr>
                  <w:r>
                    <w:rPr>
                      <w:color w:val="auto"/>
                      <w:szCs w:val="21"/>
                    </w:rPr>
                    <w:t>相符</w:t>
                  </w:r>
                </w:p>
              </w:tc>
            </w:tr>
            <w:tr w14:paraId="55EF49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4" w:type="pct"/>
                  <w:vMerge w:val="continue"/>
                  <w:noWrap w:val="0"/>
                  <w:tcMar>
                    <w:top w:w="0" w:type="dxa"/>
                    <w:left w:w="0" w:type="dxa"/>
                    <w:bottom w:w="0" w:type="dxa"/>
                    <w:right w:w="0" w:type="dxa"/>
                  </w:tcMar>
                  <w:vAlign w:val="center"/>
                </w:tcPr>
                <w:p w14:paraId="634068F0">
                  <w:pPr>
                    <w:jc w:val="center"/>
                    <w:rPr>
                      <w:color w:val="auto"/>
                      <w:szCs w:val="21"/>
                    </w:rPr>
                  </w:pPr>
                </w:p>
              </w:tc>
              <w:tc>
                <w:tcPr>
                  <w:tcW w:w="343" w:type="pct"/>
                  <w:vMerge w:val="continue"/>
                  <w:noWrap w:val="0"/>
                  <w:tcMar>
                    <w:top w:w="0" w:type="dxa"/>
                    <w:left w:w="0" w:type="dxa"/>
                    <w:bottom w:w="0" w:type="dxa"/>
                    <w:right w:w="0" w:type="dxa"/>
                  </w:tcMar>
                  <w:vAlign w:val="center"/>
                </w:tcPr>
                <w:p w14:paraId="7E0E0181">
                  <w:pPr>
                    <w:jc w:val="center"/>
                    <w:rPr>
                      <w:color w:val="auto"/>
                      <w:szCs w:val="21"/>
                    </w:rPr>
                  </w:pPr>
                </w:p>
              </w:tc>
              <w:tc>
                <w:tcPr>
                  <w:tcW w:w="2285" w:type="pct"/>
                  <w:noWrap w:val="0"/>
                  <w:tcMar>
                    <w:top w:w="0" w:type="dxa"/>
                    <w:left w:w="0" w:type="dxa"/>
                    <w:bottom w:w="0" w:type="dxa"/>
                    <w:right w:w="0" w:type="dxa"/>
                  </w:tcMar>
                  <w:vAlign w:val="center"/>
                </w:tcPr>
                <w:p w14:paraId="367948FB">
                  <w:pPr>
                    <w:jc w:val="center"/>
                    <w:rPr>
                      <w:rFonts w:hint="eastAsia"/>
                      <w:color w:val="auto"/>
                      <w:kern w:val="2"/>
                      <w:sz w:val="21"/>
                      <w:szCs w:val="21"/>
                      <w:lang w:val="en-US" w:eastAsia="zh-CN" w:bidi="ar-SA"/>
                    </w:rPr>
                  </w:pPr>
                  <w:r>
                    <w:rPr>
                      <w:rFonts w:hint="eastAsia"/>
                      <w:color w:val="auto"/>
                      <w:szCs w:val="21"/>
                      <w:lang w:val="en-US" w:eastAsia="zh-CN"/>
                    </w:rPr>
                    <w:t>2．</w:t>
                  </w:r>
                  <w:r>
                    <w:rPr>
                      <w:rFonts w:hint="default" w:ascii="Times New Roman" w:hAnsi="Times New Roman" w:eastAsia="宋体" w:cs="Times New Roman"/>
                      <w:color w:val="auto"/>
                    </w:rPr>
                    <w:t>加强饮用水水源保护。优化水源保护区划定，推动饮用水水源地规范化建设</w:t>
                  </w:r>
                  <w:r>
                    <w:rPr>
                      <w:rFonts w:hint="eastAsia"/>
                      <w:color w:val="auto"/>
                      <w:szCs w:val="21"/>
                      <w:lang w:val="en-US" w:eastAsia="zh-CN"/>
                    </w:rPr>
                    <w:t>。</w:t>
                  </w:r>
                </w:p>
              </w:tc>
              <w:tc>
                <w:tcPr>
                  <w:tcW w:w="1641" w:type="pct"/>
                  <w:noWrap w:val="0"/>
                  <w:tcMar>
                    <w:top w:w="0" w:type="dxa"/>
                    <w:left w:w="0" w:type="dxa"/>
                    <w:bottom w:w="0" w:type="dxa"/>
                    <w:right w:w="0" w:type="dxa"/>
                  </w:tcMar>
                  <w:vAlign w:val="center"/>
                </w:tcPr>
                <w:p w14:paraId="25F7372D">
                  <w:pPr>
                    <w:jc w:val="center"/>
                    <w:rPr>
                      <w:rFonts w:hint="eastAsia"/>
                      <w:color w:val="auto"/>
                      <w:kern w:val="2"/>
                      <w:sz w:val="21"/>
                      <w:szCs w:val="21"/>
                      <w:lang w:val="en-US" w:eastAsia="zh-CN" w:bidi="ar-SA"/>
                    </w:rPr>
                  </w:pPr>
                  <w:r>
                    <w:rPr>
                      <w:color w:val="auto"/>
                      <w:szCs w:val="21"/>
                    </w:rPr>
                    <w:t>项目</w:t>
                  </w:r>
                  <w:r>
                    <w:rPr>
                      <w:rFonts w:hint="eastAsia"/>
                      <w:color w:val="auto"/>
                      <w:szCs w:val="21"/>
                      <w:lang w:val="en-US" w:eastAsia="zh-CN"/>
                    </w:rPr>
                    <w:t>不涉及</w:t>
                  </w:r>
                  <w:r>
                    <w:rPr>
                      <w:rFonts w:hint="default" w:ascii="Times New Roman" w:hAnsi="Times New Roman" w:eastAsia="宋体" w:cs="Times New Roman"/>
                      <w:color w:val="auto"/>
                    </w:rPr>
                    <w:t>饮用水水源保护</w:t>
                  </w:r>
                  <w:r>
                    <w:rPr>
                      <w:rFonts w:hint="eastAsia" w:ascii="Times New Roman" w:hAnsi="Times New Roman" w:eastAsia="宋体" w:cs="Times New Roman"/>
                      <w:color w:val="auto"/>
                      <w:lang w:val="en-US" w:eastAsia="zh-CN"/>
                    </w:rPr>
                    <w:t>区</w:t>
                  </w:r>
                  <w:r>
                    <w:rPr>
                      <w:rFonts w:hint="eastAsia"/>
                      <w:color w:val="auto"/>
                      <w:szCs w:val="21"/>
                    </w:rPr>
                    <w:t>。</w:t>
                  </w:r>
                </w:p>
              </w:tc>
              <w:tc>
                <w:tcPr>
                  <w:tcW w:w="436" w:type="pct"/>
                  <w:noWrap w:val="0"/>
                  <w:tcMar>
                    <w:top w:w="0" w:type="dxa"/>
                    <w:left w:w="0" w:type="dxa"/>
                    <w:bottom w:w="0" w:type="dxa"/>
                    <w:right w:w="0" w:type="dxa"/>
                  </w:tcMar>
                  <w:vAlign w:val="center"/>
                </w:tcPr>
                <w:p w14:paraId="53790D26">
                  <w:pPr>
                    <w:jc w:val="center"/>
                    <w:rPr>
                      <w:color w:val="auto"/>
                      <w:kern w:val="2"/>
                      <w:sz w:val="21"/>
                      <w:szCs w:val="21"/>
                      <w:lang w:val="en-US" w:eastAsia="zh-CN" w:bidi="ar-SA"/>
                    </w:rPr>
                  </w:pPr>
                  <w:r>
                    <w:rPr>
                      <w:color w:val="auto"/>
                      <w:szCs w:val="21"/>
                    </w:rPr>
                    <w:t>相符</w:t>
                  </w:r>
                </w:p>
              </w:tc>
            </w:tr>
            <w:tr w14:paraId="6FC5DEC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4" w:type="pct"/>
                  <w:noWrap w:val="0"/>
                  <w:tcMar>
                    <w:top w:w="0" w:type="dxa"/>
                    <w:left w:w="0" w:type="dxa"/>
                    <w:bottom w:w="0" w:type="dxa"/>
                    <w:right w:w="0" w:type="dxa"/>
                  </w:tcMar>
                  <w:vAlign w:val="center"/>
                </w:tcPr>
                <w:p w14:paraId="23BFABCB">
                  <w:pPr>
                    <w:jc w:val="center"/>
                    <w:rPr>
                      <w:rFonts w:hint="eastAsia" w:eastAsia="宋体"/>
                      <w:color w:val="auto"/>
                      <w:szCs w:val="21"/>
                      <w:lang w:val="en-US" w:eastAsia="zh-CN"/>
                    </w:rPr>
                  </w:pPr>
                  <w:r>
                    <w:rPr>
                      <w:rFonts w:hint="eastAsia"/>
                      <w:color w:val="auto"/>
                      <w:szCs w:val="21"/>
                      <w:lang w:val="en-US" w:eastAsia="zh-CN"/>
                    </w:rPr>
                    <w:t>4</w:t>
                  </w:r>
                </w:p>
              </w:tc>
              <w:tc>
                <w:tcPr>
                  <w:tcW w:w="343" w:type="pct"/>
                  <w:noWrap w:val="0"/>
                  <w:tcMar>
                    <w:top w:w="0" w:type="dxa"/>
                    <w:left w:w="0" w:type="dxa"/>
                    <w:bottom w:w="0" w:type="dxa"/>
                    <w:right w:w="0" w:type="dxa"/>
                  </w:tcMar>
                  <w:vAlign w:val="center"/>
                </w:tcPr>
                <w:p w14:paraId="5931D8CD">
                  <w:pPr>
                    <w:jc w:val="center"/>
                    <w:rPr>
                      <w:rFonts w:hint="default" w:eastAsia="宋体"/>
                      <w:color w:val="auto"/>
                      <w:szCs w:val="21"/>
                      <w:lang w:val="en-US" w:eastAsia="zh-CN"/>
                    </w:rPr>
                  </w:pPr>
                  <w:r>
                    <w:rPr>
                      <w:rFonts w:hint="eastAsia"/>
                      <w:color w:val="auto"/>
                      <w:szCs w:val="21"/>
                      <w:lang w:val="en-US" w:eastAsia="zh-CN"/>
                    </w:rPr>
                    <w:t>资源利用效率要求</w:t>
                  </w:r>
                </w:p>
              </w:tc>
              <w:tc>
                <w:tcPr>
                  <w:tcW w:w="2285" w:type="pct"/>
                  <w:noWrap w:val="0"/>
                  <w:tcMar>
                    <w:top w:w="0" w:type="dxa"/>
                    <w:left w:w="0" w:type="dxa"/>
                    <w:bottom w:w="0" w:type="dxa"/>
                    <w:right w:w="0" w:type="dxa"/>
                  </w:tcMar>
                  <w:vAlign w:val="center"/>
                </w:tcPr>
                <w:p w14:paraId="57CD823A">
                  <w:pPr>
                    <w:jc w:val="center"/>
                    <w:rPr>
                      <w:rFonts w:hint="eastAsia"/>
                      <w:color w:val="auto"/>
                      <w:szCs w:val="21"/>
                      <w:lang w:val="en-US" w:eastAsia="zh-CN"/>
                    </w:rPr>
                  </w:pPr>
                  <w:r>
                    <w:rPr>
                      <w:rFonts w:hint="eastAsia"/>
                      <w:color w:val="auto"/>
                      <w:szCs w:val="21"/>
                      <w:lang w:val="en-US" w:eastAsia="zh-CN"/>
                    </w:rPr>
                    <w:t>禁止在长江干支流岸线管控范围内新建、扩建化工园区和化工项目。禁止在长江干流岸线和重要支流岸线管控范围内新建、改建、扩建尾矿库，但是以提升安全、生态环境保护水平为目的的改建除外。</w:t>
                  </w:r>
                </w:p>
              </w:tc>
              <w:tc>
                <w:tcPr>
                  <w:tcW w:w="2860" w:type="dxa"/>
                  <w:noWrap w:val="0"/>
                  <w:tcMar>
                    <w:top w:w="0" w:type="dxa"/>
                    <w:left w:w="0" w:type="dxa"/>
                    <w:bottom w:w="0" w:type="dxa"/>
                    <w:right w:w="0" w:type="dxa"/>
                  </w:tcMar>
                  <w:vAlign w:val="center"/>
                </w:tcPr>
                <w:p w14:paraId="0D067AB1">
                  <w:pPr>
                    <w:jc w:val="center"/>
                    <w:rPr>
                      <w:color w:val="auto"/>
                      <w:szCs w:val="21"/>
                    </w:rPr>
                  </w:pPr>
                  <w:r>
                    <w:rPr>
                      <w:color w:val="auto"/>
                      <w:szCs w:val="21"/>
                    </w:rPr>
                    <w:t>本项目不</w:t>
                  </w:r>
                  <w:r>
                    <w:rPr>
                      <w:rFonts w:hint="eastAsia"/>
                      <w:color w:val="auto"/>
                      <w:szCs w:val="21"/>
                      <w:lang w:val="en-US" w:eastAsia="zh-CN"/>
                    </w:rPr>
                    <w:t>属于化工、尾矿库项目</w:t>
                  </w:r>
                  <w:r>
                    <w:rPr>
                      <w:color w:val="auto"/>
                      <w:szCs w:val="21"/>
                    </w:rPr>
                    <w:t>。</w:t>
                  </w:r>
                </w:p>
              </w:tc>
              <w:tc>
                <w:tcPr>
                  <w:tcW w:w="762" w:type="dxa"/>
                  <w:noWrap w:val="0"/>
                  <w:tcMar>
                    <w:top w:w="0" w:type="dxa"/>
                    <w:left w:w="0" w:type="dxa"/>
                    <w:bottom w:w="0" w:type="dxa"/>
                    <w:right w:w="0" w:type="dxa"/>
                  </w:tcMar>
                  <w:vAlign w:val="center"/>
                </w:tcPr>
                <w:p w14:paraId="6A98A71F">
                  <w:pPr>
                    <w:jc w:val="center"/>
                    <w:rPr>
                      <w:color w:val="auto"/>
                      <w:szCs w:val="21"/>
                    </w:rPr>
                  </w:pPr>
                  <w:r>
                    <w:rPr>
                      <w:color w:val="auto"/>
                      <w:szCs w:val="21"/>
                    </w:rPr>
                    <w:t>相符</w:t>
                  </w:r>
                </w:p>
              </w:tc>
            </w:tr>
            <w:tr w14:paraId="2A3544F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5"/>
                  <w:noWrap w:val="0"/>
                  <w:tcMar>
                    <w:top w:w="0" w:type="dxa"/>
                    <w:left w:w="0" w:type="dxa"/>
                    <w:bottom w:w="0" w:type="dxa"/>
                    <w:right w:w="0" w:type="dxa"/>
                  </w:tcMar>
                  <w:vAlign w:val="center"/>
                </w:tcPr>
                <w:p w14:paraId="7BD98C96">
                  <w:pPr>
                    <w:jc w:val="center"/>
                    <w:rPr>
                      <w:color w:val="auto"/>
                      <w:szCs w:val="21"/>
                    </w:rPr>
                  </w:pPr>
                  <w:r>
                    <w:rPr>
                      <w:rFonts w:hint="default" w:ascii="Times New Roman" w:hAnsi="Times New Roman" w:eastAsia="宋体" w:cs="Times New Roman"/>
                      <w:b/>
                      <w:color w:val="auto"/>
                    </w:rPr>
                    <w:t>太湖流域</w:t>
                  </w:r>
                </w:p>
              </w:tc>
            </w:tr>
            <w:tr w14:paraId="075F01D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4" w:type="pct"/>
                  <w:noWrap w:val="0"/>
                  <w:tcMar>
                    <w:top w:w="0" w:type="dxa"/>
                    <w:left w:w="0" w:type="dxa"/>
                    <w:bottom w:w="0" w:type="dxa"/>
                    <w:right w:w="0" w:type="dxa"/>
                  </w:tcMar>
                  <w:vAlign w:val="center"/>
                </w:tcPr>
                <w:p w14:paraId="377592B9">
                  <w:pPr>
                    <w:jc w:val="center"/>
                    <w:rPr>
                      <w:rFonts w:hint="eastAsia" w:eastAsia="宋体"/>
                      <w:color w:val="auto"/>
                      <w:szCs w:val="21"/>
                      <w:lang w:val="en-US" w:eastAsia="zh-CN"/>
                    </w:rPr>
                  </w:pPr>
                  <w:r>
                    <w:rPr>
                      <w:rFonts w:hint="eastAsia"/>
                      <w:color w:val="auto"/>
                      <w:szCs w:val="21"/>
                      <w:lang w:val="en-US" w:eastAsia="zh-CN"/>
                    </w:rPr>
                    <w:t>1</w:t>
                  </w:r>
                </w:p>
              </w:tc>
              <w:tc>
                <w:tcPr>
                  <w:tcW w:w="343" w:type="pct"/>
                  <w:noWrap w:val="0"/>
                  <w:tcMar>
                    <w:top w:w="0" w:type="dxa"/>
                    <w:left w:w="0" w:type="dxa"/>
                    <w:bottom w:w="0" w:type="dxa"/>
                    <w:right w:w="0" w:type="dxa"/>
                  </w:tcMar>
                  <w:vAlign w:val="center"/>
                </w:tcPr>
                <w:p w14:paraId="6DCCE13F">
                  <w:pPr>
                    <w:jc w:val="center"/>
                    <w:rPr>
                      <w:color w:val="auto"/>
                      <w:szCs w:val="21"/>
                    </w:rPr>
                  </w:pPr>
                  <w:r>
                    <w:rPr>
                      <w:rFonts w:hint="default" w:ascii="Times New Roman" w:hAnsi="Times New Roman" w:eastAsia="宋体" w:cs="Times New Roman"/>
                      <w:color w:val="auto"/>
                    </w:rPr>
                    <w:t>空间布局约束</w:t>
                  </w:r>
                </w:p>
              </w:tc>
              <w:tc>
                <w:tcPr>
                  <w:tcW w:w="2285" w:type="pct"/>
                  <w:noWrap w:val="0"/>
                  <w:tcMar>
                    <w:top w:w="0" w:type="dxa"/>
                    <w:left w:w="0" w:type="dxa"/>
                    <w:bottom w:w="0" w:type="dxa"/>
                    <w:right w:w="0" w:type="dxa"/>
                  </w:tcMar>
                  <w:vAlign w:val="center"/>
                </w:tcPr>
                <w:p w14:paraId="5F865694">
                  <w:pPr>
                    <w:rPr>
                      <w:rFonts w:hint="default"/>
                      <w:color w:val="auto"/>
                      <w:szCs w:val="21"/>
                      <w:lang w:val="en-US" w:eastAsia="zh-CN"/>
                    </w:rPr>
                  </w:pPr>
                  <w:r>
                    <w:rPr>
                      <w:color w:val="auto"/>
                      <w:szCs w:val="21"/>
                      <w:lang w:val="en-US" w:eastAsia="zh-CN"/>
                    </w:rPr>
                    <w:t>1．</w:t>
                  </w:r>
                  <w:r>
                    <w:rPr>
                      <w:rFonts w:hint="default" w:ascii="Times New Roman" w:hAnsi="Times New Roman" w:eastAsia="宋体" w:cs="Times New Roman"/>
                      <w:color w:val="auto"/>
                    </w:rPr>
                    <w:t>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tc>
              <w:tc>
                <w:tcPr>
                  <w:tcW w:w="1641" w:type="pct"/>
                  <w:noWrap w:val="0"/>
                  <w:tcMar>
                    <w:top w:w="0" w:type="dxa"/>
                    <w:left w:w="0" w:type="dxa"/>
                    <w:bottom w:w="0" w:type="dxa"/>
                    <w:right w:w="0" w:type="dxa"/>
                  </w:tcMar>
                  <w:vAlign w:val="center"/>
                </w:tcPr>
                <w:p w14:paraId="49B4A076">
                  <w:pPr>
                    <w:jc w:val="center"/>
                    <w:rPr>
                      <w:rFonts w:hint="default" w:eastAsia="宋体"/>
                      <w:color w:val="auto"/>
                      <w:szCs w:val="21"/>
                      <w:lang w:val="en-US" w:eastAsia="zh-CN"/>
                    </w:rPr>
                  </w:pPr>
                  <w:r>
                    <w:rPr>
                      <w:rFonts w:hint="eastAsia"/>
                      <w:color w:val="auto"/>
                      <w:szCs w:val="21"/>
                      <w:lang w:val="en-US" w:eastAsia="zh-CN"/>
                    </w:rPr>
                    <w:t>本项目位于</w:t>
                  </w:r>
                  <w:r>
                    <w:rPr>
                      <w:rFonts w:hint="default" w:ascii="Times New Roman" w:hAnsi="Times New Roman" w:eastAsia="宋体" w:cs="Times New Roman"/>
                      <w:color w:val="auto"/>
                    </w:rPr>
                    <w:t>太湖流域三级保护区</w:t>
                  </w:r>
                  <w:r>
                    <w:rPr>
                      <w:rFonts w:hint="eastAsia" w:ascii="Times New Roman" w:hAnsi="Times New Roman" w:eastAsia="宋体" w:cs="Times New Roman"/>
                      <w:color w:val="auto"/>
                      <w:lang w:eastAsia="zh-CN"/>
                    </w:rPr>
                    <w:t>，</w:t>
                  </w:r>
                  <w:r>
                    <w:rPr>
                      <w:rFonts w:hint="eastAsia" w:ascii="Times New Roman" w:hAnsi="Times New Roman" w:eastAsia="宋体" w:cs="Times New Roman"/>
                      <w:color w:val="auto"/>
                      <w:lang w:val="en-US" w:eastAsia="zh-CN"/>
                    </w:rPr>
                    <w:t>不属于禁止建设的</w:t>
                  </w:r>
                  <w:r>
                    <w:rPr>
                      <w:rFonts w:hint="default" w:ascii="Times New Roman" w:hAnsi="Times New Roman" w:eastAsia="宋体" w:cs="Times New Roman"/>
                      <w:color w:val="auto"/>
                    </w:rPr>
                    <w:t>化学制浆造纸、制革、酿造、染料、印染、电镀以及其他排放含磷、氮等污染物的项目</w:t>
                  </w:r>
                </w:p>
              </w:tc>
              <w:tc>
                <w:tcPr>
                  <w:tcW w:w="436" w:type="pct"/>
                  <w:noWrap w:val="0"/>
                  <w:tcMar>
                    <w:top w:w="0" w:type="dxa"/>
                    <w:left w:w="0" w:type="dxa"/>
                    <w:bottom w:w="0" w:type="dxa"/>
                    <w:right w:w="0" w:type="dxa"/>
                  </w:tcMar>
                  <w:vAlign w:val="center"/>
                </w:tcPr>
                <w:p w14:paraId="78FD084A">
                  <w:pPr>
                    <w:jc w:val="center"/>
                    <w:rPr>
                      <w:color w:val="auto"/>
                      <w:szCs w:val="21"/>
                    </w:rPr>
                  </w:pPr>
                  <w:r>
                    <w:rPr>
                      <w:color w:val="auto"/>
                      <w:szCs w:val="21"/>
                    </w:rPr>
                    <w:t>相符</w:t>
                  </w:r>
                </w:p>
              </w:tc>
            </w:tr>
            <w:tr w14:paraId="397CA0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4" w:type="pct"/>
                  <w:noWrap w:val="0"/>
                  <w:tcMar>
                    <w:top w:w="0" w:type="dxa"/>
                    <w:left w:w="0" w:type="dxa"/>
                    <w:bottom w:w="0" w:type="dxa"/>
                    <w:right w:w="0" w:type="dxa"/>
                  </w:tcMar>
                  <w:vAlign w:val="center"/>
                </w:tcPr>
                <w:p w14:paraId="4087076D">
                  <w:pPr>
                    <w:jc w:val="center"/>
                    <w:rPr>
                      <w:rFonts w:hint="default"/>
                      <w:color w:val="auto"/>
                      <w:szCs w:val="21"/>
                      <w:lang w:val="en-US" w:eastAsia="zh-CN"/>
                    </w:rPr>
                  </w:pPr>
                  <w:r>
                    <w:rPr>
                      <w:rFonts w:hint="eastAsia"/>
                      <w:color w:val="auto"/>
                      <w:szCs w:val="21"/>
                      <w:lang w:val="en-US" w:eastAsia="zh-CN"/>
                    </w:rPr>
                    <w:t>2</w:t>
                  </w:r>
                </w:p>
              </w:tc>
              <w:tc>
                <w:tcPr>
                  <w:tcW w:w="343" w:type="pct"/>
                  <w:noWrap w:val="0"/>
                  <w:tcMar>
                    <w:top w:w="0" w:type="dxa"/>
                    <w:left w:w="0" w:type="dxa"/>
                    <w:bottom w:w="0" w:type="dxa"/>
                    <w:right w:w="0" w:type="dxa"/>
                  </w:tcMar>
                  <w:vAlign w:val="center"/>
                </w:tcPr>
                <w:p w14:paraId="41403070">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污染物排放管控</w:t>
                  </w:r>
                </w:p>
              </w:tc>
              <w:tc>
                <w:tcPr>
                  <w:tcW w:w="2285" w:type="pct"/>
                  <w:noWrap w:val="0"/>
                  <w:tcMar>
                    <w:top w:w="0" w:type="dxa"/>
                    <w:left w:w="0" w:type="dxa"/>
                    <w:bottom w:w="0" w:type="dxa"/>
                    <w:right w:w="0" w:type="dxa"/>
                  </w:tcMar>
                  <w:vAlign w:val="center"/>
                </w:tcPr>
                <w:p w14:paraId="41C00741">
                  <w:pPr>
                    <w:ind w:firstLine="420" w:firstLineChars="200"/>
                    <w:rPr>
                      <w:rFonts w:hint="default"/>
                      <w:color w:val="auto"/>
                      <w:szCs w:val="21"/>
                      <w:lang w:val="en-US" w:eastAsia="zh-CN"/>
                    </w:rPr>
                  </w:pPr>
                  <w:r>
                    <w:rPr>
                      <w:rFonts w:hint="default" w:ascii="Times New Roman" w:hAnsi="Times New Roman" w:eastAsia="宋体" w:cs="Times New Roman"/>
                      <w:color w:val="auto"/>
                    </w:rPr>
                    <w:t>城镇污水处理厂、纺织工业、化学工业、造纸工业、钢铁工业、电镀工业和食品工业的污水处理设施执行《太湖地区城镇污水处理厂及重点工业行业主要水污染物排放限值》。</w:t>
                  </w:r>
                </w:p>
              </w:tc>
              <w:tc>
                <w:tcPr>
                  <w:tcW w:w="1641" w:type="pct"/>
                  <w:noWrap w:val="0"/>
                  <w:tcMar>
                    <w:top w:w="0" w:type="dxa"/>
                    <w:left w:w="0" w:type="dxa"/>
                    <w:bottom w:w="0" w:type="dxa"/>
                    <w:right w:w="0" w:type="dxa"/>
                  </w:tcMar>
                  <w:vAlign w:val="center"/>
                </w:tcPr>
                <w:p w14:paraId="16A94711">
                  <w:pPr>
                    <w:jc w:val="center"/>
                    <w:rPr>
                      <w:rFonts w:hint="default" w:eastAsia="宋体"/>
                      <w:color w:val="auto"/>
                      <w:szCs w:val="21"/>
                      <w:lang w:val="en-US" w:eastAsia="zh-CN"/>
                    </w:rPr>
                  </w:pPr>
                  <w:r>
                    <w:rPr>
                      <w:rFonts w:hint="eastAsia"/>
                      <w:color w:val="auto"/>
                      <w:szCs w:val="21"/>
                      <w:lang w:val="en-US" w:eastAsia="zh-CN"/>
                    </w:rPr>
                    <w:t>本项目不属于</w:t>
                  </w:r>
                  <w:r>
                    <w:rPr>
                      <w:rFonts w:hint="default" w:ascii="Times New Roman" w:hAnsi="Times New Roman" w:eastAsia="宋体" w:cs="Times New Roman"/>
                      <w:color w:val="auto"/>
                    </w:rPr>
                    <w:t>城镇污水处理厂、纺织工业、化学工业、造纸工业、钢铁工业、电镀工业和食品工业</w:t>
                  </w:r>
                </w:p>
              </w:tc>
              <w:tc>
                <w:tcPr>
                  <w:tcW w:w="436" w:type="pct"/>
                  <w:noWrap w:val="0"/>
                  <w:tcMar>
                    <w:top w:w="0" w:type="dxa"/>
                    <w:left w:w="0" w:type="dxa"/>
                    <w:bottom w:w="0" w:type="dxa"/>
                    <w:right w:w="0" w:type="dxa"/>
                  </w:tcMar>
                  <w:vAlign w:val="center"/>
                </w:tcPr>
                <w:p w14:paraId="36583EDA">
                  <w:pPr>
                    <w:jc w:val="center"/>
                    <w:rPr>
                      <w:color w:val="auto"/>
                      <w:szCs w:val="21"/>
                    </w:rPr>
                  </w:pPr>
                  <w:r>
                    <w:rPr>
                      <w:color w:val="auto"/>
                      <w:szCs w:val="21"/>
                    </w:rPr>
                    <w:t>相符</w:t>
                  </w:r>
                </w:p>
              </w:tc>
            </w:tr>
            <w:tr w14:paraId="095E92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4" w:type="pct"/>
                  <w:vMerge w:val="restart"/>
                  <w:noWrap w:val="0"/>
                  <w:tcMar>
                    <w:top w:w="0" w:type="dxa"/>
                    <w:left w:w="0" w:type="dxa"/>
                    <w:bottom w:w="0" w:type="dxa"/>
                    <w:right w:w="0" w:type="dxa"/>
                  </w:tcMar>
                  <w:vAlign w:val="center"/>
                </w:tcPr>
                <w:p w14:paraId="262C24C4">
                  <w:pPr>
                    <w:jc w:val="center"/>
                    <w:rPr>
                      <w:rFonts w:hint="default"/>
                      <w:color w:val="auto"/>
                      <w:szCs w:val="21"/>
                      <w:lang w:val="en-US" w:eastAsia="zh-CN"/>
                    </w:rPr>
                  </w:pPr>
                  <w:r>
                    <w:rPr>
                      <w:rFonts w:hint="eastAsia"/>
                      <w:color w:val="auto"/>
                      <w:szCs w:val="21"/>
                      <w:lang w:val="en-US" w:eastAsia="zh-CN"/>
                    </w:rPr>
                    <w:t>3</w:t>
                  </w:r>
                </w:p>
              </w:tc>
              <w:tc>
                <w:tcPr>
                  <w:tcW w:w="343" w:type="pct"/>
                  <w:vMerge w:val="restart"/>
                  <w:noWrap w:val="0"/>
                  <w:tcMar>
                    <w:top w:w="0" w:type="dxa"/>
                    <w:left w:w="0" w:type="dxa"/>
                    <w:bottom w:w="0" w:type="dxa"/>
                    <w:right w:w="0" w:type="dxa"/>
                  </w:tcMar>
                  <w:vAlign w:val="center"/>
                </w:tcPr>
                <w:p w14:paraId="45252B5A">
                  <w:pPr>
                    <w:jc w:val="center"/>
                    <w:rPr>
                      <w:rFonts w:hint="default" w:ascii="Times New Roman" w:hAnsi="Times New Roman" w:eastAsia="宋体" w:cs="Times New Roman"/>
                      <w:color w:val="auto"/>
                    </w:rPr>
                  </w:pPr>
                  <w:r>
                    <w:rPr>
                      <w:rFonts w:hint="default" w:ascii="Times New Roman" w:hAnsi="Times New Roman" w:eastAsia="宋体" w:cs="Times New Roman"/>
                      <w:color w:val="auto"/>
                    </w:rPr>
                    <w:t>环境风险防控</w:t>
                  </w:r>
                </w:p>
              </w:tc>
              <w:tc>
                <w:tcPr>
                  <w:tcW w:w="2285" w:type="pct"/>
                  <w:noWrap w:val="0"/>
                  <w:tcMar>
                    <w:top w:w="0" w:type="dxa"/>
                    <w:left w:w="0" w:type="dxa"/>
                    <w:bottom w:w="0" w:type="dxa"/>
                    <w:right w:w="0" w:type="dxa"/>
                  </w:tcMar>
                  <w:vAlign w:val="center"/>
                </w:tcPr>
                <w:p w14:paraId="41E19D8C">
                  <w:pPr>
                    <w:rPr>
                      <w:rFonts w:hint="default" w:ascii="Times New Roman" w:hAnsi="Times New Roman" w:eastAsia="宋体" w:cs="Times New Roman"/>
                      <w:color w:val="auto"/>
                    </w:rPr>
                  </w:pPr>
                  <w:r>
                    <w:rPr>
                      <w:rFonts w:hint="default" w:ascii="Times New Roman" w:hAnsi="Times New Roman" w:eastAsia="宋体" w:cs="Times New Roman"/>
                      <w:color w:val="auto"/>
                    </w:rPr>
                    <w:t>1、运输剧毒物质、危险化学品的船舶不得进入太湖。</w:t>
                  </w:r>
                </w:p>
              </w:tc>
              <w:tc>
                <w:tcPr>
                  <w:tcW w:w="1641" w:type="pct"/>
                  <w:noWrap w:val="0"/>
                  <w:tcMar>
                    <w:top w:w="0" w:type="dxa"/>
                    <w:left w:w="0" w:type="dxa"/>
                    <w:bottom w:w="0" w:type="dxa"/>
                    <w:right w:w="0" w:type="dxa"/>
                  </w:tcMar>
                  <w:vAlign w:val="center"/>
                </w:tcPr>
                <w:p w14:paraId="30A8F787">
                  <w:pPr>
                    <w:jc w:val="center"/>
                    <w:rPr>
                      <w:rFonts w:hint="default" w:eastAsia="宋体"/>
                      <w:color w:val="auto"/>
                      <w:szCs w:val="21"/>
                      <w:lang w:val="en-US" w:eastAsia="zh-CN"/>
                    </w:rPr>
                  </w:pPr>
                  <w:r>
                    <w:rPr>
                      <w:rFonts w:hint="eastAsia"/>
                      <w:color w:val="auto"/>
                      <w:szCs w:val="21"/>
                      <w:lang w:val="en-US" w:eastAsia="zh-CN"/>
                    </w:rPr>
                    <w:t>项目原料运输依托社会车辆且不涉及</w:t>
                  </w:r>
                  <w:r>
                    <w:rPr>
                      <w:rFonts w:hint="default" w:ascii="Times New Roman" w:hAnsi="Times New Roman" w:eastAsia="宋体" w:cs="Times New Roman"/>
                      <w:color w:val="auto"/>
                    </w:rPr>
                    <w:t>剧毒物质、危险化学品</w:t>
                  </w:r>
                </w:p>
              </w:tc>
              <w:tc>
                <w:tcPr>
                  <w:tcW w:w="436" w:type="pct"/>
                  <w:noWrap w:val="0"/>
                  <w:tcMar>
                    <w:top w:w="0" w:type="dxa"/>
                    <w:left w:w="0" w:type="dxa"/>
                    <w:bottom w:w="0" w:type="dxa"/>
                    <w:right w:w="0" w:type="dxa"/>
                  </w:tcMar>
                  <w:vAlign w:val="center"/>
                </w:tcPr>
                <w:p w14:paraId="77BF0F77">
                  <w:pPr>
                    <w:jc w:val="center"/>
                    <w:rPr>
                      <w:color w:val="auto"/>
                      <w:szCs w:val="21"/>
                    </w:rPr>
                  </w:pPr>
                  <w:r>
                    <w:rPr>
                      <w:color w:val="auto"/>
                      <w:szCs w:val="21"/>
                    </w:rPr>
                    <w:t>相符</w:t>
                  </w:r>
                </w:p>
              </w:tc>
            </w:tr>
            <w:tr w14:paraId="63D7E71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4" w:type="pct"/>
                  <w:vMerge w:val="continue"/>
                  <w:noWrap w:val="0"/>
                  <w:tcMar>
                    <w:top w:w="0" w:type="dxa"/>
                    <w:left w:w="0" w:type="dxa"/>
                    <w:bottom w:w="0" w:type="dxa"/>
                    <w:right w:w="0" w:type="dxa"/>
                  </w:tcMar>
                  <w:vAlign w:val="center"/>
                </w:tcPr>
                <w:p w14:paraId="21BCC531">
                  <w:pPr>
                    <w:jc w:val="center"/>
                    <w:rPr>
                      <w:rFonts w:hint="eastAsia"/>
                      <w:color w:val="auto"/>
                      <w:szCs w:val="21"/>
                      <w:lang w:val="en-US" w:eastAsia="zh-CN"/>
                    </w:rPr>
                  </w:pPr>
                </w:p>
              </w:tc>
              <w:tc>
                <w:tcPr>
                  <w:tcW w:w="343" w:type="pct"/>
                  <w:vMerge w:val="continue"/>
                  <w:noWrap w:val="0"/>
                  <w:tcMar>
                    <w:top w:w="0" w:type="dxa"/>
                    <w:left w:w="0" w:type="dxa"/>
                    <w:bottom w:w="0" w:type="dxa"/>
                    <w:right w:w="0" w:type="dxa"/>
                  </w:tcMar>
                  <w:vAlign w:val="center"/>
                </w:tcPr>
                <w:p w14:paraId="76542502">
                  <w:pPr>
                    <w:jc w:val="center"/>
                    <w:rPr>
                      <w:rFonts w:hint="default" w:ascii="Times New Roman" w:hAnsi="Times New Roman" w:eastAsia="宋体" w:cs="Times New Roman"/>
                      <w:color w:val="auto"/>
                    </w:rPr>
                  </w:pPr>
                </w:p>
              </w:tc>
              <w:tc>
                <w:tcPr>
                  <w:tcW w:w="2285" w:type="pct"/>
                  <w:noWrap w:val="0"/>
                  <w:tcMar>
                    <w:top w:w="0" w:type="dxa"/>
                    <w:left w:w="0" w:type="dxa"/>
                    <w:bottom w:w="0" w:type="dxa"/>
                    <w:right w:w="0" w:type="dxa"/>
                  </w:tcMar>
                  <w:vAlign w:val="center"/>
                </w:tcPr>
                <w:p w14:paraId="5DC3AD6B">
                  <w:pPr>
                    <w:rPr>
                      <w:rFonts w:hint="default" w:ascii="Times New Roman" w:hAnsi="Times New Roman" w:eastAsia="宋体" w:cs="Times New Roman"/>
                      <w:color w:val="auto"/>
                    </w:rPr>
                  </w:pPr>
                  <w:r>
                    <w:rPr>
                      <w:rFonts w:hint="default" w:ascii="Times New Roman" w:hAnsi="Times New Roman" w:eastAsia="宋体" w:cs="Times New Roman"/>
                      <w:color w:val="auto"/>
                    </w:rPr>
                    <w:t>2、禁止向太湖流域水体排放或者倾倒油类、酸液、碱液、剧毒废渣废液、含放射性废渣废液、含病原体污水、工业废渣以及其他废弃物。</w:t>
                  </w:r>
                </w:p>
              </w:tc>
              <w:tc>
                <w:tcPr>
                  <w:tcW w:w="1641" w:type="pct"/>
                  <w:noWrap w:val="0"/>
                  <w:tcMar>
                    <w:top w:w="0" w:type="dxa"/>
                    <w:left w:w="0" w:type="dxa"/>
                    <w:bottom w:w="0" w:type="dxa"/>
                    <w:right w:w="0" w:type="dxa"/>
                  </w:tcMar>
                  <w:vAlign w:val="center"/>
                </w:tcPr>
                <w:p w14:paraId="6A44FFE5">
                  <w:pPr>
                    <w:jc w:val="center"/>
                    <w:rPr>
                      <w:rFonts w:hint="default" w:eastAsia="宋体"/>
                      <w:color w:val="auto"/>
                      <w:szCs w:val="21"/>
                      <w:lang w:val="en-US" w:eastAsia="zh-CN"/>
                    </w:rPr>
                  </w:pPr>
                  <w:r>
                    <w:rPr>
                      <w:rFonts w:hint="eastAsia"/>
                      <w:color w:val="auto"/>
                      <w:szCs w:val="21"/>
                      <w:lang w:val="en-US" w:eastAsia="zh-CN"/>
                    </w:rPr>
                    <w:t>项目不会</w:t>
                  </w:r>
                  <w:r>
                    <w:rPr>
                      <w:rFonts w:hint="default" w:ascii="Times New Roman" w:hAnsi="Times New Roman" w:eastAsia="宋体" w:cs="Times New Roman"/>
                      <w:color w:val="auto"/>
                    </w:rPr>
                    <w:t>向太湖流域水体排放或者倾倒油类、酸液、碱液、剧毒废渣废液、含放射性废渣废液、含病原体污水、工业废渣以及其他废弃物</w:t>
                  </w:r>
                </w:p>
              </w:tc>
              <w:tc>
                <w:tcPr>
                  <w:tcW w:w="436" w:type="pct"/>
                  <w:noWrap w:val="0"/>
                  <w:tcMar>
                    <w:top w:w="0" w:type="dxa"/>
                    <w:left w:w="0" w:type="dxa"/>
                    <w:bottom w:w="0" w:type="dxa"/>
                    <w:right w:w="0" w:type="dxa"/>
                  </w:tcMar>
                  <w:vAlign w:val="center"/>
                </w:tcPr>
                <w:p w14:paraId="14F887E2">
                  <w:pPr>
                    <w:jc w:val="center"/>
                    <w:rPr>
                      <w:color w:val="auto"/>
                      <w:szCs w:val="21"/>
                    </w:rPr>
                  </w:pPr>
                  <w:r>
                    <w:rPr>
                      <w:color w:val="auto"/>
                      <w:szCs w:val="21"/>
                    </w:rPr>
                    <w:t>相符</w:t>
                  </w:r>
                </w:p>
              </w:tc>
            </w:tr>
            <w:tr w14:paraId="2039CAF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4" w:type="pct"/>
                  <w:vMerge w:val="continue"/>
                  <w:noWrap w:val="0"/>
                  <w:tcMar>
                    <w:top w:w="0" w:type="dxa"/>
                    <w:left w:w="0" w:type="dxa"/>
                    <w:bottom w:w="0" w:type="dxa"/>
                    <w:right w:w="0" w:type="dxa"/>
                  </w:tcMar>
                  <w:vAlign w:val="center"/>
                </w:tcPr>
                <w:p w14:paraId="39115BC2">
                  <w:pPr>
                    <w:jc w:val="center"/>
                    <w:rPr>
                      <w:rFonts w:hint="eastAsia"/>
                      <w:color w:val="auto"/>
                      <w:szCs w:val="21"/>
                      <w:lang w:val="en-US" w:eastAsia="zh-CN"/>
                    </w:rPr>
                  </w:pPr>
                </w:p>
              </w:tc>
              <w:tc>
                <w:tcPr>
                  <w:tcW w:w="343" w:type="pct"/>
                  <w:vMerge w:val="continue"/>
                  <w:noWrap w:val="0"/>
                  <w:tcMar>
                    <w:top w:w="0" w:type="dxa"/>
                    <w:left w:w="0" w:type="dxa"/>
                    <w:bottom w:w="0" w:type="dxa"/>
                    <w:right w:w="0" w:type="dxa"/>
                  </w:tcMar>
                  <w:vAlign w:val="center"/>
                </w:tcPr>
                <w:p w14:paraId="501C8EE9">
                  <w:pPr>
                    <w:jc w:val="center"/>
                    <w:rPr>
                      <w:rFonts w:hint="default" w:ascii="Times New Roman" w:hAnsi="Times New Roman" w:eastAsia="宋体" w:cs="Times New Roman"/>
                      <w:color w:val="auto"/>
                    </w:rPr>
                  </w:pPr>
                </w:p>
              </w:tc>
              <w:tc>
                <w:tcPr>
                  <w:tcW w:w="2285" w:type="pct"/>
                  <w:noWrap w:val="0"/>
                  <w:tcMar>
                    <w:top w:w="0" w:type="dxa"/>
                    <w:left w:w="0" w:type="dxa"/>
                    <w:bottom w:w="0" w:type="dxa"/>
                    <w:right w:w="0" w:type="dxa"/>
                  </w:tcMar>
                  <w:vAlign w:val="center"/>
                </w:tcPr>
                <w:p w14:paraId="6286AFF4">
                  <w:pPr>
                    <w:rPr>
                      <w:rFonts w:hint="default" w:ascii="Times New Roman" w:hAnsi="Times New Roman" w:eastAsia="宋体" w:cs="Times New Roman"/>
                      <w:color w:val="auto"/>
                    </w:rPr>
                  </w:pPr>
                  <w:r>
                    <w:rPr>
                      <w:rFonts w:hint="default" w:ascii="Times New Roman" w:hAnsi="Times New Roman" w:eastAsia="宋体" w:cs="Times New Roman"/>
                      <w:color w:val="auto"/>
                    </w:rPr>
                    <w:t>3、加强太湖流域生态环境风险应急管控，着力提高防控太湖蓝藻水华风险预警和应急处置能力。</w:t>
                  </w:r>
                </w:p>
              </w:tc>
              <w:tc>
                <w:tcPr>
                  <w:tcW w:w="1641" w:type="pct"/>
                  <w:noWrap w:val="0"/>
                  <w:tcMar>
                    <w:top w:w="0" w:type="dxa"/>
                    <w:left w:w="0" w:type="dxa"/>
                    <w:bottom w:w="0" w:type="dxa"/>
                    <w:right w:w="0" w:type="dxa"/>
                  </w:tcMar>
                  <w:vAlign w:val="center"/>
                </w:tcPr>
                <w:p w14:paraId="610AD4AB">
                  <w:pPr>
                    <w:jc w:val="center"/>
                    <w:rPr>
                      <w:rFonts w:hint="eastAsia" w:eastAsia="宋体"/>
                      <w:color w:val="auto"/>
                      <w:szCs w:val="21"/>
                      <w:lang w:val="en-US" w:eastAsia="zh-CN"/>
                    </w:rPr>
                  </w:pPr>
                  <w:r>
                    <w:rPr>
                      <w:rFonts w:hint="eastAsia"/>
                      <w:color w:val="auto"/>
                      <w:szCs w:val="21"/>
                      <w:lang w:val="en-US" w:eastAsia="zh-CN"/>
                    </w:rPr>
                    <w:t>项目不会</w:t>
                  </w:r>
                  <w:r>
                    <w:rPr>
                      <w:rFonts w:hint="default" w:ascii="Times New Roman" w:hAnsi="Times New Roman" w:eastAsia="宋体" w:cs="Times New Roman"/>
                      <w:color w:val="auto"/>
                    </w:rPr>
                    <w:t>向太湖流域水体排放含磷、氮等污染物</w:t>
                  </w:r>
                </w:p>
              </w:tc>
              <w:tc>
                <w:tcPr>
                  <w:tcW w:w="436" w:type="pct"/>
                  <w:noWrap w:val="0"/>
                  <w:tcMar>
                    <w:top w:w="0" w:type="dxa"/>
                    <w:left w:w="0" w:type="dxa"/>
                    <w:bottom w:w="0" w:type="dxa"/>
                    <w:right w:w="0" w:type="dxa"/>
                  </w:tcMar>
                  <w:vAlign w:val="center"/>
                </w:tcPr>
                <w:p w14:paraId="7DEF79E6">
                  <w:pPr>
                    <w:jc w:val="center"/>
                    <w:rPr>
                      <w:color w:val="auto"/>
                      <w:szCs w:val="21"/>
                    </w:rPr>
                  </w:pPr>
                  <w:r>
                    <w:rPr>
                      <w:color w:val="auto"/>
                      <w:szCs w:val="21"/>
                    </w:rPr>
                    <w:t>相符</w:t>
                  </w:r>
                </w:p>
              </w:tc>
            </w:tr>
            <w:tr w14:paraId="03BA1EA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94" w:type="pct"/>
                  <w:noWrap w:val="0"/>
                  <w:tcMar>
                    <w:top w:w="0" w:type="dxa"/>
                    <w:left w:w="0" w:type="dxa"/>
                    <w:bottom w:w="0" w:type="dxa"/>
                    <w:right w:w="0" w:type="dxa"/>
                  </w:tcMar>
                  <w:vAlign w:val="center"/>
                </w:tcPr>
                <w:p w14:paraId="310E0EF8">
                  <w:pPr>
                    <w:jc w:val="center"/>
                    <w:rPr>
                      <w:rFonts w:hint="default"/>
                      <w:color w:val="auto"/>
                      <w:sz w:val="21"/>
                      <w:szCs w:val="21"/>
                      <w:lang w:val="en-US" w:eastAsia="zh-CN"/>
                    </w:rPr>
                  </w:pPr>
                  <w:r>
                    <w:rPr>
                      <w:rFonts w:hint="eastAsia"/>
                      <w:color w:val="auto"/>
                      <w:sz w:val="21"/>
                      <w:szCs w:val="21"/>
                      <w:lang w:val="en-US" w:eastAsia="zh-CN"/>
                    </w:rPr>
                    <w:t>4</w:t>
                  </w:r>
                </w:p>
              </w:tc>
              <w:tc>
                <w:tcPr>
                  <w:tcW w:w="598" w:type="dxa"/>
                  <w:noWrap w:val="0"/>
                  <w:tcMar>
                    <w:top w:w="0" w:type="dxa"/>
                    <w:left w:w="0" w:type="dxa"/>
                    <w:bottom w:w="0" w:type="dxa"/>
                    <w:right w:w="0" w:type="dxa"/>
                  </w:tcMar>
                  <w:vAlign w:val="center"/>
                </w:tcPr>
                <w:p w14:paraId="5D66D2C3">
                  <w:pPr>
                    <w:jc w:val="center"/>
                    <w:rPr>
                      <w:rFonts w:hint="default" w:ascii="Times New Roman" w:hAnsi="Times New Roman" w:eastAsia="宋体" w:cs="Times New Roman"/>
                      <w:color w:val="auto"/>
                      <w:sz w:val="21"/>
                      <w:szCs w:val="21"/>
                    </w:rPr>
                  </w:pPr>
                  <w:r>
                    <w:rPr>
                      <w:rFonts w:hint="eastAsia"/>
                      <w:color w:val="auto"/>
                      <w:sz w:val="21"/>
                      <w:szCs w:val="21"/>
                      <w:lang w:val="en-US" w:eastAsia="zh-CN"/>
                    </w:rPr>
                    <w:t>资源利用效率要求</w:t>
                  </w:r>
                </w:p>
              </w:tc>
              <w:tc>
                <w:tcPr>
                  <w:tcW w:w="3982" w:type="dxa"/>
                  <w:noWrap w:val="0"/>
                  <w:tcMar>
                    <w:top w:w="0" w:type="dxa"/>
                    <w:left w:w="0" w:type="dxa"/>
                    <w:bottom w:w="0" w:type="dxa"/>
                    <w:right w:w="0" w:type="dxa"/>
                  </w:tcMar>
                  <w:vAlign w:val="center"/>
                </w:tcPr>
                <w:p w14:paraId="3A8F685F">
                  <w:pPr>
                    <w:jc w:val="center"/>
                    <w:rPr>
                      <w:rFonts w:hint="eastAsia"/>
                      <w:color w:val="auto"/>
                      <w:sz w:val="21"/>
                      <w:szCs w:val="21"/>
                      <w:lang w:val="en-US" w:eastAsia="zh-CN"/>
                    </w:rPr>
                  </w:pPr>
                  <w:r>
                    <w:rPr>
                      <w:rFonts w:hint="eastAsia"/>
                      <w:color w:val="auto"/>
                      <w:sz w:val="21"/>
                      <w:szCs w:val="21"/>
                      <w:lang w:val="en-US" w:eastAsia="zh-CN"/>
                    </w:rPr>
                    <w:t>1.严格用水定额管理制度，推进取用水规范化管理，科学制定用水定额并动态调整，对超过用水定额标准的企业分类分步先期实施节水改造，鼓励重点用水企业、园区建立智慧用水管理系统。</w:t>
                  </w:r>
                </w:p>
                <w:p w14:paraId="26036565">
                  <w:pPr>
                    <w:jc w:val="center"/>
                    <w:rPr>
                      <w:rFonts w:hint="default" w:ascii="Times New Roman" w:hAnsi="Times New Roman" w:eastAsia="宋体" w:cs="Times New Roman"/>
                      <w:color w:val="auto"/>
                      <w:sz w:val="21"/>
                      <w:szCs w:val="21"/>
                    </w:rPr>
                  </w:pPr>
                  <w:r>
                    <w:rPr>
                      <w:rFonts w:hint="eastAsia"/>
                      <w:color w:val="auto"/>
                      <w:sz w:val="21"/>
                      <w:szCs w:val="21"/>
                      <w:lang w:val="en-US" w:eastAsia="zh-CN"/>
                    </w:rPr>
                    <w:t>2.推进新孟河、新沟河、望虞河、走马塘等河道联合调度，科学调控太湖水位。</w:t>
                  </w:r>
                </w:p>
              </w:tc>
              <w:tc>
                <w:tcPr>
                  <w:tcW w:w="2860" w:type="dxa"/>
                  <w:noWrap w:val="0"/>
                  <w:tcMar>
                    <w:top w:w="0" w:type="dxa"/>
                    <w:left w:w="0" w:type="dxa"/>
                    <w:bottom w:w="0" w:type="dxa"/>
                    <w:right w:w="0" w:type="dxa"/>
                  </w:tcMar>
                  <w:vAlign w:val="center"/>
                </w:tcPr>
                <w:p w14:paraId="23F7FA4D">
                  <w:pPr>
                    <w:jc w:val="center"/>
                    <w:rPr>
                      <w:color w:val="auto"/>
                      <w:sz w:val="21"/>
                      <w:szCs w:val="21"/>
                    </w:rPr>
                  </w:pPr>
                  <w:r>
                    <w:rPr>
                      <w:rFonts w:hint="eastAsia"/>
                      <w:color w:val="auto"/>
                      <w:sz w:val="21"/>
                      <w:szCs w:val="21"/>
                      <w:lang w:val="en-US" w:eastAsia="zh-CN"/>
                    </w:rPr>
                    <w:t>1、</w:t>
                  </w:r>
                  <w:r>
                    <w:rPr>
                      <w:color w:val="auto"/>
                      <w:sz w:val="21"/>
                      <w:szCs w:val="21"/>
                    </w:rPr>
                    <w:t>本项</w:t>
                  </w:r>
                  <w:r>
                    <w:rPr>
                      <w:rFonts w:hint="eastAsia"/>
                      <w:color w:val="auto"/>
                      <w:sz w:val="21"/>
                      <w:szCs w:val="21"/>
                      <w:lang w:val="en-US" w:eastAsia="zh-CN"/>
                    </w:rPr>
                    <w:t>目</w:t>
                  </w:r>
                  <w:r>
                    <w:rPr>
                      <w:rFonts w:hint="default" w:ascii="Times New Roman" w:hAnsi="Times New Roman" w:eastAsia="宋体" w:cs="Times New Roman"/>
                      <w:b w:val="0"/>
                      <w:bCs w:val="0"/>
                      <w:color w:val="auto"/>
                      <w:sz w:val="21"/>
                      <w:szCs w:val="21"/>
                      <w:lang w:val="en-US" w:eastAsia="zh-CN"/>
                    </w:rPr>
                    <w:t>单位工业增加值</w:t>
                  </w:r>
                  <w:r>
                    <w:rPr>
                      <w:rFonts w:hint="default" w:ascii="Times New Roman" w:hAnsi="Times New Roman" w:eastAsia="宋体" w:cs="Times New Roman"/>
                      <w:color w:val="auto"/>
                      <w:sz w:val="21"/>
                      <w:szCs w:val="21"/>
                      <w:lang w:val="en-US" w:eastAsia="zh-CN"/>
                    </w:rPr>
                    <w:t>新鲜水耗为</w:t>
                  </w:r>
                  <w:r>
                    <w:rPr>
                      <w:rFonts w:hint="eastAsia" w:ascii="Times New Roman" w:hAnsi="Times New Roman" w:eastAsia="宋体" w:cs="Times New Roman"/>
                      <w:color w:val="auto"/>
                      <w:sz w:val="21"/>
                      <w:szCs w:val="21"/>
                      <w:lang w:val="en-US" w:eastAsia="zh-CN"/>
                    </w:rPr>
                    <w:t>0.83</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万元</w:t>
                  </w:r>
                  <w:r>
                    <w:rPr>
                      <w:rFonts w:hint="eastAsia" w:cs="Times New Roman"/>
                      <w:color w:val="auto"/>
                      <w:sz w:val="21"/>
                      <w:szCs w:val="21"/>
                      <w:lang w:eastAsia="zh-CN"/>
                    </w:rPr>
                    <w:t>，</w:t>
                  </w:r>
                  <w:r>
                    <w:rPr>
                      <w:rFonts w:hint="eastAsia" w:cs="Times New Roman"/>
                      <w:color w:val="auto"/>
                      <w:sz w:val="21"/>
                      <w:szCs w:val="21"/>
                      <w:lang w:val="en-US" w:eastAsia="zh-CN"/>
                    </w:rPr>
                    <w:t>满足园区</w:t>
                  </w:r>
                  <w:r>
                    <w:rPr>
                      <w:rFonts w:hint="eastAsia"/>
                      <w:color w:val="auto"/>
                      <w:sz w:val="21"/>
                      <w:szCs w:val="21"/>
                      <w:lang w:val="en-US" w:eastAsia="zh-CN"/>
                    </w:rPr>
                    <w:t>用水定额要求</w:t>
                  </w:r>
                  <w:r>
                    <w:rPr>
                      <w:color w:val="auto"/>
                      <w:sz w:val="21"/>
                      <w:szCs w:val="21"/>
                    </w:rPr>
                    <w:t>。</w:t>
                  </w:r>
                </w:p>
                <w:p w14:paraId="44BF9B77">
                  <w:pPr>
                    <w:pStyle w:val="6"/>
                    <w:rPr>
                      <w:rFonts w:hint="default" w:eastAsia="宋体"/>
                      <w:color w:val="auto"/>
                      <w:sz w:val="21"/>
                      <w:szCs w:val="21"/>
                      <w:lang w:val="en-US" w:eastAsia="zh-CN"/>
                    </w:rPr>
                  </w:pPr>
                  <w:r>
                    <w:rPr>
                      <w:rFonts w:hint="eastAsia"/>
                      <w:color w:val="auto"/>
                      <w:sz w:val="21"/>
                      <w:szCs w:val="21"/>
                      <w:lang w:val="en-US" w:eastAsia="zh-CN"/>
                    </w:rPr>
                    <w:t>2、本项目不涉及新孟河、新沟河、望虞河、走马塘等河道</w:t>
                  </w:r>
                  <w:r>
                    <w:rPr>
                      <w:color w:val="auto"/>
                      <w:sz w:val="21"/>
                      <w:szCs w:val="21"/>
                    </w:rPr>
                    <w:t>。</w:t>
                  </w:r>
                </w:p>
              </w:tc>
              <w:tc>
                <w:tcPr>
                  <w:tcW w:w="436" w:type="pct"/>
                  <w:noWrap w:val="0"/>
                  <w:tcMar>
                    <w:top w:w="0" w:type="dxa"/>
                    <w:left w:w="0" w:type="dxa"/>
                    <w:bottom w:w="0" w:type="dxa"/>
                    <w:right w:w="0" w:type="dxa"/>
                  </w:tcMar>
                  <w:vAlign w:val="center"/>
                </w:tcPr>
                <w:p w14:paraId="63B92BAC">
                  <w:pPr>
                    <w:jc w:val="center"/>
                    <w:rPr>
                      <w:color w:val="auto"/>
                      <w:sz w:val="21"/>
                      <w:szCs w:val="21"/>
                    </w:rPr>
                  </w:pPr>
                  <w:r>
                    <w:rPr>
                      <w:color w:val="auto"/>
                      <w:sz w:val="21"/>
                      <w:szCs w:val="21"/>
                    </w:rPr>
                    <w:t>相符</w:t>
                  </w:r>
                </w:p>
              </w:tc>
            </w:tr>
          </w:tbl>
          <w:p w14:paraId="74FA75C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对照</w:t>
            </w:r>
            <w:r>
              <w:rPr>
                <w:rFonts w:hint="eastAsia" w:cs="Times New Roman"/>
                <w:color w:val="auto"/>
                <w:sz w:val="24"/>
                <w:szCs w:val="24"/>
                <w:lang w:eastAsia="zh-CN"/>
              </w:rPr>
              <w:t>《</w:t>
            </w:r>
            <w:r>
              <w:rPr>
                <w:rFonts w:hint="eastAsia" w:ascii="Times New Roman" w:hAnsi="Times New Roman" w:cs="Times New Roman"/>
                <w:color w:val="auto"/>
                <w:sz w:val="24"/>
                <w:szCs w:val="24"/>
                <w:lang w:val="en-US" w:eastAsia="zh-CN"/>
              </w:rPr>
              <w:t>常州市生态环境分区管控动态更新成果》（2023年版）</w:t>
            </w:r>
            <w:r>
              <w:rPr>
                <w:rFonts w:hint="default" w:ascii="Times New Roman" w:hAnsi="Times New Roman" w:eastAsia="宋体" w:cs="Times New Roman"/>
                <w:color w:val="auto"/>
                <w:sz w:val="24"/>
                <w:szCs w:val="24"/>
              </w:rPr>
              <w:t>，本项目位于</w:t>
            </w:r>
            <w:r>
              <w:rPr>
                <w:rFonts w:hint="eastAsia" w:cs="Times New Roman"/>
                <w:color w:val="auto"/>
                <w:sz w:val="24"/>
                <w:szCs w:val="24"/>
                <w:lang w:val="en-US" w:eastAsia="zh-CN"/>
              </w:rPr>
              <w:t>常</w:t>
            </w:r>
            <w:r>
              <w:rPr>
                <w:rFonts w:hint="default" w:ascii="Times New Roman" w:hAnsi="Times New Roman" w:eastAsia="宋体" w:cs="Times New Roman"/>
                <w:color w:val="auto"/>
                <w:sz w:val="24"/>
                <w:szCs w:val="24"/>
                <w:lang w:val="en-US" w:eastAsia="zh-CN"/>
              </w:rPr>
              <w:t>州市</w:t>
            </w:r>
            <w:r>
              <w:rPr>
                <w:rFonts w:hint="eastAsia" w:ascii="Times New Roman" w:hAnsi="Times New Roman" w:eastAsia="宋体" w:cs="Times New Roman"/>
                <w:color w:val="auto"/>
                <w:sz w:val="24"/>
                <w:szCs w:val="24"/>
                <w:lang w:val="en-US" w:eastAsia="zh-CN"/>
              </w:rPr>
              <w:t>金坛区直溪镇工业园区</w:t>
            </w:r>
            <w:r>
              <w:rPr>
                <w:rFonts w:hint="eastAsia" w:cs="Times New Roman"/>
                <w:color w:val="auto"/>
                <w:sz w:val="24"/>
                <w:szCs w:val="24"/>
                <w:lang w:val="en-US" w:eastAsia="zh-CN"/>
              </w:rPr>
              <w:t>直东路6号</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位于重点管控单元中的</w:t>
            </w:r>
            <w:r>
              <w:rPr>
                <w:rFonts w:hint="default" w:ascii="Times New Roman" w:hAnsi="Times New Roman" w:eastAsia="宋体" w:cs="Times New Roman"/>
                <w:color w:val="auto"/>
                <w:sz w:val="24"/>
                <w:szCs w:val="24"/>
              </w:rPr>
              <w:t>直溪镇现代产业园</w:t>
            </w:r>
            <w:r>
              <w:rPr>
                <w:rFonts w:hint="default" w:ascii="Times New Roman" w:hAnsi="Times New Roman" w:eastAsia="宋体" w:cs="Times New Roman"/>
                <w:color w:val="auto"/>
                <w:sz w:val="24"/>
                <w:szCs w:val="24"/>
                <w:lang w:val="en-US" w:eastAsia="zh-CN"/>
              </w:rPr>
              <w:t>范围内</w:t>
            </w:r>
            <w:r>
              <w:rPr>
                <w:rFonts w:hint="default" w:ascii="Times New Roman" w:hAnsi="Times New Roman" w:eastAsia="宋体" w:cs="Times New Roman"/>
                <w:color w:val="auto"/>
                <w:sz w:val="24"/>
                <w:szCs w:val="24"/>
              </w:rPr>
              <w:t>，具体对照情况见下表。</w:t>
            </w:r>
          </w:p>
          <w:p w14:paraId="3F18A0CB">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color w:val="auto"/>
                <w:sz w:val="21"/>
                <w:szCs w:val="21"/>
              </w:rPr>
              <w:t>表1-</w:t>
            </w:r>
            <w:r>
              <w:rPr>
                <w:rFonts w:hint="eastAsia" w:ascii="Times New Roman" w:hAnsi="Times New Roman" w:cs="Times New Roman"/>
                <w:b/>
                <w:color w:val="auto"/>
                <w:sz w:val="21"/>
                <w:szCs w:val="21"/>
                <w:lang w:val="en-US" w:eastAsia="zh-CN"/>
              </w:rPr>
              <w:t xml:space="preserve">7 </w:t>
            </w:r>
            <w:r>
              <w:rPr>
                <w:rFonts w:hint="default" w:ascii="Times New Roman" w:hAnsi="Times New Roman" w:eastAsia="宋体" w:cs="Times New Roman"/>
                <w:b/>
                <w:color w:val="auto"/>
                <w:sz w:val="21"/>
                <w:szCs w:val="21"/>
              </w:rPr>
              <w:t>本项目与常州市“三线一单”符合性分析一览表</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6"/>
              <w:gridCol w:w="3649"/>
              <w:gridCol w:w="3005"/>
              <w:gridCol w:w="891"/>
            </w:tblGrid>
            <w:tr w14:paraId="77EE8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noWrap w:val="0"/>
                  <w:vAlign w:val="center"/>
                </w:tcPr>
                <w:p w14:paraId="26A31652">
                  <w:pPr>
                    <w:pStyle w:val="47"/>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管控类别</w:t>
                  </w:r>
                </w:p>
              </w:tc>
              <w:tc>
                <w:tcPr>
                  <w:tcW w:w="2094" w:type="pct"/>
                  <w:noWrap w:val="0"/>
                  <w:vAlign w:val="center"/>
                </w:tcPr>
                <w:p w14:paraId="2E21D537">
                  <w:pPr>
                    <w:pStyle w:val="47"/>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重点管控要求（</w:t>
                  </w:r>
                  <w:r>
                    <w:rPr>
                      <w:rFonts w:hint="eastAsia" w:cs="Times New Roman"/>
                      <w:b/>
                      <w:bCs/>
                      <w:color w:val="auto"/>
                      <w:sz w:val="21"/>
                      <w:szCs w:val="21"/>
                      <w:lang w:eastAsia="zh-CN"/>
                    </w:rPr>
                    <w:t>直溪镇现代产业园</w:t>
                  </w:r>
                  <w:r>
                    <w:rPr>
                      <w:rFonts w:hint="default" w:ascii="Times New Roman" w:hAnsi="Times New Roman" w:eastAsia="宋体" w:cs="Times New Roman"/>
                      <w:b/>
                      <w:bCs/>
                      <w:color w:val="auto"/>
                      <w:sz w:val="21"/>
                      <w:szCs w:val="21"/>
                    </w:rPr>
                    <w:t>）</w:t>
                  </w:r>
                </w:p>
              </w:tc>
              <w:tc>
                <w:tcPr>
                  <w:tcW w:w="1724" w:type="pct"/>
                  <w:noWrap w:val="0"/>
                  <w:vAlign w:val="center"/>
                </w:tcPr>
                <w:p w14:paraId="08FD4A94">
                  <w:pPr>
                    <w:pStyle w:val="47"/>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w:t>
                  </w:r>
                </w:p>
              </w:tc>
              <w:tc>
                <w:tcPr>
                  <w:tcW w:w="511" w:type="pct"/>
                  <w:noWrap w:val="0"/>
                  <w:vAlign w:val="center"/>
                </w:tcPr>
                <w:p w14:paraId="31CA21A1">
                  <w:pPr>
                    <w:pStyle w:val="47"/>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相符性分析</w:t>
                  </w:r>
                </w:p>
              </w:tc>
            </w:tr>
            <w:tr w14:paraId="13295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restart"/>
                  <w:noWrap w:val="0"/>
                  <w:vAlign w:val="center"/>
                </w:tcPr>
                <w:p w14:paraId="417ADDA7">
                  <w:pPr>
                    <w:pStyle w:val="4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空间布局约束</w:t>
                  </w:r>
                </w:p>
              </w:tc>
              <w:tc>
                <w:tcPr>
                  <w:tcW w:w="2094" w:type="pct"/>
                  <w:noWrap w:val="0"/>
                  <w:vAlign w:val="center"/>
                </w:tcPr>
                <w:p w14:paraId="7B318D1E">
                  <w:pPr>
                    <w:pStyle w:val="35"/>
                    <w:keepNext w:val="0"/>
                    <w:keepLines w:val="0"/>
                    <w:pageBreakBefore w:val="0"/>
                    <w:widowControl w:val="0"/>
                    <w:tabs>
                      <w:tab w:val="left" w:pos="608"/>
                    </w:tabs>
                    <w:kinsoku/>
                    <w:wordWrap/>
                    <w:overflowPunct/>
                    <w:topLinePunct w:val="0"/>
                    <w:autoSpaceDE/>
                    <w:autoSpaceDN/>
                    <w:bidi w:val="0"/>
                    <w:adjustRightInd/>
                    <w:snapToGrid/>
                    <w:spacing w:line="240" w:lineRule="auto"/>
                    <w:ind w:left="0" w:leftChars="0" w:right="0" w:right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1.</w:t>
                  </w:r>
                  <w:r>
                    <w:rPr>
                      <w:rFonts w:hint="default" w:ascii="Times New Roman" w:hAnsi="Times New Roman" w:eastAsia="宋体" w:cs="Times New Roman"/>
                      <w:color w:val="auto"/>
                      <w:sz w:val="21"/>
                      <w:szCs w:val="21"/>
                      <w:lang w:eastAsia="zh-CN"/>
                    </w:rPr>
                    <w:t>禁止审批列入国家、省产业政策淘</w:t>
                  </w:r>
                  <w:r>
                    <w:rPr>
                      <w:rFonts w:hint="default" w:ascii="Times New Roman" w:hAnsi="Times New Roman" w:eastAsia="宋体" w:cs="Times New Roman"/>
                      <w:color w:val="auto"/>
                      <w:spacing w:val="-10"/>
                      <w:sz w:val="21"/>
                      <w:szCs w:val="21"/>
                      <w:lang w:eastAsia="zh-CN"/>
                    </w:rPr>
                    <w:t>汰、限制类项目；不符合规划环评结论及</w:t>
                  </w:r>
                  <w:r>
                    <w:rPr>
                      <w:rFonts w:hint="default" w:ascii="Times New Roman" w:hAnsi="Times New Roman" w:eastAsia="宋体" w:cs="Times New Roman"/>
                      <w:color w:val="auto"/>
                      <w:spacing w:val="-14"/>
                      <w:sz w:val="21"/>
                      <w:szCs w:val="21"/>
                      <w:lang w:eastAsia="zh-CN"/>
                    </w:rPr>
                    <w:t>审查意见的项目；属于《建设项目环境保</w:t>
                  </w:r>
                  <w:r>
                    <w:rPr>
                      <w:rFonts w:hint="default" w:ascii="Times New Roman" w:hAnsi="Times New Roman" w:eastAsia="宋体" w:cs="Times New Roman"/>
                      <w:color w:val="auto"/>
                      <w:spacing w:val="-13"/>
                      <w:sz w:val="21"/>
                      <w:szCs w:val="21"/>
                      <w:lang w:eastAsia="zh-CN"/>
                    </w:rPr>
                    <w:t xml:space="preserve">护管理条例》第十一条 </w:t>
                  </w:r>
                  <w:r>
                    <w:rPr>
                      <w:rFonts w:hint="default" w:ascii="Times New Roman" w:hAnsi="Times New Roman" w:eastAsia="宋体" w:cs="Times New Roman"/>
                      <w:color w:val="auto"/>
                      <w:sz w:val="21"/>
                      <w:szCs w:val="21"/>
                      <w:lang w:eastAsia="zh-CN"/>
                    </w:rPr>
                    <w:t>5</w:t>
                  </w:r>
                  <w:r>
                    <w:rPr>
                      <w:rFonts w:hint="default" w:ascii="Times New Roman" w:hAnsi="Times New Roman" w:eastAsia="宋体" w:cs="Times New Roman"/>
                      <w:color w:val="auto"/>
                      <w:spacing w:val="3"/>
                      <w:sz w:val="21"/>
                      <w:szCs w:val="21"/>
                      <w:lang w:eastAsia="zh-CN"/>
                    </w:rPr>
                    <w:t xml:space="preserve"> </w:t>
                  </w:r>
                  <w:r>
                    <w:rPr>
                      <w:rFonts w:hint="default" w:ascii="Times New Roman" w:hAnsi="Times New Roman" w:eastAsia="宋体" w:cs="Times New Roman"/>
                      <w:color w:val="auto"/>
                      <w:sz w:val="21"/>
                      <w:szCs w:val="21"/>
                      <w:lang w:eastAsia="zh-CN"/>
                    </w:rPr>
                    <w:t>种不予批准的</w:t>
                  </w:r>
                  <w:r>
                    <w:rPr>
                      <w:rFonts w:hint="default" w:ascii="Times New Roman" w:hAnsi="Times New Roman" w:eastAsia="宋体" w:cs="Times New Roman"/>
                      <w:color w:val="auto"/>
                      <w:spacing w:val="6"/>
                      <w:sz w:val="21"/>
                      <w:szCs w:val="21"/>
                      <w:lang w:eastAsia="zh-CN"/>
                    </w:rPr>
                    <w:t>情形的项目；无法落实危险废物合理利</w:t>
                  </w:r>
                  <w:r>
                    <w:rPr>
                      <w:rFonts w:hint="default" w:ascii="Times New Roman" w:hAnsi="Times New Roman" w:eastAsia="宋体" w:cs="Times New Roman"/>
                      <w:color w:val="auto"/>
                      <w:sz w:val="21"/>
                      <w:szCs w:val="21"/>
                      <w:lang w:eastAsia="zh-CN"/>
                    </w:rPr>
                    <w:t>用、处置途径的项目。</w:t>
                  </w:r>
                </w:p>
              </w:tc>
              <w:tc>
                <w:tcPr>
                  <w:tcW w:w="1724" w:type="pct"/>
                  <w:vMerge w:val="restart"/>
                  <w:noWrap w:val="0"/>
                  <w:vAlign w:val="center"/>
                </w:tcPr>
                <w:p w14:paraId="3C1BE3B2">
                  <w:pPr>
                    <w:pStyle w:val="47"/>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本项目位</w:t>
                  </w:r>
                  <w:r>
                    <w:rPr>
                      <w:rFonts w:hint="default" w:cs="Times New Roman"/>
                      <w:color w:val="auto"/>
                      <w:sz w:val="21"/>
                      <w:szCs w:val="21"/>
                      <w:lang w:eastAsia="zh-CN"/>
                    </w:rPr>
                    <w:t>于</w:t>
                  </w:r>
                  <w:r>
                    <w:rPr>
                      <w:rFonts w:hint="eastAsia" w:cs="Times New Roman"/>
                      <w:color w:val="auto"/>
                      <w:sz w:val="21"/>
                      <w:szCs w:val="21"/>
                      <w:lang w:eastAsia="zh-CN"/>
                    </w:rPr>
                    <w:t>直溪镇现代产业园</w:t>
                  </w:r>
                  <w:r>
                    <w:rPr>
                      <w:rFonts w:hint="default" w:cs="Times New Roman"/>
                      <w:color w:val="auto"/>
                      <w:sz w:val="21"/>
                      <w:szCs w:val="21"/>
                      <w:lang w:eastAsia="zh-CN"/>
                    </w:rPr>
                    <w:t>，项目</w:t>
                  </w:r>
                  <w:r>
                    <w:rPr>
                      <w:rFonts w:hint="eastAsia" w:cs="Times New Roman"/>
                      <w:color w:val="auto"/>
                      <w:sz w:val="21"/>
                      <w:szCs w:val="21"/>
                      <w:lang w:val="en-US" w:eastAsia="zh-CN"/>
                    </w:rPr>
                    <w:t>不排放</w:t>
                  </w:r>
                  <w:r>
                    <w:rPr>
                      <w:rFonts w:hint="default" w:cs="Times New Roman"/>
                      <w:color w:val="auto"/>
                      <w:sz w:val="21"/>
                      <w:szCs w:val="21"/>
                      <w:lang w:eastAsia="zh-CN"/>
                    </w:rPr>
                    <w:t>“三致”（致癌、致畸、致突变）</w:t>
                  </w:r>
                  <w:r>
                    <w:rPr>
                      <w:rFonts w:hint="default" w:ascii="Times New Roman" w:hAnsi="Times New Roman" w:eastAsia="宋体" w:cs="Times New Roman"/>
                      <w:color w:val="auto"/>
                      <w:spacing w:val="-7"/>
                      <w:szCs w:val="21"/>
                    </w:rPr>
                    <w:t>及氰</w:t>
                  </w:r>
                  <w:r>
                    <w:rPr>
                      <w:rFonts w:hint="default" w:ascii="Times New Roman" w:hAnsi="Times New Roman" w:eastAsia="宋体" w:cs="Times New Roman"/>
                      <w:color w:val="auto"/>
                      <w:spacing w:val="-12"/>
                      <w:szCs w:val="21"/>
                    </w:rPr>
                    <w:t>化物等高污染、高风险物质</w:t>
                  </w:r>
                  <w:r>
                    <w:rPr>
                      <w:rFonts w:hint="eastAsia" w:cs="Times New Roman"/>
                      <w:color w:val="auto"/>
                      <w:sz w:val="21"/>
                      <w:szCs w:val="21"/>
                      <w:lang w:val="en-US" w:eastAsia="zh-CN"/>
                    </w:rPr>
                    <w:t>，项目污水站氨气、硫化氢、臭气浓度产生量极少，不会降低周边环境质量，不会严重影响人身健康和环境质量</w:t>
                  </w:r>
                  <w:r>
                    <w:rPr>
                      <w:rFonts w:hint="default" w:ascii="Times New Roman" w:hAnsi="Times New Roman" w:eastAsia="宋体" w:cs="Times New Roman"/>
                      <w:color w:val="auto"/>
                      <w:sz w:val="21"/>
                      <w:szCs w:val="21"/>
                    </w:rPr>
                    <w:t>。</w:t>
                  </w:r>
                </w:p>
              </w:tc>
              <w:tc>
                <w:tcPr>
                  <w:tcW w:w="511" w:type="pct"/>
                  <w:vMerge w:val="restart"/>
                  <w:noWrap w:val="0"/>
                  <w:vAlign w:val="center"/>
                </w:tcPr>
                <w:p w14:paraId="47F67F0F">
                  <w:pPr>
                    <w:pStyle w:val="47"/>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符合</w:t>
                  </w:r>
                </w:p>
              </w:tc>
            </w:tr>
            <w:tr w14:paraId="5F349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noWrap w:val="0"/>
                  <w:vAlign w:val="center"/>
                </w:tcPr>
                <w:p w14:paraId="0C0E733E">
                  <w:pPr>
                    <w:pStyle w:val="47"/>
                    <w:rPr>
                      <w:rFonts w:hint="default" w:ascii="Times New Roman" w:hAnsi="Times New Roman" w:eastAsia="宋体" w:cs="Times New Roman"/>
                      <w:color w:val="auto"/>
                      <w:sz w:val="21"/>
                      <w:szCs w:val="21"/>
                    </w:rPr>
                  </w:pPr>
                </w:p>
              </w:tc>
              <w:tc>
                <w:tcPr>
                  <w:tcW w:w="2094" w:type="pct"/>
                  <w:noWrap w:val="0"/>
                  <w:vAlign w:val="center"/>
                </w:tcPr>
                <w:p w14:paraId="29443ACA">
                  <w:pPr>
                    <w:keepNext w:val="0"/>
                    <w:keepLines w:val="0"/>
                    <w:pageBreakBefore w:val="0"/>
                    <w:widowControl w:val="0"/>
                    <w:kinsoku/>
                    <w:wordWrap/>
                    <w:overflowPunct/>
                    <w:topLinePunct w:val="0"/>
                    <w:autoSpaceDE/>
                    <w:autoSpaceDN/>
                    <w:bidi w:val="0"/>
                    <w:adjustRightInd/>
                    <w:snapToGrid/>
                    <w:spacing w:line="240" w:lineRule="auto"/>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2.严禁引进排放“三致</w:t>
                  </w:r>
                  <w:r>
                    <w:rPr>
                      <w:rFonts w:hint="default" w:ascii="Times New Roman" w:hAnsi="Times New Roman" w:eastAsia="宋体" w:cs="Times New Roman"/>
                      <w:color w:val="auto"/>
                      <w:spacing w:val="-10"/>
                      <w:szCs w:val="21"/>
                    </w:rPr>
                    <w:t>”（</w:t>
                  </w:r>
                  <w:r>
                    <w:rPr>
                      <w:rFonts w:hint="default" w:ascii="Times New Roman" w:hAnsi="Times New Roman" w:eastAsia="宋体" w:cs="Times New Roman"/>
                      <w:color w:val="auto"/>
                      <w:spacing w:val="-5"/>
                      <w:szCs w:val="21"/>
                    </w:rPr>
                    <w:t>致癌、致畸、致突变</w:t>
                  </w:r>
                  <w:r>
                    <w:rPr>
                      <w:rFonts w:hint="default" w:ascii="Times New Roman" w:hAnsi="Times New Roman" w:eastAsia="宋体" w:cs="Times New Roman"/>
                      <w:color w:val="auto"/>
                      <w:spacing w:val="-46"/>
                      <w:szCs w:val="21"/>
                    </w:rPr>
                    <w:t>）</w:t>
                  </w:r>
                  <w:r>
                    <w:rPr>
                      <w:rFonts w:hint="default" w:ascii="Times New Roman" w:hAnsi="Times New Roman" w:eastAsia="宋体" w:cs="Times New Roman"/>
                      <w:color w:val="auto"/>
                      <w:spacing w:val="-7"/>
                      <w:szCs w:val="21"/>
                    </w:rPr>
                    <w:t>、列入名录的恶臭污染物及氰</w:t>
                  </w:r>
                  <w:r>
                    <w:rPr>
                      <w:rFonts w:hint="default" w:ascii="Times New Roman" w:hAnsi="Times New Roman" w:eastAsia="宋体" w:cs="Times New Roman"/>
                      <w:color w:val="auto"/>
                      <w:spacing w:val="-12"/>
                      <w:szCs w:val="21"/>
                    </w:rPr>
                    <w:t>化物等高污染、高风险物质且严重影响人身</w:t>
                  </w:r>
                  <w:r>
                    <w:rPr>
                      <w:rFonts w:hint="default" w:ascii="Times New Roman" w:hAnsi="Times New Roman" w:eastAsia="宋体" w:cs="Times New Roman"/>
                      <w:color w:val="auto"/>
                      <w:szCs w:val="21"/>
                    </w:rPr>
                    <w:t>健康和环境质量的项目</w:t>
                  </w:r>
                </w:p>
              </w:tc>
              <w:tc>
                <w:tcPr>
                  <w:tcW w:w="1724" w:type="pct"/>
                  <w:vMerge w:val="continue"/>
                  <w:noWrap w:val="0"/>
                  <w:vAlign w:val="center"/>
                </w:tcPr>
                <w:p w14:paraId="72E6672F">
                  <w:pPr>
                    <w:pStyle w:val="47"/>
                    <w:rPr>
                      <w:rFonts w:hint="default" w:ascii="Times New Roman" w:hAnsi="Times New Roman" w:eastAsia="宋体" w:cs="Times New Roman"/>
                      <w:b/>
                      <w:bCs/>
                      <w:color w:val="auto"/>
                      <w:sz w:val="21"/>
                      <w:szCs w:val="21"/>
                    </w:rPr>
                  </w:pPr>
                </w:p>
              </w:tc>
              <w:tc>
                <w:tcPr>
                  <w:tcW w:w="511" w:type="pct"/>
                  <w:vMerge w:val="continue"/>
                  <w:noWrap w:val="0"/>
                  <w:vAlign w:val="center"/>
                </w:tcPr>
                <w:p w14:paraId="20B3853E">
                  <w:pPr>
                    <w:pStyle w:val="47"/>
                    <w:rPr>
                      <w:rFonts w:hint="default" w:ascii="Times New Roman" w:hAnsi="Times New Roman" w:eastAsia="宋体" w:cs="Times New Roman"/>
                      <w:b/>
                      <w:bCs/>
                      <w:color w:val="auto"/>
                      <w:sz w:val="21"/>
                      <w:szCs w:val="21"/>
                    </w:rPr>
                  </w:pPr>
                </w:p>
              </w:tc>
            </w:tr>
            <w:tr w14:paraId="13566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restart"/>
                  <w:noWrap w:val="0"/>
                  <w:vAlign w:val="center"/>
                </w:tcPr>
                <w:p w14:paraId="4C774548">
                  <w:pPr>
                    <w:pStyle w:val="4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污染物排放管控</w:t>
                  </w:r>
                </w:p>
              </w:tc>
              <w:tc>
                <w:tcPr>
                  <w:tcW w:w="2094" w:type="pct"/>
                  <w:noWrap w:val="0"/>
                  <w:vAlign w:val="center"/>
                </w:tcPr>
                <w:p w14:paraId="1745FB9E">
                  <w:pPr>
                    <w:pStyle w:val="4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1.严格实施污染物总量</w:t>
                  </w:r>
                  <w:r>
                    <w:rPr>
                      <w:rFonts w:hint="default" w:ascii="Times New Roman" w:hAnsi="Times New Roman" w:eastAsia="宋体" w:cs="Times New Roman"/>
                      <w:color w:val="auto"/>
                      <w:spacing w:val="2"/>
                      <w:szCs w:val="21"/>
                    </w:rPr>
                    <w:t>控制制度，根据区域环境质</w:t>
                  </w:r>
                  <w:r>
                    <w:rPr>
                      <w:rFonts w:hint="default" w:ascii="Times New Roman" w:hAnsi="Times New Roman" w:eastAsia="宋体" w:cs="Times New Roman"/>
                      <w:color w:val="auto"/>
                      <w:spacing w:val="3"/>
                      <w:szCs w:val="21"/>
                    </w:rPr>
                    <w:t>量改善目标，采取有效措施减少主要污染物排放总量</w:t>
                  </w:r>
                  <w:r>
                    <w:rPr>
                      <w:rFonts w:hint="eastAsia" w:ascii="Times New Roman" w:hAnsi="Times New Roman" w:eastAsia="宋体" w:cs="Times New Roman"/>
                      <w:color w:val="auto"/>
                      <w:spacing w:val="3"/>
                      <w:szCs w:val="21"/>
                      <w:lang w:eastAsia="zh-CN"/>
                    </w:rPr>
                    <w:t>，</w:t>
                  </w:r>
                  <w:r>
                    <w:rPr>
                      <w:rFonts w:hint="default" w:ascii="Times New Roman" w:hAnsi="Times New Roman" w:eastAsia="宋体" w:cs="Times New Roman"/>
                      <w:color w:val="auto"/>
                      <w:szCs w:val="21"/>
                    </w:rPr>
                    <w:t>确保区域环境质量持续改善。</w:t>
                  </w:r>
                </w:p>
              </w:tc>
              <w:tc>
                <w:tcPr>
                  <w:tcW w:w="1724" w:type="pct"/>
                  <w:vMerge w:val="restart"/>
                  <w:noWrap w:val="0"/>
                  <w:vAlign w:val="center"/>
                </w:tcPr>
                <w:p w14:paraId="1141548B">
                  <w:pPr>
                    <w:pStyle w:val="47"/>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rPr>
                    <w:t>项目</w:t>
                  </w:r>
                  <w:r>
                    <w:rPr>
                      <w:rFonts w:hint="eastAsia" w:ascii="Times New Roman" w:hAnsi="Times New Roman" w:eastAsia="宋体" w:cs="Times New Roman"/>
                      <w:color w:val="auto"/>
                      <w:lang w:val="en-US" w:eastAsia="zh-CN"/>
                    </w:rPr>
                    <w:t>污水处理站产生</w:t>
                  </w:r>
                  <w:r>
                    <w:rPr>
                      <w:rFonts w:hint="eastAsia" w:cs="Times New Roman"/>
                      <w:color w:val="auto"/>
                      <w:lang w:val="en-US" w:eastAsia="zh-CN"/>
                    </w:rPr>
                    <w:t>微量</w:t>
                  </w:r>
                  <w:r>
                    <w:rPr>
                      <w:rFonts w:hint="eastAsia" w:ascii="Times New Roman" w:hAnsi="Times New Roman" w:eastAsia="宋体" w:cs="Times New Roman"/>
                      <w:bCs/>
                      <w:color w:val="auto"/>
                      <w:spacing w:val="-10"/>
                      <w:kern w:val="2"/>
                      <w:sz w:val="21"/>
                      <w:szCs w:val="21"/>
                      <w:highlight w:val="none"/>
                      <w:lang w:val="en-US" w:eastAsia="zh-CN" w:bidi="ar-SA"/>
                    </w:rPr>
                    <w:t>NH</w:t>
                  </w:r>
                  <w:r>
                    <w:rPr>
                      <w:rFonts w:hint="eastAsia" w:ascii="Times New Roman" w:hAnsi="Times New Roman" w:eastAsia="宋体" w:cs="Times New Roman"/>
                      <w:bCs/>
                      <w:color w:val="auto"/>
                      <w:spacing w:val="-10"/>
                      <w:kern w:val="2"/>
                      <w:sz w:val="21"/>
                      <w:szCs w:val="21"/>
                      <w:highlight w:val="none"/>
                      <w:vertAlign w:val="subscript"/>
                      <w:lang w:val="en-US" w:eastAsia="zh-CN" w:bidi="ar-SA"/>
                    </w:rPr>
                    <w:t>3</w:t>
                  </w:r>
                  <w:r>
                    <w:rPr>
                      <w:rFonts w:hint="eastAsia" w:ascii="Times New Roman" w:hAnsi="Times New Roman" w:cs="Times New Roman"/>
                      <w:bCs/>
                      <w:color w:val="auto"/>
                      <w:spacing w:val="-10"/>
                      <w:kern w:val="2"/>
                      <w:sz w:val="21"/>
                      <w:szCs w:val="21"/>
                      <w:highlight w:val="none"/>
                      <w:lang w:val="en-US" w:eastAsia="zh-CN" w:bidi="ar-SA"/>
                    </w:rPr>
                    <w:t>、</w:t>
                  </w:r>
                  <w:r>
                    <w:rPr>
                      <w:rFonts w:hint="eastAsia" w:ascii="Times New Roman" w:hAnsi="Times New Roman" w:eastAsia="宋体" w:cs="Times New Roman"/>
                      <w:bCs/>
                      <w:color w:val="auto"/>
                      <w:spacing w:val="-10"/>
                      <w:kern w:val="2"/>
                      <w:sz w:val="21"/>
                      <w:szCs w:val="21"/>
                      <w:highlight w:val="none"/>
                      <w:lang w:val="en-US" w:eastAsia="zh-CN" w:bidi="ar-SA"/>
                    </w:rPr>
                    <w:t>H</w:t>
                  </w:r>
                  <w:r>
                    <w:rPr>
                      <w:rFonts w:hint="eastAsia" w:ascii="Times New Roman" w:hAnsi="Times New Roman" w:eastAsia="宋体" w:cs="Times New Roman"/>
                      <w:bCs/>
                      <w:color w:val="auto"/>
                      <w:spacing w:val="-10"/>
                      <w:kern w:val="2"/>
                      <w:sz w:val="21"/>
                      <w:szCs w:val="21"/>
                      <w:highlight w:val="none"/>
                      <w:vertAlign w:val="subscript"/>
                      <w:lang w:val="en-US" w:eastAsia="zh-CN" w:bidi="ar-SA"/>
                    </w:rPr>
                    <w:t>2</w:t>
                  </w:r>
                  <w:r>
                    <w:rPr>
                      <w:rFonts w:hint="eastAsia" w:ascii="Times New Roman" w:hAnsi="Times New Roman" w:eastAsia="宋体" w:cs="Times New Roman"/>
                      <w:bCs/>
                      <w:color w:val="auto"/>
                      <w:spacing w:val="-10"/>
                      <w:kern w:val="2"/>
                      <w:sz w:val="21"/>
                      <w:szCs w:val="21"/>
                      <w:highlight w:val="none"/>
                      <w:lang w:val="en-US" w:eastAsia="zh-CN" w:bidi="ar-SA"/>
                    </w:rPr>
                    <w:t>S</w:t>
                  </w:r>
                  <w:r>
                    <w:rPr>
                      <w:rFonts w:hint="eastAsia" w:ascii="Times New Roman" w:hAnsi="Times New Roman" w:eastAsia="宋体" w:cs="Times New Roman"/>
                      <w:color w:val="auto"/>
                      <w:sz w:val="21"/>
                      <w:szCs w:val="21"/>
                      <w:lang w:val="en-US" w:eastAsia="zh-CN"/>
                    </w:rPr>
                    <w:t>废气，不属于</w:t>
                  </w:r>
                  <w:r>
                    <w:rPr>
                      <w:rFonts w:hint="default" w:ascii="Times New Roman" w:hAnsi="Times New Roman" w:eastAsia="宋体" w:cs="Times New Roman"/>
                      <w:b w:val="0"/>
                      <w:bCs w:val="0"/>
                      <w:color w:val="auto"/>
                      <w:sz w:val="21"/>
                      <w:szCs w:val="21"/>
                      <w:lang w:val="en-US" w:eastAsia="zh-CN"/>
                    </w:rPr>
                    <w:t>总量控制因子</w:t>
                  </w:r>
                  <w:r>
                    <w:rPr>
                      <w:rFonts w:hint="default" w:ascii="Times New Roman" w:hAnsi="Times New Roman" w:eastAsia="宋体" w:cs="Times New Roman"/>
                      <w:color w:val="auto"/>
                      <w:sz w:val="21"/>
                      <w:szCs w:val="21"/>
                    </w:rPr>
                    <w:t>。</w:t>
                  </w:r>
                  <w:r>
                    <w:rPr>
                      <w:rFonts w:hint="eastAsia" w:cs="Times New Roman"/>
                      <w:color w:val="auto"/>
                      <w:sz w:val="21"/>
                      <w:szCs w:val="21"/>
                      <w:lang w:val="en-US" w:eastAsia="zh-CN"/>
                    </w:rPr>
                    <w:t>2、项目污染物排放总量不会突破园区批复的总量</w:t>
                  </w:r>
                </w:p>
              </w:tc>
              <w:tc>
                <w:tcPr>
                  <w:tcW w:w="511" w:type="pct"/>
                  <w:vMerge w:val="restart"/>
                  <w:noWrap w:val="0"/>
                  <w:vAlign w:val="center"/>
                </w:tcPr>
                <w:p w14:paraId="023684FF">
                  <w:pPr>
                    <w:pStyle w:val="47"/>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符合</w:t>
                  </w:r>
                </w:p>
              </w:tc>
            </w:tr>
            <w:tr w14:paraId="66DFD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noWrap w:val="0"/>
                  <w:vAlign w:val="center"/>
                </w:tcPr>
                <w:p w14:paraId="651C3611">
                  <w:pPr>
                    <w:pStyle w:val="47"/>
                    <w:rPr>
                      <w:rFonts w:hint="default" w:ascii="Times New Roman" w:hAnsi="Times New Roman" w:eastAsia="宋体" w:cs="Times New Roman"/>
                      <w:color w:val="auto"/>
                      <w:sz w:val="21"/>
                      <w:szCs w:val="21"/>
                    </w:rPr>
                  </w:pPr>
                </w:p>
              </w:tc>
              <w:tc>
                <w:tcPr>
                  <w:tcW w:w="2094" w:type="pct"/>
                  <w:noWrap w:val="0"/>
                  <w:vAlign w:val="center"/>
                </w:tcPr>
                <w:p w14:paraId="5F4440F6">
                  <w:pPr>
                    <w:pStyle w:val="4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2.园区污染物排放总量不得突破环评报告及批复的总量。</w:t>
                  </w:r>
                </w:p>
              </w:tc>
              <w:tc>
                <w:tcPr>
                  <w:tcW w:w="1724" w:type="pct"/>
                  <w:vMerge w:val="continue"/>
                  <w:noWrap w:val="0"/>
                  <w:vAlign w:val="center"/>
                </w:tcPr>
                <w:p w14:paraId="3D2EE9B7">
                  <w:pPr>
                    <w:pStyle w:val="47"/>
                    <w:rPr>
                      <w:rFonts w:hint="default" w:ascii="Times New Roman" w:hAnsi="Times New Roman" w:eastAsia="宋体" w:cs="Times New Roman"/>
                      <w:color w:val="auto"/>
                      <w:sz w:val="21"/>
                      <w:szCs w:val="21"/>
                    </w:rPr>
                  </w:pPr>
                </w:p>
              </w:tc>
              <w:tc>
                <w:tcPr>
                  <w:tcW w:w="511" w:type="pct"/>
                  <w:vMerge w:val="continue"/>
                  <w:noWrap w:val="0"/>
                  <w:vAlign w:val="center"/>
                </w:tcPr>
                <w:p w14:paraId="30A2D5FD">
                  <w:pPr>
                    <w:pStyle w:val="47"/>
                    <w:rPr>
                      <w:rFonts w:hint="default" w:ascii="Times New Roman" w:hAnsi="Times New Roman" w:eastAsia="宋体" w:cs="Times New Roman"/>
                      <w:b/>
                      <w:bCs/>
                      <w:color w:val="auto"/>
                      <w:sz w:val="21"/>
                      <w:szCs w:val="21"/>
                    </w:rPr>
                  </w:pPr>
                </w:p>
              </w:tc>
            </w:tr>
            <w:tr w14:paraId="5190F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restart"/>
                  <w:noWrap w:val="0"/>
                  <w:vAlign w:val="center"/>
                </w:tcPr>
                <w:p w14:paraId="115491B4">
                  <w:pPr>
                    <w:pStyle w:val="4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环境风险防控</w:t>
                  </w:r>
                </w:p>
              </w:tc>
              <w:tc>
                <w:tcPr>
                  <w:tcW w:w="2094" w:type="pct"/>
                  <w:noWrap w:val="0"/>
                  <w:vAlign w:val="center"/>
                </w:tcPr>
                <w:p w14:paraId="5728E174">
                  <w:pPr>
                    <w:pStyle w:val="4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1.园区建立环境应急体系，完善事故应急救援体系，加强应急物资装备储备，编制突发环境事件应急预案，定期开展演练。</w:t>
                  </w:r>
                </w:p>
              </w:tc>
              <w:tc>
                <w:tcPr>
                  <w:tcW w:w="1724" w:type="pct"/>
                  <w:vMerge w:val="restart"/>
                  <w:noWrap w:val="0"/>
                  <w:vAlign w:val="center"/>
                </w:tcPr>
                <w:p w14:paraId="0ADA7977">
                  <w:pPr>
                    <w:pStyle w:val="4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所在园区已建立环境应急体系，已加强应急物资装备储备，已编制突发环境事件应急预案并定期开展演练；项目建成后将委托专业单位编制突发环境事件应急预案并在金坛生态环境局备案；项目建成后将加强环境影响跟踪监测，建立健全各环境要素监控体系，完善并落实园区日常环境监测与污染源监控计划。</w:t>
                  </w:r>
                </w:p>
              </w:tc>
              <w:tc>
                <w:tcPr>
                  <w:tcW w:w="511" w:type="pct"/>
                  <w:vMerge w:val="restart"/>
                  <w:noWrap w:val="0"/>
                  <w:vAlign w:val="center"/>
                </w:tcPr>
                <w:p w14:paraId="3188F652">
                  <w:pPr>
                    <w:pStyle w:val="47"/>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符合</w:t>
                  </w:r>
                </w:p>
              </w:tc>
            </w:tr>
            <w:tr w14:paraId="28EB5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noWrap w:val="0"/>
                  <w:vAlign w:val="center"/>
                </w:tcPr>
                <w:p w14:paraId="4C0BE47F">
                  <w:pPr>
                    <w:pStyle w:val="47"/>
                    <w:rPr>
                      <w:rFonts w:hint="default" w:ascii="Times New Roman" w:hAnsi="Times New Roman" w:eastAsia="宋体" w:cs="Times New Roman"/>
                      <w:color w:val="auto"/>
                      <w:sz w:val="21"/>
                      <w:szCs w:val="21"/>
                    </w:rPr>
                  </w:pPr>
                </w:p>
              </w:tc>
              <w:tc>
                <w:tcPr>
                  <w:tcW w:w="2094" w:type="pct"/>
                  <w:noWrap w:val="0"/>
                  <w:vAlign w:val="center"/>
                </w:tcPr>
                <w:p w14:paraId="796915BD">
                  <w:pPr>
                    <w:pStyle w:val="4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Cs w:val="21"/>
                    </w:rPr>
                    <w:t>2.生产、使用、储存危险化学品或其他存在环境风险的企事业单位，应当制定风险防范措施，编制完善突发环境事件应急预案，防止发生环境污染事故。</w:t>
                  </w:r>
                </w:p>
              </w:tc>
              <w:tc>
                <w:tcPr>
                  <w:tcW w:w="1724" w:type="pct"/>
                  <w:vMerge w:val="continue"/>
                  <w:noWrap w:val="0"/>
                  <w:vAlign w:val="center"/>
                </w:tcPr>
                <w:p w14:paraId="086B1989">
                  <w:pPr>
                    <w:pStyle w:val="47"/>
                    <w:rPr>
                      <w:rFonts w:hint="default" w:ascii="Times New Roman" w:hAnsi="Times New Roman" w:eastAsia="宋体" w:cs="Times New Roman"/>
                      <w:b/>
                      <w:bCs/>
                      <w:color w:val="auto"/>
                      <w:sz w:val="21"/>
                      <w:szCs w:val="21"/>
                    </w:rPr>
                  </w:pPr>
                </w:p>
              </w:tc>
              <w:tc>
                <w:tcPr>
                  <w:tcW w:w="511" w:type="pct"/>
                  <w:vMerge w:val="continue"/>
                  <w:noWrap w:val="0"/>
                  <w:vAlign w:val="center"/>
                </w:tcPr>
                <w:p w14:paraId="647F1010">
                  <w:pPr>
                    <w:pStyle w:val="47"/>
                    <w:rPr>
                      <w:rFonts w:hint="default" w:ascii="Times New Roman" w:hAnsi="Times New Roman" w:eastAsia="宋体" w:cs="Times New Roman"/>
                      <w:b/>
                      <w:bCs/>
                      <w:color w:val="auto"/>
                      <w:sz w:val="21"/>
                      <w:szCs w:val="21"/>
                    </w:rPr>
                  </w:pPr>
                </w:p>
              </w:tc>
            </w:tr>
            <w:tr w14:paraId="2083C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restart"/>
                  <w:noWrap w:val="0"/>
                  <w:vAlign w:val="center"/>
                </w:tcPr>
                <w:p w14:paraId="47671A92">
                  <w:pPr>
                    <w:pStyle w:val="4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资源开发效率要求</w:t>
                  </w:r>
                </w:p>
              </w:tc>
              <w:tc>
                <w:tcPr>
                  <w:tcW w:w="2094" w:type="pct"/>
                  <w:noWrap w:val="0"/>
                  <w:vAlign w:val="center"/>
                </w:tcPr>
                <w:p w14:paraId="20316AF3">
                  <w:pPr>
                    <w:pStyle w:val="4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1.大力倡导使用清洁能源。</w:t>
                  </w:r>
                </w:p>
              </w:tc>
              <w:tc>
                <w:tcPr>
                  <w:tcW w:w="1724" w:type="pct"/>
                  <w:vMerge w:val="restart"/>
                  <w:noWrap w:val="0"/>
                  <w:vAlign w:val="center"/>
                </w:tcPr>
                <w:p w14:paraId="39A96A8E">
                  <w:pPr>
                    <w:pStyle w:val="47"/>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1</w:t>
                  </w:r>
                  <w:r>
                    <w:rPr>
                      <w:rFonts w:hint="default" w:ascii="Times New Roman" w:hAnsi="Times New Roman" w:eastAsia="宋体" w:cs="Times New Roman"/>
                      <w:color w:val="auto"/>
                      <w:sz w:val="21"/>
                      <w:szCs w:val="21"/>
                    </w:rPr>
                    <w:t>本项目使用清洁能源电力；</w:t>
                  </w:r>
                </w:p>
                <w:p w14:paraId="4399674E">
                  <w:pPr>
                    <w:pStyle w:val="47"/>
                    <w:rPr>
                      <w:rFonts w:hint="default" w:cs="Times New Roman"/>
                      <w:color w:val="auto"/>
                      <w:sz w:val="21"/>
                      <w:szCs w:val="21"/>
                      <w:lang w:val="en-US" w:eastAsia="zh-CN"/>
                    </w:rPr>
                  </w:pPr>
                  <w:r>
                    <w:rPr>
                      <w:rFonts w:hint="eastAsia" w:cs="Times New Roman"/>
                      <w:color w:val="auto"/>
                      <w:sz w:val="21"/>
                      <w:szCs w:val="21"/>
                      <w:lang w:val="en-US" w:eastAsia="zh-CN"/>
                    </w:rPr>
                    <w:t>2项目漂洗废水经污水站处理后回用，水资源回用率高；</w:t>
                  </w:r>
                </w:p>
                <w:p w14:paraId="43E3F46B">
                  <w:pPr>
                    <w:pStyle w:val="47"/>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rPr>
                    <w:t>项目无燃煤设施。</w:t>
                  </w:r>
                </w:p>
              </w:tc>
              <w:tc>
                <w:tcPr>
                  <w:tcW w:w="511" w:type="pct"/>
                  <w:vMerge w:val="restart"/>
                  <w:noWrap w:val="0"/>
                  <w:vAlign w:val="center"/>
                </w:tcPr>
                <w:p w14:paraId="0EDBCAFE">
                  <w:pPr>
                    <w:pStyle w:val="4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798B7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noWrap w:val="0"/>
                  <w:vAlign w:val="center"/>
                </w:tcPr>
                <w:p w14:paraId="50FB177E">
                  <w:pPr>
                    <w:pStyle w:val="47"/>
                    <w:rPr>
                      <w:rFonts w:hint="default" w:ascii="Times New Roman" w:hAnsi="Times New Roman" w:eastAsia="宋体" w:cs="Times New Roman"/>
                      <w:color w:val="auto"/>
                      <w:sz w:val="21"/>
                      <w:szCs w:val="21"/>
                    </w:rPr>
                  </w:pPr>
                </w:p>
              </w:tc>
              <w:tc>
                <w:tcPr>
                  <w:tcW w:w="2094" w:type="pct"/>
                  <w:noWrap w:val="0"/>
                  <w:vAlign w:val="center"/>
                </w:tcPr>
                <w:p w14:paraId="3A8D304A">
                  <w:pPr>
                    <w:pStyle w:val="4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2.提升废水资源化技术，提高水资源回用率。</w:t>
                  </w:r>
                </w:p>
              </w:tc>
              <w:tc>
                <w:tcPr>
                  <w:tcW w:w="1724" w:type="pct"/>
                  <w:vMerge w:val="continue"/>
                  <w:noWrap w:val="0"/>
                  <w:vAlign w:val="center"/>
                </w:tcPr>
                <w:p w14:paraId="7952FC5D">
                  <w:pPr>
                    <w:pStyle w:val="47"/>
                    <w:rPr>
                      <w:rFonts w:hint="default" w:ascii="Times New Roman" w:hAnsi="Times New Roman" w:eastAsia="宋体" w:cs="Times New Roman"/>
                      <w:color w:val="auto"/>
                      <w:sz w:val="21"/>
                      <w:szCs w:val="21"/>
                    </w:rPr>
                  </w:pPr>
                </w:p>
              </w:tc>
              <w:tc>
                <w:tcPr>
                  <w:tcW w:w="511" w:type="pct"/>
                  <w:vMerge w:val="continue"/>
                  <w:noWrap w:val="0"/>
                  <w:vAlign w:val="center"/>
                </w:tcPr>
                <w:p w14:paraId="4F4AA7C5">
                  <w:pPr>
                    <w:pStyle w:val="47"/>
                    <w:rPr>
                      <w:rFonts w:hint="default" w:ascii="Times New Roman" w:hAnsi="Times New Roman" w:eastAsia="宋体" w:cs="Times New Roman"/>
                      <w:color w:val="auto"/>
                      <w:sz w:val="21"/>
                      <w:szCs w:val="21"/>
                    </w:rPr>
                  </w:pPr>
                </w:p>
              </w:tc>
            </w:tr>
            <w:tr w14:paraId="7BBD3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69" w:type="pct"/>
                  <w:vMerge w:val="continue"/>
                  <w:noWrap w:val="0"/>
                  <w:vAlign w:val="center"/>
                </w:tcPr>
                <w:p w14:paraId="3A603E9B">
                  <w:pPr>
                    <w:pStyle w:val="47"/>
                    <w:rPr>
                      <w:rFonts w:hint="default" w:ascii="Times New Roman" w:hAnsi="Times New Roman" w:eastAsia="宋体" w:cs="Times New Roman"/>
                      <w:color w:val="auto"/>
                      <w:sz w:val="21"/>
                      <w:szCs w:val="21"/>
                    </w:rPr>
                  </w:pPr>
                </w:p>
              </w:tc>
              <w:tc>
                <w:tcPr>
                  <w:tcW w:w="2094" w:type="pct"/>
                  <w:noWrap w:val="0"/>
                  <w:vAlign w:val="center"/>
                </w:tcPr>
                <w:p w14:paraId="31402E6A">
                  <w:pPr>
                    <w:pStyle w:val="47"/>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3.严禁自建燃煤设施。</w:t>
                  </w:r>
                </w:p>
              </w:tc>
              <w:tc>
                <w:tcPr>
                  <w:tcW w:w="1724" w:type="pct"/>
                  <w:vMerge w:val="continue"/>
                  <w:noWrap w:val="0"/>
                  <w:vAlign w:val="center"/>
                </w:tcPr>
                <w:p w14:paraId="67489C22">
                  <w:pPr>
                    <w:pStyle w:val="47"/>
                    <w:rPr>
                      <w:rFonts w:hint="default" w:ascii="Times New Roman" w:hAnsi="Times New Roman" w:eastAsia="宋体" w:cs="Times New Roman"/>
                      <w:color w:val="auto"/>
                      <w:sz w:val="21"/>
                      <w:szCs w:val="21"/>
                    </w:rPr>
                  </w:pPr>
                </w:p>
              </w:tc>
              <w:tc>
                <w:tcPr>
                  <w:tcW w:w="511" w:type="pct"/>
                  <w:vMerge w:val="continue"/>
                  <w:noWrap w:val="0"/>
                  <w:vAlign w:val="center"/>
                </w:tcPr>
                <w:p w14:paraId="236B5554">
                  <w:pPr>
                    <w:pStyle w:val="47"/>
                    <w:rPr>
                      <w:rFonts w:hint="default" w:ascii="Times New Roman" w:hAnsi="Times New Roman" w:eastAsia="宋体" w:cs="Times New Roman"/>
                      <w:color w:val="auto"/>
                      <w:sz w:val="21"/>
                      <w:szCs w:val="21"/>
                    </w:rPr>
                  </w:pPr>
                </w:p>
              </w:tc>
            </w:tr>
          </w:tbl>
          <w:p w14:paraId="0F6CC3BD">
            <w:pPr>
              <w:pStyle w:val="28"/>
              <w:keepNext w:val="0"/>
              <w:keepLines w:val="0"/>
              <w:pageBreakBefore w:val="0"/>
              <w:widowControl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由上表可知，本项目符合“三线一单”（即</w:t>
            </w:r>
            <w:r>
              <w:rPr>
                <w:rFonts w:hint="default" w:ascii="Times New Roman" w:hAnsi="Times New Roman" w:eastAsia="宋体" w:cs="Times New Roman"/>
                <w:color w:val="auto"/>
                <w:sz w:val="24"/>
                <w:szCs w:val="24"/>
                <w:highlight w:val="none"/>
                <w:shd w:val="clear" w:fill="auto"/>
              </w:rPr>
              <w:t>生态保护红线</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rPr>
              <w:t>环境质量底线</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rPr>
              <w:t>资源利用上线</w:t>
            </w:r>
            <w:r>
              <w:rPr>
                <w:rFonts w:hint="default" w:ascii="Times New Roman" w:hAnsi="Times New Roman" w:eastAsia="宋体" w:cs="Times New Roman"/>
                <w:color w:val="auto"/>
                <w:sz w:val="24"/>
                <w:szCs w:val="24"/>
              </w:rPr>
              <w:t>、环境准入负面清单）筛选相关要求，且满足</w:t>
            </w:r>
            <w:r>
              <w:rPr>
                <w:b w:val="0"/>
                <w:bCs/>
                <w:color w:val="auto"/>
                <w:sz w:val="24"/>
                <w:szCs w:val="24"/>
              </w:rPr>
              <w:t>《</w:t>
            </w:r>
            <w:r>
              <w:rPr>
                <w:rFonts w:hint="eastAsia"/>
                <w:b w:val="0"/>
                <w:bCs/>
                <w:color w:val="auto"/>
                <w:sz w:val="24"/>
                <w:szCs w:val="24"/>
                <w:lang w:eastAsia="zh-CN"/>
              </w:rPr>
              <w:t>江苏省2023年度生态环境分区管控动态更新成果公告</w:t>
            </w:r>
            <w:r>
              <w:rPr>
                <w:b w:val="0"/>
                <w:bCs/>
                <w:color w:val="auto"/>
                <w:sz w:val="24"/>
                <w:szCs w:val="24"/>
              </w:rPr>
              <w:t>》、</w:t>
            </w:r>
            <w:r>
              <w:rPr>
                <w:rFonts w:hint="eastAsia" w:cs="Times New Roman"/>
                <w:b w:val="0"/>
                <w:bCs/>
                <w:color w:val="auto"/>
                <w:sz w:val="24"/>
                <w:szCs w:val="24"/>
                <w:lang w:eastAsia="zh-CN"/>
              </w:rPr>
              <w:t>《</w:t>
            </w:r>
            <w:r>
              <w:rPr>
                <w:rFonts w:hint="eastAsia" w:ascii="Times New Roman" w:hAnsi="Times New Roman" w:cs="Times New Roman"/>
                <w:b w:val="0"/>
                <w:bCs/>
                <w:color w:val="auto"/>
                <w:sz w:val="24"/>
                <w:szCs w:val="24"/>
                <w:lang w:val="en-US" w:eastAsia="zh-CN"/>
              </w:rPr>
              <w:t>常州市生态环境分区管</w:t>
            </w:r>
            <w:r>
              <w:rPr>
                <w:rFonts w:hint="eastAsia" w:ascii="Times New Roman" w:hAnsi="Times New Roman" w:cs="Times New Roman"/>
                <w:color w:val="auto"/>
                <w:sz w:val="24"/>
                <w:szCs w:val="24"/>
                <w:lang w:val="en-US" w:eastAsia="zh-CN"/>
              </w:rPr>
              <w:t>控动态更新成果》（2023年版）</w:t>
            </w:r>
            <w:r>
              <w:rPr>
                <w:rFonts w:hint="default" w:ascii="Times New Roman" w:hAnsi="Times New Roman" w:eastAsia="宋体" w:cs="Times New Roman"/>
                <w:color w:val="auto"/>
                <w:sz w:val="24"/>
                <w:szCs w:val="24"/>
              </w:rPr>
              <w:t>相关要求。</w:t>
            </w:r>
          </w:p>
          <w:p w14:paraId="5ED88888">
            <w:pPr>
              <w:pStyle w:val="28"/>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1.3相关生态环境保护法律法规政策、生态环境保护规划的符合性</w:t>
            </w:r>
          </w:p>
          <w:p w14:paraId="621EB089">
            <w:pPr>
              <w:keepNext w:val="0"/>
              <w:keepLines w:val="0"/>
              <w:pageBreakBefore w:val="0"/>
              <w:widowControl w:val="0"/>
              <w:kinsoku/>
              <w:wordWrap/>
              <w:overflowPunct/>
              <w:topLinePunct w:val="0"/>
              <w:bidi w:val="0"/>
              <w:snapToGrid w:val="0"/>
              <w:spacing w:line="360" w:lineRule="auto"/>
              <w:textAlignment w:val="auto"/>
              <w:rPr>
                <w:rFonts w:hint="eastAsia" w:ascii="Times New Roman" w:hAnsi="Times New Roman" w:eastAsia="宋体" w:cs="Times New Roman"/>
                <w:b/>
                <w:bCs w:val="0"/>
                <w:color w:val="auto"/>
                <w:sz w:val="24"/>
                <w:lang w:eastAsia="zh-CN"/>
              </w:rPr>
            </w:pPr>
            <w:r>
              <w:rPr>
                <w:rFonts w:hint="default" w:ascii="Times New Roman" w:hAnsi="Times New Roman" w:eastAsia="宋体" w:cs="Times New Roman"/>
                <w:b/>
                <w:bCs/>
                <w:color w:val="auto"/>
                <w:sz w:val="24"/>
                <w:szCs w:val="24"/>
                <w:lang w:val="en-US" w:eastAsia="zh-CN"/>
              </w:rPr>
              <w:t>1.3.1</w:t>
            </w:r>
            <w:r>
              <w:rPr>
                <w:rFonts w:hint="eastAsia" w:cs="Times New Roman"/>
                <w:b/>
                <w:bCs w:val="0"/>
                <w:color w:val="auto"/>
                <w:sz w:val="24"/>
                <w:lang w:eastAsia="zh-CN"/>
              </w:rPr>
              <w:t>与金坛区</w:t>
            </w:r>
            <w:r>
              <w:rPr>
                <w:rFonts w:hint="eastAsia" w:ascii="Times New Roman" w:hAnsi="Times New Roman" w:eastAsia="宋体" w:cs="Times New Roman"/>
                <w:b/>
                <w:bCs w:val="0"/>
                <w:color w:val="auto"/>
                <w:sz w:val="24"/>
                <w:lang w:val="en-US" w:eastAsia="zh-CN"/>
              </w:rPr>
              <w:t>“</w:t>
            </w:r>
            <w:r>
              <w:rPr>
                <w:rFonts w:hint="default" w:ascii="Times New Roman" w:hAnsi="Times New Roman" w:eastAsia="宋体" w:cs="Times New Roman"/>
                <w:b/>
                <w:bCs w:val="0"/>
                <w:color w:val="auto"/>
                <w:sz w:val="24"/>
                <w:lang w:eastAsia="zh-CN"/>
              </w:rPr>
              <w:t>三区三线</w:t>
            </w:r>
            <w:r>
              <w:rPr>
                <w:rFonts w:hint="eastAsia" w:ascii="Times New Roman" w:hAnsi="Times New Roman" w:eastAsia="宋体" w:cs="Times New Roman"/>
                <w:b/>
                <w:bCs w:val="0"/>
                <w:color w:val="auto"/>
                <w:sz w:val="24"/>
                <w:lang w:val="en-US" w:eastAsia="zh-CN"/>
              </w:rPr>
              <w:t>”相符性分析。</w:t>
            </w:r>
          </w:p>
          <w:p w14:paraId="5E432D0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color w:val="auto"/>
                <w:sz w:val="24"/>
                <w:lang w:val="en-US" w:eastAsia="zh-CN"/>
              </w:rPr>
              <w:t>金坛区“</w:t>
            </w:r>
            <w:r>
              <w:rPr>
                <w:rFonts w:hint="default" w:ascii="Times New Roman" w:hAnsi="Times New Roman" w:eastAsia="宋体" w:cs="Times New Roman"/>
                <w:color w:val="auto"/>
                <w:sz w:val="24"/>
                <w:lang w:eastAsia="zh-CN"/>
              </w:rPr>
              <w:t>三区三线</w:t>
            </w:r>
            <w:r>
              <w:rPr>
                <w:rFonts w:hint="eastAsia" w:ascii="Times New Roman" w:hAnsi="Times New Roman" w:eastAsia="宋体" w:cs="Times New Roman"/>
                <w:color w:val="auto"/>
                <w:sz w:val="24"/>
                <w:lang w:val="en-US" w:eastAsia="zh-CN"/>
              </w:rPr>
              <w:t>”划定成果已正式启用，</w:t>
            </w:r>
            <w:r>
              <w:rPr>
                <w:rFonts w:hint="default" w:ascii="Times New Roman" w:hAnsi="Times New Roman" w:eastAsia="宋体" w:cs="Times New Roman"/>
                <w:color w:val="auto"/>
                <w:sz w:val="24"/>
                <w:lang w:eastAsia="zh-CN"/>
              </w:rPr>
              <w:t>共划定耕地保护目标图斑31.3788万亩，永久基本农田28.264万亩，生态保护红线98.67平方公里，城镇开发边界115.67平方公里。</w:t>
            </w:r>
            <w:r>
              <w:rPr>
                <w:rFonts w:hint="eastAsia" w:ascii="Times New Roman" w:hAnsi="Times New Roman" w:eastAsia="宋体" w:cs="Times New Roman"/>
                <w:color w:val="auto"/>
                <w:sz w:val="24"/>
                <w:lang w:val="en-US" w:eastAsia="zh-CN"/>
              </w:rPr>
              <w:t>本项目位于</w:t>
            </w:r>
            <w:r>
              <w:rPr>
                <w:rFonts w:hint="eastAsia" w:cs="Times New Roman"/>
                <w:color w:val="auto"/>
                <w:sz w:val="24"/>
                <w:lang w:eastAsia="zh-CN"/>
              </w:rPr>
              <w:t>直溪镇工业园区直东路6号</w:t>
            </w:r>
            <w:r>
              <w:rPr>
                <w:rFonts w:hint="eastAsia" w:ascii="Times New Roman" w:hAnsi="Times New Roman" w:eastAsia="宋体" w:cs="Times New Roman"/>
                <w:color w:val="auto"/>
                <w:sz w:val="24"/>
                <w:lang w:val="en-US" w:eastAsia="zh-CN"/>
              </w:rPr>
              <w:t>，属于工业用地，不属于</w:t>
            </w:r>
            <w:r>
              <w:rPr>
                <w:rFonts w:hint="default" w:ascii="Times New Roman" w:hAnsi="Times New Roman" w:eastAsia="宋体" w:cs="Times New Roman"/>
                <w:color w:val="auto"/>
                <w:sz w:val="24"/>
                <w:lang w:eastAsia="zh-CN"/>
              </w:rPr>
              <w:t>永久基本农田</w:t>
            </w:r>
            <w:r>
              <w:rPr>
                <w:rFonts w:hint="eastAsia"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eastAsia="zh-CN"/>
              </w:rPr>
              <w:t>生态保护红线</w:t>
            </w:r>
            <w:r>
              <w:rPr>
                <w:rFonts w:hint="eastAsia" w:ascii="Times New Roman" w:hAnsi="Times New Roman" w:eastAsia="宋体" w:cs="Times New Roman"/>
                <w:color w:val="auto"/>
                <w:sz w:val="24"/>
                <w:lang w:eastAsia="zh-CN"/>
              </w:rPr>
              <w:t>和</w:t>
            </w:r>
            <w:r>
              <w:rPr>
                <w:rFonts w:hint="default" w:ascii="Times New Roman" w:hAnsi="Times New Roman" w:eastAsia="宋体" w:cs="Times New Roman"/>
                <w:color w:val="auto"/>
                <w:sz w:val="24"/>
                <w:lang w:eastAsia="zh-CN"/>
              </w:rPr>
              <w:t>城镇开发边界</w:t>
            </w:r>
            <w:r>
              <w:rPr>
                <w:rFonts w:hint="eastAsia" w:ascii="Times New Roman" w:hAnsi="Times New Roman" w:eastAsia="宋体" w:cs="Times New Roman"/>
                <w:color w:val="auto"/>
                <w:sz w:val="24"/>
                <w:lang w:eastAsia="zh-CN"/>
              </w:rPr>
              <w:t>范围。</w:t>
            </w:r>
          </w:p>
          <w:p w14:paraId="5F09369E">
            <w:pPr>
              <w:keepNext w:val="0"/>
              <w:keepLines w:val="0"/>
              <w:pageBreakBefore w:val="0"/>
              <w:widowControl w:val="0"/>
              <w:kinsoku/>
              <w:wordWrap/>
              <w:overflowPunct/>
              <w:topLinePunct w:val="0"/>
              <w:autoSpaceDE w:val="0"/>
              <w:autoSpaceDN w:val="0"/>
              <w:bidi w:val="0"/>
              <w:adjustRightInd w:val="0"/>
              <w:snapToGrid w:val="0"/>
              <w:spacing w:line="360" w:lineRule="auto"/>
              <w:jc w:val="left"/>
              <w:textAlignment w:val="auto"/>
              <w:rPr>
                <w:rFonts w:hint="default" w:ascii="Times New Roman" w:hAnsi="Times New Roman" w:eastAsia="宋体" w:cs="Times New Roman"/>
                <w:b/>
                <w:bCs/>
                <w:color w:val="auto"/>
                <w:sz w:val="24"/>
                <w:szCs w:val="24"/>
              </w:rPr>
            </w:pPr>
            <w:r>
              <w:rPr>
                <w:rFonts w:hint="eastAsia" w:cs="Times New Roman"/>
                <w:b/>
                <w:bCs/>
                <w:color w:val="auto"/>
                <w:sz w:val="24"/>
                <w:szCs w:val="24"/>
                <w:lang w:val="en-US" w:eastAsia="zh-CN"/>
              </w:rPr>
              <w:t>1.3.2</w:t>
            </w:r>
            <w:r>
              <w:rPr>
                <w:rFonts w:hint="default" w:ascii="Times New Roman" w:hAnsi="Times New Roman" w:eastAsia="宋体" w:cs="Times New Roman"/>
                <w:b/>
                <w:bCs/>
                <w:color w:val="auto"/>
                <w:sz w:val="24"/>
                <w:szCs w:val="24"/>
                <w:lang w:val="en-US" w:eastAsia="zh-CN"/>
              </w:rPr>
              <w:t>与《省生态环境厅关于进一步做好建设项目环评审批工作的通知》（苏环办〔2019〕36号）相符性分析</w:t>
            </w:r>
            <w:r>
              <w:rPr>
                <w:rFonts w:hint="default" w:ascii="Times New Roman" w:hAnsi="Times New Roman" w:eastAsia="宋体" w:cs="Times New Roman"/>
                <w:b/>
                <w:bCs/>
                <w:color w:val="auto"/>
                <w:sz w:val="24"/>
                <w:szCs w:val="24"/>
                <w:lang w:eastAsia="zh-CN"/>
              </w:rPr>
              <w:t>。</w:t>
            </w:r>
          </w:p>
          <w:p w14:paraId="6C24B5C8">
            <w:pPr>
              <w:autoSpaceDE w:val="0"/>
              <w:autoSpaceDN w:val="0"/>
              <w:adjustRightInd w:val="0"/>
              <w:snapToGrid w:val="0"/>
              <w:jc w:val="center"/>
              <w:rPr>
                <w:rFonts w:hint="default" w:ascii="Times New Roman" w:hAnsi="Times New Roman" w:eastAsia="宋体" w:cs="Times New Roman"/>
                <w:b/>
                <w:bCs/>
                <w:color w:val="auto"/>
                <w:sz w:val="21"/>
                <w:szCs w:val="21"/>
              </w:rPr>
            </w:pPr>
          </w:p>
          <w:p w14:paraId="0608798C">
            <w:pPr>
              <w:autoSpaceDE w:val="0"/>
              <w:autoSpaceDN w:val="0"/>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b/>
                <w:bCs/>
                <w:color w:val="auto"/>
                <w:sz w:val="21"/>
                <w:szCs w:val="21"/>
              </w:rPr>
              <w:t>表1-</w:t>
            </w:r>
            <w:r>
              <w:rPr>
                <w:rFonts w:hint="eastAsia" w:cs="Times New Roman"/>
                <w:b/>
                <w:bCs/>
                <w:color w:val="auto"/>
                <w:sz w:val="21"/>
                <w:szCs w:val="21"/>
                <w:lang w:val="en-US" w:eastAsia="zh-CN"/>
              </w:rPr>
              <w:t xml:space="preserve">9 </w:t>
            </w:r>
            <w:r>
              <w:rPr>
                <w:rFonts w:hint="default" w:ascii="Times New Roman" w:hAnsi="Times New Roman" w:eastAsia="宋体" w:cs="Times New Roman"/>
                <w:b/>
                <w:bCs/>
                <w:color w:val="auto"/>
                <w:sz w:val="21"/>
                <w:szCs w:val="21"/>
              </w:rPr>
              <w:t>与苏环办〔2019〕36号文相符性分析</w:t>
            </w:r>
          </w:p>
          <w:tbl>
            <w:tblPr>
              <w:tblStyle w:val="18"/>
              <w:tblW w:w="490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5"/>
              <w:gridCol w:w="5262"/>
              <w:gridCol w:w="1760"/>
              <w:gridCol w:w="529"/>
            </w:tblGrid>
            <w:tr w14:paraId="20FA2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87" w:type="pct"/>
                  <w:noWrap w:val="0"/>
                  <w:tcMar>
                    <w:left w:w="28" w:type="dxa"/>
                    <w:right w:w="28" w:type="dxa"/>
                  </w:tcMar>
                  <w:vAlign w:val="center"/>
                </w:tcPr>
                <w:p w14:paraId="7A118B4C">
                  <w:pPr>
                    <w:pStyle w:val="28"/>
                    <w:keepNext w:val="0"/>
                    <w:keepLines w:val="0"/>
                    <w:pageBreakBefore w:val="0"/>
                    <w:widowControl w:val="0"/>
                    <w:tabs>
                      <w:tab w:val="left" w:pos="746"/>
                    </w:tabs>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3074" w:type="pct"/>
                  <w:noWrap w:val="0"/>
                  <w:tcMar>
                    <w:left w:w="28" w:type="dxa"/>
                    <w:right w:w="28" w:type="dxa"/>
                  </w:tcMar>
                  <w:vAlign w:val="center"/>
                </w:tcPr>
                <w:p w14:paraId="4167598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文件要求（建设项目环评审批要点）</w:t>
                  </w:r>
                </w:p>
              </w:tc>
              <w:tc>
                <w:tcPr>
                  <w:tcW w:w="1028" w:type="pct"/>
                  <w:noWrap w:val="0"/>
                  <w:tcMar>
                    <w:left w:w="28" w:type="dxa"/>
                    <w:right w:w="28" w:type="dxa"/>
                  </w:tcMar>
                  <w:vAlign w:val="center"/>
                </w:tcPr>
                <w:p w14:paraId="7B3F67C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本项目</w:t>
                  </w:r>
                  <w:r>
                    <w:rPr>
                      <w:rFonts w:hint="default" w:ascii="Times New Roman" w:hAnsi="Times New Roman" w:eastAsia="宋体" w:cs="Times New Roman"/>
                      <w:b/>
                      <w:bCs/>
                      <w:color w:val="auto"/>
                      <w:sz w:val="21"/>
                      <w:szCs w:val="21"/>
                      <w:lang w:val="en-US" w:eastAsia="zh-CN"/>
                    </w:rPr>
                    <w:t>情况</w:t>
                  </w:r>
                </w:p>
              </w:tc>
              <w:tc>
                <w:tcPr>
                  <w:tcW w:w="309" w:type="pct"/>
                  <w:noWrap w:val="0"/>
                  <w:tcMar>
                    <w:left w:w="28" w:type="dxa"/>
                    <w:right w:w="28" w:type="dxa"/>
                  </w:tcMar>
                  <w:vAlign w:val="center"/>
                </w:tcPr>
                <w:p w14:paraId="5B74E86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相符</w:t>
                  </w:r>
                  <w:r>
                    <w:rPr>
                      <w:rFonts w:hint="default" w:ascii="Times New Roman" w:hAnsi="Times New Roman" w:eastAsia="宋体" w:cs="Times New Roman"/>
                      <w:b/>
                      <w:bCs/>
                      <w:color w:val="auto"/>
                      <w:sz w:val="21"/>
                      <w:szCs w:val="21"/>
                      <w:lang w:val="en-US" w:eastAsia="zh-CN"/>
                    </w:rPr>
                    <w:t>性</w:t>
                  </w:r>
                </w:p>
              </w:tc>
            </w:tr>
            <w:tr w14:paraId="65577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87" w:type="pct"/>
                  <w:noWrap w:val="0"/>
                  <w:tcMar>
                    <w:left w:w="28" w:type="dxa"/>
                    <w:right w:w="28" w:type="dxa"/>
                  </w:tcMar>
                  <w:vAlign w:val="center"/>
                </w:tcPr>
                <w:p w14:paraId="50D09A3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《建设项目环境保护管理</w:t>
                  </w:r>
                  <w:r>
                    <w:rPr>
                      <w:rFonts w:hint="default" w:ascii="Times New Roman" w:hAnsi="Times New Roman" w:eastAsia="宋体" w:cs="Times New Roman"/>
                      <w:color w:val="auto"/>
                      <w:sz w:val="21"/>
                      <w:szCs w:val="21"/>
                      <w:lang w:val="en-US" w:eastAsia="zh-CN"/>
                    </w:rPr>
                    <w:t>条例</w:t>
                  </w:r>
                  <w:r>
                    <w:rPr>
                      <w:rFonts w:hint="default" w:ascii="Times New Roman" w:hAnsi="Times New Roman" w:eastAsia="宋体" w:cs="Times New Roman"/>
                      <w:color w:val="auto"/>
                      <w:sz w:val="21"/>
                      <w:szCs w:val="21"/>
                    </w:rPr>
                    <w:t>》</w:t>
                  </w:r>
                </w:p>
              </w:tc>
              <w:tc>
                <w:tcPr>
                  <w:tcW w:w="3074" w:type="pct"/>
                  <w:noWrap w:val="0"/>
                  <w:tcMar>
                    <w:left w:w="28" w:type="dxa"/>
                    <w:right w:w="28" w:type="dxa"/>
                  </w:tcMar>
                  <w:vAlign w:val="center"/>
                </w:tcPr>
                <w:p w14:paraId="1981D7A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有下列情形之一的，不予批准：</w:t>
                  </w:r>
                </w:p>
                <w:p w14:paraId="4A396559">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（1）建设项目类型及其选址、布局、规模等不符合环境保护法律法规和相关法定规划；</w:t>
                  </w:r>
                </w:p>
                <w:p w14:paraId="2BD26ACC">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w:t>
                  </w:r>
                  <w:r>
                    <w:rPr>
                      <w:rFonts w:hint="eastAsia" w:cs="Times New Roman"/>
                      <w:color w:val="auto"/>
                      <w:sz w:val="21"/>
                      <w:szCs w:val="21"/>
                      <w:lang w:val="en-US" w:eastAsia="zh-CN"/>
                    </w:rPr>
                    <w:t>2</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所在区域环境质量未达到国家或者地方环境质量标准，且建设项目拟采取的措施不能满足区域环境质量改善目标管理要求；</w:t>
                  </w:r>
                </w:p>
                <w:p w14:paraId="7E623E52">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w:t>
                  </w:r>
                  <w:r>
                    <w:rPr>
                      <w:rFonts w:hint="eastAsia" w:cs="Times New Roman"/>
                      <w:color w:val="auto"/>
                      <w:sz w:val="21"/>
                      <w:szCs w:val="21"/>
                      <w:lang w:val="en-US" w:eastAsia="zh-CN"/>
                    </w:rPr>
                    <w:t>3</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建设项目采取的污染</w:t>
                  </w:r>
                  <w:r>
                    <w:rPr>
                      <w:rFonts w:hint="default" w:ascii="Times New Roman" w:hAnsi="Times New Roman" w:eastAsia="宋体" w:cs="Times New Roman"/>
                      <w:color w:val="auto"/>
                      <w:sz w:val="21"/>
                      <w:szCs w:val="21"/>
                      <w:highlight w:val="none"/>
                      <w:shd w:val="clear" w:fill="auto"/>
                    </w:rPr>
                    <w:t>防治</w:t>
                  </w:r>
                  <w:r>
                    <w:rPr>
                      <w:rFonts w:hint="default" w:ascii="Times New Roman" w:hAnsi="Times New Roman" w:eastAsia="宋体" w:cs="Times New Roman"/>
                      <w:color w:val="auto"/>
                      <w:sz w:val="21"/>
                      <w:szCs w:val="21"/>
                    </w:rPr>
                    <w:t>措施无法确保污染物排放达到国家和地方排放标准，或者未采取必要措施预防和控制生态破坏；</w:t>
                  </w:r>
                </w:p>
                <w:p w14:paraId="5A21E95A">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w:t>
                  </w:r>
                  <w:r>
                    <w:rPr>
                      <w:rFonts w:hint="eastAsia" w:cs="Times New Roman"/>
                      <w:color w:val="auto"/>
                      <w:sz w:val="21"/>
                      <w:szCs w:val="21"/>
                      <w:lang w:val="en-US" w:eastAsia="zh-CN"/>
                    </w:rPr>
                    <w:t>4</w:t>
                  </w:r>
                  <w:r>
                    <w:rPr>
                      <w:rFonts w:hint="eastAsia" w:cs="Times New Roman"/>
                      <w:color w:val="auto"/>
                      <w:sz w:val="21"/>
                      <w:szCs w:val="21"/>
                      <w:lang w:eastAsia="zh-CN"/>
                    </w:rPr>
                    <w:t>）</w:t>
                  </w:r>
                  <w:r>
                    <w:rPr>
                      <w:rFonts w:hint="default" w:ascii="Times New Roman" w:hAnsi="Times New Roman" w:eastAsia="宋体" w:cs="Times New Roman"/>
                      <w:color w:val="auto"/>
                      <w:sz w:val="21"/>
                      <w:szCs w:val="21"/>
                      <w:highlight w:val="none"/>
                      <w:shd w:val="clear" w:fill="auto"/>
                    </w:rPr>
                    <w:t>改建</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highlight w:val="none"/>
                      <w:shd w:val="clear" w:fill="auto"/>
                    </w:rPr>
                    <w:t>扩建</w:t>
                  </w:r>
                  <w:r>
                    <w:rPr>
                      <w:rFonts w:hint="default" w:ascii="Times New Roman" w:hAnsi="Times New Roman" w:eastAsia="宋体" w:cs="Times New Roman"/>
                      <w:color w:val="auto"/>
                      <w:sz w:val="21"/>
                      <w:szCs w:val="21"/>
                    </w:rPr>
                    <w:t>和技术改造项目，未针对项目原有环境污染和生态破坏提出有效</w:t>
                  </w:r>
                  <w:r>
                    <w:rPr>
                      <w:rFonts w:hint="default" w:ascii="Times New Roman" w:hAnsi="Times New Roman" w:eastAsia="宋体" w:cs="Times New Roman"/>
                      <w:color w:val="auto"/>
                      <w:sz w:val="21"/>
                      <w:szCs w:val="21"/>
                      <w:highlight w:val="none"/>
                      <w:shd w:val="clear" w:fill="auto"/>
                    </w:rPr>
                    <w:t>防治</w:t>
                  </w:r>
                  <w:r>
                    <w:rPr>
                      <w:rFonts w:hint="default" w:ascii="Times New Roman" w:hAnsi="Times New Roman" w:eastAsia="宋体" w:cs="Times New Roman"/>
                      <w:color w:val="auto"/>
                      <w:sz w:val="21"/>
                      <w:szCs w:val="21"/>
                    </w:rPr>
                    <w:t>措施；</w:t>
                  </w:r>
                </w:p>
                <w:p w14:paraId="48C96776">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（5）建设项目的环境影响报告书、环境影响报告表的基础资料数据明显不实，内容存在重大缺陷、遗漏，或者环境影响评价结论不明确、不合理</w:t>
                  </w:r>
                </w:p>
              </w:tc>
              <w:tc>
                <w:tcPr>
                  <w:tcW w:w="1028" w:type="pct"/>
                  <w:noWrap w:val="0"/>
                  <w:tcMar>
                    <w:left w:w="28" w:type="dxa"/>
                    <w:right w:w="28" w:type="dxa"/>
                  </w:tcMar>
                  <w:vAlign w:val="center"/>
                </w:tcPr>
                <w:p w14:paraId="2CFE0FF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r>
                    <w:rPr>
                      <w:rFonts w:hint="default" w:ascii="Times New Roman" w:hAnsi="Times New Roman" w:eastAsia="宋体" w:cs="Times New Roman"/>
                      <w:color w:val="auto"/>
                      <w:sz w:val="21"/>
                      <w:szCs w:val="21"/>
                      <w:lang w:val="en-US" w:eastAsia="zh-CN"/>
                    </w:rPr>
                    <w:t>本项目位于常州市</w:t>
                  </w:r>
                  <w:r>
                    <w:rPr>
                      <w:rFonts w:hint="eastAsia" w:ascii="Times New Roman" w:hAnsi="Times New Roman" w:eastAsia="宋体" w:cs="Times New Roman"/>
                      <w:color w:val="auto"/>
                      <w:sz w:val="21"/>
                      <w:szCs w:val="21"/>
                      <w:lang w:val="en-US" w:eastAsia="zh-CN"/>
                    </w:rPr>
                    <w:t>金坛区</w:t>
                  </w:r>
                  <w:r>
                    <w:rPr>
                      <w:rFonts w:hint="eastAsia" w:cs="Times New Roman"/>
                      <w:color w:val="auto"/>
                      <w:sz w:val="21"/>
                      <w:szCs w:val="21"/>
                      <w:lang w:val="en-US" w:eastAsia="zh-CN"/>
                    </w:rPr>
                    <w:t>直溪镇工业园区直里路 8 号，</w:t>
                  </w:r>
                  <w:r>
                    <w:rPr>
                      <w:rFonts w:hint="default" w:ascii="Times New Roman" w:hAnsi="Times New Roman" w:eastAsia="宋体" w:cs="Times New Roman"/>
                      <w:color w:val="auto"/>
                      <w:sz w:val="21"/>
                      <w:szCs w:val="21"/>
                      <w:lang w:val="en-US" w:eastAsia="zh-CN"/>
                    </w:rPr>
                    <w:t>属于</w:t>
                  </w:r>
                  <w:r>
                    <w:rPr>
                      <w:rFonts w:hint="eastAsia" w:cs="Times New Roman"/>
                      <w:color w:val="auto"/>
                      <w:sz w:val="21"/>
                      <w:szCs w:val="21"/>
                      <w:lang w:val="en-US" w:eastAsia="zh-CN"/>
                    </w:rPr>
                    <w:t>C3399其他未列明金属制品制造</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建设项目类型及其选址、布局、规模等符合环境保护法律法规和相关法定规划；（2）建设项目</w:t>
                  </w:r>
                  <w:r>
                    <w:rPr>
                      <w:rFonts w:hint="default" w:ascii="Times New Roman" w:hAnsi="Times New Roman" w:eastAsia="宋体" w:cs="Times New Roman"/>
                      <w:color w:val="auto"/>
                      <w:sz w:val="21"/>
                      <w:szCs w:val="21"/>
                      <w:lang w:val="en-US" w:eastAsia="zh-CN"/>
                    </w:rPr>
                    <w:t>生活污水接管至常州市</w:t>
                  </w:r>
                  <w:r>
                    <w:rPr>
                      <w:rFonts w:hint="eastAsia" w:cs="Times New Roman"/>
                      <w:color w:val="auto"/>
                      <w:sz w:val="21"/>
                      <w:szCs w:val="21"/>
                      <w:lang w:val="en-US" w:eastAsia="zh-CN"/>
                    </w:rPr>
                    <w:t>金坛溪城污水</w:t>
                  </w:r>
                  <w:r>
                    <w:rPr>
                      <w:rFonts w:hint="default" w:ascii="Times New Roman" w:hAnsi="Times New Roman" w:eastAsia="宋体" w:cs="Times New Roman"/>
                      <w:color w:val="auto"/>
                      <w:sz w:val="21"/>
                      <w:szCs w:val="21"/>
                      <w:lang w:val="en-US" w:eastAsia="zh-CN"/>
                    </w:rPr>
                    <w:t>处理</w:t>
                  </w:r>
                  <w:r>
                    <w:rPr>
                      <w:rFonts w:hint="eastAsia" w:cs="Times New Roman"/>
                      <w:color w:val="auto"/>
                      <w:sz w:val="21"/>
                      <w:szCs w:val="21"/>
                      <w:lang w:val="en-US" w:eastAsia="zh-CN"/>
                    </w:rPr>
                    <w:t>公司</w:t>
                  </w:r>
                  <w:r>
                    <w:rPr>
                      <w:rFonts w:hint="default" w:ascii="Times New Roman" w:hAnsi="Times New Roman" w:eastAsia="宋体" w:cs="Times New Roman"/>
                      <w:color w:val="auto"/>
                      <w:sz w:val="21"/>
                      <w:szCs w:val="21"/>
                      <w:shd w:val="clear" w:fill="auto"/>
                      <w:lang w:val="en-US" w:eastAsia="zh-CN"/>
                    </w:rPr>
                    <w:t>处置</w:t>
                  </w:r>
                  <w:r>
                    <w:rPr>
                      <w:rFonts w:hint="default" w:ascii="Times New Roman" w:hAnsi="Times New Roman" w:eastAsia="宋体" w:cs="Times New Roman"/>
                      <w:color w:val="auto"/>
                      <w:sz w:val="21"/>
                      <w:szCs w:val="21"/>
                    </w:rPr>
                    <w:t>。</w:t>
                  </w:r>
                </w:p>
              </w:tc>
              <w:tc>
                <w:tcPr>
                  <w:tcW w:w="309" w:type="pct"/>
                  <w:noWrap w:val="0"/>
                  <w:tcMar>
                    <w:left w:w="28" w:type="dxa"/>
                    <w:right w:w="28" w:type="dxa"/>
                  </w:tcMar>
                  <w:vAlign w:val="center"/>
                </w:tcPr>
                <w:p w14:paraId="7DC37DD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相符</w:t>
                  </w:r>
                </w:p>
              </w:tc>
            </w:tr>
            <w:tr w14:paraId="3E381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87" w:type="pct"/>
                  <w:noWrap w:val="0"/>
                  <w:tcMar>
                    <w:left w:w="28" w:type="dxa"/>
                    <w:right w:w="28" w:type="dxa"/>
                  </w:tcMar>
                  <w:vAlign w:val="center"/>
                </w:tcPr>
                <w:p w14:paraId="38418BD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《农用地土壤环境管理办法（试行）》（</w:t>
                  </w:r>
                  <w:r>
                    <w:rPr>
                      <w:rFonts w:hint="default" w:ascii="Times New Roman" w:hAnsi="Times New Roman" w:eastAsia="宋体" w:cs="Times New Roman"/>
                      <w:color w:val="auto"/>
                      <w:sz w:val="21"/>
                      <w:szCs w:val="21"/>
                      <w:highlight w:val="none"/>
                      <w:shd w:val="clear" w:fill="auto"/>
                    </w:rPr>
                    <w:t>环境保护部</w:t>
                  </w:r>
                  <w:r>
                    <w:rPr>
                      <w:rFonts w:hint="default" w:ascii="Times New Roman" w:hAnsi="Times New Roman" w:eastAsia="宋体" w:cs="Times New Roman"/>
                      <w:color w:val="auto"/>
                      <w:sz w:val="21"/>
                      <w:szCs w:val="21"/>
                      <w:shd w:val="clear" w:fill="auto"/>
                    </w:rPr>
                    <w:t>农业部</w:t>
                  </w:r>
                  <w:r>
                    <w:rPr>
                      <w:rFonts w:hint="default" w:ascii="Times New Roman" w:hAnsi="Times New Roman" w:eastAsia="宋体" w:cs="Times New Roman"/>
                      <w:color w:val="auto"/>
                      <w:sz w:val="21"/>
                      <w:szCs w:val="21"/>
                    </w:rPr>
                    <w:t>令第46号）</w:t>
                  </w:r>
                </w:p>
              </w:tc>
              <w:tc>
                <w:tcPr>
                  <w:tcW w:w="3074" w:type="pct"/>
                  <w:noWrap w:val="0"/>
                  <w:tcMar>
                    <w:left w:w="28" w:type="dxa"/>
                    <w:right w:w="28" w:type="dxa"/>
                  </w:tcMar>
                  <w:vAlign w:val="center"/>
                </w:tcPr>
                <w:p w14:paraId="05018208">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1028" w:type="pct"/>
                  <w:noWrap w:val="0"/>
                  <w:tcMar>
                    <w:left w:w="28" w:type="dxa"/>
                    <w:right w:w="28" w:type="dxa"/>
                  </w:tcMar>
                  <w:vAlign w:val="center"/>
                </w:tcPr>
                <w:p w14:paraId="22F3C1D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本项目位于</w:t>
                  </w:r>
                  <w:r>
                    <w:rPr>
                      <w:rFonts w:hint="default" w:ascii="Times New Roman" w:hAnsi="Times New Roman" w:eastAsia="宋体" w:cs="Times New Roman"/>
                      <w:color w:val="auto"/>
                      <w:sz w:val="21"/>
                      <w:szCs w:val="21"/>
                      <w:lang w:val="en-US" w:eastAsia="zh-CN"/>
                    </w:rPr>
                    <w:t>常州市</w:t>
                  </w:r>
                  <w:r>
                    <w:rPr>
                      <w:rFonts w:hint="eastAsia" w:ascii="Times New Roman" w:hAnsi="Times New Roman" w:eastAsia="宋体" w:cs="Times New Roman"/>
                      <w:color w:val="auto"/>
                      <w:sz w:val="21"/>
                      <w:szCs w:val="21"/>
                      <w:lang w:val="en-US" w:eastAsia="zh-CN"/>
                    </w:rPr>
                    <w:t>金坛区</w:t>
                  </w:r>
                  <w:r>
                    <w:rPr>
                      <w:rFonts w:hint="eastAsia" w:cs="Times New Roman"/>
                      <w:color w:val="auto"/>
                      <w:sz w:val="21"/>
                      <w:szCs w:val="21"/>
                      <w:lang w:val="en-US" w:eastAsia="zh-CN"/>
                    </w:rPr>
                    <w:t>直溪镇工业园区直东路6号</w:t>
                  </w:r>
                  <w:r>
                    <w:rPr>
                      <w:rFonts w:hint="default" w:ascii="Times New Roman" w:hAnsi="Times New Roman" w:eastAsia="宋体" w:cs="Times New Roman"/>
                      <w:color w:val="auto"/>
                      <w:sz w:val="21"/>
                      <w:szCs w:val="21"/>
                    </w:rPr>
                    <w:t>，用地性质是工业用地，不属于优先保护类耕地集中区域，本项目不属于有色金属冶炼、石油加工、化工、焦化、电镀、制革等行业企业。</w:t>
                  </w:r>
                </w:p>
              </w:tc>
              <w:tc>
                <w:tcPr>
                  <w:tcW w:w="309" w:type="pct"/>
                  <w:noWrap w:val="0"/>
                  <w:tcMar>
                    <w:left w:w="28" w:type="dxa"/>
                    <w:right w:w="28" w:type="dxa"/>
                  </w:tcMar>
                  <w:vAlign w:val="center"/>
                </w:tcPr>
                <w:p w14:paraId="4D618D1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相符</w:t>
                  </w:r>
                </w:p>
              </w:tc>
            </w:tr>
            <w:tr w14:paraId="622B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87" w:type="pct"/>
                  <w:noWrap w:val="0"/>
                  <w:tcMar>
                    <w:left w:w="28" w:type="dxa"/>
                    <w:right w:w="28" w:type="dxa"/>
                  </w:tcMar>
                  <w:vAlign w:val="center"/>
                </w:tcPr>
                <w:p w14:paraId="139CB8D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《关于印发〈建设项目主要污染物排放总量指标审核及管理暂行办法〉的通知》（环发〔2014〕197号）</w:t>
                  </w:r>
                </w:p>
              </w:tc>
              <w:tc>
                <w:tcPr>
                  <w:tcW w:w="3074" w:type="pct"/>
                  <w:noWrap w:val="0"/>
                  <w:tcMar>
                    <w:left w:w="28" w:type="dxa"/>
                    <w:right w:w="28" w:type="dxa"/>
                  </w:tcMar>
                  <w:vAlign w:val="center"/>
                </w:tcPr>
                <w:p w14:paraId="0A9206E4">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严格落实污染物排放总量控制制度，把主要污染物排放总量指标作为建设项目环境影响评价审批的前置条件。排放主要污染物的建设项目，在环境影响评价文件审批前，须取得主要污染物排放总量</w:t>
                  </w:r>
                  <w:r>
                    <w:rPr>
                      <w:rFonts w:hint="default" w:ascii="Times New Roman" w:hAnsi="Times New Roman" w:eastAsia="宋体" w:cs="Times New Roman"/>
                      <w:color w:val="auto"/>
                      <w:sz w:val="21"/>
                      <w:szCs w:val="21"/>
                      <w:lang w:val="en-US" w:eastAsia="zh-CN"/>
                    </w:rPr>
                    <w:t>指标</w:t>
                  </w:r>
                  <w:r>
                    <w:rPr>
                      <w:rFonts w:hint="default" w:ascii="Times New Roman" w:hAnsi="Times New Roman" w:eastAsia="宋体" w:cs="Times New Roman"/>
                      <w:color w:val="auto"/>
                      <w:sz w:val="21"/>
                      <w:szCs w:val="21"/>
                    </w:rPr>
                    <w:t>。</w:t>
                  </w:r>
                </w:p>
              </w:tc>
              <w:tc>
                <w:tcPr>
                  <w:tcW w:w="1028" w:type="pct"/>
                  <w:noWrap w:val="0"/>
                  <w:tcMar>
                    <w:left w:w="28" w:type="dxa"/>
                    <w:right w:w="28" w:type="dxa"/>
                  </w:tcMar>
                  <w:vAlign w:val="center"/>
                </w:tcPr>
                <w:p w14:paraId="1C132AC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本项目在环境影响评价文件审批前，取得主要污染物排放总量</w:t>
                  </w:r>
                  <w:r>
                    <w:rPr>
                      <w:rFonts w:hint="default" w:ascii="Times New Roman" w:hAnsi="Times New Roman" w:eastAsia="宋体" w:cs="Times New Roman"/>
                      <w:color w:val="auto"/>
                      <w:sz w:val="21"/>
                      <w:szCs w:val="21"/>
                      <w:highlight w:val="none"/>
                      <w:lang w:val="en-US" w:eastAsia="zh-CN"/>
                    </w:rPr>
                    <w:t>指</w:t>
                  </w:r>
                  <w:r>
                    <w:rPr>
                      <w:rFonts w:hint="default" w:ascii="Times New Roman" w:hAnsi="Times New Roman" w:eastAsia="宋体" w:cs="Times New Roman"/>
                      <w:color w:val="auto"/>
                      <w:sz w:val="21"/>
                      <w:szCs w:val="21"/>
                      <w:highlight w:val="none"/>
                    </w:rPr>
                    <w:t>标</w:t>
                  </w:r>
                  <w:r>
                    <w:rPr>
                      <w:rFonts w:hint="default" w:ascii="Times New Roman" w:hAnsi="Times New Roman" w:eastAsia="宋体" w:cs="Times New Roman"/>
                      <w:color w:val="auto"/>
                      <w:sz w:val="21"/>
                      <w:szCs w:val="21"/>
                    </w:rPr>
                    <w:t>。</w:t>
                  </w:r>
                </w:p>
              </w:tc>
              <w:tc>
                <w:tcPr>
                  <w:tcW w:w="309" w:type="pct"/>
                  <w:noWrap w:val="0"/>
                  <w:tcMar>
                    <w:left w:w="28" w:type="dxa"/>
                    <w:right w:w="28" w:type="dxa"/>
                  </w:tcMar>
                  <w:vAlign w:val="center"/>
                </w:tcPr>
                <w:p w14:paraId="1F92346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相符</w:t>
                  </w:r>
                </w:p>
              </w:tc>
            </w:tr>
            <w:tr w14:paraId="14206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87" w:type="pct"/>
                  <w:noWrap w:val="0"/>
                  <w:tcMar>
                    <w:left w:w="28" w:type="dxa"/>
                    <w:right w:w="28" w:type="dxa"/>
                  </w:tcMar>
                  <w:vAlign w:val="center"/>
                </w:tcPr>
                <w:p w14:paraId="740FE48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《关于以改善环境质量为核心加强环境影响评价管理的通知》（环</w:t>
                  </w:r>
                  <w:r>
                    <w:rPr>
                      <w:rFonts w:hint="default" w:ascii="Times New Roman" w:hAnsi="Times New Roman" w:eastAsia="宋体" w:cs="Times New Roman"/>
                      <w:color w:val="auto"/>
                      <w:sz w:val="21"/>
                      <w:szCs w:val="21"/>
                      <w:shd w:val="clear" w:fill="auto"/>
                    </w:rPr>
                    <w:t>环</w:t>
                  </w:r>
                  <w:r>
                    <w:rPr>
                      <w:rFonts w:hint="default" w:ascii="Times New Roman" w:hAnsi="Times New Roman" w:eastAsia="宋体" w:cs="Times New Roman"/>
                      <w:color w:val="auto"/>
                      <w:sz w:val="21"/>
                      <w:szCs w:val="21"/>
                    </w:rPr>
                    <w:t>评〔2016〕150号）</w:t>
                  </w:r>
                </w:p>
              </w:tc>
              <w:tc>
                <w:tcPr>
                  <w:tcW w:w="3074" w:type="pct"/>
                  <w:noWrap w:val="0"/>
                  <w:tcMar>
                    <w:left w:w="28" w:type="dxa"/>
                    <w:right w:w="28" w:type="dxa"/>
                  </w:tcMar>
                  <w:vAlign w:val="center"/>
                </w:tcPr>
                <w:p w14:paraId="262DF55E">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（1）规划环评要作为规划所包含项目环评的重要依据，对于不符合规划环评结论及审查意见的项目环评，依法不予审批。</w:t>
                  </w:r>
                </w:p>
                <w:p w14:paraId="51C09B66">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（2）对于现有同类型项目环境污染或生态破坏严重、环境违法违规现象多发，致使环境容量接近或超过承载能力的地区，在现有问题整改到位前，依法暂停审批该地区同类行业的项目环评文件。</w:t>
                  </w:r>
                </w:p>
                <w:p w14:paraId="01599CD5">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除受自然条件限制、确实无法避让的铁路、公路、航道、防洪、管道、干渠、通讯、输变电等重要基础设施项目外，在</w:t>
                  </w:r>
                  <w:r>
                    <w:rPr>
                      <w:rFonts w:hint="default" w:ascii="Times New Roman" w:hAnsi="Times New Roman" w:eastAsia="宋体" w:cs="Times New Roman"/>
                      <w:color w:val="auto"/>
                      <w:sz w:val="21"/>
                      <w:szCs w:val="21"/>
                      <w:highlight w:val="none"/>
                    </w:rPr>
                    <w:t>生态保护红线</w:t>
                  </w:r>
                  <w:r>
                    <w:rPr>
                      <w:rFonts w:hint="default" w:ascii="Times New Roman" w:hAnsi="Times New Roman" w:eastAsia="宋体" w:cs="Times New Roman"/>
                      <w:color w:val="auto"/>
                      <w:sz w:val="21"/>
                      <w:szCs w:val="21"/>
                    </w:rPr>
                    <w:t>范围内，严控各类开发建设活动，依法不予审批新建工业项目和矿产开发项目的环评文件。</w:t>
                  </w:r>
                </w:p>
              </w:tc>
              <w:tc>
                <w:tcPr>
                  <w:tcW w:w="1028" w:type="pct"/>
                  <w:noWrap w:val="0"/>
                  <w:tcMar>
                    <w:left w:w="28" w:type="dxa"/>
                    <w:right w:w="28" w:type="dxa"/>
                  </w:tcMar>
                  <w:vAlign w:val="center"/>
                </w:tcPr>
                <w:p w14:paraId="7C3C8D3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w:t>
                  </w:r>
                  <w:r>
                    <w:rPr>
                      <w:rFonts w:hint="eastAsia" w:cs="Times New Roman"/>
                      <w:color w:val="auto"/>
                      <w:sz w:val="21"/>
                      <w:szCs w:val="21"/>
                      <w:lang w:val="en-US" w:eastAsia="zh-CN"/>
                    </w:rPr>
                    <w:t>所在园区</w:t>
                  </w:r>
                  <w:r>
                    <w:rPr>
                      <w:rFonts w:hint="default" w:ascii="Times New Roman" w:hAnsi="Times New Roman" w:eastAsia="宋体" w:cs="Times New Roman"/>
                      <w:color w:val="auto"/>
                      <w:sz w:val="21"/>
                      <w:szCs w:val="21"/>
                    </w:rPr>
                    <w:t>已开展规划环评，本项目符合规划环评</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项目建成后不会降低周围环境空气质量。</w:t>
                  </w:r>
                </w:p>
              </w:tc>
              <w:tc>
                <w:tcPr>
                  <w:tcW w:w="309" w:type="pct"/>
                  <w:noWrap w:val="0"/>
                  <w:tcMar>
                    <w:left w:w="28" w:type="dxa"/>
                    <w:right w:w="28" w:type="dxa"/>
                  </w:tcMar>
                  <w:vAlign w:val="center"/>
                </w:tcPr>
                <w:p w14:paraId="094327E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相符</w:t>
                  </w:r>
                </w:p>
              </w:tc>
            </w:tr>
            <w:tr w14:paraId="6B8E6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87" w:type="pct"/>
                  <w:noWrap w:val="0"/>
                  <w:tcMar>
                    <w:left w:w="28" w:type="dxa"/>
                    <w:right w:w="28" w:type="dxa"/>
                  </w:tcMar>
                  <w:vAlign w:val="center"/>
                </w:tcPr>
                <w:p w14:paraId="50ECB54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《省政府关于印发江苏省国家级</w:t>
                  </w:r>
                  <w:r>
                    <w:rPr>
                      <w:rFonts w:hint="default" w:ascii="Times New Roman" w:hAnsi="Times New Roman" w:eastAsia="宋体" w:cs="Times New Roman"/>
                      <w:color w:val="auto"/>
                      <w:sz w:val="21"/>
                      <w:szCs w:val="21"/>
                      <w:highlight w:val="none"/>
                    </w:rPr>
                    <w:t>生态保护红线</w:t>
                  </w:r>
                  <w:r>
                    <w:rPr>
                      <w:rFonts w:hint="default" w:ascii="Times New Roman" w:hAnsi="Times New Roman" w:eastAsia="宋体" w:cs="Times New Roman"/>
                      <w:color w:val="auto"/>
                      <w:sz w:val="21"/>
                      <w:szCs w:val="21"/>
                    </w:rPr>
                    <w:t>规划的通知》（苏政发〔2018〕74号）</w:t>
                  </w:r>
                </w:p>
              </w:tc>
              <w:tc>
                <w:tcPr>
                  <w:tcW w:w="3074" w:type="pct"/>
                  <w:noWrap w:val="0"/>
                  <w:tcMar>
                    <w:left w:w="28" w:type="dxa"/>
                    <w:right w:w="28" w:type="dxa"/>
                  </w:tcMar>
                  <w:vAlign w:val="center"/>
                </w:tcPr>
                <w:p w14:paraId="288E016F">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rPr>
                    <w:t>生态保护红线</w:t>
                  </w:r>
                  <w:r>
                    <w:rPr>
                      <w:rFonts w:hint="default" w:ascii="Times New Roman" w:hAnsi="Times New Roman" w:eastAsia="宋体" w:cs="Times New Roman"/>
                      <w:color w:val="auto"/>
                      <w:sz w:val="21"/>
                      <w:szCs w:val="21"/>
                    </w:rPr>
                    <w:t>原则上按禁止开发区域的要求进行管理，严禁不符合主体功能定位的各类开发活动，严禁任意改变用途。</w:t>
                  </w:r>
                </w:p>
              </w:tc>
              <w:tc>
                <w:tcPr>
                  <w:tcW w:w="1028" w:type="pct"/>
                  <w:noWrap w:val="0"/>
                  <w:tcMar>
                    <w:left w:w="28" w:type="dxa"/>
                    <w:right w:w="28" w:type="dxa"/>
                  </w:tcMar>
                  <w:vAlign w:val="center"/>
                </w:tcPr>
                <w:p w14:paraId="5551957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本项目不在</w:t>
                  </w:r>
                  <w:r>
                    <w:rPr>
                      <w:rFonts w:hint="default" w:ascii="Times New Roman" w:hAnsi="Times New Roman" w:eastAsia="宋体" w:cs="Times New Roman"/>
                      <w:color w:val="auto"/>
                      <w:sz w:val="21"/>
                      <w:szCs w:val="21"/>
                      <w:highlight w:val="none"/>
                    </w:rPr>
                    <w:t>生态保护红线</w:t>
                  </w:r>
                  <w:r>
                    <w:rPr>
                      <w:rFonts w:hint="default" w:ascii="Times New Roman" w:hAnsi="Times New Roman" w:eastAsia="宋体" w:cs="Times New Roman"/>
                      <w:color w:val="auto"/>
                      <w:sz w:val="21"/>
                      <w:szCs w:val="21"/>
                    </w:rPr>
                    <w:t>范围内</w:t>
                  </w:r>
                </w:p>
              </w:tc>
              <w:tc>
                <w:tcPr>
                  <w:tcW w:w="309" w:type="pct"/>
                  <w:noWrap w:val="0"/>
                  <w:tcMar>
                    <w:left w:w="28" w:type="dxa"/>
                    <w:right w:w="28" w:type="dxa"/>
                  </w:tcMar>
                  <w:vAlign w:val="center"/>
                </w:tcPr>
                <w:p w14:paraId="5CA0129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相符</w:t>
                  </w:r>
                </w:p>
              </w:tc>
            </w:tr>
            <w:tr w14:paraId="47DD0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587" w:type="pct"/>
                  <w:tcBorders>
                    <w:top w:val="single" w:color="auto" w:sz="4" w:space="0"/>
                    <w:left w:val="single" w:color="auto" w:sz="4" w:space="0"/>
                    <w:bottom w:val="single" w:color="auto" w:sz="4" w:space="0"/>
                  </w:tcBorders>
                  <w:noWrap w:val="0"/>
                  <w:tcMar>
                    <w:left w:w="28" w:type="dxa"/>
                    <w:right w:w="28" w:type="dxa"/>
                  </w:tcMar>
                  <w:vAlign w:val="center"/>
                </w:tcPr>
                <w:p w14:paraId="1CB8C0C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eastAsia" w:cs="Times New Roman"/>
                      <w:color w:val="auto"/>
                      <w:sz w:val="21"/>
                      <w:szCs w:val="21"/>
                      <w:lang w:eastAsia="zh-CN"/>
                    </w:rPr>
                    <w:t>长江</w:t>
                  </w:r>
                  <w:r>
                    <w:rPr>
                      <w:rFonts w:hint="default" w:ascii="Times New Roman" w:hAnsi="Times New Roman" w:eastAsia="宋体" w:cs="Times New Roman"/>
                      <w:color w:val="auto"/>
                      <w:sz w:val="21"/>
                      <w:szCs w:val="21"/>
                    </w:rPr>
                    <w:t>经济带发展负面清单指南（试行，2022年版）〉江苏省实施细则》（苏</w:t>
                  </w:r>
                  <w:r>
                    <w:rPr>
                      <w:rFonts w:hint="eastAsia" w:cs="Times New Roman"/>
                      <w:color w:val="auto"/>
                      <w:sz w:val="21"/>
                      <w:szCs w:val="21"/>
                      <w:lang w:eastAsia="zh-CN"/>
                    </w:rPr>
                    <w:t>长江</w:t>
                  </w:r>
                  <w:r>
                    <w:rPr>
                      <w:rFonts w:hint="default" w:ascii="Times New Roman" w:hAnsi="Times New Roman" w:eastAsia="宋体" w:cs="Times New Roman"/>
                      <w:color w:val="auto"/>
                      <w:sz w:val="21"/>
                      <w:szCs w:val="21"/>
                    </w:rPr>
                    <w:t>办发〔2022〕55号）</w:t>
                  </w:r>
                </w:p>
              </w:tc>
              <w:tc>
                <w:tcPr>
                  <w:tcW w:w="3074" w:type="pct"/>
                  <w:tcBorders>
                    <w:top w:val="single" w:color="auto" w:sz="4" w:space="0"/>
                    <w:bottom w:val="single" w:color="auto" w:sz="4" w:space="0"/>
                  </w:tcBorders>
                  <w:noWrap w:val="0"/>
                  <w:tcMar>
                    <w:left w:w="28" w:type="dxa"/>
                    <w:right w:w="28" w:type="dxa"/>
                  </w:tcMar>
                  <w:vAlign w:val="center"/>
                </w:tcPr>
                <w:p w14:paraId="311D77D4">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（1）禁止建设不符合全国和省级港口布局规划以及港口总体规划的码头项目，禁止建设不符合《</w:t>
                  </w:r>
                  <w:r>
                    <w:rPr>
                      <w:rFonts w:hint="eastAsia" w:cs="Times New Roman"/>
                      <w:color w:val="auto"/>
                      <w:sz w:val="21"/>
                      <w:szCs w:val="21"/>
                      <w:lang w:eastAsia="zh-CN"/>
                    </w:rPr>
                    <w:t>长江</w:t>
                  </w:r>
                  <w:r>
                    <w:rPr>
                      <w:rFonts w:hint="default" w:ascii="Times New Roman" w:hAnsi="Times New Roman" w:eastAsia="宋体" w:cs="Times New Roman"/>
                      <w:color w:val="auto"/>
                      <w:sz w:val="21"/>
                      <w:szCs w:val="21"/>
                    </w:rPr>
                    <w:t>干线过江通道布局规划》的过</w:t>
                  </w:r>
                  <w:r>
                    <w:rPr>
                      <w:rFonts w:hint="eastAsia" w:cs="Times New Roman"/>
                      <w:color w:val="auto"/>
                      <w:sz w:val="21"/>
                      <w:szCs w:val="21"/>
                      <w:lang w:eastAsia="zh-CN"/>
                    </w:rPr>
                    <w:t>长江</w:t>
                  </w:r>
                  <w:r>
                    <w:rPr>
                      <w:rFonts w:hint="default" w:ascii="Times New Roman" w:hAnsi="Times New Roman" w:eastAsia="宋体" w:cs="Times New Roman"/>
                      <w:color w:val="auto"/>
                      <w:sz w:val="21"/>
                      <w:szCs w:val="21"/>
                    </w:rPr>
                    <w:t>通道项目。</w:t>
                  </w:r>
                </w:p>
                <w:p w14:paraId="537B44E9">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（2）禁止在自然保护区核心区、缓冲区的岸线和河段范围内投资建设旅游和生产经营项目。禁止在风景名胜区核心景区的岸线和河段范围内投资建设与风景名胜资源保护无关的项目。</w:t>
                  </w:r>
                </w:p>
                <w:p w14:paraId="0C9D6E40">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（3）禁止在饮用水水源</w:t>
                  </w:r>
                  <w:r>
                    <w:rPr>
                      <w:rFonts w:hint="default" w:ascii="Times New Roman" w:hAnsi="Times New Roman" w:eastAsia="宋体" w:cs="Times New Roman"/>
                      <w:color w:val="auto"/>
                      <w:sz w:val="21"/>
                      <w:szCs w:val="21"/>
                      <w:shd w:val="clear" w:fill="auto"/>
                    </w:rPr>
                    <w:t>一级</w:t>
                  </w:r>
                  <w:r>
                    <w:rPr>
                      <w:rFonts w:hint="default" w:ascii="Times New Roman" w:hAnsi="Times New Roman" w:eastAsia="宋体" w:cs="Times New Roman"/>
                      <w:color w:val="auto"/>
                      <w:sz w:val="21"/>
                      <w:szCs w:val="21"/>
                    </w:rPr>
                    <w:t>保护区的岸线和河段范围内新建、</w:t>
                  </w:r>
                  <w:r>
                    <w:rPr>
                      <w:rFonts w:hint="default" w:ascii="Times New Roman" w:hAnsi="Times New Roman" w:eastAsia="宋体" w:cs="Times New Roman"/>
                      <w:color w:val="auto"/>
                      <w:sz w:val="21"/>
                      <w:szCs w:val="21"/>
                      <w:highlight w:val="none"/>
                      <w:shd w:val="clear" w:fill="auto"/>
                    </w:rPr>
                    <w:t>改建</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highlight w:val="none"/>
                      <w:shd w:val="clear" w:fill="auto"/>
                    </w:rPr>
                    <w:t>扩建</w:t>
                  </w:r>
                  <w:r>
                    <w:rPr>
                      <w:rFonts w:hint="default" w:ascii="Times New Roman" w:hAnsi="Times New Roman" w:eastAsia="宋体" w:cs="Times New Roman"/>
                      <w:color w:val="auto"/>
                      <w:sz w:val="21"/>
                      <w:szCs w:val="21"/>
                    </w:rPr>
                    <w:t>与供水设施和保护水源无关的项目，以及网箱养殖、旅游等可能污染饮用水水体的投资建设项目。禁止在饮用水水源二级保护区的岸线和河段范围内新建、</w:t>
                  </w:r>
                  <w:r>
                    <w:rPr>
                      <w:rFonts w:hint="default" w:ascii="Times New Roman" w:hAnsi="Times New Roman" w:eastAsia="宋体" w:cs="Times New Roman"/>
                      <w:color w:val="auto"/>
                      <w:sz w:val="21"/>
                      <w:szCs w:val="21"/>
                      <w:highlight w:val="none"/>
                    </w:rPr>
                    <w:t>改建</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highlight w:val="none"/>
                    </w:rPr>
                    <w:t>扩建</w:t>
                  </w:r>
                  <w:r>
                    <w:rPr>
                      <w:rFonts w:hint="default" w:ascii="Times New Roman" w:hAnsi="Times New Roman" w:eastAsia="宋体" w:cs="Times New Roman"/>
                      <w:color w:val="auto"/>
                      <w:sz w:val="21"/>
                      <w:szCs w:val="21"/>
                    </w:rPr>
                    <w:t>排放污染物的投资建设项目。</w:t>
                  </w:r>
                </w:p>
                <w:p w14:paraId="1ADA35D2">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（4）禁止在水产</w:t>
                  </w:r>
                  <w:r>
                    <w:rPr>
                      <w:rFonts w:hint="default" w:ascii="Times New Roman" w:hAnsi="Times New Roman" w:eastAsia="宋体" w:cs="Times New Roman"/>
                      <w:color w:val="auto"/>
                      <w:sz w:val="21"/>
                      <w:szCs w:val="21"/>
                      <w:highlight w:val="none"/>
                    </w:rPr>
                    <w:t>种质</w:t>
                  </w:r>
                  <w:r>
                    <w:rPr>
                      <w:rFonts w:hint="default" w:ascii="Times New Roman" w:hAnsi="Times New Roman" w:eastAsia="宋体" w:cs="Times New Roman"/>
                      <w:color w:val="auto"/>
                      <w:sz w:val="21"/>
                      <w:szCs w:val="21"/>
                    </w:rPr>
                    <w:t>资源保护区的岸线和河段范围内新建排污口，以及围湖造田、围海造地或围填海等投资建设项目。禁止在国家湿地公园的岸线和河段范围内挖沙、采矿，以及任何不符合主体功能定位的投资建设项目。</w:t>
                  </w:r>
                </w:p>
                <w:p w14:paraId="1BEDA8C7">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（5）禁止在《</w:t>
                  </w:r>
                  <w:r>
                    <w:rPr>
                      <w:rFonts w:hint="eastAsia" w:cs="Times New Roman"/>
                      <w:color w:val="auto"/>
                      <w:sz w:val="21"/>
                      <w:szCs w:val="21"/>
                      <w:lang w:eastAsia="zh-CN"/>
                    </w:rPr>
                    <w:t>长江</w:t>
                  </w:r>
                  <w:r>
                    <w:rPr>
                      <w:rFonts w:hint="default" w:ascii="Times New Roman" w:hAnsi="Times New Roman" w:eastAsia="宋体" w:cs="Times New Roman"/>
                      <w:color w:val="auto"/>
                      <w:sz w:val="21"/>
                      <w:szCs w:val="21"/>
                    </w:rPr>
                    <w:t>岸线保护和开发利用总体规划》划定的岸线保护区内投资建设除保障防洪安全、河势稳定、供水安全以及保护生态环境、已建重要枢纽工程以外的项目，禁止在岸线</w:t>
                  </w:r>
                  <w:r>
                    <w:rPr>
                      <w:rFonts w:hint="default" w:ascii="Times New Roman" w:hAnsi="Times New Roman" w:eastAsia="宋体" w:cs="Times New Roman"/>
                      <w:color w:val="auto"/>
                      <w:sz w:val="21"/>
                      <w:szCs w:val="21"/>
                      <w:shd w:val="clear" w:fill="auto"/>
                    </w:rPr>
                    <w:t>保留</w:t>
                  </w:r>
                  <w:r>
                    <w:rPr>
                      <w:rFonts w:hint="default" w:ascii="Times New Roman" w:hAnsi="Times New Roman" w:eastAsia="宋体" w:cs="Times New Roman"/>
                      <w:color w:val="auto"/>
                      <w:sz w:val="21"/>
                      <w:szCs w:val="21"/>
                    </w:rPr>
                    <w:t>区内投资建设除保障防洪安全、河势稳定、供水安全、航道稳定以及保护生态环境以外的项目。禁止在《全国重要江河湖泊水功能区划》划定的河段保护区、保留区内投资建设不利于水资源及自然生态保护的项目。</w:t>
                  </w:r>
                </w:p>
                <w:p w14:paraId="253917AE">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（6）禁止在</w:t>
                  </w:r>
                  <w:r>
                    <w:rPr>
                      <w:rFonts w:hint="default" w:ascii="Times New Roman" w:hAnsi="Times New Roman" w:eastAsia="宋体" w:cs="Times New Roman"/>
                      <w:color w:val="auto"/>
                      <w:sz w:val="21"/>
                      <w:szCs w:val="21"/>
                      <w:highlight w:val="none"/>
                    </w:rPr>
                    <w:t>生态保护红线</w:t>
                  </w:r>
                  <w:r>
                    <w:rPr>
                      <w:rFonts w:hint="default" w:ascii="Times New Roman" w:hAnsi="Times New Roman" w:eastAsia="宋体" w:cs="Times New Roman"/>
                      <w:color w:val="auto"/>
                      <w:sz w:val="21"/>
                      <w:szCs w:val="21"/>
                    </w:rPr>
                    <w:t>和永久基本农田范围内投资建设除国家重大战略资源勘查项目、生态保护修复和环境治理项目、重大基础设施项目、军事国防项目以及农牧民基本生产生活等必要的民生项目以外的项目。</w:t>
                  </w:r>
                </w:p>
                <w:p w14:paraId="6A76E1E3">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（7）禁止在</w:t>
                  </w:r>
                  <w:r>
                    <w:rPr>
                      <w:rFonts w:hint="eastAsia" w:cs="Times New Roman"/>
                      <w:color w:val="auto"/>
                      <w:sz w:val="21"/>
                      <w:szCs w:val="21"/>
                      <w:lang w:eastAsia="zh-CN"/>
                    </w:rPr>
                    <w:t>长江</w:t>
                  </w:r>
                  <w:r>
                    <w:rPr>
                      <w:rFonts w:hint="default" w:ascii="Times New Roman" w:hAnsi="Times New Roman" w:eastAsia="宋体" w:cs="Times New Roman"/>
                      <w:color w:val="auto"/>
                      <w:sz w:val="21"/>
                      <w:szCs w:val="21"/>
                    </w:rPr>
                    <w:t>干支流1公里范围内新建、</w:t>
                  </w:r>
                  <w:r>
                    <w:rPr>
                      <w:rFonts w:hint="default" w:ascii="Times New Roman" w:hAnsi="Times New Roman" w:eastAsia="宋体" w:cs="Times New Roman"/>
                      <w:color w:val="auto"/>
                      <w:sz w:val="21"/>
                      <w:szCs w:val="21"/>
                      <w:highlight w:val="none"/>
                    </w:rPr>
                    <w:t>扩建</w:t>
                  </w:r>
                  <w:r>
                    <w:rPr>
                      <w:rFonts w:hint="default" w:ascii="Times New Roman" w:hAnsi="Times New Roman" w:eastAsia="宋体" w:cs="Times New Roman"/>
                      <w:color w:val="auto"/>
                      <w:sz w:val="21"/>
                      <w:szCs w:val="21"/>
                    </w:rPr>
                    <w:t>化工园区和化工项目。禁止在合规园区外新建、</w:t>
                  </w:r>
                  <w:r>
                    <w:rPr>
                      <w:rFonts w:hint="default" w:ascii="Times New Roman" w:hAnsi="Times New Roman" w:eastAsia="宋体" w:cs="Times New Roman"/>
                      <w:color w:val="auto"/>
                      <w:sz w:val="21"/>
                      <w:szCs w:val="21"/>
                      <w:highlight w:val="none"/>
                    </w:rPr>
                    <w:t>扩建</w:t>
                  </w:r>
                  <w:r>
                    <w:rPr>
                      <w:rFonts w:hint="default" w:ascii="Times New Roman" w:hAnsi="Times New Roman" w:eastAsia="宋体" w:cs="Times New Roman"/>
                      <w:color w:val="auto"/>
                      <w:sz w:val="21"/>
                      <w:szCs w:val="21"/>
                    </w:rPr>
                    <w:t>钢铁、石化、化工、焦化、建材、有色等高污染项目。</w:t>
                  </w:r>
                </w:p>
                <w:p w14:paraId="4218A4AE">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（8）禁止新建、</w:t>
                  </w:r>
                  <w:r>
                    <w:rPr>
                      <w:rFonts w:hint="default" w:ascii="Times New Roman" w:hAnsi="Times New Roman" w:eastAsia="宋体" w:cs="Times New Roman"/>
                      <w:color w:val="auto"/>
                      <w:sz w:val="21"/>
                      <w:szCs w:val="21"/>
                      <w:highlight w:val="none"/>
                    </w:rPr>
                    <w:t>扩建</w:t>
                  </w:r>
                  <w:r>
                    <w:rPr>
                      <w:rFonts w:hint="default" w:ascii="Times New Roman" w:hAnsi="Times New Roman" w:eastAsia="宋体" w:cs="Times New Roman"/>
                      <w:color w:val="auto"/>
                      <w:sz w:val="21"/>
                      <w:szCs w:val="21"/>
                    </w:rPr>
                    <w:t>不符合国家石化、现代煤化工等产业布局规划的项目。</w:t>
                  </w:r>
                </w:p>
                <w:p w14:paraId="43BD4E01">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（9）禁止新建、</w:t>
                  </w:r>
                  <w:r>
                    <w:rPr>
                      <w:rFonts w:hint="default" w:ascii="Times New Roman" w:hAnsi="Times New Roman" w:eastAsia="宋体" w:cs="Times New Roman"/>
                      <w:color w:val="auto"/>
                      <w:sz w:val="21"/>
                      <w:szCs w:val="21"/>
                      <w:highlight w:val="none"/>
                    </w:rPr>
                    <w:t>扩建</w:t>
                  </w:r>
                  <w:r>
                    <w:rPr>
                      <w:rFonts w:hint="default" w:ascii="Times New Roman" w:hAnsi="Times New Roman" w:eastAsia="宋体" w:cs="Times New Roman"/>
                      <w:color w:val="auto"/>
                      <w:sz w:val="21"/>
                      <w:szCs w:val="21"/>
                    </w:rPr>
                    <w:t>法律法规和相关政策明令禁止的落后产能项目。</w:t>
                  </w:r>
                </w:p>
                <w:p w14:paraId="6E4B07D9">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（10）禁止新建、</w:t>
                  </w:r>
                  <w:r>
                    <w:rPr>
                      <w:rFonts w:hint="default" w:ascii="Times New Roman" w:hAnsi="Times New Roman" w:eastAsia="宋体" w:cs="Times New Roman"/>
                      <w:color w:val="auto"/>
                      <w:sz w:val="21"/>
                      <w:szCs w:val="21"/>
                      <w:highlight w:val="none"/>
                    </w:rPr>
                    <w:t>扩建</w:t>
                  </w:r>
                  <w:r>
                    <w:rPr>
                      <w:rFonts w:hint="default" w:ascii="Times New Roman" w:hAnsi="Times New Roman" w:eastAsia="宋体" w:cs="Times New Roman"/>
                      <w:color w:val="auto"/>
                      <w:sz w:val="21"/>
                      <w:szCs w:val="21"/>
                    </w:rPr>
                    <w:t>不符合国家产能置换要求的严重过剩产能行业的项目。</w:t>
                  </w:r>
                </w:p>
              </w:tc>
              <w:tc>
                <w:tcPr>
                  <w:tcW w:w="1028" w:type="pct"/>
                  <w:tcBorders>
                    <w:top w:val="single" w:color="auto" w:sz="4" w:space="0"/>
                    <w:bottom w:val="single" w:color="auto" w:sz="4" w:space="0"/>
                  </w:tcBorders>
                  <w:noWrap w:val="0"/>
                  <w:tcMar>
                    <w:left w:w="28" w:type="dxa"/>
                    <w:right w:w="28" w:type="dxa"/>
                  </w:tcMar>
                  <w:vAlign w:val="center"/>
                </w:tcPr>
                <w:p w14:paraId="4357223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w:t>
                  </w:r>
                  <w:r>
                    <w:rPr>
                      <w:rFonts w:hint="eastAsia" w:cs="Times New Roman"/>
                      <w:color w:val="auto"/>
                      <w:sz w:val="21"/>
                      <w:szCs w:val="21"/>
                      <w:lang w:eastAsia="zh-CN"/>
                    </w:rPr>
                    <w:t>长江</w:t>
                  </w:r>
                  <w:r>
                    <w:rPr>
                      <w:rFonts w:hint="default" w:ascii="Times New Roman" w:hAnsi="Times New Roman" w:eastAsia="宋体" w:cs="Times New Roman"/>
                      <w:color w:val="auto"/>
                      <w:sz w:val="21"/>
                      <w:szCs w:val="21"/>
                    </w:rPr>
                    <w:t>经济带发展负面清单指南（试行，2022年版）〉江苏省实施细则》（苏</w:t>
                  </w:r>
                  <w:r>
                    <w:rPr>
                      <w:rFonts w:hint="eastAsia" w:cs="Times New Roman"/>
                      <w:color w:val="auto"/>
                      <w:sz w:val="21"/>
                      <w:szCs w:val="21"/>
                      <w:lang w:eastAsia="zh-CN"/>
                    </w:rPr>
                    <w:t>长江</w:t>
                  </w:r>
                  <w:r>
                    <w:rPr>
                      <w:rFonts w:hint="default" w:ascii="Times New Roman" w:hAnsi="Times New Roman" w:eastAsia="宋体" w:cs="Times New Roman"/>
                      <w:color w:val="auto"/>
                      <w:sz w:val="21"/>
                      <w:szCs w:val="21"/>
                    </w:rPr>
                    <w:t>发〔2022〕55号）中“禁止类”项目。</w:t>
                  </w:r>
                </w:p>
              </w:tc>
              <w:tc>
                <w:tcPr>
                  <w:tcW w:w="309" w:type="pct"/>
                  <w:tcBorders>
                    <w:top w:val="single" w:color="auto" w:sz="4" w:space="0"/>
                    <w:bottom w:val="single" w:color="auto" w:sz="4" w:space="0"/>
                    <w:right w:val="single" w:color="auto" w:sz="4" w:space="0"/>
                  </w:tcBorders>
                  <w:noWrap w:val="0"/>
                  <w:tcMar>
                    <w:left w:w="28" w:type="dxa"/>
                    <w:right w:w="28" w:type="dxa"/>
                  </w:tcMar>
                  <w:vAlign w:val="center"/>
                </w:tcPr>
                <w:p w14:paraId="54C13FA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相符</w:t>
                  </w:r>
                </w:p>
              </w:tc>
            </w:tr>
          </w:tbl>
          <w:p w14:paraId="3F3D8806">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1.3.</w:t>
            </w:r>
            <w:r>
              <w:rPr>
                <w:rFonts w:hint="eastAsia" w:cs="Times New Roman"/>
                <w:b/>
                <w:color w:val="auto"/>
                <w:sz w:val="24"/>
                <w:lang w:val="en-US" w:eastAsia="zh-CN"/>
              </w:rPr>
              <w:t>3</w:t>
            </w:r>
            <w:r>
              <w:rPr>
                <w:rFonts w:hint="default" w:ascii="Times New Roman" w:hAnsi="Times New Roman" w:eastAsia="宋体" w:cs="Times New Roman"/>
                <w:b/>
                <w:color w:val="auto"/>
                <w:sz w:val="24"/>
                <w:lang w:val="en-US" w:eastAsia="zh-CN"/>
              </w:rPr>
              <w:t xml:space="preserve"> </w:t>
            </w:r>
            <w:r>
              <w:rPr>
                <w:rFonts w:hint="default" w:ascii="Times New Roman" w:hAnsi="Times New Roman" w:eastAsia="宋体" w:cs="Times New Roman"/>
                <w:b/>
                <w:color w:val="auto"/>
                <w:sz w:val="24"/>
              </w:rPr>
              <w:t>与《省生态环境厅关于进一步加强建设项目环评审批和服务工作的指导意见》（苏环办〔2020〕225号）相符性分析</w:t>
            </w:r>
          </w:p>
          <w:p w14:paraId="73599D84">
            <w:pPr>
              <w:pStyle w:val="28"/>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bCs/>
                <w:color w:val="auto"/>
                <w:sz w:val="21"/>
                <w:szCs w:val="22"/>
              </w:rPr>
              <w:t>表1-</w:t>
            </w:r>
            <w:r>
              <w:rPr>
                <w:rFonts w:hint="eastAsia" w:cs="Times New Roman"/>
                <w:b/>
                <w:bCs/>
                <w:color w:val="auto"/>
                <w:sz w:val="21"/>
                <w:szCs w:val="22"/>
                <w:lang w:val="en-US" w:eastAsia="zh-CN"/>
              </w:rPr>
              <w:t>10</w:t>
            </w:r>
            <w:r>
              <w:rPr>
                <w:rFonts w:hint="default" w:ascii="Times New Roman" w:hAnsi="Times New Roman" w:eastAsia="宋体" w:cs="Times New Roman"/>
                <w:b/>
                <w:bCs/>
                <w:color w:val="auto"/>
                <w:sz w:val="21"/>
                <w:szCs w:val="22"/>
              </w:rPr>
              <w:t>与苏环办〔2020〕225号文对照分析</w:t>
            </w:r>
          </w:p>
          <w:tbl>
            <w:tblPr>
              <w:tblStyle w:val="17"/>
              <w:tblW w:w="494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1"/>
              <w:gridCol w:w="3899"/>
              <w:gridCol w:w="2945"/>
              <w:gridCol w:w="692"/>
            </w:tblGrid>
            <w:tr w14:paraId="40C02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32" w:type="pct"/>
                  <w:shd w:val="clear" w:color="auto" w:fill="auto"/>
                  <w:vAlign w:val="center"/>
                </w:tcPr>
                <w:p w14:paraId="1612E2A2">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类别</w:t>
                  </w:r>
                </w:p>
              </w:tc>
              <w:tc>
                <w:tcPr>
                  <w:tcW w:w="2259" w:type="pct"/>
                  <w:shd w:val="clear" w:color="auto" w:fill="auto"/>
                  <w:vAlign w:val="center"/>
                </w:tcPr>
                <w:p w14:paraId="44D50349">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文件要求</w:t>
                  </w:r>
                </w:p>
              </w:tc>
              <w:tc>
                <w:tcPr>
                  <w:tcW w:w="1706" w:type="pct"/>
                  <w:shd w:val="clear" w:color="auto" w:fill="auto"/>
                  <w:vAlign w:val="center"/>
                </w:tcPr>
                <w:p w14:paraId="561561E6">
                  <w:pPr>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项目情况</w:t>
                  </w:r>
                </w:p>
              </w:tc>
              <w:tc>
                <w:tcPr>
                  <w:tcW w:w="401" w:type="pct"/>
                  <w:shd w:val="clear" w:color="auto" w:fill="auto"/>
                  <w:vAlign w:val="center"/>
                </w:tcPr>
                <w:p w14:paraId="3195B668">
                  <w:pPr>
                    <w:adjustRightInd w:val="0"/>
                    <w:snapToGrid w:val="0"/>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相符性</w:t>
                  </w:r>
                </w:p>
              </w:tc>
            </w:tr>
            <w:tr w14:paraId="11F12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32" w:type="pct"/>
                  <w:vMerge w:val="restart"/>
                  <w:shd w:val="clear" w:color="auto" w:fill="auto"/>
                  <w:vAlign w:val="center"/>
                </w:tcPr>
                <w:p w14:paraId="5F93BF68">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严守生态环境质量底线</w:t>
                  </w:r>
                </w:p>
              </w:tc>
              <w:tc>
                <w:tcPr>
                  <w:tcW w:w="2259" w:type="pct"/>
                  <w:shd w:val="clear" w:color="auto" w:fill="auto"/>
                  <w:vAlign w:val="center"/>
                </w:tcPr>
                <w:p w14:paraId="03DBED4C">
                  <w:pPr>
                    <w:adjustRightInd w:val="0"/>
                    <w:snapToGrid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建设项目所在区域环境质量未达到国家或地方环境质量标准，且项目拟采取的污染</w:t>
                  </w:r>
                  <w:r>
                    <w:rPr>
                      <w:rFonts w:hint="default" w:ascii="Times New Roman" w:hAnsi="Times New Roman" w:eastAsia="宋体" w:cs="Times New Roman"/>
                      <w:color w:val="auto"/>
                      <w:szCs w:val="21"/>
                      <w:shd w:val="clear" w:fill="auto"/>
                    </w:rPr>
                    <w:t>防治</w:t>
                  </w:r>
                  <w:r>
                    <w:rPr>
                      <w:rFonts w:hint="default" w:ascii="Times New Roman" w:hAnsi="Times New Roman" w:eastAsia="宋体" w:cs="Times New Roman"/>
                      <w:color w:val="auto"/>
                      <w:szCs w:val="21"/>
                    </w:rPr>
                    <w:t>措施不能满足区域环境质量改善目标管理要求的，一律不得审批。</w:t>
                  </w:r>
                </w:p>
              </w:tc>
              <w:tc>
                <w:tcPr>
                  <w:tcW w:w="1706" w:type="pct"/>
                  <w:shd w:val="clear" w:color="auto" w:fill="auto"/>
                  <w:vAlign w:val="center"/>
                </w:tcPr>
                <w:p w14:paraId="40BE5099">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本项目所在区域为</w:t>
                  </w:r>
                  <w:r>
                    <w:rPr>
                      <w:rFonts w:hint="default" w:ascii="Times New Roman" w:hAnsi="Times New Roman" w:eastAsia="宋体" w:cs="Times New Roman"/>
                      <w:color w:val="auto"/>
                      <w:szCs w:val="21"/>
                      <w:lang w:val="en-US" w:eastAsia="zh-CN"/>
                    </w:rPr>
                    <w:t>大气</w:t>
                  </w:r>
                  <w:r>
                    <w:rPr>
                      <w:rFonts w:hint="default" w:ascii="Times New Roman" w:hAnsi="Times New Roman" w:eastAsia="宋体" w:cs="Times New Roman"/>
                      <w:color w:val="auto"/>
                      <w:szCs w:val="21"/>
                    </w:rPr>
                    <w:t>环境不达标区，经</w:t>
                  </w:r>
                  <w:r>
                    <w:rPr>
                      <w:rFonts w:hint="default" w:ascii="Times New Roman" w:hAnsi="Times New Roman" w:eastAsia="宋体" w:cs="Times New Roman"/>
                      <w:color w:val="auto"/>
                      <w:szCs w:val="21"/>
                      <w:lang w:val="en-US" w:eastAsia="zh-CN"/>
                    </w:rPr>
                    <w:t>评价</w:t>
                  </w:r>
                  <w:r>
                    <w:rPr>
                      <w:rFonts w:hint="default" w:ascii="Times New Roman" w:hAnsi="Times New Roman" w:eastAsia="宋体" w:cs="Times New Roman"/>
                      <w:color w:val="auto"/>
                      <w:szCs w:val="21"/>
                    </w:rPr>
                    <w:t>本项目拟采取的污染</w:t>
                  </w:r>
                  <w:r>
                    <w:rPr>
                      <w:rFonts w:hint="default" w:ascii="Times New Roman" w:hAnsi="Times New Roman" w:eastAsia="宋体" w:cs="Times New Roman"/>
                      <w:color w:val="auto"/>
                      <w:szCs w:val="21"/>
                      <w:shd w:val="clear" w:fill="auto"/>
                    </w:rPr>
                    <w:t>防治</w:t>
                  </w:r>
                  <w:r>
                    <w:rPr>
                      <w:rFonts w:hint="default" w:ascii="Times New Roman" w:hAnsi="Times New Roman" w:eastAsia="宋体" w:cs="Times New Roman"/>
                      <w:color w:val="auto"/>
                      <w:szCs w:val="21"/>
                    </w:rPr>
                    <w:t>措施</w:t>
                  </w:r>
                  <w:r>
                    <w:rPr>
                      <w:rFonts w:hint="default" w:ascii="Times New Roman" w:hAnsi="Times New Roman" w:eastAsia="宋体" w:cs="Times New Roman"/>
                      <w:color w:val="auto"/>
                      <w:szCs w:val="21"/>
                      <w:lang w:val="en-US" w:eastAsia="zh-CN"/>
                    </w:rPr>
                    <w:t>符合</w:t>
                  </w:r>
                  <w:r>
                    <w:rPr>
                      <w:rFonts w:hint="default" w:ascii="Times New Roman" w:hAnsi="Times New Roman" w:eastAsia="宋体" w:cs="Times New Roman"/>
                      <w:color w:val="auto"/>
                      <w:szCs w:val="21"/>
                    </w:rPr>
                    <w:t>区域环境质量改善目标管理要求</w:t>
                  </w:r>
                </w:p>
              </w:tc>
              <w:tc>
                <w:tcPr>
                  <w:tcW w:w="401" w:type="pct"/>
                  <w:shd w:val="clear" w:color="auto" w:fill="auto"/>
                  <w:vAlign w:val="center"/>
                </w:tcPr>
                <w:p w14:paraId="4802AC5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相符</w:t>
                  </w:r>
                </w:p>
              </w:tc>
            </w:tr>
            <w:tr w14:paraId="041E2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32" w:type="pct"/>
                  <w:vMerge w:val="continue"/>
                  <w:shd w:val="clear" w:color="auto" w:fill="auto"/>
                  <w:vAlign w:val="center"/>
                </w:tcPr>
                <w:p w14:paraId="1F4A53F0">
                  <w:pPr>
                    <w:adjustRightInd w:val="0"/>
                    <w:snapToGrid w:val="0"/>
                    <w:jc w:val="center"/>
                    <w:rPr>
                      <w:rFonts w:hint="default" w:ascii="Times New Roman" w:hAnsi="Times New Roman" w:eastAsia="宋体" w:cs="Times New Roman"/>
                      <w:color w:val="auto"/>
                      <w:szCs w:val="21"/>
                    </w:rPr>
                  </w:pPr>
                </w:p>
              </w:tc>
              <w:tc>
                <w:tcPr>
                  <w:tcW w:w="2259" w:type="pct"/>
                  <w:shd w:val="clear" w:color="auto" w:fill="auto"/>
                  <w:vAlign w:val="center"/>
                </w:tcPr>
                <w:p w14:paraId="2E0960D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加强规划环评与建设项目环评联动，对不符合规划环评结论及审查意见的项目环评，依法不予审批。规划所包含</w:t>
                  </w:r>
                  <w:r>
                    <w:rPr>
                      <w:rFonts w:hint="default" w:ascii="Times New Roman" w:hAnsi="Times New Roman" w:eastAsia="宋体" w:cs="Times New Roman"/>
                      <w:color w:val="auto"/>
                      <w:szCs w:val="21"/>
                      <w:shd w:val="clear" w:fill="auto"/>
                    </w:rPr>
                    <w:t>项目的</w:t>
                  </w:r>
                  <w:r>
                    <w:rPr>
                      <w:rFonts w:hint="default" w:ascii="Times New Roman" w:hAnsi="Times New Roman" w:eastAsia="宋体" w:cs="Times New Roman"/>
                      <w:color w:val="auto"/>
                      <w:szCs w:val="21"/>
                    </w:rPr>
                    <w:t>环评内容，可根据规划环评结论和审查意见予以简化。</w:t>
                  </w:r>
                </w:p>
              </w:tc>
              <w:tc>
                <w:tcPr>
                  <w:tcW w:w="1706" w:type="pct"/>
                  <w:shd w:val="clear" w:color="auto" w:fill="auto"/>
                  <w:vAlign w:val="center"/>
                </w:tcPr>
                <w:p w14:paraId="200F674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本项目建设类型及其选址、布局规模等符合环境保护法律法规及相关规划</w:t>
                  </w:r>
                </w:p>
              </w:tc>
              <w:tc>
                <w:tcPr>
                  <w:tcW w:w="401" w:type="pct"/>
                  <w:shd w:val="clear" w:color="auto" w:fill="auto"/>
                  <w:vAlign w:val="center"/>
                </w:tcPr>
                <w:p w14:paraId="17D7D3D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相符</w:t>
                  </w:r>
                </w:p>
              </w:tc>
            </w:tr>
            <w:tr w14:paraId="65AD3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32" w:type="pct"/>
                  <w:vMerge w:val="continue"/>
                  <w:shd w:val="clear" w:color="auto" w:fill="auto"/>
                  <w:vAlign w:val="center"/>
                </w:tcPr>
                <w:p w14:paraId="7AADD33A">
                  <w:pPr>
                    <w:adjustRightInd w:val="0"/>
                    <w:snapToGrid w:val="0"/>
                    <w:jc w:val="center"/>
                    <w:rPr>
                      <w:rFonts w:hint="default" w:ascii="Times New Roman" w:hAnsi="Times New Roman" w:eastAsia="宋体" w:cs="Times New Roman"/>
                      <w:color w:val="auto"/>
                      <w:szCs w:val="21"/>
                    </w:rPr>
                  </w:pPr>
                </w:p>
              </w:tc>
              <w:tc>
                <w:tcPr>
                  <w:tcW w:w="2259" w:type="pct"/>
                  <w:shd w:val="clear" w:color="auto" w:fill="auto"/>
                  <w:vAlign w:val="center"/>
                </w:tcPr>
                <w:p w14:paraId="223A177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切实加强区域环境容量、环境承载力研究，不得审批突破环境容量和环境承载力的建设项目。</w:t>
                  </w:r>
                </w:p>
              </w:tc>
              <w:tc>
                <w:tcPr>
                  <w:tcW w:w="1706" w:type="pct"/>
                  <w:shd w:val="clear" w:color="auto" w:fill="auto"/>
                  <w:vAlign w:val="center"/>
                </w:tcPr>
                <w:p w14:paraId="523F3ED2">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本项目采取污染</w:t>
                  </w:r>
                  <w:r>
                    <w:rPr>
                      <w:rFonts w:hint="default" w:ascii="Times New Roman" w:hAnsi="Times New Roman" w:eastAsia="宋体" w:cs="Times New Roman"/>
                      <w:color w:val="auto"/>
                      <w:szCs w:val="21"/>
                      <w:shd w:val="clear" w:fill="auto"/>
                    </w:rPr>
                    <w:t>防治</w:t>
                  </w:r>
                  <w:r>
                    <w:rPr>
                      <w:rFonts w:hint="default" w:ascii="Times New Roman" w:hAnsi="Times New Roman" w:eastAsia="宋体" w:cs="Times New Roman"/>
                      <w:color w:val="auto"/>
                      <w:szCs w:val="21"/>
                    </w:rPr>
                    <w:t>措施处理后不突破环境容量和环境承载力</w:t>
                  </w:r>
                </w:p>
              </w:tc>
              <w:tc>
                <w:tcPr>
                  <w:tcW w:w="401" w:type="pct"/>
                  <w:shd w:val="clear" w:color="auto" w:fill="auto"/>
                  <w:vAlign w:val="center"/>
                </w:tcPr>
                <w:p w14:paraId="346E3DF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相符</w:t>
                  </w:r>
                </w:p>
              </w:tc>
            </w:tr>
            <w:tr w14:paraId="71356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32" w:type="pct"/>
                  <w:vMerge w:val="continue"/>
                  <w:shd w:val="clear" w:color="auto" w:fill="auto"/>
                  <w:vAlign w:val="center"/>
                </w:tcPr>
                <w:p w14:paraId="586FB7EE">
                  <w:pPr>
                    <w:adjustRightInd w:val="0"/>
                    <w:snapToGrid w:val="0"/>
                    <w:jc w:val="center"/>
                    <w:rPr>
                      <w:rFonts w:hint="default" w:ascii="Times New Roman" w:hAnsi="Times New Roman" w:eastAsia="宋体" w:cs="Times New Roman"/>
                      <w:color w:val="auto"/>
                      <w:szCs w:val="21"/>
                    </w:rPr>
                  </w:pPr>
                </w:p>
              </w:tc>
              <w:tc>
                <w:tcPr>
                  <w:tcW w:w="2259" w:type="pct"/>
                  <w:shd w:val="clear" w:color="auto" w:fill="auto"/>
                  <w:vAlign w:val="center"/>
                </w:tcPr>
                <w:p w14:paraId="39020041">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应将“三线一</w:t>
                  </w:r>
                  <w:r>
                    <w:rPr>
                      <w:rFonts w:hint="default" w:ascii="Times New Roman" w:hAnsi="Times New Roman" w:eastAsia="宋体" w:cs="Times New Roman"/>
                      <w:color w:val="auto"/>
                      <w:szCs w:val="21"/>
                      <w:shd w:val="clear" w:fill="auto"/>
                    </w:rPr>
                    <w:t>单</w:t>
                  </w:r>
                  <w:r>
                    <w:rPr>
                      <w:rFonts w:hint="default" w:ascii="Times New Roman" w:hAnsi="Times New Roman" w:eastAsia="宋体" w:cs="Times New Roman"/>
                      <w:color w:val="auto"/>
                      <w:szCs w:val="21"/>
                    </w:rPr>
                    <w:t>”作为建设项目审批的重要依据，严格落实生态环境分区管控要求，从严把好环境准入关。</w:t>
                  </w:r>
                </w:p>
              </w:tc>
              <w:tc>
                <w:tcPr>
                  <w:tcW w:w="1706" w:type="pct"/>
                  <w:shd w:val="clear" w:color="auto" w:fill="auto"/>
                  <w:vAlign w:val="center"/>
                </w:tcPr>
                <w:p w14:paraId="55AC2305">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本项目符合“三线一单”要求</w:t>
                  </w:r>
                </w:p>
              </w:tc>
              <w:tc>
                <w:tcPr>
                  <w:tcW w:w="401" w:type="pct"/>
                  <w:shd w:val="clear" w:color="auto" w:fill="auto"/>
                  <w:vAlign w:val="center"/>
                </w:tcPr>
                <w:p w14:paraId="711020DD">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相符</w:t>
                  </w:r>
                </w:p>
              </w:tc>
            </w:tr>
            <w:tr w14:paraId="19A31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32" w:type="pct"/>
                  <w:shd w:val="clear" w:color="auto" w:fill="auto"/>
                  <w:vAlign w:val="center"/>
                </w:tcPr>
                <w:p w14:paraId="185734F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严格重点行业环评审批</w:t>
                  </w:r>
                </w:p>
              </w:tc>
              <w:tc>
                <w:tcPr>
                  <w:tcW w:w="2259" w:type="pct"/>
                  <w:shd w:val="clear" w:color="auto" w:fill="auto"/>
                  <w:vAlign w:val="center"/>
                </w:tcPr>
                <w:p w14:paraId="434BC88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严格执行《</w:t>
                  </w:r>
                  <w:r>
                    <w:rPr>
                      <w:rFonts w:hint="default" w:ascii="Times New Roman" w:hAnsi="Times New Roman" w:eastAsia="宋体" w:cs="Times New Roman"/>
                      <w:color w:val="auto"/>
                      <w:szCs w:val="21"/>
                      <w:shd w:val="clear" w:fill="auto"/>
                    </w:rPr>
                    <w:t>江苏省</w:t>
                  </w:r>
                  <w:r>
                    <w:rPr>
                      <w:rFonts w:hint="eastAsia" w:cs="Times New Roman"/>
                      <w:color w:val="auto"/>
                      <w:szCs w:val="21"/>
                      <w:shd w:val="clear" w:fill="auto"/>
                      <w:lang w:eastAsia="zh-CN"/>
                    </w:rPr>
                    <w:t>长江</w:t>
                  </w:r>
                  <w:r>
                    <w:rPr>
                      <w:rFonts w:hint="default" w:ascii="Times New Roman" w:hAnsi="Times New Roman" w:eastAsia="宋体" w:cs="Times New Roman"/>
                      <w:color w:val="auto"/>
                      <w:szCs w:val="21"/>
                    </w:rPr>
                    <w:t>经济带发展负面清单实施细则</w:t>
                  </w:r>
                  <w:r>
                    <w:rPr>
                      <w:rFonts w:hint="eastAsia" w:cs="Times New Roman"/>
                      <w:color w:val="auto"/>
                      <w:szCs w:val="21"/>
                      <w:lang w:eastAsia="zh-CN"/>
                    </w:rPr>
                    <w:t>（</w:t>
                  </w:r>
                  <w:r>
                    <w:rPr>
                      <w:rFonts w:hint="default" w:ascii="Times New Roman" w:hAnsi="Times New Roman" w:eastAsia="宋体" w:cs="Times New Roman"/>
                      <w:color w:val="auto"/>
                      <w:szCs w:val="21"/>
                    </w:rPr>
                    <w:t>试行</w:t>
                  </w:r>
                  <w:r>
                    <w:rPr>
                      <w:rFonts w:hint="eastAsia" w:cs="Times New Roman"/>
                      <w:color w:val="auto"/>
                      <w:szCs w:val="21"/>
                      <w:lang w:eastAsia="zh-CN"/>
                    </w:rPr>
                    <w:t>）</w:t>
                  </w:r>
                  <w:r>
                    <w:rPr>
                      <w:rFonts w:hint="default" w:ascii="Times New Roman" w:hAnsi="Times New Roman" w:eastAsia="宋体" w:cs="Times New Roman"/>
                      <w:color w:val="auto"/>
                      <w:szCs w:val="21"/>
                    </w:rPr>
                    <w:t>》，禁止在合规园区外新建、扩建钢铁、石化、化工、焦化</w:t>
                  </w:r>
                  <w:r>
                    <w:rPr>
                      <w:rFonts w:hint="default" w:ascii="Times New Roman" w:hAnsi="Times New Roman" w:eastAsia="宋体" w:cs="Times New Roman"/>
                      <w:color w:val="auto"/>
                      <w:szCs w:val="21"/>
                      <w:shd w:val="clear" w:fill="auto"/>
                      <w:lang w:eastAsia="zh-CN"/>
                    </w:rPr>
                    <w:t>、</w:t>
                  </w:r>
                  <w:r>
                    <w:rPr>
                      <w:rFonts w:hint="default" w:ascii="Times New Roman" w:hAnsi="Times New Roman" w:eastAsia="宋体" w:cs="Times New Roman"/>
                      <w:color w:val="auto"/>
                      <w:szCs w:val="21"/>
                    </w:rPr>
                    <w:t>建材、有色等行业中的高污染项目。禁止新建</w:t>
                  </w:r>
                  <w:r>
                    <w:rPr>
                      <w:rFonts w:hint="default" w:ascii="Times New Roman" w:hAnsi="Times New Roman" w:eastAsia="宋体" w:cs="Times New Roman"/>
                      <w:color w:val="auto"/>
                      <w:szCs w:val="21"/>
                      <w:lang w:eastAsia="zh-CN"/>
                    </w:rPr>
                    <w:t>燃煤</w:t>
                  </w:r>
                  <w:r>
                    <w:rPr>
                      <w:rFonts w:hint="default" w:ascii="Times New Roman" w:hAnsi="Times New Roman" w:eastAsia="宋体" w:cs="Times New Roman"/>
                      <w:color w:val="auto"/>
                      <w:szCs w:val="21"/>
                    </w:rPr>
                    <w:t>自备电厂。</w:t>
                  </w:r>
                </w:p>
              </w:tc>
              <w:tc>
                <w:tcPr>
                  <w:tcW w:w="1706" w:type="pct"/>
                  <w:shd w:val="clear" w:color="auto" w:fill="auto"/>
                  <w:vAlign w:val="center"/>
                </w:tcPr>
                <w:p w14:paraId="7A456DC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本项目不属于禁止类项目</w:t>
                  </w:r>
                </w:p>
              </w:tc>
              <w:tc>
                <w:tcPr>
                  <w:tcW w:w="401" w:type="pct"/>
                  <w:shd w:val="clear" w:color="auto" w:fill="auto"/>
                  <w:vAlign w:val="center"/>
                </w:tcPr>
                <w:p w14:paraId="55B76D28">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相符</w:t>
                  </w:r>
                </w:p>
              </w:tc>
            </w:tr>
          </w:tbl>
          <w:p w14:paraId="6D284602">
            <w:pPr>
              <w:pStyle w:val="28"/>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b/>
                <w:bCs/>
                <w:color w:val="auto"/>
                <w:sz w:val="24"/>
                <w:szCs w:val="24"/>
                <w:lang w:val="en-US" w:eastAsia="zh-CN"/>
              </w:rPr>
              <w:t>1.3.</w:t>
            </w: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rPr>
              <w:t>对照《市生态环境局关于建设项目</w:t>
            </w:r>
            <w:r>
              <w:rPr>
                <w:rFonts w:hint="default" w:ascii="Times New Roman" w:hAnsi="Times New Roman" w:eastAsia="宋体" w:cs="Times New Roman"/>
                <w:b/>
                <w:bCs/>
                <w:color w:val="auto"/>
                <w:sz w:val="24"/>
                <w:szCs w:val="24"/>
                <w:shd w:val="clear" w:fill="auto"/>
              </w:rPr>
              <w:t>的审批</w:t>
            </w:r>
            <w:r>
              <w:rPr>
                <w:rFonts w:hint="default" w:ascii="Times New Roman" w:hAnsi="Times New Roman" w:eastAsia="宋体" w:cs="Times New Roman"/>
                <w:b/>
                <w:bCs/>
                <w:color w:val="auto"/>
                <w:sz w:val="24"/>
                <w:szCs w:val="24"/>
              </w:rPr>
              <w:t>指导意见（试行）》</w:t>
            </w:r>
            <w:r>
              <w:rPr>
                <w:rFonts w:hint="default" w:ascii="Times New Roman" w:hAnsi="Times New Roman" w:eastAsia="宋体" w:cs="Times New Roman"/>
                <w:b/>
                <w:bCs/>
                <w:color w:val="auto"/>
                <w:sz w:val="24"/>
                <w:szCs w:val="24"/>
                <w:lang w:eastAsia="zh-CN"/>
              </w:rPr>
              <w:t>。</w:t>
            </w:r>
          </w:p>
          <w:p w14:paraId="63B0DD8B">
            <w:pPr>
              <w:pStyle w:val="28"/>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kern w:val="0"/>
                <w:sz w:val="21"/>
                <w:szCs w:val="21"/>
                <w:lang w:val="en-US" w:eastAsia="zh-CN" w:bidi="ar-SA"/>
              </w:rPr>
              <w:t>表1-1</w:t>
            </w:r>
            <w:r>
              <w:rPr>
                <w:rFonts w:hint="eastAsia" w:cs="Times New Roman"/>
                <w:b/>
                <w:bCs/>
                <w:color w:val="auto"/>
                <w:kern w:val="0"/>
                <w:sz w:val="21"/>
                <w:szCs w:val="21"/>
                <w:lang w:val="en-US" w:eastAsia="zh-CN" w:bidi="ar-SA"/>
              </w:rPr>
              <w:t>1</w:t>
            </w:r>
            <w:r>
              <w:rPr>
                <w:rFonts w:hint="default" w:ascii="Times New Roman" w:hAnsi="Times New Roman" w:eastAsia="宋体" w:cs="Times New Roman"/>
                <w:b/>
                <w:bCs/>
                <w:color w:val="auto"/>
                <w:kern w:val="0"/>
                <w:sz w:val="21"/>
                <w:szCs w:val="21"/>
                <w:lang w:val="en-US" w:eastAsia="zh-CN" w:bidi="ar-SA"/>
              </w:rPr>
              <w:t>与“常州市生态环境局关于建设项目</w:t>
            </w:r>
            <w:r>
              <w:rPr>
                <w:rFonts w:hint="default" w:ascii="Times New Roman" w:hAnsi="Times New Roman" w:eastAsia="宋体" w:cs="Times New Roman"/>
                <w:b/>
                <w:bCs/>
                <w:color w:val="auto"/>
                <w:kern w:val="0"/>
                <w:sz w:val="21"/>
                <w:szCs w:val="21"/>
                <w:shd w:val="clear" w:fill="auto"/>
                <w:lang w:val="en-US" w:eastAsia="zh-CN" w:bidi="ar-SA"/>
              </w:rPr>
              <w:t>的审批</w:t>
            </w:r>
            <w:r>
              <w:rPr>
                <w:rFonts w:hint="default" w:ascii="Times New Roman" w:hAnsi="Times New Roman" w:eastAsia="宋体" w:cs="Times New Roman"/>
                <w:b/>
                <w:bCs/>
                <w:color w:val="auto"/>
                <w:kern w:val="0"/>
                <w:sz w:val="21"/>
                <w:szCs w:val="21"/>
                <w:lang w:val="en-US" w:eastAsia="zh-CN" w:bidi="ar-SA"/>
              </w:rPr>
              <w:t>指导意见（试行）”</w:t>
            </w:r>
            <w:r>
              <w:rPr>
                <w:rFonts w:hint="default" w:ascii="Times New Roman" w:hAnsi="Times New Roman" w:eastAsia="宋体" w:cs="Times New Roman"/>
                <w:b/>
                <w:bCs/>
                <w:color w:val="auto"/>
                <w:kern w:val="0"/>
                <w:sz w:val="21"/>
                <w:szCs w:val="21"/>
                <w:shd w:val="clear" w:fill="auto"/>
                <w:lang w:val="en-US" w:eastAsia="zh-CN" w:bidi="ar-SA"/>
              </w:rPr>
              <w:t>相符</w:t>
            </w:r>
            <w:r>
              <w:rPr>
                <w:rFonts w:hint="default" w:ascii="Times New Roman" w:hAnsi="Times New Roman" w:eastAsia="宋体" w:cs="Times New Roman"/>
                <w:b/>
                <w:bCs/>
                <w:color w:val="auto"/>
                <w:kern w:val="0"/>
                <w:sz w:val="21"/>
                <w:szCs w:val="21"/>
                <w:lang w:val="en-US" w:eastAsia="zh-CN" w:bidi="ar-SA"/>
              </w:rPr>
              <w:t>性分析</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66"/>
              <w:gridCol w:w="2501"/>
              <w:gridCol w:w="746"/>
            </w:tblGrid>
            <w:tr w14:paraId="4082C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0D1C53A3">
                  <w:pPr>
                    <w:pStyle w:val="6"/>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文件要求（建设项目环评审批要点）</w:t>
                  </w:r>
                </w:p>
              </w:tc>
              <w:tc>
                <w:tcPr>
                  <w:tcW w:w="1435" w:type="pct"/>
                  <w:noWrap w:val="0"/>
                  <w:tcMar>
                    <w:top w:w="0" w:type="dxa"/>
                    <w:left w:w="28" w:type="dxa"/>
                    <w:bottom w:w="0" w:type="dxa"/>
                    <w:right w:w="28" w:type="dxa"/>
                  </w:tcMar>
                  <w:vAlign w:val="center"/>
                </w:tcPr>
                <w:p w14:paraId="74ECBC4A">
                  <w:pPr>
                    <w:pStyle w:val="6"/>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bCs/>
                      <w:color w:val="auto"/>
                      <w:sz w:val="21"/>
                      <w:szCs w:val="21"/>
                    </w:rPr>
                    <w:t>本项目</w:t>
                  </w:r>
                </w:p>
              </w:tc>
              <w:tc>
                <w:tcPr>
                  <w:tcW w:w="428" w:type="pct"/>
                  <w:noWrap w:val="0"/>
                  <w:tcMar>
                    <w:top w:w="0" w:type="dxa"/>
                    <w:left w:w="28" w:type="dxa"/>
                    <w:bottom w:w="0" w:type="dxa"/>
                    <w:right w:w="28" w:type="dxa"/>
                  </w:tcMar>
                  <w:vAlign w:val="center"/>
                </w:tcPr>
                <w:p w14:paraId="0CCB7920">
                  <w:pPr>
                    <w:pStyle w:val="6"/>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color w:val="auto"/>
                      <w:sz w:val="21"/>
                      <w:szCs w:val="21"/>
                      <w:lang w:val="en-US" w:eastAsia="zh-CN"/>
                    </w:rPr>
                    <w:t>相符性</w:t>
                  </w:r>
                </w:p>
              </w:tc>
            </w:tr>
            <w:tr w14:paraId="76D7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10D4C7AA">
                  <w:pPr>
                    <w:pStyle w:val="6"/>
                    <w:keepNext w:val="0"/>
                    <w:keepLines w:val="0"/>
                    <w:pageBreakBefore w:val="0"/>
                    <w:numPr>
                      <w:ilvl w:val="0"/>
                      <w:numId w:val="0"/>
                    </w:numPr>
                    <w:kinsoku/>
                    <w:wordWrap/>
                    <w:overflowPunct/>
                    <w:topLinePunct w:val="0"/>
                    <w:bidi w:val="0"/>
                    <w:spacing w:line="240" w:lineRule="exact"/>
                    <w:ind w:right="113" w:rightChars="0"/>
                    <w:jc w:val="left"/>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1、实施建设项目大气污染物总量负增长原则</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即重点区域内建设项目使用大气污染物总量，原则上在重点区域范围内实施总量平衡，且必须实行总量2倍减量替代。</w:t>
                  </w:r>
                </w:p>
              </w:tc>
              <w:tc>
                <w:tcPr>
                  <w:tcW w:w="1435" w:type="pct"/>
                  <w:vMerge w:val="restart"/>
                  <w:noWrap w:val="0"/>
                  <w:tcMar>
                    <w:top w:w="0" w:type="dxa"/>
                    <w:left w:w="28" w:type="dxa"/>
                    <w:bottom w:w="0" w:type="dxa"/>
                    <w:right w:w="28" w:type="dxa"/>
                  </w:tcMar>
                  <w:vAlign w:val="center"/>
                </w:tcPr>
                <w:p w14:paraId="4AF5CB1A">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2"/>
                      <w:sz w:val="21"/>
                      <w:szCs w:val="21"/>
                    </w:rPr>
                    <w:t>（1）</w:t>
                  </w:r>
                  <w:r>
                    <w:rPr>
                      <w:rFonts w:hint="default" w:ascii="Times New Roman" w:hAnsi="Times New Roman" w:eastAsia="宋体" w:cs="Times New Roman"/>
                      <w:color w:val="auto"/>
                      <w:sz w:val="21"/>
                      <w:szCs w:val="21"/>
                    </w:rPr>
                    <w:t>本项目位于</w:t>
                  </w:r>
                  <w:r>
                    <w:rPr>
                      <w:rFonts w:hint="default" w:ascii="Times New Roman" w:hAnsi="Times New Roman" w:eastAsia="宋体" w:cs="Times New Roman"/>
                      <w:color w:val="auto"/>
                      <w:sz w:val="21"/>
                      <w:szCs w:val="21"/>
                      <w:lang w:val="en-US" w:eastAsia="zh-CN"/>
                    </w:rPr>
                    <w:t>江苏省常州市</w:t>
                  </w:r>
                  <w:r>
                    <w:rPr>
                      <w:rFonts w:hint="eastAsia" w:ascii="Times New Roman" w:hAnsi="Times New Roman" w:eastAsia="宋体" w:cs="Times New Roman"/>
                      <w:color w:val="auto"/>
                      <w:sz w:val="21"/>
                      <w:szCs w:val="21"/>
                      <w:lang w:val="en-US" w:eastAsia="zh-CN"/>
                    </w:rPr>
                    <w:t>金坛区</w:t>
                  </w:r>
                  <w:r>
                    <w:rPr>
                      <w:rFonts w:hint="eastAsia" w:cs="Times New Roman"/>
                      <w:color w:val="auto"/>
                      <w:sz w:val="21"/>
                      <w:szCs w:val="21"/>
                      <w:lang w:val="en-US" w:eastAsia="zh-CN"/>
                    </w:rPr>
                    <w:t>直溪镇工业园区直东路6号</w:t>
                  </w:r>
                  <w:r>
                    <w:rPr>
                      <w:rFonts w:hint="eastAsia" w:ascii="Times New Roman" w:hAnsi="Times New Roman" w:eastAsia="宋体" w:cs="Times New Roman"/>
                      <w:color w:val="auto"/>
                      <w:sz w:val="21"/>
                      <w:szCs w:val="21"/>
                      <w:lang w:val="en-US" w:eastAsia="zh-CN"/>
                    </w:rPr>
                    <w:t>，项目不在国控站点</w:t>
                  </w:r>
                  <w:r>
                    <w:rPr>
                      <w:rFonts w:hint="default" w:ascii="Times New Roman" w:hAnsi="Times New Roman" w:eastAsia="宋体" w:cs="Times New Roman"/>
                      <w:color w:val="auto"/>
                      <w:sz w:val="21"/>
                      <w:szCs w:val="21"/>
                      <w:lang w:val="en-US" w:eastAsia="zh-CN"/>
                    </w:rPr>
                    <w:t>3km</w:t>
                  </w:r>
                  <w:r>
                    <w:rPr>
                      <w:rFonts w:hint="eastAsia" w:ascii="Times New Roman" w:hAnsi="Times New Roman" w:eastAsia="宋体" w:cs="Times New Roman"/>
                      <w:color w:val="auto"/>
                      <w:sz w:val="21"/>
                      <w:szCs w:val="21"/>
                      <w:lang w:val="en-US" w:eastAsia="zh-CN"/>
                    </w:rPr>
                    <w:t>范围内，不属于重点区域</w:t>
                  </w:r>
                  <w:r>
                    <w:rPr>
                      <w:rFonts w:hint="default" w:ascii="Times New Roman" w:hAnsi="Times New Roman" w:eastAsia="宋体" w:cs="Times New Roman"/>
                      <w:color w:val="auto"/>
                      <w:kern w:val="0"/>
                      <w:sz w:val="21"/>
                      <w:szCs w:val="21"/>
                      <w:lang w:val="en-US" w:eastAsia="zh-CN"/>
                    </w:rPr>
                    <w:t>。</w:t>
                  </w:r>
                </w:p>
                <w:p w14:paraId="604D1302">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kern w:val="0"/>
                      <w:sz w:val="21"/>
                      <w:szCs w:val="21"/>
                    </w:rPr>
                    <w:t>本项目为</w:t>
                  </w:r>
                  <w:r>
                    <w:rPr>
                      <w:rFonts w:hint="eastAsia" w:cs="Times New Roman"/>
                      <w:color w:val="auto"/>
                      <w:kern w:val="0"/>
                      <w:sz w:val="21"/>
                      <w:szCs w:val="21"/>
                      <w:lang w:val="en-US" w:eastAsia="zh-CN"/>
                    </w:rPr>
                    <w:t>C3399其他未列明金属制品制造</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pacing w:val="2"/>
                      <w:sz w:val="21"/>
                      <w:szCs w:val="21"/>
                    </w:rPr>
                    <w:t>不属于高能耗项目。</w:t>
                  </w:r>
                  <w:r>
                    <w:rPr>
                      <w:rFonts w:hint="default" w:ascii="Times New Roman" w:hAnsi="Times New Roman" w:eastAsia="宋体" w:cs="Times New Roman"/>
                      <w:color w:val="auto"/>
                      <w:sz w:val="21"/>
                      <w:szCs w:val="21"/>
                    </w:rPr>
                    <w:t>本项目拟在环境影响评价文件审批前，取得主要污染物排放总量指标。</w:t>
                  </w:r>
                </w:p>
              </w:tc>
              <w:tc>
                <w:tcPr>
                  <w:tcW w:w="428" w:type="pct"/>
                  <w:vMerge w:val="restart"/>
                  <w:noWrap w:val="0"/>
                  <w:tcMar>
                    <w:top w:w="0" w:type="dxa"/>
                    <w:left w:w="28" w:type="dxa"/>
                    <w:bottom w:w="0" w:type="dxa"/>
                    <w:right w:w="28" w:type="dxa"/>
                  </w:tcMar>
                  <w:vAlign w:val="center"/>
                </w:tcPr>
                <w:p w14:paraId="2906EDDC">
                  <w:pPr>
                    <w:pStyle w:val="6"/>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b w:val="0"/>
                      <w:bCs w:val="0"/>
                      <w:color w:val="auto"/>
                      <w:kern w:val="0"/>
                      <w:sz w:val="21"/>
                      <w:szCs w:val="21"/>
                      <w:vertAlign w:val="baseline"/>
                      <w:lang w:val="en-US" w:eastAsia="zh-CN" w:bidi="ar-SA"/>
                    </w:rPr>
                    <w:t>相符</w:t>
                  </w:r>
                </w:p>
              </w:tc>
            </w:tr>
            <w:tr w14:paraId="4FAF7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70702FC9">
                  <w:pPr>
                    <w:pStyle w:val="6"/>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2</w:t>
                  </w:r>
                  <w:r>
                    <w:rPr>
                      <w:rFonts w:hint="default" w:ascii="Times New Roman" w:hAnsi="Times New Roman" w:eastAsia="宋体" w:cs="Times New Roman"/>
                      <w:color w:val="auto"/>
                      <w:sz w:val="21"/>
                      <w:szCs w:val="21"/>
                      <w:highlight w:val="none"/>
                      <w:shd w:val="clear" w:fill="auto"/>
                    </w:rPr>
                    <w:t>.</w:t>
                  </w:r>
                  <w:r>
                    <w:rPr>
                      <w:rFonts w:hint="default" w:ascii="Times New Roman" w:hAnsi="Times New Roman" w:eastAsia="宋体" w:cs="Times New Roman"/>
                      <w:color w:val="auto"/>
                      <w:sz w:val="21"/>
                      <w:szCs w:val="21"/>
                    </w:rPr>
                    <w:t>强化环评审批。对重点区域内新上的大气污染物排放的建设项目及全市范围内新上高能耗项目，审批部门对其环评文本应实施质量评估。</w:t>
                  </w:r>
                </w:p>
              </w:tc>
              <w:tc>
                <w:tcPr>
                  <w:tcW w:w="1435" w:type="pct"/>
                  <w:vMerge w:val="continue"/>
                  <w:noWrap w:val="0"/>
                  <w:tcMar>
                    <w:top w:w="0" w:type="dxa"/>
                    <w:left w:w="28" w:type="dxa"/>
                    <w:bottom w:w="0" w:type="dxa"/>
                    <w:right w:w="28" w:type="dxa"/>
                  </w:tcMar>
                  <w:vAlign w:val="center"/>
                </w:tcPr>
                <w:p w14:paraId="7D37A02C">
                  <w:pPr>
                    <w:pStyle w:val="6"/>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c>
                <w:tcPr>
                  <w:tcW w:w="428" w:type="pct"/>
                  <w:vMerge w:val="continue"/>
                  <w:noWrap w:val="0"/>
                  <w:tcMar>
                    <w:top w:w="0" w:type="dxa"/>
                    <w:left w:w="28" w:type="dxa"/>
                    <w:bottom w:w="0" w:type="dxa"/>
                    <w:right w:w="28" w:type="dxa"/>
                  </w:tcMar>
                  <w:vAlign w:val="center"/>
                </w:tcPr>
                <w:p w14:paraId="6F3FE0F8">
                  <w:pPr>
                    <w:pStyle w:val="6"/>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r>
            <w:tr w14:paraId="6CD45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136" w:type="pct"/>
                  <w:noWrap w:val="0"/>
                  <w:tcMar>
                    <w:top w:w="0" w:type="dxa"/>
                    <w:left w:w="28" w:type="dxa"/>
                    <w:bottom w:w="0" w:type="dxa"/>
                    <w:right w:w="28" w:type="dxa"/>
                  </w:tcMar>
                  <w:vAlign w:val="center"/>
                </w:tcPr>
                <w:p w14:paraId="43390E24">
                  <w:pPr>
                    <w:pStyle w:val="6"/>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r>
                    <w:rPr>
                      <w:rFonts w:hint="default" w:ascii="Times New Roman" w:hAnsi="Times New Roman" w:eastAsia="宋体" w:cs="Times New Roman"/>
                      <w:color w:val="auto"/>
                      <w:sz w:val="21"/>
                      <w:szCs w:val="21"/>
                    </w:rPr>
                    <w:t>3</w:t>
                  </w:r>
                  <w:r>
                    <w:rPr>
                      <w:rFonts w:hint="default" w:ascii="Times New Roman" w:hAnsi="Times New Roman" w:eastAsia="宋体" w:cs="Times New Roman"/>
                      <w:color w:val="auto"/>
                      <w:sz w:val="21"/>
                      <w:szCs w:val="21"/>
                      <w:highlight w:val="none"/>
                      <w:shd w:val="clear" w:fill="auto"/>
                    </w:rPr>
                    <w:t>.</w:t>
                  </w:r>
                  <w:r>
                    <w:rPr>
                      <w:rFonts w:hint="default" w:ascii="Times New Roman" w:hAnsi="Times New Roman" w:eastAsia="宋体" w:cs="Times New Roman"/>
                      <w:color w:val="auto"/>
                      <w:sz w:val="21"/>
                      <w:szCs w:val="21"/>
                    </w:rPr>
                    <w:t>推进减污降碳。对重点区域内新上的涉及大气污染排放的建设项目及全市范围内新上高能耗建设项目的严格审批，区级审批部门审批前需向生态环境局报备，审批部门方可出具审批文件。</w:t>
                  </w:r>
                </w:p>
              </w:tc>
              <w:tc>
                <w:tcPr>
                  <w:tcW w:w="1435" w:type="pct"/>
                  <w:vMerge w:val="continue"/>
                  <w:noWrap w:val="0"/>
                  <w:tcMar>
                    <w:top w:w="0" w:type="dxa"/>
                    <w:left w:w="28" w:type="dxa"/>
                    <w:bottom w:w="0" w:type="dxa"/>
                    <w:right w:w="28" w:type="dxa"/>
                  </w:tcMar>
                  <w:vAlign w:val="center"/>
                </w:tcPr>
                <w:p w14:paraId="4BE48392">
                  <w:pPr>
                    <w:pStyle w:val="6"/>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c>
                <w:tcPr>
                  <w:tcW w:w="428" w:type="pct"/>
                  <w:vMerge w:val="continue"/>
                  <w:noWrap w:val="0"/>
                  <w:tcMar>
                    <w:top w:w="0" w:type="dxa"/>
                    <w:left w:w="28" w:type="dxa"/>
                    <w:bottom w:w="0" w:type="dxa"/>
                    <w:right w:w="28" w:type="dxa"/>
                  </w:tcMar>
                  <w:vAlign w:val="center"/>
                </w:tcPr>
                <w:p w14:paraId="3CB73AF5">
                  <w:pPr>
                    <w:pStyle w:val="6"/>
                    <w:keepNext w:val="0"/>
                    <w:keepLines w:val="0"/>
                    <w:pageBreakBefore w:val="0"/>
                    <w:numPr>
                      <w:ilvl w:val="0"/>
                      <w:numId w:val="0"/>
                    </w:numPr>
                    <w:kinsoku/>
                    <w:wordWrap/>
                    <w:overflowPunct/>
                    <w:topLinePunct w:val="0"/>
                    <w:bidi w:val="0"/>
                    <w:spacing w:line="240" w:lineRule="exact"/>
                    <w:ind w:right="113" w:rightChars="0"/>
                    <w:jc w:val="center"/>
                    <w:textAlignment w:val="auto"/>
                    <w:rPr>
                      <w:rFonts w:hint="default" w:ascii="Times New Roman" w:hAnsi="Times New Roman" w:eastAsia="宋体" w:cs="Times New Roman"/>
                      <w:b/>
                      <w:bCs/>
                      <w:color w:val="auto"/>
                      <w:kern w:val="0"/>
                      <w:sz w:val="21"/>
                      <w:szCs w:val="21"/>
                      <w:vertAlign w:val="baseline"/>
                      <w:lang w:val="en-US" w:eastAsia="zh-CN" w:bidi="ar-SA"/>
                    </w:rPr>
                  </w:pPr>
                </w:p>
              </w:tc>
            </w:tr>
          </w:tbl>
          <w:p w14:paraId="59133C3C">
            <w:pPr>
              <w:keepNext w:val="0"/>
              <w:keepLines w:val="0"/>
              <w:pageBreakBefore w:val="0"/>
              <w:kinsoku/>
              <w:wordWrap/>
              <w:overflowPunct/>
              <w:topLinePunct w:val="0"/>
              <w:bidi w:val="0"/>
              <w:spacing w:line="240" w:lineRule="exact"/>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注：</w:t>
            </w:r>
            <w:r>
              <w:rPr>
                <w:rFonts w:hint="default" w:ascii="Times New Roman" w:hAnsi="Times New Roman" w:eastAsia="宋体" w:cs="Times New Roman"/>
                <w:color w:val="auto"/>
                <w:sz w:val="21"/>
                <w:szCs w:val="21"/>
                <w:lang w:val="en-US" w:eastAsia="zh-CN"/>
              </w:rPr>
              <w:t>①高能耗项目为：石油、煤炭及其他燃料加工业，电力、热力生产和供应业，非金属矿物制品业，食品制造业，黑色金属冶炼和压延加工业，有色金属冶炼和压延加工业，造纸及纸制品业，化学原料和化学制品制造业；本项目不属于高能耗项目；②本项目</w:t>
            </w:r>
            <w:r>
              <w:rPr>
                <w:rFonts w:hint="eastAsia" w:cs="Times New Roman"/>
                <w:color w:val="auto"/>
                <w:sz w:val="21"/>
                <w:szCs w:val="21"/>
                <w:lang w:val="en-US" w:eastAsia="zh-CN"/>
              </w:rPr>
              <w:t>距离</w:t>
            </w:r>
            <w:r>
              <w:rPr>
                <w:rFonts w:hint="eastAsia" w:ascii="Times New Roman" w:hAnsi="Times New Roman" w:eastAsia="宋体" w:cs="Times New Roman"/>
                <w:color w:val="auto"/>
                <w:sz w:val="21"/>
                <w:szCs w:val="21"/>
                <w:lang w:val="en-US" w:eastAsia="zh-CN"/>
              </w:rPr>
              <w:t>大气质量国控站点（金坛区政府</w:t>
            </w:r>
            <w:r>
              <w:rPr>
                <w:rFonts w:hint="default" w:ascii="Times New Roman" w:hAnsi="Times New Roman" w:eastAsia="宋体" w:cs="Times New Roman"/>
                <w:color w:val="auto"/>
                <w:sz w:val="21"/>
                <w:szCs w:val="21"/>
                <w:lang w:val="en-US" w:eastAsia="zh-CN"/>
              </w:rPr>
              <w:t>D</w:t>
            </w:r>
            <w:r>
              <w:rPr>
                <w:rFonts w:hint="eastAsia" w:ascii="Times New Roman" w:hAnsi="Times New Roman" w:eastAsia="宋体" w:cs="Times New Roman"/>
                <w:color w:val="auto"/>
                <w:sz w:val="21"/>
                <w:szCs w:val="21"/>
                <w:lang w:val="en-US" w:eastAsia="zh-CN"/>
              </w:rPr>
              <w:t>座楼）直线距离约为</w:t>
            </w:r>
            <w:r>
              <w:rPr>
                <w:rFonts w:hint="eastAsia" w:cs="Times New Roman"/>
                <w:color w:val="auto"/>
                <w:sz w:val="21"/>
                <w:szCs w:val="21"/>
                <w:lang w:val="en-US" w:eastAsia="zh-CN"/>
              </w:rPr>
              <w:t>14.3</w:t>
            </w:r>
            <w:r>
              <w:rPr>
                <w:rFonts w:hint="default" w:ascii="Times New Roman" w:hAnsi="Times New Roman" w:eastAsia="宋体" w:cs="Times New Roman"/>
                <w:color w:val="auto"/>
                <w:sz w:val="21"/>
                <w:szCs w:val="21"/>
                <w:lang w:val="en-US" w:eastAsia="zh-CN"/>
              </w:rPr>
              <w:t>km，本项目</w:t>
            </w:r>
            <w:r>
              <w:rPr>
                <w:rFonts w:hint="eastAsia" w:ascii="Times New Roman" w:hAnsi="Times New Roman" w:eastAsia="宋体" w:cs="Times New Roman"/>
                <w:color w:val="auto"/>
                <w:sz w:val="21"/>
                <w:szCs w:val="21"/>
                <w:lang w:val="en-US" w:eastAsia="zh-CN"/>
              </w:rPr>
              <w:t>不</w:t>
            </w:r>
            <w:r>
              <w:rPr>
                <w:rFonts w:hint="default" w:ascii="Times New Roman" w:hAnsi="Times New Roman" w:eastAsia="宋体" w:cs="Times New Roman"/>
                <w:color w:val="auto"/>
                <w:sz w:val="21"/>
                <w:szCs w:val="21"/>
                <w:lang w:val="en-US" w:eastAsia="zh-CN"/>
              </w:rPr>
              <w:t>在国控点三公里范围内。</w:t>
            </w:r>
          </w:p>
          <w:p w14:paraId="0F81649A">
            <w:pPr>
              <w:pStyle w:val="28"/>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4"/>
                <w:szCs w:val="24"/>
              </w:rPr>
            </w:pPr>
            <w:r>
              <w:rPr>
                <w:rFonts w:hint="default" w:ascii="Times New Roman" w:hAnsi="Times New Roman" w:eastAsia="宋体" w:cs="Times New Roman"/>
                <w:b/>
                <w:bCs/>
                <w:color w:val="auto"/>
                <w:sz w:val="24"/>
                <w:szCs w:val="24"/>
                <w:lang w:val="en-US" w:eastAsia="zh-CN"/>
              </w:rPr>
              <w:t>1.3.</w:t>
            </w:r>
            <w:r>
              <w:rPr>
                <w:rFonts w:hint="eastAsia" w:cs="Times New Roman"/>
                <w:b/>
                <w:bCs/>
                <w:color w:val="auto"/>
                <w:sz w:val="24"/>
                <w:szCs w:val="24"/>
                <w:lang w:val="en-US" w:eastAsia="zh-CN"/>
              </w:rPr>
              <w:t>5</w:t>
            </w:r>
            <w:r>
              <w:rPr>
                <w:rFonts w:hint="default" w:ascii="Times New Roman" w:hAnsi="Times New Roman" w:eastAsia="宋体" w:cs="Times New Roman"/>
                <w:b/>
                <w:bCs/>
                <w:color w:val="auto"/>
                <w:sz w:val="24"/>
                <w:szCs w:val="24"/>
              </w:rPr>
              <w:t>与江苏印发《关于深入打好污染</w:t>
            </w:r>
            <w:r>
              <w:rPr>
                <w:rFonts w:hint="default" w:ascii="Times New Roman" w:hAnsi="Times New Roman" w:eastAsia="宋体" w:cs="Times New Roman"/>
                <w:b/>
                <w:bCs/>
                <w:color w:val="auto"/>
                <w:sz w:val="24"/>
                <w:szCs w:val="24"/>
                <w:highlight w:val="none"/>
                <w:shd w:val="clear" w:fill="auto"/>
              </w:rPr>
              <w:t>防治</w:t>
            </w:r>
            <w:r>
              <w:rPr>
                <w:rFonts w:hint="default" w:ascii="Times New Roman" w:hAnsi="Times New Roman" w:eastAsia="宋体" w:cs="Times New Roman"/>
                <w:b/>
                <w:bCs/>
                <w:color w:val="auto"/>
                <w:sz w:val="24"/>
                <w:szCs w:val="24"/>
              </w:rPr>
              <w:t>攻坚战的实施意见》（苏发〔2022〕3号文）相符性分析</w:t>
            </w:r>
          </w:p>
          <w:p w14:paraId="052FCF17">
            <w:pPr>
              <w:pStyle w:val="2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1"/>
                <w:szCs w:val="21"/>
              </w:rPr>
              <w:t>表1-</w:t>
            </w:r>
            <w:r>
              <w:rPr>
                <w:rFonts w:hint="default" w:ascii="Times New Roman" w:hAnsi="Times New Roman" w:eastAsia="宋体" w:cs="Times New Roman"/>
                <w:b/>
                <w:bCs/>
                <w:color w:val="auto"/>
                <w:sz w:val="21"/>
                <w:szCs w:val="21"/>
                <w:lang w:val="en-US" w:eastAsia="zh-CN"/>
              </w:rPr>
              <w:t>1</w:t>
            </w:r>
            <w:r>
              <w:rPr>
                <w:rFonts w:hint="eastAsia" w:cs="Times New Roman"/>
                <w:b/>
                <w:bCs/>
                <w:color w:val="auto"/>
                <w:sz w:val="21"/>
                <w:szCs w:val="21"/>
                <w:lang w:val="en-US" w:eastAsia="zh-CN"/>
              </w:rPr>
              <w:t xml:space="preserve">2 </w:t>
            </w:r>
            <w:r>
              <w:rPr>
                <w:rFonts w:hint="default" w:ascii="Times New Roman" w:hAnsi="Times New Roman" w:eastAsia="宋体" w:cs="Times New Roman"/>
                <w:b/>
                <w:bCs/>
                <w:color w:val="auto"/>
                <w:sz w:val="21"/>
                <w:szCs w:val="21"/>
                <w:shd w:val="clear" w:fill="auto"/>
              </w:rPr>
              <w:t>与苏</w:t>
            </w:r>
            <w:r>
              <w:rPr>
                <w:rFonts w:hint="default" w:ascii="Times New Roman" w:hAnsi="Times New Roman" w:eastAsia="宋体" w:cs="Times New Roman"/>
                <w:b/>
                <w:bCs/>
                <w:color w:val="auto"/>
                <w:sz w:val="21"/>
                <w:szCs w:val="21"/>
              </w:rPr>
              <w:t>发〔2022〕3号文相符性分析</w:t>
            </w:r>
          </w:p>
          <w:tbl>
            <w:tblPr>
              <w:tblStyle w:val="18"/>
              <w:tblW w:w="49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5993"/>
              <w:gridCol w:w="1271"/>
              <w:gridCol w:w="571"/>
            </w:tblGrid>
            <w:tr w14:paraId="7DA4C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9" w:type="dxa"/>
                  <w:noWrap w:val="0"/>
                  <w:tcMar>
                    <w:left w:w="28" w:type="dxa"/>
                    <w:right w:w="28" w:type="dxa"/>
                  </w:tcMar>
                  <w:vAlign w:val="center"/>
                </w:tcPr>
                <w:p w14:paraId="4852865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类别</w:t>
                  </w:r>
                </w:p>
              </w:tc>
              <w:tc>
                <w:tcPr>
                  <w:tcW w:w="5994" w:type="dxa"/>
                  <w:noWrap w:val="0"/>
                  <w:tcMar>
                    <w:left w:w="28" w:type="dxa"/>
                    <w:right w:w="28" w:type="dxa"/>
                  </w:tcMar>
                  <w:vAlign w:val="center"/>
                </w:tcPr>
                <w:p w14:paraId="4EDB7E0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文件要求（建设项目环评审批要点）</w:t>
                  </w:r>
                </w:p>
              </w:tc>
              <w:tc>
                <w:tcPr>
                  <w:tcW w:w="1271" w:type="dxa"/>
                  <w:noWrap w:val="0"/>
                  <w:tcMar>
                    <w:left w:w="28" w:type="dxa"/>
                    <w:right w:w="28" w:type="dxa"/>
                  </w:tcMar>
                  <w:vAlign w:val="center"/>
                </w:tcPr>
                <w:p w14:paraId="0B6910F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项目</w:t>
                  </w:r>
                </w:p>
              </w:tc>
              <w:tc>
                <w:tcPr>
                  <w:tcW w:w="571" w:type="dxa"/>
                  <w:noWrap w:val="0"/>
                  <w:tcMar>
                    <w:left w:w="28" w:type="dxa"/>
                    <w:right w:w="28" w:type="dxa"/>
                  </w:tcMar>
                  <w:vAlign w:val="center"/>
                </w:tcPr>
                <w:p w14:paraId="61E248E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相符</w:t>
                  </w:r>
                  <w:r>
                    <w:rPr>
                      <w:rFonts w:hint="default" w:ascii="Times New Roman" w:hAnsi="Times New Roman" w:eastAsia="宋体" w:cs="Times New Roman"/>
                      <w:b/>
                      <w:bCs/>
                      <w:color w:val="auto"/>
                      <w:sz w:val="21"/>
                      <w:szCs w:val="21"/>
                      <w:lang w:val="en-US" w:eastAsia="zh-CN"/>
                    </w:rPr>
                    <w:t>性</w:t>
                  </w:r>
                </w:p>
              </w:tc>
            </w:tr>
            <w:tr w14:paraId="6002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9" w:type="dxa"/>
                  <w:noWrap w:val="0"/>
                  <w:tcMar>
                    <w:left w:w="28" w:type="dxa"/>
                    <w:right w:w="28" w:type="dxa"/>
                  </w:tcMar>
                  <w:vAlign w:val="center"/>
                </w:tcPr>
                <w:p w14:paraId="7C6035D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深入推进碳达峰行动</w:t>
                  </w:r>
                </w:p>
              </w:tc>
              <w:tc>
                <w:tcPr>
                  <w:tcW w:w="5994" w:type="dxa"/>
                  <w:noWrap w:val="0"/>
                  <w:tcMar>
                    <w:left w:w="28" w:type="dxa"/>
                    <w:right w:w="28" w:type="dxa"/>
                  </w:tcMar>
                  <w:vAlign w:val="center"/>
                </w:tcPr>
                <w:p w14:paraId="4CEA7E16">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推动能源、工业、城乡建设、交通运输、公共机构等重点领域</w:t>
                  </w:r>
                  <w:r>
                    <w:rPr>
                      <w:rFonts w:hint="default" w:ascii="Times New Roman" w:hAnsi="Times New Roman" w:eastAsia="宋体" w:cs="Times New Roman"/>
                      <w:color w:val="auto"/>
                      <w:sz w:val="21"/>
                      <w:szCs w:val="21"/>
                      <w:shd w:val="clear" w:fill="auto"/>
                    </w:rPr>
                    <w:t>碳</w:t>
                  </w:r>
                  <w:r>
                    <w:rPr>
                      <w:rFonts w:hint="default" w:ascii="Times New Roman" w:hAnsi="Times New Roman" w:eastAsia="宋体" w:cs="Times New Roman"/>
                      <w:color w:val="auto"/>
                      <w:sz w:val="21"/>
                      <w:szCs w:val="21"/>
                    </w:rPr>
                    <w:t>达峰，支持有条件的地区、行业和企业率先达峰。推动建立江苏自愿碳减排交易体系，修订不适应碳达峰、碳中和工作要求的地方性法规规章及政策文件，建立健全有利于碳达峰、碳中和的投融资、财政、价格、统计监测政策制度。将碳达峰、碳中和纳入全省高质量发展考核。加强甲烷等非二氧化碳温室气体排放管控。健全完善排放源统计调查、核算核查、监管制度，将温室气体管控纳入环评管理。</w:t>
                  </w:r>
                </w:p>
              </w:tc>
              <w:tc>
                <w:tcPr>
                  <w:tcW w:w="1271" w:type="dxa"/>
                  <w:noWrap w:val="0"/>
                  <w:tcMar>
                    <w:left w:w="28" w:type="dxa"/>
                    <w:right w:w="28" w:type="dxa"/>
                  </w:tcMar>
                  <w:vAlign w:val="center"/>
                </w:tcPr>
                <w:p w14:paraId="17AB083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本项目不涉及甲烷等温室气体排放</w:t>
                  </w:r>
                </w:p>
              </w:tc>
              <w:tc>
                <w:tcPr>
                  <w:tcW w:w="571" w:type="dxa"/>
                  <w:noWrap w:val="0"/>
                  <w:tcMar>
                    <w:left w:w="28" w:type="dxa"/>
                    <w:right w:w="28" w:type="dxa"/>
                  </w:tcMar>
                  <w:vAlign w:val="center"/>
                </w:tcPr>
                <w:p w14:paraId="7F66A2E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相符</w:t>
                  </w:r>
                </w:p>
              </w:tc>
            </w:tr>
            <w:tr w14:paraId="1EFC2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9" w:type="dxa"/>
                  <w:noWrap w:val="0"/>
                  <w:tcMar>
                    <w:left w:w="28" w:type="dxa"/>
                    <w:right w:w="28" w:type="dxa"/>
                  </w:tcMar>
                  <w:vAlign w:val="center"/>
                </w:tcPr>
                <w:p w14:paraId="7EF5DE2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加快能源绿色低碳转型</w:t>
                  </w:r>
                </w:p>
              </w:tc>
              <w:tc>
                <w:tcPr>
                  <w:tcW w:w="5994" w:type="dxa"/>
                  <w:noWrap w:val="0"/>
                  <w:tcMar>
                    <w:left w:w="28" w:type="dxa"/>
                    <w:right w:w="28" w:type="dxa"/>
                  </w:tcMar>
                  <w:vAlign w:val="center"/>
                </w:tcPr>
                <w:p w14:paraId="0D19F518">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原则</w:t>
                  </w:r>
                  <w:r>
                    <w:rPr>
                      <w:rFonts w:hint="default" w:ascii="Times New Roman" w:hAnsi="Times New Roman" w:eastAsia="宋体" w:cs="Times New Roman"/>
                      <w:color w:val="auto"/>
                      <w:sz w:val="21"/>
                      <w:szCs w:val="21"/>
                      <w:shd w:val="clear" w:fill="auto"/>
                    </w:rPr>
                    <w:t>上</w:t>
                  </w:r>
                  <w:r>
                    <w:rPr>
                      <w:rFonts w:hint="default" w:ascii="Times New Roman" w:hAnsi="Times New Roman" w:eastAsia="宋体" w:cs="Times New Roman"/>
                      <w:color w:val="auto"/>
                      <w:sz w:val="21"/>
                      <w:szCs w:val="21"/>
                    </w:rPr>
                    <w:t>不再新建以发电为目</w:t>
                  </w:r>
                  <w:r>
                    <w:rPr>
                      <w:rFonts w:hint="eastAsia" w:cs="Times New Roman"/>
                      <w:color w:val="auto"/>
                      <w:sz w:val="21"/>
                      <w:szCs w:val="21"/>
                      <w:lang w:eastAsia="zh-CN"/>
                    </w:rPr>
                    <w:t>的</w:t>
                  </w:r>
                  <w:r>
                    <w:rPr>
                      <w:rFonts w:hint="default" w:ascii="Times New Roman" w:hAnsi="Times New Roman" w:eastAsia="宋体" w:cs="Times New Roman"/>
                      <w:color w:val="auto"/>
                      <w:sz w:val="21"/>
                      <w:szCs w:val="21"/>
                    </w:rPr>
                    <w:t>煤电项目，严禁以项目投资和产业拉动为由开发煤电，新</w:t>
                  </w:r>
                  <w:r>
                    <w:rPr>
                      <w:rFonts w:hint="default" w:ascii="Times New Roman" w:hAnsi="Times New Roman" w:eastAsia="宋体" w:cs="Times New Roman"/>
                      <w:color w:val="auto"/>
                      <w:sz w:val="21"/>
                      <w:szCs w:val="21"/>
                      <w:shd w:val="clear" w:fill="auto"/>
                    </w:rPr>
                    <w:t>上</w:t>
                  </w:r>
                  <w:r>
                    <w:rPr>
                      <w:rFonts w:hint="default" w:ascii="Times New Roman" w:hAnsi="Times New Roman" w:eastAsia="宋体" w:cs="Times New Roman"/>
                      <w:color w:val="auto"/>
                      <w:sz w:val="21"/>
                      <w:szCs w:val="21"/>
                    </w:rPr>
                    <w:t>煤电项目必须是为保障电力供应安全的支撑性电源和促进新能源消纳的调节性电源。推进30万千瓦及以上燃煤机组供热改造，逐步关停整合落后燃煤小热电和燃煤锅炉，提高电煤使用比重。到2025年，煤炭消费总量下降5%左右，煤炭占能源消费总量的比重下降至50%左右，电煤占煤炭消费比重提高到65%以上。扩大分布式光伏发电规模，发展风力发电，科学规划生物质直燃发电，安全有序发展核电。到2025年，非化石能源消费比重达到18%左右，天然气消费量占能源消费总量比重达到13</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rPr>
                    <w:t>5%以上，可再生能源发电装机达到6500万千瓦以上。</w:t>
                  </w:r>
                </w:p>
              </w:tc>
              <w:tc>
                <w:tcPr>
                  <w:tcW w:w="1271" w:type="dxa"/>
                  <w:noWrap w:val="0"/>
                  <w:tcMar>
                    <w:left w:w="28" w:type="dxa"/>
                    <w:right w:w="28" w:type="dxa"/>
                  </w:tcMar>
                  <w:vAlign w:val="center"/>
                </w:tcPr>
                <w:p w14:paraId="49E537F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本项目不使用煤，使用清洁能源－电能</w:t>
                  </w:r>
                </w:p>
              </w:tc>
              <w:tc>
                <w:tcPr>
                  <w:tcW w:w="571" w:type="dxa"/>
                  <w:noWrap w:val="0"/>
                  <w:tcMar>
                    <w:left w:w="28" w:type="dxa"/>
                    <w:right w:w="28" w:type="dxa"/>
                  </w:tcMar>
                  <w:vAlign w:val="center"/>
                </w:tcPr>
                <w:p w14:paraId="2859E21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相符</w:t>
                  </w:r>
                </w:p>
              </w:tc>
            </w:tr>
            <w:tr w14:paraId="3A2F5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9" w:type="dxa"/>
                  <w:noWrap w:val="0"/>
                  <w:tcMar>
                    <w:left w:w="28" w:type="dxa"/>
                    <w:right w:w="28" w:type="dxa"/>
                  </w:tcMar>
                  <w:vAlign w:val="center"/>
                </w:tcPr>
                <w:p w14:paraId="4BC0228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坚决遏制“两高”项目盲目发展</w:t>
                  </w:r>
                </w:p>
              </w:tc>
              <w:tc>
                <w:tcPr>
                  <w:tcW w:w="5994" w:type="dxa"/>
                  <w:noWrap w:val="0"/>
                  <w:tcMar>
                    <w:left w:w="28" w:type="dxa"/>
                    <w:right w:w="28" w:type="dxa"/>
                  </w:tcMar>
                  <w:vAlign w:val="center"/>
                </w:tcPr>
                <w:p w14:paraId="04AA14FA">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不符合要求的“两高”项目，坚决停批停建。对大气环境质量未达标的地区，实施更加严格的污染物总量控制。加快改造环保、能效、安全不达标的火电、钢铁、石化、有色、化工、建材等重点企业，依法依规淘汰落后产能，化解过剩产能，对能耗占比较高的重点行业和数据中心实施节能降耗。</w:t>
                  </w:r>
                </w:p>
              </w:tc>
              <w:tc>
                <w:tcPr>
                  <w:tcW w:w="1271" w:type="dxa"/>
                  <w:noWrap w:val="0"/>
                  <w:tcMar>
                    <w:left w:w="28" w:type="dxa"/>
                    <w:right w:w="28" w:type="dxa"/>
                  </w:tcMar>
                  <w:vAlign w:val="center"/>
                </w:tcPr>
                <w:p w14:paraId="5CF7AEC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本项目属于</w:t>
                  </w:r>
                  <w:r>
                    <w:rPr>
                      <w:rFonts w:hint="eastAsia" w:cs="Times New Roman"/>
                      <w:color w:val="auto"/>
                      <w:sz w:val="21"/>
                      <w:szCs w:val="21"/>
                      <w:lang w:val="en-US" w:eastAsia="zh-CN"/>
                    </w:rPr>
                    <w:t>C3399其他未列明金属制品制造，</w:t>
                  </w:r>
                  <w:r>
                    <w:rPr>
                      <w:rFonts w:hint="default" w:ascii="Times New Roman" w:hAnsi="Times New Roman" w:eastAsia="宋体" w:cs="Times New Roman"/>
                      <w:color w:val="auto"/>
                      <w:sz w:val="21"/>
                      <w:szCs w:val="21"/>
                    </w:rPr>
                    <w:t>不属于两高项目</w:t>
                  </w:r>
                </w:p>
              </w:tc>
              <w:tc>
                <w:tcPr>
                  <w:tcW w:w="571" w:type="dxa"/>
                  <w:noWrap w:val="0"/>
                  <w:tcMar>
                    <w:left w:w="28" w:type="dxa"/>
                    <w:right w:w="28" w:type="dxa"/>
                  </w:tcMar>
                  <w:vAlign w:val="center"/>
                </w:tcPr>
                <w:p w14:paraId="69C0B07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相符</w:t>
                  </w:r>
                </w:p>
              </w:tc>
            </w:tr>
            <w:tr w14:paraId="2F459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789" w:type="dxa"/>
                  <w:noWrap w:val="0"/>
                  <w:tcMar>
                    <w:left w:w="28" w:type="dxa"/>
                    <w:right w:w="28" w:type="dxa"/>
                  </w:tcMar>
                  <w:vAlign w:val="center"/>
                </w:tcPr>
                <w:p w14:paraId="4B7AC3A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推进清洁生产和能源资源集约高效利用</w:t>
                  </w:r>
                </w:p>
              </w:tc>
              <w:tc>
                <w:tcPr>
                  <w:tcW w:w="5994" w:type="dxa"/>
                  <w:noWrap w:val="0"/>
                  <w:tcMar>
                    <w:left w:w="28" w:type="dxa"/>
                    <w:right w:w="28" w:type="dxa"/>
                  </w:tcMar>
                  <w:vAlign w:val="center"/>
                </w:tcPr>
                <w:p w14:paraId="5903AC68">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依法引导钢铁、石化、化工、建材、纺织等重点行业开展强制性清洁生产审核，推进工业、农业、建筑业、服务业、交通运输业等领域实施清洁生产改造。完善能源消费总量和强度双控制度，严格用能预算管理和节能审查，有效控制能源消费增量。探索在省级及以上园区推行区域能</w:t>
                  </w:r>
                  <w:r>
                    <w:rPr>
                      <w:rFonts w:hint="default" w:ascii="Times New Roman" w:hAnsi="Times New Roman" w:eastAsia="宋体" w:cs="Times New Roman"/>
                      <w:color w:val="auto"/>
                      <w:sz w:val="21"/>
                      <w:szCs w:val="21"/>
                      <w:shd w:val="clear" w:fill="auto"/>
                    </w:rPr>
                    <w:t>评</w:t>
                  </w:r>
                  <w:r>
                    <w:rPr>
                      <w:rFonts w:hint="default" w:ascii="Times New Roman" w:hAnsi="Times New Roman" w:eastAsia="宋体" w:cs="Times New Roman"/>
                      <w:color w:val="auto"/>
                      <w:sz w:val="21"/>
                      <w:szCs w:val="21"/>
                    </w:rPr>
                    <w:t>制度，开展高耗能行业能效对标。实施能效领跑者行动，推动重点行业以及其他行业重点用能单位深化节能改造。实施节水行动，全面推进节水型社会和节水型城市建设。到2025年，完成国家下达的单位地区生产总值能耗下降目标，规模以上企业单位工业增加值能耗比2020年下降17%，单位工业增加值用水量下降率完成国家下达指标。</w:t>
                  </w:r>
                </w:p>
              </w:tc>
              <w:tc>
                <w:tcPr>
                  <w:tcW w:w="1271" w:type="dxa"/>
                  <w:noWrap w:val="0"/>
                  <w:tcMar>
                    <w:left w:w="28" w:type="dxa"/>
                    <w:right w:w="28" w:type="dxa"/>
                  </w:tcMar>
                  <w:vAlign w:val="center"/>
                </w:tcPr>
                <w:p w14:paraId="2DC9EF3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本项目不属于钢铁、石化、化工、建材、纺织等重点行业和两高项目</w:t>
                  </w:r>
                </w:p>
              </w:tc>
              <w:tc>
                <w:tcPr>
                  <w:tcW w:w="571" w:type="dxa"/>
                  <w:noWrap w:val="0"/>
                  <w:tcMar>
                    <w:left w:w="28" w:type="dxa"/>
                    <w:right w:w="28" w:type="dxa"/>
                  </w:tcMar>
                  <w:vAlign w:val="center"/>
                </w:tcPr>
                <w:p w14:paraId="76BE766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相符</w:t>
                  </w:r>
                </w:p>
              </w:tc>
            </w:tr>
          </w:tbl>
          <w:p w14:paraId="50F9F1F3">
            <w:pPr>
              <w:keepNext w:val="0"/>
              <w:keepLines w:val="0"/>
              <w:pageBreakBefore w:val="0"/>
              <w:widowControl w:val="0"/>
              <w:kinsoku/>
              <w:wordWrap/>
              <w:overflowPunct/>
              <w:topLinePunct w:val="0"/>
              <w:autoSpaceDE w:val="0"/>
              <w:autoSpaceDN w:val="0"/>
              <w:bidi w:val="0"/>
              <w:adjustRightInd/>
              <w:snapToGrid w:val="0"/>
              <w:spacing w:line="500" w:lineRule="exact"/>
              <w:jc w:val="left"/>
              <w:textAlignment w:val="auto"/>
              <w:rPr>
                <w:rFonts w:hint="default" w:ascii="Times New Roman" w:hAnsi="Times New Roman" w:eastAsia="宋体" w:cs="Times New Roman"/>
                <w:b/>
                <w:bCs/>
                <w:color w:val="auto"/>
                <w:sz w:val="24"/>
              </w:rPr>
            </w:pPr>
            <w:r>
              <w:rPr>
                <w:rFonts w:hint="eastAsia" w:ascii="Times New Roman" w:hAnsi="Times New Roman" w:eastAsia="宋体" w:cs="Times New Roman"/>
                <w:b/>
                <w:bCs/>
                <w:color w:val="auto"/>
                <w:sz w:val="24"/>
                <w:szCs w:val="24"/>
                <w:lang w:val="en-US" w:eastAsia="zh-CN"/>
              </w:rPr>
              <w:t>1.3.</w:t>
            </w:r>
            <w:r>
              <w:rPr>
                <w:rFonts w:hint="eastAsia" w:cs="Times New Roman"/>
                <w:b/>
                <w:bCs/>
                <w:color w:val="auto"/>
                <w:sz w:val="24"/>
                <w:szCs w:val="24"/>
                <w:lang w:val="en-US" w:eastAsia="zh-CN"/>
              </w:rPr>
              <w:t>6</w:t>
            </w:r>
            <w:r>
              <w:rPr>
                <w:rFonts w:hint="eastAsia" w:ascii="Times New Roman" w:hAnsi="Times New Roman" w:eastAsia="宋体" w:cs="Times New Roman"/>
                <w:b/>
                <w:bCs/>
                <w:color w:val="auto"/>
                <w:sz w:val="24"/>
                <w:szCs w:val="24"/>
                <w:lang w:val="en-US" w:eastAsia="zh-CN"/>
              </w:rPr>
              <w:t xml:space="preserve"> 与苏大气办</w:t>
            </w:r>
            <w:r>
              <w:rPr>
                <w:rFonts w:hint="default" w:ascii="Times New Roman" w:hAnsi="Times New Roman" w:eastAsia="宋体" w:cs="Times New Roman"/>
                <w:b/>
                <w:bCs/>
                <w:color w:val="auto"/>
                <w:sz w:val="24"/>
                <w:szCs w:val="24"/>
                <w:lang w:val="en-US" w:eastAsia="zh-CN"/>
              </w:rPr>
              <w:t>[2021]2</w:t>
            </w:r>
            <w:r>
              <w:rPr>
                <w:rFonts w:hint="eastAsia" w:ascii="Times New Roman" w:hAnsi="Times New Roman" w:eastAsia="宋体" w:cs="Times New Roman"/>
                <w:b/>
                <w:bCs/>
                <w:color w:val="auto"/>
                <w:sz w:val="24"/>
                <w:szCs w:val="24"/>
                <w:lang w:val="en-US" w:eastAsia="zh-CN"/>
              </w:rPr>
              <w:t>号）</w:t>
            </w:r>
            <w:r>
              <w:rPr>
                <w:rFonts w:hint="eastAsia" w:cs="Times New Roman"/>
                <w:b/>
                <w:bCs/>
                <w:color w:val="auto"/>
                <w:sz w:val="24"/>
                <w:szCs w:val="24"/>
                <w:lang w:val="en-US" w:eastAsia="zh-CN"/>
              </w:rPr>
              <w:t>、</w:t>
            </w:r>
            <w:r>
              <w:rPr>
                <w:rFonts w:hint="eastAsia" w:ascii="Times New Roman" w:hAnsi="Times New Roman" w:eastAsia="宋体" w:cs="Times New Roman"/>
                <w:b/>
                <w:color w:val="auto"/>
                <w:kern w:val="2"/>
                <w:sz w:val="24"/>
                <w:szCs w:val="24"/>
                <w:lang w:val="en-US" w:eastAsia="zh-CN" w:bidi="ar-SA"/>
              </w:rPr>
              <w:t>常污防攻坚指办</w:t>
            </w:r>
            <w:r>
              <w:rPr>
                <w:rFonts w:hint="default" w:ascii="Times New Roman" w:hAnsi="Times New Roman" w:eastAsia="宋体" w:cs="Times New Roman"/>
                <w:b/>
                <w:bCs/>
                <w:color w:val="auto"/>
                <w:sz w:val="24"/>
                <w:szCs w:val="24"/>
                <w:lang w:val="en-US" w:eastAsia="zh-CN"/>
              </w:rPr>
              <w:t>[2021]</w:t>
            </w:r>
            <w:r>
              <w:rPr>
                <w:rFonts w:hint="eastAsia" w:ascii="Times New Roman" w:hAnsi="Times New Roman" w:eastAsia="宋体" w:cs="Times New Roman"/>
                <w:b/>
                <w:color w:val="auto"/>
                <w:kern w:val="2"/>
                <w:sz w:val="24"/>
                <w:szCs w:val="24"/>
                <w:lang w:val="en-US" w:eastAsia="zh-CN" w:bidi="ar-SA"/>
              </w:rPr>
              <w:t>32号</w:t>
            </w:r>
            <w:r>
              <w:rPr>
                <w:rFonts w:hint="default" w:ascii="Times New Roman" w:hAnsi="Times New Roman" w:eastAsia="宋体" w:cs="Times New Roman"/>
                <w:b/>
                <w:bCs/>
                <w:color w:val="auto"/>
                <w:sz w:val="24"/>
                <w:szCs w:val="24"/>
                <w:lang w:val="zh-CN" w:eastAsia="zh-CN"/>
              </w:rPr>
              <w:t>文</w:t>
            </w:r>
            <w:r>
              <w:rPr>
                <w:rFonts w:hint="eastAsia" w:ascii="Times New Roman" w:hAnsi="Times New Roman" w:eastAsia="宋体" w:cs="Times New Roman"/>
                <w:b/>
                <w:bCs/>
                <w:color w:val="auto"/>
                <w:sz w:val="24"/>
                <w:szCs w:val="24"/>
                <w:lang w:val="en-US" w:eastAsia="zh-CN"/>
              </w:rPr>
              <w:t>相符</w:t>
            </w:r>
            <w:r>
              <w:rPr>
                <w:rFonts w:hint="eastAsia" w:ascii="Times New Roman" w:hAnsi="Times New Roman" w:eastAsia="宋体" w:cs="Times New Roman"/>
                <w:b/>
                <w:bCs/>
                <w:color w:val="auto"/>
                <w:sz w:val="24"/>
                <w:lang w:val="en-US" w:eastAsia="zh-CN"/>
              </w:rPr>
              <w:t>性</w:t>
            </w:r>
          </w:p>
          <w:p w14:paraId="1AD170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auto"/>
                <w:sz w:val="21"/>
                <w:szCs w:val="21"/>
                <w:lang w:val="zh-CN" w:eastAsia="zh-CN"/>
              </w:rPr>
            </w:pPr>
            <w:r>
              <w:rPr>
                <w:rFonts w:hint="default" w:ascii="Times New Roman" w:hAnsi="Times New Roman" w:eastAsia="宋体" w:cs="Times New Roman"/>
                <w:b/>
                <w:bCs/>
                <w:color w:val="auto"/>
                <w:sz w:val="21"/>
                <w:szCs w:val="21"/>
                <w:lang w:val="zh-CN" w:eastAsia="zh-CN"/>
              </w:rPr>
              <w:t>表</w:t>
            </w:r>
            <w:r>
              <w:rPr>
                <w:rFonts w:hint="default" w:ascii="Times New Roman" w:hAnsi="Times New Roman" w:eastAsia="宋体" w:cs="Times New Roman"/>
                <w:b/>
                <w:bCs/>
                <w:color w:val="auto"/>
                <w:sz w:val="21"/>
                <w:szCs w:val="21"/>
                <w:lang w:val="en-US" w:eastAsia="zh-CN"/>
              </w:rPr>
              <w:t>1-</w:t>
            </w:r>
            <w:r>
              <w:rPr>
                <w:rFonts w:hint="eastAsia" w:cs="Times New Roman"/>
                <w:b/>
                <w:bCs/>
                <w:color w:val="auto"/>
                <w:sz w:val="21"/>
                <w:szCs w:val="21"/>
                <w:lang w:val="en-US" w:eastAsia="zh-CN"/>
              </w:rPr>
              <w:t>13</w:t>
            </w:r>
            <w:r>
              <w:rPr>
                <w:rFonts w:hint="default" w:ascii="Times New Roman" w:hAnsi="Times New Roman" w:eastAsia="宋体" w:cs="Times New Roman"/>
                <w:b/>
                <w:bCs/>
                <w:color w:val="auto"/>
                <w:sz w:val="21"/>
                <w:szCs w:val="21"/>
                <w:lang w:val="zh-CN" w:eastAsia="zh-CN"/>
              </w:rPr>
              <w:t>与</w:t>
            </w:r>
            <w:r>
              <w:rPr>
                <w:rFonts w:hint="eastAsia" w:ascii="Times New Roman" w:hAnsi="Times New Roman" w:eastAsia="宋体" w:cs="Times New Roman"/>
                <w:b/>
                <w:bCs/>
                <w:color w:val="auto"/>
                <w:sz w:val="21"/>
                <w:szCs w:val="21"/>
                <w:lang w:val="en-US" w:eastAsia="zh-CN"/>
              </w:rPr>
              <w:t>苏大气办</w:t>
            </w:r>
            <w:r>
              <w:rPr>
                <w:rFonts w:hint="default" w:ascii="Times New Roman" w:hAnsi="Times New Roman" w:eastAsia="宋体" w:cs="Times New Roman"/>
                <w:b/>
                <w:bCs/>
                <w:color w:val="auto"/>
                <w:sz w:val="21"/>
                <w:szCs w:val="21"/>
                <w:lang w:val="en-US" w:eastAsia="zh-CN"/>
              </w:rPr>
              <w:t>[2021]2</w:t>
            </w:r>
            <w:r>
              <w:rPr>
                <w:rFonts w:hint="eastAsia" w:ascii="Times New Roman" w:hAnsi="Times New Roman" w:eastAsia="宋体" w:cs="Times New Roman"/>
                <w:b/>
                <w:bCs/>
                <w:color w:val="auto"/>
                <w:sz w:val="21"/>
                <w:szCs w:val="21"/>
                <w:lang w:val="en-US" w:eastAsia="zh-CN"/>
              </w:rPr>
              <w:t>号</w:t>
            </w:r>
            <w:r>
              <w:rPr>
                <w:rFonts w:hint="default" w:ascii="Times New Roman" w:hAnsi="Times New Roman" w:eastAsia="宋体" w:cs="Times New Roman"/>
                <w:b/>
                <w:bCs/>
                <w:color w:val="auto"/>
                <w:sz w:val="21"/>
                <w:szCs w:val="21"/>
                <w:lang w:val="zh-CN" w:eastAsia="zh-CN"/>
              </w:rPr>
              <w:t>文</w:t>
            </w:r>
            <w:r>
              <w:rPr>
                <w:rFonts w:hint="eastAsia" w:cs="Times New Roman"/>
                <w:b/>
                <w:bCs/>
                <w:color w:val="auto"/>
                <w:sz w:val="21"/>
                <w:szCs w:val="21"/>
                <w:lang w:val="zh-CN" w:eastAsia="zh-CN"/>
              </w:rPr>
              <w:t>、</w:t>
            </w:r>
            <w:r>
              <w:rPr>
                <w:rFonts w:hint="eastAsia" w:ascii="Times New Roman" w:hAnsi="Times New Roman" w:eastAsia="宋体" w:cs="Times New Roman"/>
                <w:b/>
                <w:color w:val="auto"/>
                <w:kern w:val="2"/>
                <w:sz w:val="24"/>
                <w:szCs w:val="24"/>
                <w:lang w:val="en-US" w:eastAsia="zh-CN" w:bidi="ar-SA"/>
              </w:rPr>
              <w:t>常污防攻坚指办</w:t>
            </w:r>
            <w:r>
              <w:rPr>
                <w:rFonts w:hint="default" w:ascii="Times New Roman" w:hAnsi="Times New Roman" w:eastAsia="宋体" w:cs="Times New Roman"/>
                <w:b/>
                <w:bCs/>
                <w:color w:val="auto"/>
                <w:sz w:val="21"/>
                <w:szCs w:val="21"/>
                <w:lang w:val="en-US" w:eastAsia="zh-CN"/>
              </w:rPr>
              <w:t>[2021]</w:t>
            </w:r>
            <w:r>
              <w:rPr>
                <w:rFonts w:hint="eastAsia" w:ascii="Times New Roman" w:hAnsi="Times New Roman" w:eastAsia="宋体" w:cs="Times New Roman"/>
                <w:b/>
                <w:color w:val="auto"/>
                <w:kern w:val="2"/>
                <w:sz w:val="24"/>
                <w:szCs w:val="24"/>
                <w:lang w:val="en-US" w:eastAsia="zh-CN" w:bidi="ar-SA"/>
              </w:rPr>
              <w:t>32号</w:t>
            </w:r>
            <w:r>
              <w:rPr>
                <w:rFonts w:hint="default" w:ascii="Times New Roman" w:hAnsi="Times New Roman" w:eastAsia="宋体" w:cs="Times New Roman"/>
                <w:b/>
                <w:bCs/>
                <w:color w:val="auto"/>
                <w:sz w:val="24"/>
                <w:szCs w:val="24"/>
                <w:lang w:val="zh-CN" w:eastAsia="zh-CN"/>
              </w:rPr>
              <w:t>文</w:t>
            </w:r>
            <w:r>
              <w:rPr>
                <w:rFonts w:hint="default" w:ascii="Times New Roman" w:hAnsi="Times New Roman" w:eastAsia="宋体" w:cs="Times New Roman"/>
                <w:b/>
                <w:bCs/>
                <w:color w:val="auto"/>
                <w:sz w:val="21"/>
                <w:szCs w:val="21"/>
                <w:lang w:val="zh-CN" w:eastAsia="zh-CN"/>
              </w:rPr>
              <w:t>对照分析</w:t>
            </w:r>
          </w:p>
          <w:tbl>
            <w:tblPr>
              <w:tblStyle w:val="1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4999"/>
              <w:gridCol w:w="3028"/>
              <w:gridCol w:w="687"/>
            </w:tblGrid>
            <w:tr w14:paraId="3AD9D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2868" w:type="pct"/>
                  <w:vAlign w:val="center"/>
                </w:tcPr>
                <w:p w14:paraId="0D852BB9">
                  <w:pPr>
                    <w:autoSpaceDE w:val="0"/>
                    <w:autoSpaceDN w:val="0"/>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文件要求</w:t>
                  </w:r>
                </w:p>
              </w:tc>
              <w:tc>
                <w:tcPr>
                  <w:tcW w:w="1737" w:type="pct"/>
                  <w:vAlign w:val="center"/>
                </w:tcPr>
                <w:p w14:paraId="3E0CF08E">
                  <w:pPr>
                    <w:autoSpaceDE w:val="0"/>
                    <w:autoSpaceDN w:val="0"/>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本项目</w:t>
                  </w:r>
                </w:p>
              </w:tc>
              <w:tc>
                <w:tcPr>
                  <w:tcW w:w="394" w:type="pct"/>
                  <w:vAlign w:val="center"/>
                </w:tcPr>
                <w:p w14:paraId="1C67F7BA">
                  <w:pPr>
                    <w:autoSpaceDE w:val="0"/>
                    <w:autoSpaceDN w:val="0"/>
                    <w:adjustRightInd w:val="0"/>
                    <w:snapToGrid w:val="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是否相符</w:t>
                  </w:r>
                </w:p>
              </w:tc>
            </w:tr>
            <w:tr w14:paraId="79448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2868" w:type="pct"/>
                  <w:vAlign w:val="center"/>
                </w:tcPr>
                <w:p w14:paraId="0DCE9922">
                  <w:pPr>
                    <w:keepNext w:val="0"/>
                    <w:keepLines w:val="0"/>
                    <w:widowControl/>
                    <w:suppressLineNumbers w:val="0"/>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 w:val="21"/>
                      <w:szCs w:val="21"/>
                      <w:lang w:val="en-US" w:eastAsia="zh-CN" w:bidi="ar"/>
                    </w:rPr>
                    <w:t>《省大气办关于印发&lt;江苏省挥发性有机物清洁原料替代工作方案&gt; 的通知》（苏大气办[2021]2号）明确</w:t>
                  </w:r>
                  <w:r>
                    <w:rPr>
                      <w:rFonts w:hint="default" w:ascii="Times New Roman" w:hAnsi="Times New Roman" w:cs="Times New Roman"/>
                      <w:color w:val="auto"/>
                      <w:kern w:val="0"/>
                      <w:sz w:val="21"/>
                      <w:szCs w:val="21"/>
                      <w:lang w:val="en-US" w:eastAsia="zh-CN" w:bidi="ar"/>
                    </w:rPr>
                    <w:t>提出：</w:t>
                  </w:r>
                  <w:r>
                    <w:rPr>
                      <w:rFonts w:hint="default" w:ascii="Times New Roman" w:hAnsi="Times New Roman" w:eastAsia="宋体" w:cs="Times New Roman"/>
                      <w:color w:val="auto"/>
                      <w:kern w:val="0"/>
                      <w:sz w:val="21"/>
                      <w:szCs w:val="21"/>
                      <w:lang w:val="en-US" w:eastAsia="zh-CN" w:bidi="ar"/>
                    </w:rPr>
                    <w:t xml:space="preserve">以工业涂装、包装印刷、木材加工、纺织（附件1）等行业为重点，分阶段推进 3130 家企业（附件2）清洁原料替代工作。实施替代的企业要使用符合《低挥发性有机化合物含量涂料产品技术要求》 （GB/T38597-2020）规定的粉末、水性、无溶剂、辐射固化涂料产品；符合《油墨中可挥发性有机化合物（VOCs）含量的限值》 （GB38507-2020）规定的水性油墨和能量固化油墨产品；符合《清洗剂挥发性有机化合物含量限值》（GB 38508-2020）规定的水基、半水基清洗剂产品；符合《胶粘剂挥发性有机化合物限量》（GB 33372-2020）规定的水基型、本体型胶粘剂产品。若确实无法达到上述要求，应提供相应的论证说明，相关涂料、油墨、清洗剂、胶粘剂等产品应符合相关标准中VOCs含量的限值要求。 </w:t>
                  </w:r>
                </w:p>
              </w:tc>
              <w:tc>
                <w:tcPr>
                  <w:tcW w:w="1737" w:type="pct"/>
                  <w:vAlign w:val="center"/>
                </w:tcPr>
                <w:p w14:paraId="49673C67">
                  <w:pPr>
                    <w:keepNext w:val="0"/>
                    <w:keepLines w:val="0"/>
                    <w:pageBreakBefore w:val="0"/>
                    <w:widowControl w:val="0"/>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kern w:val="0"/>
                      <w:sz w:val="21"/>
                      <w:szCs w:val="21"/>
                      <w:lang w:val="en-US" w:eastAsia="zh-CN" w:bidi="ar"/>
                    </w:rPr>
                    <w:t>本项目使用水基型</w:t>
                  </w:r>
                  <w:r>
                    <w:rPr>
                      <w:rFonts w:hint="default" w:ascii="Times New Roman" w:hAnsi="Times New Roman" w:cs="Times New Roman"/>
                      <w:color w:val="auto"/>
                      <w:kern w:val="0"/>
                      <w:sz w:val="21"/>
                      <w:szCs w:val="21"/>
                      <w:lang w:val="en-US" w:eastAsia="zh-CN" w:bidi="ar"/>
                    </w:rPr>
                    <w:t>清洗剂</w:t>
                  </w:r>
                  <w:r>
                    <w:rPr>
                      <w:rFonts w:hint="default" w:ascii="Times New Roman" w:hAnsi="Times New Roman" w:eastAsia="宋体" w:cs="Times New Roman"/>
                      <w:color w:val="auto"/>
                      <w:sz w:val="21"/>
                      <w:szCs w:val="21"/>
                      <w:lang w:val="en-US" w:eastAsia="zh-CN"/>
                    </w:rPr>
                    <w:t>，符合</w:t>
                  </w:r>
                  <w:r>
                    <w:rPr>
                      <w:rFonts w:hint="default" w:ascii="Times New Roman" w:hAnsi="Times New Roman" w:eastAsia="宋体" w:cs="Times New Roman"/>
                      <w:color w:val="auto"/>
                      <w:kern w:val="0"/>
                      <w:sz w:val="21"/>
                      <w:szCs w:val="21"/>
                      <w:lang w:val="en-US" w:eastAsia="zh-CN" w:bidi="ar"/>
                    </w:rPr>
                    <w:t>《清洗剂挥发性有机化合物含量限值》（GB 38508-2020）规定的水基清洗剂</w:t>
                  </w:r>
                  <w:r>
                    <w:rPr>
                      <w:rFonts w:hint="default" w:ascii="Times New Roman" w:hAnsi="Times New Roman" w:eastAsia="宋体" w:cs="Times New Roman"/>
                      <w:color w:val="auto"/>
                      <w:sz w:val="21"/>
                      <w:szCs w:val="21"/>
                      <w:lang w:val="en-US" w:eastAsia="zh-CN"/>
                    </w:rPr>
                    <w:t>含量限值要求。</w:t>
                  </w:r>
                </w:p>
                <w:p w14:paraId="480089DC">
                  <w:pPr>
                    <w:keepNext w:val="0"/>
                    <w:keepLines w:val="0"/>
                    <w:widowControl/>
                    <w:suppressLineNumbers w:val="0"/>
                    <w:jc w:val="left"/>
                    <w:rPr>
                      <w:rFonts w:hint="default" w:ascii="Times New Roman" w:hAnsi="Times New Roman" w:eastAsia="宋体" w:cs="Times New Roman"/>
                      <w:color w:val="auto"/>
                      <w:szCs w:val="21"/>
                    </w:rPr>
                  </w:pPr>
                </w:p>
              </w:tc>
              <w:tc>
                <w:tcPr>
                  <w:tcW w:w="394" w:type="pct"/>
                  <w:vAlign w:val="center"/>
                </w:tcPr>
                <w:p w14:paraId="4CB98361">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r w14:paraId="7FA20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19" w:hRule="atLeast"/>
                <w:jc w:val="center"/>
              </w:trPr>
              <w:tc>
                <w:tcPr>
                  <w:tcW w:w="4628" w:type="dxa"/>
                  <w:vAlign w:val="center"/>
                </w:tcPr>
                <w:p w14:paraId="32471A70">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zh-CN" w:eastAsia="zh-CN" w:bidi="ar"/>
                    </w:rPr>
                    <w:t>《</w:t>
                  </w:r>
                  <w:r>
                    <w:rPr>
                      <w:rFonts w:hint="default" w:ascii="Times New Roman" w:hAnsi="Times New Roman" w:eastAsia="宋体" w:cs="Times New Roman"/>
                      <w:color w:val="auto"/>
                      <w:kern w:val="0"/>
                      <w:sz w:val="21"/>
                      <w:szCs w:val="21"/>
                      <w:lang w:val="en-US" w:eastAsia="zh-CN" w:bidi="ar"/>
                    </w:rPr>
                    <w:t xml:space="preserve">常州市挥发性有机物清洁原料替代工作方案》（常污防攻坚指办[2021]32号）提出：以工业涂装、包装印刷、木材加工、纺织等行业为重点，按照省大气办《关于印发江苏省挥发性有机 </w:t>
                  </w:r>
                </w:p>
                <w:p w14:paraId="3C4F9F02">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 xml:space="preserve">物清洁原料替代工作方案的通知》中源头替代具体要求，加快推进182家企业清洁原料替代工作。实施替代的企业要使用符合《低挥发性有机化合物含量涂料产品技术要求》（GB/T38597-2020）规定的粉末、水性、无溶剂、辐射固化涂料产品；符合《油墨中可挥发性有机化合物（VOCs）含量的限值》（GB38507-2020）规定的水性油墨和能量固化油墨产品；符合《清洗剂挥发性有机化合物含量限值》（GB 38508-2020）规定的水基、半水基清洗剂产品；符合《胶粘剂挥发性有机化合物限量》 </w:t>
                  </w:r>
                </w:p>
                <w:p w14:paraId="6C161867">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（GB 33372-2020）规定的水基型、本体型胶粘剂产品。若确实无法达到上述要求，应提供相应的论证说明，相关涂料、油墨、清洗剂、胶粘剂等产品应符合相关标准中 VOCs 含量的限值要求。</w:t>
                  </w:r>
                </w:p>
              </w:tc>
              <w:tc>
                <w:tcPr>
                  <w:tcW w:w="2803" w:type="dxa"/>
                  <w:vAlign w:val="center"/>
                </w:tcPr>
                <w:p w14:paraId="6458D86F">
                  <w:pPr>
                    <w:keepNext w:val="0"/>
                    <w:keepLines w:val="0"/>
                    <w:pageBreakBefore w:val="0"/>
                    <w:widowControl w:val="0"/>
                    <w:kinsoku/>
                    <w:wordWrap/>
                    <w:overflowPunct/>
                    <w:topLinePunct w:val="0"/>
                    <w:autoSpaceDE/>
                    <w:autoSpaceDN/>
                    <w:bidi w:val="0"/>
                    <w:adjustRightInd w:val="0"/>
                    <w:snapToGrid w:val="0"/>
                    <w:spacing w:line="240" w:lineRule="auto"/>
                    <w:ind w:right="0"/>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kern w:val="0"/>
                      <w:sz w:val="21"/>
                      <w:szCs w:val="21"/>
                      <w:lang w:val="en-US" w:eastAsia="zh-CN" w:bidi="ar"/>
                    </w:rPr>
                    <w:t>本项目使用水基型</w:t>
                  </w:r>
                  <w:r>
                    <w:rPr>
                      <w:rFonts w:hint="default" w:ascii="Times New Roman" w:hAnsi="Times New Roman" w:cs="Times New Roman"/>
                      <w:color w:val="auto"/>
                      <w:kern w:val="0"/>
                      <w:sz w:val="21"/>
                      <w:szCs w:val="21"/>
                      <w:lang w:val="en-US" w:eastAsia="zh-CN" w:bidi="ar"/>
                    </w:rPr>
                    <w:t>清洗剂</w:t>
                  </w:r>
                  <w:r>
                    <w:rPr>
                      <w:rFonts w:hint="default"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lang w:val="en-US" w:eastAsia="zh-CN"/>
                    </w:rPr>
                    <w:t>不含</w:t>
                  </w:r>
                  <w:r>
                    <w:rPr>
                      <w:rFonts w:hint="default" w:ascii="Times New Roman" w:hAnsi="Times New Roman" w:eastAsia="宋体" w:cs="Times New Roman"/>
                      <w:color w:val="auto"/>
                      <w:sz w:val="21"/>
                      <w:szCs w:val="21"/>
                      <w:lang w:val="en-US" w:eastAsia="zh-CN"/>
                    </w:rPr>
                    <w:t>挥发性有机物，因此本项目</w:t>
                  </w:r>
                  <w:r>
                    <w:rPr>
                      <w:rFonts w:hint="default" w:ascii="Times New Roman" w:hAnsi="Times New Roman" w:cs="Times New Roman"/>
                      <w:color w:val="auto"/>
                      <w:kern w:val="0"/>
                      <w:sz w:val="21"/>
                      <w:szCs w:val="21"/>
                      <w:lang w:val="en-US" w:eastAsia="zh-CN" w:bidi="ar"/>
                    </w:rPr>
                    <w:t>清洗剂</w:t>
                  </w:r>
                  <w:r>
                    <w:rPr>
                      <w:rFonts w:hint="default" w:ascii="Times New Roman" w:hAnsi="Times New Roman" w:eastAsia="宋体" w:cs="Times New Roman"/>
                      <w:color w:val="auto"/>
                      <w:sz w:val="21"/>
                      <w:szCs w:val="21"/>
                      <w:lang w:val="en-US" w:eastAsia="zh-CN"/>
                    </w:rPr>
                    <w:t>符合</w:t>
                  </w:r>
                  <w:r>
                    <w:rPr>
                      <w:rFonts w:hint="default" w:ascii="Times New Roman" w:hAnsi="Times New Roman" w:eastAsia="宋体" w:cs="Times New Roman"/>
                      <w:color w:val="auto"/>
                      <w:kern w:val="0"/>
                      <w:sz w:val="21"/>
                      <w:szCs w:val="21"/>
                      <w:lang w:val="en-US" w:eastAsia="zh-CN" w:bidi="ar"/>
                    </w:rPr>
                    <w:t>《清洗剂挥发性有机化合物含量限值》（GB 38508-2020）规定的水基清洗剂</w:t>
                  </w:r>
                  <w:r>
                    <w:rPr>
                      <w:rFonts w:hint="default" w:ascii="Times New Roman" w:hAnsi="Times New Roman" w:eastAsia="宋体" w:cs="Times New Roman"/>
                      <w:color w:val="auto"/>
                      <w:sz w:val="21"/>
                      <w:szCs w:val="21"/>
                      <w:lang w:val="en-US" w:eastAsia="zh-CN"/>
                    </w:rPr>
                    <w:t>含量限值要求。</w:t>
                  </w:r>
                </w:p>
                <w:p w14:paraId="3CAA3496">
                  <w:pPr>
                    <w:keepNext w:val="0"/>
                    <w:keepLines w:val="0"/>
                    <w:widowControl/>
                    <w:suppressLineNumbers w:val="0"/>
                    <w:jc w:val="left"/>
                    <w:rPr>
                      <w:rFonts w:hint="default" w:ascii="Times New Roman" w:hAnsi="Times New Roman" w:eastAsia="宋体" w:cs="Times New Roman"/>
                      <w:color w:val="auto"/>
                      <w:szCs w:val="21"/>
                    </w:rPr>
                  </w:pPr>
                </w:p>
              </w:tc>
              <w:tc>
                <w:tcPr>
                  <w:tcW w:w="636" w:type="dxa"/>
                  <w:vAlign w:val="center"/>
                </w:tcPr>
                <w:p w14:paraId="75BE712D">
                  <w:pPr>
                    <w:autoSpaceDE w:val="0"/>
                    <w:autoSpaceDN w:val="0"/>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p>
              </w:tc>
            </w:tr>
          </w:tbl>
          <w:p w14:paraId="11F0801A">
            <w:pPr>
              <w:pStyle w:val="28"/>
              <w:keepNext w:val="0"/>
              <w:keepLines w:val="0"/>
              <w:pageBreakBefore w:val="0"/>
              <w:wordWrap/>
              <w:topLinePunct w:val="0"/>
              <w:bidi w:val="0"/>
              <w:spacing w:line="360" w:lineRule="auto"/>
              <w:ind w:firstLine="0" w:firstLineChars="0"/>
              <w:jc w:val="left"/>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1.3.</w:t>
            </w:r>
            <w:r>
              <w:rPr>
                <w:rFonts w:hint="eastAsia" w:cs="Times New Roman"/>
                <w:b/>
                <w:bCs/>
                <w:color w:val="auto"/>
                <w:sz w:val="24"/>
                <w:szCs w:val="24"/>
                <w:lang w:val="en-US" w:eastAsia="zh-CN"/>
              </w:rPr>
              <w:t>7</w:t>
            </w:r>
            <w:r>
              <w:rPr>
                <w:rFonts w:hint="default" w:ascii="Times New Roman" w:hAnsi="Times New Roman" w:eastAsia="宋体" w:cs="Times New Roman"/>
                <w:b/>
                <w:bCs/>
                <w:color w:val="auto"/>
                <w:sz w:val="24"/>
                <w:szCs w:val="24"/>
              </w:rPr>
              <w:t>生态环境保护法律法规政策</w:t>
            </w:r>
            <w:r>
              <w:rPr>
                <w:rFonts w:hint="default" w:ascii="Times New Roman" w:hAnsi="Times New Roman" w:eastAsia="宋体" w:cs="Times New Roman"/>
                <w:b/>
                <w:bCs/>
                <w:color w:val="auto"/>
                <w:sz w:val="24"/>
                <w:szCs w:val="24"/>
                <w:lang w:val="en-US" w:eastAsia="zh-CN"/>
              </w:rPr>
              <w:t>相符性</w:t>
            </w:r>
          </w:p>
          <w:p w14:paraId="06211EBC">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color w:val="auto"/>
                <w:kern w:val="0"/>
                <w:sz w:val="21"/>
                <w:szCs w:val="21"/>
              </w:rPr>
            </w:pPr>
            <w:r>
              <w:rPr>
                <w:rFonts w:hint="default" w:ascii="Times New Roman" w:hAnsi="Times New Roman" w:eastAsia="宋体" w:cs="Times New Roman"/>
                <w:b/>
                <w:bCs/>
                <w:color w:val="auto"/>
                <w:sz w:val="21"/>
                <w:szCs w:val="21"/>
              </w:rPr>
              <w:t>表1-</w:t>
            </w:r>
            <w:r>
              <w:rPr>
                <w:rFonts w:hint="default" w:ascii="Times New Roman" w:hAnsi="Times New Roman" w:eastAsia="宋体" w:cs="Times New Roman"/>
                <w:b/>
                <w:bCs/>
                <w:color w:val="auto"/>
                <w:sz w:val="21"/>
                <w:szCs w:val="21"/>
                <w:lang w:val="en-US" w:eastAsia="zh-CN"/>
              </w:rPr>
              <w:t>1</w:t>
            </w:r>
            <w:r>
              <w:rPr>
                <w:rFonts w:hint="eastAsia" w:ascii="Times New Roman" w:hAnsi="Times New Roman" w:cs="Times New Roman"/>
                <w:b/>
                <w:bCs/>
                <w:color w:val="auto"/>
                <w:sz w:val="21"/>
                <w:szCs w:val="21"/>
                <w:lang w:val="en-US" w:eastAsia="zh-CN"/>
              </w:rPr>
              <w:t xml:space="preserve">4 </w:t>
            </w:r>
            <w:r>
              <w:rPr>
                <w:rFonts w:hint="default" w:ascii="Times New Roman" w:hAnsi="Times New Roman" w:eastAsia="宋体" w:cs="Times New Roman"/>
                <w:b/>
                <w:bCs/>
                <w:color w:val="auto"/>
                <w:sz w:val="21"/>
                <w:szCs w:val="21"/>
              </w:rPr>
              <w:t>生态环境保护法律法规政策、规划相符性分析</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96"/>
              <w:gridCol w:w="5614"/>
              <w:gridCol w:w="1783"/>
              <w:gridCol w:w="420"/>
            </w:tblGrid>
            <w:tr w14:paraId="768BF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514" w:type="pct"/>
                  <w:noWrap w:val="0"/>
                  <w:vAlign w:val="center"/>
                </w:tcPr>
                <w:p w14:paraId="730EE5B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对照文件</w:t>
                  </w:r>
                </w:p>
              </w:tc>
              <w:tc>
                <w:tcPr>
                  <w:tcW w:w="3221" w:type="pct"/>
                  <w:noWrap w:val="0"/>
                  <w:vAlign w:val="center"/>
                </w:tcPr>
                <w:p w14:paraId="73B3C93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内容</w:t>
                  </w:r>
                </w:p>
              </w:tc>
              <w:tc>
                <w:tcPr>
                  <w:tcW w:w="1023" w:type="pct"/>
                  <w:noWrap w:val="0"/>
                  <w:vAlign w:val="center"/>
                </w:tcPr>
                <w:p w14:paraId="6F28AF6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241" w:type="pct"/>
                  <w:noWrap w:val="0"/>
                  <w:vAlign w:val="center"/>
                </w:tcPr>
                <w:p w14:paraId="378DBBC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相符</w:t>
                  </w:r>
                  <w:r>
                    <w:rPr>
                      <w:rFonts w:hint="default" w:ascii="Times New Roman" w:hAnsi="Times New Roman" w:eastAsia="宋体" w:cs="Times New Roman"/>
                      <w:b/>
                      <w:bCs/>
                      <w:color w:val="auto"/>
                      <w:sz w:val="21"/>
                      <w:szCs w:val="21"/>
                      <w:lang w:val="en-US" w:eastAsia="zh-CN"/>
                    </w:rPr>
                    <w:t>性</w:t>
                  </w:r>
                </w:p>
              </w:tc>
            </w:tr>
            <w:tr w14:paraId="7A1EF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514" w:type="pct"/>
                  <w:noWrap w:val="0"/>
                  <w:vAlign w:val="center"/>
                </w:tcPr>
                <w:p w14:paraId="2EA8C27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《太湖流域管理条例》</w:t>
                  </w:r>
                </w:p>
              </w:tc>
              <w:tc>
                <w:tcPr>
                  <w:tcW w:w="3221" w:type="pct"/>
                  <w:noWrap w:val="0"/>
                  <w:vAlign w:val="center"/>
                </w:tcPr>
                <w:p w14:paraId="1D5C0A17">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十八条排污单位排放水污染物，不得超过经核定的水污染物排放总量，并应当按照规定设置便于检查、采样的规范化排污口，悬挂标志牌；不得私设暗管或者采取其他规避监管的方式排放水污染物。禁止在太湖流域设置不符合国家产业政策和水环境综合治理要求的造纸、制革、酒精、淀粉、冶金、酿造、印染、电镀等排放水污染物的生产项目，现有的生产项目不能实现达标排放的，应当依法关闭。在太湖流域新设企业应当符合国家规定的清洁生产要求，现有的企业尚未达到清洁生产要求的，应当按照清洁生产规划要求进行技术改造，两省一市人民政府应当加强监督检查。</w:t>
                  </w:r>
                </w:p>
                <w:p w14:paraId="06ADC115">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第二十九条新孟河、望虞河以外的其他主要入太湖河道，自河口1万米上溯至5万米河道岸线内及其岸线两侧各1000米范围内，禁止下列行为：</w:t>
                  </w:r>
                </w:p>
                <w:p w14:paraId="48A58488">
                  <w:pPr>
                    <w:pStyle w:val="28"/>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r>
                    <w:rPr>
                      <w:rFonts w:hint="default" w:ascii="Times New Roman" w:hAnsi="Times New Roman" w:eastAsia="宋体" w:cs="Times New Roman"/>
                      <w:color w:val="auto"/>
                      <w:sz w:val="21"/>
                      <w:szCs w:val="21"/>
                      <w:highlight w:val="none"/>
                    </w:rPr>
                    <w:t>扩建</w:t>
                  </w:r>
                  <w:r>
                    <w:rPr>
                      <w:rFonts w:hint="default" w:ascii="Times New Roman" w:hAnsi="Times New Roman" w:eastAsia="宋体" w:cs="Times New Roman"/>
                      <w:color w:val="auto"/>
                      <w:sz w:val="21"/>
                      <w:szCs w:val="21"/>
                    </w:rPr>
                    <w:t>化工、医药生产项目；</w:t>
                  </w:r>
                </w:p>
                <w:p w14:paraId="054392ED">
                  <w:pPr>
                    <w:pStyle w:val="28"/>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r>
                    <w:rPr>
                      <w:rFonts w:hint="default" w:ascii="Times New Roman" w:hAnsi="Times New Roman" w:eastAsia="宋体" w:cs="Times New Roman"/>
                      <w:color w:val="auto"/>
                      <w:sz w:val="21"/>
                      <w:szCs w:val="21"/>
                      <w:highlight w:val="none"/>
                    </w:rPr>
                    <w:t>扩建</w:t>
                  </w:r>
                  <w:r>
                    <w:rPr>
                      <w:rFonts w:hint="default" w:ascii="Times New Roman" w:hAnsi="Times New Roman" w:eastAsia="宋体" w:cs="Times New Roman"/>
                      <w:color w:val="auto"/>
                      <w:sz w:val="21"/>
                      <w:szCs w:val="21"/>
                    </w:rPr>
                    <w:t>污水集中处理设施</w:t>
                  </w:r>
                  <w:r>
                    <w:rPr>
                      <w:rFonts w:hint="default" w:ascii="Times New Roman" w:hAnsi="Times New Roman" w:eastAsia="宋体" w:cs="Times New Roman"/>
                      <w:color w:val="auto"/>
                      <w:sz w:val="21"/>
                      <w:szCs w:val="21"/>
                      <w:highlight w:val="none"/>
                      <w:shd w:val="clear" w:fill="auto"/>
                    </w:rPr>
                    <w:t>排污口</w:t>
                  </w:r>
                  <w:r>
                    <w:rPr>
                      <w:rFonts w:hint="default" w:ascii="Times New Roman" w:hAnsi="Times New Roman" w:eastAsia="宋体" w:cs="Times New Roman"/>
                      <w:color w:val="auto"/>
                      <w:sz w:val="21"/>
                      <w:szCs w:val="21"/>
                    </w:rPr>
                    <w:t>以外的排污口；</w:t>
                  </w:r>
                </w:p>
                <w:p w14:paraId="62BC6260">
                  <w:pPr>
                    <w:pStyle w:val="28"/>
                    <w:keepNext w:val="0"/>
                    <w:keepLines w:val="0"/>
                    <w:pageBreakBefore w:val="0"/>
                    <w:widowControl w:val="0"/>
                    <w:numPr>
                      <w:ilvl w:val="0"/>
                      <w:numId w:val="2"/>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扩大水产养殖规模。</w:t>
                  </w:r>
                </w:p>
                <w:p w14:paraId="15229E7B">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第三十条太湖岸线内和岸线周边5000米范围内，淀山湖岸线内和岸线周边2000米范围内，太浦河、新孟河、望虞河岸线内和岸线两侧各1000米范围内，其他主要</w:t>
                  </w:r>
                  <w:r>
                    <w:rPr>
                      <w:rFonts w:hint="default" w:ascii="Times New Roman" w:hAnsi="Times New Roman" w:eastAsia="宋体" w:cs="Times New Roman"/>
                      <w:color w:val="auto"/>
                      <w:sz w:val="21"/>
                      <w:szCs w:val="21"/>
                      <w:shd w:val="clear" w:fill="auto"/>
                    </w:rPr>
                    <w:t>入</w:t>
                  </w:r>
                  <w:r>
                    <w:rPr>
                      <w:rFonts w:hint="default" w:ascii="Times New Roman" w:hAnsi="Times New Roman" w:eastAsia="宋体" w:cs="Times New Roman"/>
                      <w:color w:val="auto"/>
                      <w:sz w:val="21"/>
                      <w:szCs w:val="21"/>
                    </w:rPr>
                    <w:t>太湖河道自河口上溯至1万米河道岸线内及其岸线两侧各1000米范围内，禁止下列行为：</w:t>
                  </w:r>
                </w:p>
                <w:p w14:paraId="1986DEF3">
                  <w:pPr>
                    <w:pStyle w:val="28"/>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设置剧毒物质、危险化学品的贮存、输送设施和废物回收场、垃圾场；</w:t>
                  </w:r>
                </w:p>
                <w:p w14:paraId="571019E9">
                  <w:pPr>
                    <w:pStyle w:val="28"/>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设置水上餐饮经营设施；</w:t>
                  </w:r>
                </w:p>
                <w:p w14:paraId="60DB3A91">
                  <w:pPr>
                    <w:pStyle w:val="28"/>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r>
                    <w:rPr>
                      <w:rFonts w:hint="default" w:ascii="Times New Roman" w:hAnsi="Times New Roman" w:eastAsia="宋体" w:cs="Times New Roman"/>
                      <w:color w:val="auto"/>
                      <w:sz w:val="21"/>
                      <w:szCs w:val="21"/>
                      <w:highlight w:val="none"/>
                    </w:rPr>
                    <w:t>扩建</w:t>
                  </w:r>
                  <w:r>
                    <w:rPr>
                      <w:rFonts w:hint="default" w:ascii="Times New Roman" w:hAnsi="Times New Roman" w:eastAsia="宋体" w:cs="Times New Roman"/>
                      <w:color w:val="auto"/>
                      <w:sz w:val="21"/>
                      <w:szCs w:val="21"/>
                    </w:rPr>
                    <w:t>高尔夫球场；</w:t>
                  </w:r>
                </w:p>
                <w:p w14:paraId="2B5DD3C2">
                  <w:pPr>
                    <w:pStyle w:val="28"/>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r>
                    <w:rPr>
                      <w:rFonts w:hint="default" w:ascii="Times New Roman" w:hAnsi="Times New Roman" w:eastAsia="宋体" w:cs="Times New Roman"/>
                      <w:color w:val="auto"/>
                      <w:sz w:val="21"/>
                      <w:szCs w:val="21"/>
                      <w:highlight w:val="none"/>
                    </w:rPr>
                    <w:t>扩建</w:t>
                  </w:r>
                  <w:r>
                    <w:rPr>
                      <w:rFonts w:hint="default" w:ascii="Times New Roman" w:hAnsi="Times New Roman" w:eastAsia="宋体" w:cs="Times New Roman"/>
                      <w:color w:val="auto"/>
                      <w:sz w:val="21"/>
                      <w:szCs w:val="21"/>
                    </w:rPr>
                    <w:t>畜禽养殖场；</w:t>
                  </w:r>
                </w:p>
                <w:p w14:paraId="1D811CB6">
                  <w:pPr>
                    <w:pStyle w:val="28"/>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r>
                    <w:rPr>
                      <w:rFonts w:hint="default" w:ascii="Times New Roman" w:hAnsi="Times New Roman" w:eastAsia="宋体" w:cs="Times New Roman"/>
                      <w:color w:val="auto"/>
                      <w:sz w:val="21"/>
                      <w:szCs w:val="21"/>
                      <w:highlight w:val="none"/>
                    </w:rPr>
                    <w:t>扩建</w:t>
                  </w:r>
                  <w:r>
                    <w:rPr>
                      <w:rFonts w:hint="default" w:ascii="Times New Roman" w:hAnsi="Times New Roman" w:eastAsia="宋体" w:cs="Times New Roman"/>
                      <w:color w:val="auto"/>
                      <w:sz w:val="21"/>
                      <w:szCs w:val="21"/>
                    </w:rPr>
                    <w:t>向水体排放污染物的建设项目；</w:t>
                  </w:r>
                </w:p>
                <w:p w14:paraId="6C470505">
                  <w:pPr>
                    <w:pStyle w:val="28"/>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本条例第二十九条规定的行为。已经设置前款第一项、第二项规定设施的，当地县级人民政府应当责令拆除或者关闭。</w:t>
                  </w:r>
                </w:p>
              </w:tc>
              <w:tc>
                <w:tcPr>
                  <w:tcW w:w="1023" w:type="pct"/>
                  <w:noWrap w:val="0"/>
                  <w:vAlign w:val="center"/>
                </w:tcPr>
                <w:p w14:paraId="4E7D7B6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本项目不属于禁止类生产项目，本项目位于太湖流域三级保护区内，</w:t>
                  </w:r>
                  <w:r>
                    <w:rPr>
                      <w:rFonts w:hint="default" w:ascii="Times New Roman" w:hAnsi="Times New Roman" w:eastAsia="宋体" w:cs="Times New Roman"/>
                      <w:color w:val="auto"/>
                      <w:sz w:val="21"/>
                      <w:szCs w:val="21"/>
                      <w:lang w:val="en-US" w:eastAsia="zh-CN"/>
                    </w:rPr>
                    <w:t>生活污水接管至常州市</w:t>
                  </w:r>
                  <w:r>
                    <w:rPr>
                      <w:rFonts w:hint="eastAsia" w:cs="Times New Roman"/>
                      <w:color w:val="auto"/>
                      <w:sz w:val="21"/>
                      <w:szCs w:val="21"/>
                      <w:lang w:val="en-US" w:eastAsia="zh-CN"/>
                    </w:rPr>
                    <w:t>金坛溪城污水处理有限公司</w:t>
                  </w:r>
                  <w:r>
                    <w:rPr>
                      <w:rFonts w:hint="default" w:ascii="Times New Roman" w:hAnsi="Times New Roman" w:eastAsia="宋体" w:cs="Times New Roman"/>
                      <w:color w:val="auto"/>
                      <w:sz w:val="21"/>
                      <w:szCs w:val="21"/>
                    </w:rPr>
                    <w:t>，无生产废水外排；</w:t>
                  </w:r>
                  <w:r>
                    <w:rPr>
                      <w:rFonts w:hint="default" w:ascii="Times New Roman" w:hAnsi="Times New Roman" w:eastAsia="宋体" w:cs="Times New Roman"/>
                      <w:color w:val="auto"/>
                      <w:sz w:val="21"/>
                      <w:szCs w:val="21"/>
                      <w:lang w:val="en-US" w:eastAsia="zh-CN"/>
                    </w:rPr>
                    <w:t>不属于文件中禁止行为</w:t>
                  </w:r>
                </w:p>
              </w:tc>
              <w:tc>
                <w:tcPr>
                  <w:tcW w:w="241" w:type="pct"/>
                  <w:noWrap w:val="0"/>
                  <w:vAlign w:val="center"/>
                </w:tcPr>
                <w:p w14:paraId="15887C1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45875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70" w:hRule="atLeast"/>
                <w:jc w:val="center"/>
              </w:trPr>
              <w:tc>
                <w:tcPr>
                  <w:tcW w:w="514" w:type="pct"/>
                  <w:noWrap w:val="0"/>
                  <w:vAlign w:val="center"/>
                </w:tcPr>
                <w:p w14:paraId="535CB95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highlight w:val="none"/>
                    </w:rPr>
                    <w:t>江苏省太湖</w:t>
                  </w:r>
                  <w:r>
                    <w:rPr>
                      <w:rFonts w:hint="default" w:ascii="Times New Roman" w:hAnsi="Times New Roman" w:eastAsia="宋体" w:cs="Times New Roman"/>
                      <w:color w:val="auto"/>
                      <w:sz w:val="21"/>
                      <w:szCs w:val="21"/>
                    </w:rPr>
                    <w:t>水污染</w:t>
                  </w:r>
                  <w:r>
                    <w:rPr>
                      <w:rFonts w:hint="default" w:ascii="Times New Roman" w:hAnsi="Times New Roman" w:eastAsia="宋体" w:cs="Times New Roman"/>
                      <w:color w:val="auto"/>
                      <w:sz w:val="21"/>
                      <w:szCs w:val="21"/>
                      <w:highlight w:val="none"/>
                    </w:rPr>
                    <w:t>防治</w:t>
                  </w:r>
                  <w:r>
                    <w:rPr>
                      <w:rFonts w:hint="default" w:ascii="Times New Roman" w:hAnsi="Times New Roman" w:eastAsia="宋体" w:cs="Times New Roman"/>
                      <w:color w:val="auto"/>
                      <w:sz w:val="21"/>
                      <w:szCs w:val="21"/>
                    </w:rPr>
                    <w:t>条例》</w:t>
                  </w:r>
                </w:p>
              </w:tc>
              <w:tc>
                <w:tcPr>
                  <w:tcW w:w="3221" w:type="pct"/>
                  <w:noWrap w:val="0"/>
                  <w:vAlign w:val="center"/>
                </w:tcPr>
                <w:p w14:paraId="28538255">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第四十三条太湖流域一、二、三级保护区禁止下列行为：</w:t>
                  </w:r>
                </w:p>
                <w:p w14:paraId="72725017">
                  <w:pPr>
                    <w:pStyle w:val="28"/>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w:t>
                  </w:r>
                  <w:r>
                    <w:rPr>
                      <w:rFonts w:hint="default" w:ascii="Times New Roman" w:hAnsi="Times New Roman" w:eastAsia="宋体" w:cs="Times New Roman"/>
                      <w:color w:val="auto"/>
                      <w:sz w:val="21"/>
                      <w:szCs w:val="21"/>
                      <w:highlight w:val="none"/>
                    </w:rPr>
                    <w:t>改建</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highlight w:val="none"/>
                    </w:rPr>
                    <w:t>扩建</w:t>
                  </w:r>
                  <w:r>
                    <w:rPr>
                      <w:rFonts w:hint="default" w:ascii="Times New Roman" w:hAnsi="Times New Roman" w:eastAsia="宋体" w:cs="Times New Roman"/>
                      <w:color w:val="auto"/>
                      <w:sz w:val="21"/>
                      <w:szCs w:val="21"/>
                    </w:rPr>
                    <w:t>化学制浆造纸、制革、酿造、染料、印染、电镀以及其他排放含磷、氮等污染物的企业和项目，城镇污水集中处理等环境基础设施项目和第四十六条规定的情形除外；</w:t>
                  </w:r>
                </w:p>
                <w:p w14:paraId="1F12CABB">
                  <w:pPr>
                    <w:pStyle w:val="28"/>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销售、使用含磷洗涤用品；</w:t>
                  </w:r>
                </w:p>
                <w:p w14:paraId="59E2E2C1">
                  <w:pPr>
                    <w:pStyle w:val="28"/>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向水体排放或者倾倒油类、酸液、碱液、剧毒废渣废液、含放射性废渣废液、含病原体污水、工业废渣以及其他废弃物；</w:t>
                  </w:r>
                </w:p>
                <w:p w14:paraId="5A5DEE5A">
                  <w:pPr>
                    <w:pStyle w:val="28"/>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在水体清洗装贮过油类或者有毒有害污染物的车辆、船舶和容器等；</w:t>
                  </w:r>
                </w:p>
                <w:p w14:paraId="4F0A2C80">
                  <w:pPr>
                    <w:pStyle w:val="28"/>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使用农药等有毒</w:t>
                  </w:r>
                  <w:r>
                    <w:rPr>
                      <w:rFonts w:hint="default" w:ascii="Times New Roman" w:hAnsi="Times New Roman" w:eastAsia="宋体" w:cs="Times New Roman"/>
                      <w:color w:val="auto"/>
                      <w:sz w:val="21"/>
                      <w:szCs w:val="21"/>
                      <w:highlight w:val="none"/>
                      <w:shd w:val="clear" w:fill="auto"/>
                    </w:rPr>
                    <w:t>物</w:t>
                  </w:r>
                  <w:r>
                    <w:rPr>
                      <w:rFonts w:hint="default" w:ascii="Times New Roman" w:hAnsi="Times New Roman" w:eastAsia="宋体" w:cs="Times New Roman"/>
                      <w:color w:val="auto"/>
                      <w:sz w:val="21"/>
                      <w:szCs w:val="21"/>
                    </w:rPr>
                    <w:t>毒杀水生生物；</w:t>
                  </w:r>
                </w:p>
                <w:p w14:paraId="2B46E853">
                  <w:pPr>
                    <w:pStyle w:val="28"/>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向水体直接排放人畜</w:t>
                  </w:r>
                  <w:r>
                    <w:rPr>
                      <w:rFonts w:hint="default" w:ascii="Times New Roman" w:hAnsi="Times New Roman" w:eastAsia="宋体" w:cs="Times New Roman"/>
                      <w:color w:val="auto"/>
                      <w:sz w:val="21"/>
                      <w:szCs w:val="21"/>
                      <w:highlight w:val="none"/>
                      <w:shd w:val="clear" w:fill="auto"/>
                    </w:rPr>
                    <w:t>粪便</w:t>
                  </w:r>
                  <w:r>
                    <w:rPr>
                      <w:rFonts w:hint="default" w:ascii="Times New Roman" w:hAnsi="Times New Roman" w:eastAsia="宋体" w:cs="Times New Roman"/>
                      <w:color w:val="auto"/>
                      <w:sz w:val="21"/>
                      <w:szCs w:val="21"/>
                    </w:rPr>
                    <w:t>、倾倒</w:t>
                  </w:r>
                  <w:r>
                    <w:rPr>
                      <w:rFonts w:hint="default" w:ascii="Times New Roman" w:hAnsi="Times New Roman" w:eastAsia="宋体" w:cs="Times New Roman"/>
                      <w:color w:val="auto"/>
                      <w:sz w:val="21"/>
                      <w:szCs w:val="21"/>
                      <w:shd w:val="clear" w:fill="auto"/>
                    </w:rPr>
                    <w:t>垃圾</w:t>
                  </w:r>
                  <w:r>
                    <w:rPr>
                      <w:rFonts w:hint="default" w:ascii="Times New Roman" w:hAnsi="Times New Roman" w:eastAsia="宋体" w:cs="Times New Roman"/>
                      <w:color w:val="auto"/>
                      <w:sz w:val="21"/>
                      <w:szCs w:val="21"/>
                    </w:rPr>
                    <w:t>；</w:t>
                  </w:r>
                </w:p>
                <w:p w14:paraId="7817C7B8">
                  <w:pPr>
                    <w:pStyle w:val="28"/>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围湖造地；</w:t>
                  </w:r>
                </w:p>
                <w:p w14:paraId="5DC0E5C7">
                  <w:pPr>
                    <w:pStyle w:val="28"/>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违法开山采石，或者进行破坏林木、植被、水生生物的活动；</w:t>
                  </w:r>
                </w:p>
                <w:p w14:paraId="4660FD54">
                  <w:pPr>
                    <w:pStyle w:val="28"/>
                    <w:keepNext w:val="0"/>
                    <w:keepLines w:val="0"/>
                    <w:pageBreakBefore w:val="0"/>
                    <w:widowControl w:val="0"/>
                    <w:numPr>
                      <w:ilvl w:val="0"/>
                      <w:numId w:val="4"/>
                    </w:numPr>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法律、法规禁止的其他行为。</w:t>
                  </w:r>
                </w:p>
                <w:p w14:paraId="50DC9A95">
                  <w:pPr>
                    <w:pStyle w:val="28"/>
                    <w:keepNext w:val="0"/>
                    <w:keepLines w:val="0"/>
                    <w:pageBreakBefore w:val="0"/>
                    <w:widowControl w:val="0"/>
                    <w:kinsoku/>
                    <w:wordWrap/>
                    <w:overflowPunct/>
                    <w:topLinePunct w:val="0"/>
                    <w:autoSpaceDE/>
                    <w:autoSpaceDN/>
                    <w:bidi w:val="0"/>
                    <w:adjustRightInd w:val="0"/>
                    <w:snapToGrid w:val="0"/>
                    <w:spacing w:line="240" w:lineRule="auto"/>
                    <w:ind w:firstLine="42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第四十六条太湖流域二、三级保护区内，在工业集聚区新建、</w:t>
                  </w:r>
                  <w:r>
                    <w:rPr>
                      <w:rFonts w:hint="default" w:ascii="Times New Roman" w:hAnsi="Times New Roman" w:eastAsia="宋体" w:cs="Times New Roman"/>
                      <w:color w:val="auto"/>
                      <w:sz w:val="21"/>
                      <w:szCs w:val="21"/>
                      <w:highlight w:val="none"/>
                    </w:rPr>
                    <w:t>改建</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highlight w:val="none"/>
                    </w:rPr>
                    <w:t>扩建</w:t>
                  </w:r>
                  <w:r>
                    <w:rPr>
                      <w:rFonts w:hint="default" w:ascii="Times New Roman" w:hAnsi="Times New Roman" w:eastAsia="宋体" w:cs="Times New Roman"/>
                      <w:color w:val="auto"/>
                      <w:sz w:val="21"/>
                      <w:szCs w:val="21"/>
                    </w:rPr>
                    <w:t>排放含磷、氮等污染物的战略性新兴产业项目和</w:t>
                  </w:r>
                  <w:r>
                    <w:rPr>
                      <w:rFonts w:hint="default" w:ascii="Times New Roman" w:hAnsi="Times New Roman" w:eastAsia="宋体" w:cs="Times New Roman"/>
                      <w:color w:val="auto"/>
                      <w:sz w:val="21"/>
                      <w:szCs w:val="21"/>
                      <w:highlight w:val="none"/>
                    </w:rPr>
                    <w:t>改建</w:t>
                  </w:r>
                  <w:r>
                    <w:rPr>
                      <w:rFonts w:hint="default" w:ascii="Times New Roman" w:hAnsi="Times New Roman" w:eastAsia="宋体" w:cs="Times New Roman"/>
                      <w:color w:val="auto"/>
                      <w:sz w:val="21"/>
                      <w:szCs w:val="21"/>
                    </w:rPr>
                    <w:t>印染项目，以及排放含磷、氮等污染物的现有企业在不增加产能的前提下实施提升环保标准的技术改造项目，应当符合国家产业政策和水环境综合治理要求，在实现国家</w:t>
                  </w:r>
                  <w:r>
                    <w:rPr>
                      <w:rFonts w:hint="default" w:ascii="Times New Roman" w:hAnsi="Times New Roman" w:eastAsia="宋体" w:cs="Times New Roman"/>
                      <w:color w:val="auto"/>
                      <w:sz w:val="21"/>
                      <w:szCs w:val="21"/>
                      <w:shd w:val="clear" w:fill="auto"/>
                    </w:rPr>
                    <w:t>和</w:t>
                  </w:r>
                  <w:r>
                    <w:rPr>
                      <w:rFonts w:hint="default" w:ascii="Times New Roman" w:hAnsi="Times New Roman" w:eastAsia="宋体" w:cs="Times New Roman"/>
                      <w:color w:val="auto"/>
                      <w:sz w:val="21"/>
                      <w:szCs w:val="21"/>
                    </w:rPr>
                    <w:t>省减排目标的基础上，实施区域磷、氮等重点水污染物年排放总量减量替代。其中，战略性新兴产业新建、</w:t>
                  </w:r>
                  <w:r>
                    <w:rPr>
                      <w:rFonts w:hint="default" w:ascii="Times New Roman" w:hAnsi="Times New Roman" w:eastAsia="宋体" w:cs="Times New Roman"/>
                      <w:color w:val="auto"/>
                      <w:sz w:val="21"/>
                      <w:szCs w:val="21"/>
                      <w:highlight w:val="none"/>
                    </w:rPr>
                    <w:t>扩建</w:t>
                  </w:r>
                  <w:r>
                    <w:rPr>
                      <w:rFonts w:hint="default" w:ascii="Times New Roman" w:hAnsi="Times New Roman" w:eastAsia="宋体" w:cs="Times New Roman"/>
                      <w:color w:val="auto"/>
                      <w:sz w:val="21"/>
                      <w:szCs w:val="21"/>
                    </w:rPr>
                    <w:t>项目新增的磷、氮等重点水污染物排放总量应当从本区域通过产业置换、淘汰、关闭等方式获得的指标中取得，且按照不低于该项目新增年排放总量的1</w:t>
                  </w:r>
                  <w:r>
                    <w:rPr>
                      <w:rFonts w:hint="default" w:ascii="Times New Roman" w:hAnsi="Times New Roman" w:eastAsia="宋体" w:cs="Times New Roman"/>
                      <w:color w:val="auto"/>
                      <w:sz w:val="21"/>
                      <w:szCs w:val="21"/>
                      <w:highlight w:val="none"/>
                      <w:shd w:val="clear" w:fill="auto"/>
                    </w:rPr>
                    <w:t>.</w:t>
                  </w:r>
                  <w:r>
                    <w:rPr>
                      <w:rFonts w:hint="default" w:ascii="Times New Roman" w:hAnsi="Times New Roman" w:eastAsia="宋体" w:cs="Times New Roman"/>
                      <w:color w:val="auto"/>
                      <w:sz w:val="21"/>
                      <w:szCs w:val="21"/>
                    </w:rPr>
                    <w:t>1倍实施减量替代；战略性新兴产业</w:t>
                  </w:r>
                  <w:r>
                    <w:rPr>
                      <w:rFonts w:hint="default" w:ascii="Times New Roman" w:hAnsi="Times New Roman" w:eastAsia="宋体" w:cs="Times New Roman"/>
                      <w:color w:val="auto"/>
                      <w:sz w:val="21"/>
                      <w:szCs w:val="21"/>
                      <w:highlight w:val="none"/>
                    </w:rPr>
                    <w:t>改建</w:t>
                  </w:r>
                  <w:r>
                    <w:rPr>
                      <w:rFonts w:hint="default" w:ascii="Times New Roman" w:hAnsi="Times New Roman" w:eastAsia="宋体" w:cs="Times New Roman"/>
                      <w:color w:val="auto"/>
                      <w:sz w:val="21"/>
                      <w:szCs w:val="21"/>
                    </w:rPr>
                    <w:t>项目</w:t>
                  </w:r>
                  <w:r>
                    <w:rPr>
                      <w:rFonts w:hint="default" w:ascii="Times New Roman" w:hAnsi="Times New Roman" w:eastAsia="宋体" w:cs="Times New Roman"/>
                      <w:color w:val="auto"/>
                      <w:sz w:val="21"/>
                      <w:szCs w:val="21"/>
                      <w:shd w:val="clear" w:fill="auto"/>
                    </w:rPr>
                    <w:t>符合应当</w:t>
                  </w:r>
                  <w:r>
                    <w:rPr>
                      <w:rFonts w:hint="default" w:ascii="Times New Roman" w:hAnsi="Times New Roman" w:eastAsia="宋体" w:cs="Times New Roman"/>
                      <w:color w:val="auto"/>
                      <w:sz w:val="21"/>
                      <w:szCs w:val="21"/>
                    </w:rPr>
                    <w:t>实现项目磷、氮等重点水污染物年排放总量减少，</w:t>
                  </w:r>
                  <w:r>
                    <w:rPr>
                      <w:rFonts w:hint="default" w:ascii="Times New Roman" w:hAnsi="Times New Roman" w:eastAsia="宋体" w:cs="Times New Roman"/>
                      <w:color w:val="auto"/>
                      <w:sz w:val="21"/>
                      <w:szCs w:val="21"/>
                      <w:highlight w:val="none"/>
                    </w:rPr>
                    <w:t>印染改建</w:t>
                  </w:r>
                  <w:r>
                    <w:rPr>
                      <w:rFonts w:hint="default" w:ascii="Times New Roman" w:hAnsi="Times New Roman" w:eastAsia="宋体" w:cs="Times New Roman"/>
                      <w:color w:val="auto"/>
                      <w:sz w:val="21"/>
                      <w:szCs w:val="21"/>
                    </w:rPr>
                    <w:t>项目应当按照不低于该项目磷、氮等重点水污染物年排放总量指标的二倍实行减量替代；提升环保标准的技术改造项目的磷、氮等重点水污染物年排放总量减少幅度应当不低于该项目原年排放总量的百分之二十。前述减少的磷、氮等重点水污染物年排放总量指标不得用于其他项目。具体减量替代办法由省人民政府根据经济社会发展水平和区域水环境质量改善情况制定。前款规定中新建、</w:t>
                  </w:r>
                  <w:r>
                    <w:rPr>
                      <w:rFonts w:hint="default" w:ascii="Times New Roman" w:hAnsi="Times New Roman" w:eastAsia="宋体" w:cs="Times New Roman"/>
                      <w:color w:val="auto"/>
                      <w:sz w:val="21"/>
                      <w:szCs w:val="21"/>
                      <w:highlight w:val="none"/>
                    </w:rPr>
                    <w:t>改建</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highlight w:val="none"/>
                    </w:rPr>
                    <w:t>扩建</w:t>
                  </w:r>
                  <w:r>
                    <w:rPr>
                      <w:rFonts w:hint="default" w:ascii="Times New Roman" w:hAnsi="Times New Roman" w:eastAsia="宋体" w:cs="Times New Roman"/>
                      <w:color w:val="auto"/>
                      <w:sz w:val="21"/>
                      <w:szCs w:val="21"/>
                    </w:rPr>
                    <w:t>以及技术改造项目的环境影响报告书，除由国务院环境保护主管部门负责审批的情形外，由省环境保护主管部门审批。其中，新建、</w:t>
                  </w:r>
                  <w:r>
                    <w:rPr>
                      <w:rFonts w:hint="default" w:ascii="Times New Roman" w:hAnsi="Times New Roman" w:eastAsia="宋体" w:cs="Times New Roman"/>
                      <w:color w:val="auto"/>
                      <w:sz w:val="21"/>
                      <w:szCs w:val="21"/>
                      <w:highlight w:val="none"/>
                    </w:rPr>
                    <w:t>扩建</w:t>
                  </w:r>
                  <w:r>
                    <w:rPr>
                      <w:rFonts w:hint="default" w:ascii="Times New Roman" w:hAnsi="Times New Roman" w:eastAsia="宋体" w:cs="Times New Roman"/>
                      <w:color w:val="auto"/>
                      <w:sz w:val="21"/>
                      <w:szCs w:val="21"/>
                    </w:rPr>
                    <w:t>项目减量替代具体方案，应当在审批机关审查同意前实施完成，完成情况书面报送审批机关。本条所指排放含磷、氮等污染物的战略性新兴产业具体类别，由省发展改革部门会同省经济和信息化、环境保护主管部门拟定并报省人民政府批准后公布。太湖流域设区的</w:t>
                  </w:r>
                  <w:r>
                    <w:rPr>
                      <w:rFonts w:hint="default" w:ascii="Times New Roman" w:hAnsi="Times New Roman" w:eastAsia="宋体" w:cs="Times New Roman"/>
                      <w:color w:val="auto"/>
                      <w:sz w:val="21"/>
                      <w:szCs w:val="21"/>
                      <w:highlight w:val="none"/>
                    </w:rPr>
                    <w:t>市</w:t>
                  </w:r>
                  <w:r>
                    <w:rPr>
                      <w:rFonts w:hint="default" w:ascii="Times New Roman" w:hAnsi="Times New Roman" w:eastAsia="宋体" w:cs="Times New Roman"/>
                      <w:color w:val="auto"/>
                      <w:sz w:val="21"/>
                      <w:szCs w:val="21"/>
                    </w:rPr>
                    <w:t>减量完成情况应当纳入省人民政府水环境质量考核体系。太湖流域县级以上地方人民政府应当将减量完成情况作为向本级人民代表大会常务委员会报告水污染</w:t>
                  </w:r>
                  <w:r>
                    <w:rPr>
                      <w:rFonts w:hint="default" w:ascii="Times New Roman" w:hAnsi="Times New Roman" w:eastAsia="宋体" w:cs="Times New Roman"/>
                      <w:color w:val="auto"/>
                      <w:sz w:val="21"/>
                      <w:szCs w:val="21"/>
                      <w:highlight w:val="none"/>
                      <w:shd w:val="clear" w:fill="auto"/>
                    </w:rPr>
                    <w:t>防治</w:t>
                  </w:r>
                  <w:r>
                    <w:rPr>
                      <w:rFonts w:hint="default" w:ascii="Times New Roman" w:hAnsi="Times New Roman" w:eastAsia="宋体" w:cs="Times New Roman"/>
                      <w:color w:val="auto"/>
                      <w:sz w:val="21"/>
                      <w:szCs w:val="21"/>
                    </w:rPr>
                    <w:t>工作的内容。</w:t>
                  </w:r>
                </w:p>
              </w:tc>
              <w:tc>
                <w:tcPr>
                  <w:tcW w:w="1023" w:type="pct"/>
                  <w:noWrap w:val="0"/>
                  <w:vAlign w:val="center"/>
                </w:tcPr>
                <w:p w14:paraId="4613632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本项目不属于禁止生产项目，</w:t>
                  </w:r>
                  <w:r>
                    <w:rPr>
                      <w:rFonts w:hint="default" w:ascii="Times New Roman" w:hAnsi="Times New Roman" w:eastAsia="宋体" w:cs="Times New Roman"/>
                      <w:color w:val="auto"/>
                      <w:sz w:val="21"/>
                      <w:szCs w:val="21"/>
                      <w:lang w:val="en-US" w:eastAsia="zh-CN"/>
                    </w:rPr>
                    <w:t>生活污水接管至常州市</w:t>
                  </w:r>
                  <w:r>
                    <w:rPr>
                      <w:rFonts w:hint="eastAsia" w:cs="Times New Roman"/>
                      <w:color w:val="auto"/>
                      <w:sz w:val="21"/>
                      <w:szCs w:val="21"/>
                      <w:lang w:val="en-US" w:eastAsia="zh-CN"/>
                    </w:rPr>
                    <w:t>金坛溪城污水处理有限公司</w:t>
                  </w:r>
                  <w:r>
                    <w:rPr>
                      <w:rFonts w:hint="default" w:ascii="Times New Roman" w:hAnsi="Times New Roman" w:eastAsia="宋体" w:cs="Times New Roman"/>
                      <w:color w:val="auto"/>
                      <w:sz w:val="21"/>
                      <w:szCs w:val="21"/>
                    </w:rPr>
                    <w:t>，无生产废水外排</w:t>
                  </w:r>
                  <w:r>
                    <w:rPr>
                      <w:rFonts w:hint="default" w:ascii="Times New Roman" w:hAnsi="Times New Roman" w:eastAsia="宋体" w:cs="Times New Roman"/>
                      <w:color w:val="auto"/>
                      <w:sz w:val="21"/>
                      <w:szCs w:val="21"/>
                      <w:lang w:val="en-US" w:eastAsia="zh-CN"/>
                    </w:rPr>
                    <w:t>；</w:t>
                  </w:r>
                </w:p>
              </w:tc>
              <w:tc>
                <w:tcPr>
                  <w:tcW w:w="241" w:type="pct"/>
                  <w:noWrap w:val="0"/>
                  <w:vAlign w:val="center"/>
                </w:tcPr>
                <w:p w14:paraId="11C9269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4620436C">
            <w:pPr>
              <w:spacing w:line="360" w:lineRule="auto"/>
              <w:rPr>
                <w:rFonts w:hint="default" w:ascii="Times New Roman" w:hAnsi="Times New Roman" w:eastAsia="宋体" w:cs="Times New Roman"/>
                <w:b/>
                <w:color w:val="auto"/>
                <w:sz w:val="24"/>
              </w:rPr>
            </w:pPr>
            <w:r>
              <w:rPr>
                <w:rFonts w:hint="default" w:ascii="Times New Roman" w:hAnsi="Times New Roman" w:eastAsia="宋体" w:cs="Times New Roman"/>
                <w:b/>
                <w:color w:val="auto"/>
                <w:sz w:val="24"/>
                <w:lang w:val="en-US" w:eastAsia="zh-CN"/>
              </w:rPr>
              <w:t>1.3.</w:t>
            </w:r>
            <w:r>
              <w:rPr>
                <w:rFonts w:hint="eastAsia" w:cs="Times New Roman"/>
                <w:b/>
                <w:color w:val="auto"/>
                <w:sz w:val="24"/>
                <w:lang w:val="en-US" w:eastAsia="zh-CN"/>
              </w:rPr>
              <w:t>8</w:t>
            </w:r>
            <w:r>
              <w:rPr>
                <w:rFonts w:hint="default" w:ascii="Times New Roman" w:hAnsi="Times New Roman" w:eastAsia="宋体" w:cs="Times New Roman"/>
                <w:b/>
                <w:color w:val="auto"/>
                <w:sz w:val="24"/>
              </w:rPr>
              <w:t>与国家发展改革委等部门《关于印发太湖流域水环境综合治理总体方案的通知》（发改地区</w:t>
            </w:r>
            <w:r>
              <w:rPr>
                <w:rFonts w:hint="default" w:ascii="Times New Roman" w:hAnsi="Times New Roman" w:eastAsia="宋体" w:cs="Times New Roman"/>
                <w:b w:val="0"/>
                <w:bCs/>
                <w:color w:val="auto"/>
                <w:sz w:val="24"/>
              </w:rPr>
              <w:t>【2022】</w:t>
            </w:r>
            <w:r>
              <w:rPr>
                <w:rFonts w:hint="default" w:ascii="Times New Roman" w:hAnsi="Times New Roman" w:eastAsia="宋体" w:cs="Times New Roman"/>
                <w:b/>
                <w:color w:val="auto"/>
                <w:sz w:val="24"/>
              </w:rPr>
              <w:t>959号）相符性分析</w:t>
            </w:r>
          </w:p>
          <w:p w14:paraId="378ED5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表1-1</w:t>
            </w:r>
            <w:r>
              <w:rPr>
                <w:rFonts w:hint="eastAsia" w:cs="Times New Roman"/>
                <w:b/>
                <w:color w:val="auto"/>
                <w:sz w:val="21"/>
                <w:szCs w:val="21"/>
                <w:lang w:val="en-US" w:eastAsia="zh-CN"/>
              </w:rPr>
              <w:t xml:space="preserve">5 </w:t>
            </w:r>
            <w:r>
              <w:rPr>
                <w:rFonts w:hint="default" w:ascii="Times New Roman" w:hAnsi="Times New Roman" w:eastAsia="宋体" w:cs="Times New Roman"/>
                <w:b/>
                <w:color w:val="auto"/>
                <w:sz w:val="21"/>
                <w:szCs w:val="21"/>
                <w:lang w:val="en-US" w:eastAsia="zh-CN"/>
              </w:rPr>
              <w:t>与</w:t>
            </w:r>
            <w:r>
              <w:rPr>
                <w:rFonts w:hint="default" w:ascii="Times New Roman" w:hAnsi="Times New Roman" w:eastAsia="宋体" w:cs="Times New Roman"/>
                <w:b/>
                <w:color w:val="auto"/>
                <w:sz w:val="21"/>
                <w:szCs w:val="21"/>
              </w:rPr>
              <w:t>发改地区【2022】959号</w:t>
            </w:r>
            <w:r>
              <w:rPr>
                <w:rFonts w:hint="default" w:ascii="Times New Roman" w:hAnsi="Times New Roman" w:eastAsia="宋体" w:cs="Times New Roman"/>
                <w:b/>
                <w:color w:val="auto"/>
                <w:sz w:val="21"/>
                <w:szCs w:val="21"/>
                <w:lang w:val="en-US" w:eastAsia="zh-CN"/>
              </w:rPr>
              <w:t>相符性分析</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5354"/>
              <w:gridCol w:w="2096"/>
              <w:gridCol w:w="656"/>
            </w:tblGrid>
            <w:tr w14:paraId="38C4D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49" w:type="pct"/>
                  <w:tcMar>
                    <w:top w:w="0" w:type="dxa"/>
                    <w:left w:w="11" w:type="dxa"/>
                    <w:bottom w:w="0" w:type="dxa"/>
                    <w:right w:w="11" w:type="dxa"/>
                  </w:tcMar>
                  <w:vAlign w:val="center"/>
                </w:tcPr>
                <w:p w14:paraId="7938A338">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条款</w:t>
                  </w:r>
                </w:p>
              </w:tc>
              <w:tc>
                <w:tcPr>
                  <w:tcW w:w="3071" w:type="pct"/>
                  <w:tcMar>
                    <w:top w:w="0" w:type="dxa"/>
                    <w:left w:w="11" w:type="dxa"/>
                    <w:bottom w:w="0" w:type="dxa"/>
                    <w:right w:w="11" w:type="dxa"/>
                  </w:tcMar>
                  <w:vAlign w:val="center"/>
                </w:tcPr>
                <w:p w14:paraId="552E3B0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文件要求</w:t>
                  </w:r>
                </w:p>
              </w:tc>
              <w:tc>
                <w:tcPr>
                  <w:tcW w:w="1202" w:type="pct"/>
                  <w:tcMar>
                    <w:top w:w="0" w:type="dxa"/>
                    <w:left w:w="11" w:type="dxa"/>
                    <w:bottom w:w="0" w:type="dxa"/>
                    <w:right w:w="11" w:type="dxa"/>
                  </w:tcMar>
                  <w:vAlign w:val="center"/>
                </w:tcPr>
                <w:p w14:paraId="44C5E96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对照分析</w:t>
                  </w:r>
                </w:p>
              </w:tc>
              <w:tc>
                <w:tcPr>
                  <w:tcW w:w="376" w:type="pct"/>
                  <w:tcMar>
                    <w:top w:w="0" w:type="dxa"/>
                    <w:left w:w="11" w:type="dxa"/>
                    <w:bottom w:w="0" w:type="dxa"/>
                    <w:right w:w="11" w:type="dxa"/>
                  </w:tcMar>
                  <w:vAlign w:val="center"/>
                </w:tcPr>
                <w:p w14:paraId="6ECFD201">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相符性</w:t>
                  </w:r>
                </w:p>
              </w:tc>
            </w:tr>
            <w:tr w14:paraId="552B0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49" w:type="pct"/>
                  <w:tcMar>
                    <w:top w:w="0" w:type="dxa"/>
                    <w:left w:w="11" w:type="dxa"/>
                    <w:bottom w:w="0" w:type="dxa"/>
                    <w:right w:w="11" w:type="dxa"/>
                  </w:tcMar>
                  <w:vAlign w:val="center"/>
                </w:tcPr>
                <w:p w14:paraId="6467EE18">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第三章第一节深化工业污染治理</w:t>
                  </w:r>
                </w:p>
              </w:tc>
              <w:tc>
                <w:tcPr>
                  <w:tcW w:w="3071" w:type="pct"/>
                  <w:tcMar>
                    <w:top w:w="0" w:type="dxa"/>
                    <w:left w:w="11" w:type="dxa"/>
                    <w:bottom w:w="0" w:type="dxa"/>
                    <w:right w:w="11" w:type="dxa"/>
                  </w:tcMar>
                  <w:vAlign w:val="center"/>
                </w:tcPr>
                <w:p w14:paraId="5F4DB32F">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督促企业依法持证排污、按证排污，严格落实总磷许可排放浓度和许可排放量要求。持续强化涉水行业污染整治，基于水生态环境质量改善需要，大力推进印染、化工、造纸、钢铁、电镀、食品</w:t>
                  </w:r>
                  <w:r>
                    <w:rPr>
                      <w:rFonts w:hint="eastAsia" w:cs="Times New Roman"/>
                      <w:b w:val="0"/>
                      <w:bCs/>
                      <w:color w:val="auto"/>
                      <w:sz w:val="21"/>
                      <w:szCs w:val="21"/>
                      <w:vertAlign w:val="baseline"/>
                      <w:lang w:val="en-US" w:eastAsia="zh-CN"/>
                    </w:rPr>
                    <w:t>（</w:t>
                  </w:r>
                  <w:r>
                    <w:rPr>
                      <w:rFonts w:hint="default" w:ascii="Times New Roman" w:hAnsi="Times New Roman" w:eastAsia="宋体" w:cs="Times New Roman"/>
                      <w:b w:val="0"/>
                      <w:bCs/>
                      <w:color w:val="auto"/>
                      <w:sz w:val="21"/>
                      <w:szCs w:val="21"/>
                      <w:vertAlign w:val="baseline"/>
                      <w:lang w:val="en-US" w:eastAsia="zh-CN"/>
                    </w:rPr>
                    <w:t>啤酒、味精</w:t>
                  </w:r>
                  <w:r>
                    <w:rPr>
                      <w:rFonts w:hint="eastAsia" w:cs="Times New Roman"/>
                      <w:b w:val="0"/>
                      <w:bCs/>
                      <w:color w:val="auto"/>
                      <w:sz w:val="21"/>
                      <w:szCs w:val="21"/>
                      <w:vertAlign w:val="baseline"/>
                      <w:lang w:val="en-US" w:eastAsia="zh-CN"/>
                    </w:rPr>
                    <w:t>）</w:t>
                  </w:r>
                  <w:r>
                    <w:rPr>
                      <w:rFonts w:hint="default" w:ascii="Times New Roman" w:hAnsi="Times New Roman" w:eastAsia="宋体" w:cs="Times New Roman"/>
                      <w:b w:val="0"/>
                      <w:bCs/>
                      <w:color w:val="auto"/>
                      <w:sz w:val="21"/>
                      <w:szCs w:val="21"/>
                      <w:vertAlign w:val="baseline"/>
                      <w:lang w:val="en-US" w:eastAsia="zh-CN"/>
                    </w:rPr>
                    <w:t>等重点行业企业废水深度处理。实施工业园区限值限量管理，全面推进工业园区污水管网排查整治和污水收集处理设施建设，加快实施管网混错接改造、管网更新、破损修复改造等，依法推 动园区生产废水应纳尽纳。推进化工园区雨污分流改造和 初期雨水收集处理，鼓励有条件的园区实施化工企业废水分类收集、分质处理、一企一管、明管输送、实时监测。</w:t>
                  </w:r>
                </w:p>
              </w:tc>
              <w:tc>
                <w:tcPr>
                  <w:tcW w:w="1202" w:type="pct"/>
                  <w:tcMar>
                    <w:top w:w="0" w:type="dxa"/>
                    <w:left w:w="11" w:type="dxa"/>
                    <w:bottom w:w="0" w:type="dxa"/>
                    <w:right w:w="11" w:type="dxa"/>
                  </w:tcMar>
                  <w:vAlign w:val="center"/>
                </w:tcPr>
                <w:p w14:paraId="63DAB47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本项目不属于禁止生产项目，生活污水接管至常州市</w:t>
                  </w:r>
                  <w:r>
                    <w:rPr>
                      <w:rFonts w:hint="eastAsia" w:ascii="Times New Roman" w:hAnsi="Times New Roman" w:eastAsia="宋体" w:cs="Times New Roman"/>
                      <w:b w:val="0"/>
                      <w:bCs/>
                      <w:color w:val="auto"/>
                      <w:kern w:val="2"/>
                      <w:sz w:val="21"/>
                      <w:szCs w:val="21"/>
                      <w:vertAlign w:val="baseline"/>
                      <w:lang w:val="en-US" w:eastAsia="zh-CN" w:bidi="ar-SA"/>
                    </w:rPr>
                    <w:t>金坛</w:t>
                  </w:r>
                  <w:r>
                    <w:rPr>
                      <w:rFonts w:hint="eastAsia" w:cs="Times New Roman"/>
                      <w:b w:val="0"/>
                      <w:bCs/>
                      <w:color w:val="auto"/>
                      <w:kern w:val="2"/>
                      <w:sz w:val="21"/>
                      <w:szCs w:val="21"/>
                      <w:vertAlign w:val="baseline"/>
                      <w:lang w:val="en-US" w:eastAsia="zh-CN" w:bidi="ar-SA"/>
                    </w:rPr>
                    <w:t>溪城污水处理有限公司</w:t>
                  </w:r>
                  <w:r>
                    <w:rPr>
                      <w:rFonts w:hint="default" w:ascii="Times New Roman" w:hAnsi="Times New Roman" w:eastAsia="宋体" w:cs="Times New Roman"/>
                      <w:b w:val="0"/>
                      <w:bCs/>
                      <w:color w:val="auto"/>
                      <w:kern w:val="2"/>
                      <w:sz w:val="21"/>
                      <w:szCs w:val="21"/>
                      <w:vertAlign w:val="baseline"/>
                      <w:lang w:val="en-US" w:eastAsia="zh-CN" w:bidi="ar-SA"/>
                    </w:rPr>
                    <w:t>，无生产废水</w:t>
                  </w:r>
                  <w:r>
                    <w:rPr>
                      <w:rFonts w:hint="eastAsia" w:cs="Times New Roman"/>
                      <w:b w:val="0"/>
                      <w:bCs/>
                      <w:color w:val="auto"/>
                      <w:kern w:val="2"/>
                      <w:sz w:val="21"/>
                      <w:szCs w:val="21"/>
                      <w:vertAlign w:val="baseline"/>
                      <w:lang w:val="en-US" w:eastAsia="zh-CN" w:bidi="ar-SA"/>
                    </w:rPr>
                    <w:t>外排</w:t>
                  </w:r>
                  <w:r>
                    <w:rPr>
                      <w:rFonts w:hint="default" w:ascii="Times New Roman" w:hAnsi="Times New Roman" w:eastAsia="宋体" w:cs="Times New Roman"/>
                      <w:b w:val="0"/>
                      <w:bCs/>
                      <w:color w:val="auto"/>
                      <w:kern w:val="2"/>
                      <w:sz w:val="21"/>
                      <w:szCs w:val="21"/>
                      <w:vertAlign w:val="baseline"/>
                      <w:lang w:val="en-US" w:eastAsia="zh-CN" w:bidi="ar-SA"/>
                    </w:rPr>
                    <w:t>；</w:t>
                  </w:r>
                </w:p>
              </w:tc>
              <w:tc>
                <w:tcPr>
                  <w:tcW w:w="376" w:type="pct"/>
                  <w:tcMar>
                    <w:top w:w="0" w:type="dxa"/>
                    <w:left w:w="11" w:type="dxa"/>
                    <w:bottom w:w="0" w:type="dxa"/>
                    <w:right w:w="11" w:type="dxa"/>
                  </w:tcMar>
                  <w:vAlign w:val="center"/>
                </w:tcPr>
                <w:p w14:paraId="0163D3F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相符</w:t>
                  </w:r>
                </w:p>
              </w:tc>
            </w:tr>
            <w:tr w14:paraId="3B9E3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49" w:type="pct"/>
                  <w:tcMar>
                    <w:top w:w="0" w:type="dxa"/>
                    <w:left w:w="11" w:type="dxa"/>
                    <w:bottom w:w="0" w:type="dxa"/>
                    <w:right w:w="11" w:type="dxa"/>
                  </w:tcMar>
                  <w:vAlign w:val="center"/>
                </w:tcPr>
                <w:p w14:paraId="0395A721">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第六章第一节引导产业合理布局</w:t>
                  </w:r>
                </w:p>
              </w:tc>
              <w:tc>
                <w:tcPr>
                  <w:tcW w:w="3071" w:type="pct"/>
                  <w:tcMar>
                    <w:top w:w="0" w:type="dxa"/>
                    <w:left w:w="11" w:type="dxa"/>
                    <w:bottom w:w="0" w:type="dxa"/>
                    <w:right w:w="11" w:type="dxa"/>
                  </w:tcMar>
                  <w:vAlign w:val="center"/>
                </w:tcPr>
                <w:p w14:paraId="12A6DCAB">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严禁落地国家和本地产业结构调整目录明确的限制类、淘汰类工艺、装备、产品与项目，依法推动污染企业退出。继续推进城市建成区内造纸、印染、化工等污染较重企业有序搬迁改造或依法关闭，推动环太湖生态环境敏感区内不符合产业发展政策、存在重大安全隐患且不具备整治条件的企业依法关闭或搬迁至合规工业园。推进太湖流域等重要饮用水水源地300米范围内重点排污企业逐步退出。除战略性新兴产业项目外，太湖流域原则上不再审批其他生产性新增氮磷污染物的工业类建设项目。环太湖地区重点布局总部经济、研发设计、高端制造、销售等产业链环节，大力发展创新经济、服务经济、绿色经济，打造具有全球竞争力的产业创新高地。全面拓展沿太湖科技研发创新带，高水平规划建设太湖科学城、“两湖”创新区。引进产业应符合“三线一单”管控要求、相关规划和环境影响评价要求，符合区域主导生态功能，鼓励工业企业项目采用国际国内行业先进的生产工艺与装备，提高污染物排放控制水平。</w:t>
                  </w:r>
                </w:p>
              </w:tc>
              <w:tc>
                <w:tcPr>
                  <w:tcW w:w="1202" w:type="pct"/>
                  <w:tcMar>
                    <w:top w:w="0" w:type="dxa"/>
                    <w:left w:w="11" w:type="dxa"/>
                    <w:bottom w:w="0" w:type="dxa"/>
                    <w:right w:w="11" w:type="dxa"/>
                  </w:tcMar>
                  <w:vAlign w:val="center"/>
                </w:tcPr>
                <w:p w14:paraId="5823D474">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本项目不涉及文件中限制、淘汰类工艺、装备、产品与项目</w:t>
                  </w:r>
                </w:p>
              </w:tc>
              <w:tc>
                <w:tcPr>
                  <w:tcW w:w="376" w:type="pct"/>
                  <w:tcMar>
                    <w:top w:w="0" w:type="dxa"/>
                    <w:left w:w="11" w:type="dxa"/>
                    <w:bottom w:w="0" w:type="dxa"/>
                    <w:right w:w="11" w:type="dxa"/>
                  </w:tcMar>
                  <w:vAlign w:val="center"/>
                </w:tcPr>
                <w:p w14:paraId="6E713C1B">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2"/>
                      <w:sz w:val="21"/>
                      <w:szCs w:val="21"/>
                      <w:vertAlign w:val="baseline"/>
                      <w:lang w:val="en-US" w:eastAsia="zh-CN" w:bidi="ar-SA"/>
                    </w:rPr>
                  </w:pPr>
                  <w:r>
                    <w:rPr>
                      <w:rFonts w:hint="default" w:ascii="Times New Roman" w:hAnsi="Times New Roman" w:eastAsia="宋体" w:cs="Times New Roman"/>
                      <w:b w:val="0"/>
                      <w:bCs/>
                      <w:color w:val="auto"/>
                      <w:kern w:val="2"/>
                      <w:sz w:val="21"/>
                      <w:szCs w:val="21"/>
                      <w:vertAlign w:val="baseline"/>
                      <w:lang w:val="en-US" w:eastAsia="zh-CN" w:bidi="ar-SA"/>
                    </w:rPr>
                    <w:t>相符</w:t>
                  </w:r>
                </w:p>
              </w:tc>
            </w:tr>
          </w:tbl>
          <w:p w14:paraId="2F98BA0F">
            <w:pPr>
              <w:pStyle w:val="25"/>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b/>
                <w:bCs w:val="0"/>
                <w:color w:val="auto"/>
                <w:kern w:val="0"/>
                <w:sz w:val="24"/>
                <w:szCs w:val="24"/>
                <w:lang w:val="en-US" w:eastAsia="zh-CN"/>
              </w:rPr>
            </w:pPr>
            <w:r>
              <w:rPr>
                <w:rFonts w:hint="default" w:ascii="Times New Roman" w:hAnsi="Times New Roman" w:eastAsia="宋体" w:cs="Times New Roman"/>
                <w:b/>
                <w:bCs w:val="0"/>
                <w:color w:val="auto"/>
                <w:kern w:val="0"/>
                <w:sz w:val="24"/>
                <w:szCs w:val="24"/>
                <w:lang w:val="en-US" w:eastAsia="zh-CN"/>
              </w:rPr>
              <w:t>1</w:t>
            </w:r>
            <w:r>
              <w:rPr>
                <w:rFonts w:hint="eastAsia" w:ascii="Times New Roman" w:hAnsi="Times New Roman" w:cs="Times New Roman"/>
                <w:b/>
                <w:bCs w:val="0"/>
                <w:color w:val="auto"/>
                <w:kern w:val="0"/>
                <w:sz w:val="24"/>
                <w:szCs w:val="24"/>
                <w:lang w:val="en-US" w:eastAsia="zh-CN"/>
              </w:rPr>
              <w:t>.</w:t>
            </w:r>
            <w:r>
              <w:rPr>
                <w:rFonts w:hint="default" w:ascii="Times New Roman" w:hAnsi="Times New Roman" w:eastAsia="宋体" w:cs="Times New Roman"/>
                <w:b/>
                <w:bCs w:val="0"/>
                <w:color w:val="auto"/>
                <w:kern w:val="0"/>
                <w:sz w:val="24"/>
                <w:szCs w:val="24"/>
                <w:lang w:val="en-US" w:eastAsia="zh-CN"/>
              </w:rPr>
              <w:t>3.</w:t>
            </w:r>
            <w:r>
              <w:rPr>
                <w:rFonts w:hint="eastAsia" w:ascii="Times New Roman" w:hAnsi="Times New Roman" w:cs="Times New Roman"/>
                <w:b/>
                <w:bCs w:val="0"/>
                <w:color w:val="auto"/>
                <w:kern w:val="0"/>
                <w:sz w:val="24"/>
                <w:szCs w:val="24"/>
                <w:lang w:val="en-US" w:eastAsia="zh-CN"/>
              </w:rPr>
              <w:t>9与</w:t>
            </w:r>
            <w:r>
              <w:rPr>
                <w:rFonts w:hint="default" w:ascii="Times New Roman" w:hAnsi="Times New Roman" w:eastAsia="宋体" w:cs="Times New Roman"/>
                <w:b/>
                <w:bCs w:val="0"/>
                <w:color w:val="auto"/>
                <w:kern w:val="0"/>
                <w:sz w:val="24"/>
                <w:szCs w:val="24"/>
              </w:rPr>
              <w:t>《省生态环境厅关于印发江苏省环境影响评价文件环境应急相关内容编制要点的通知》（苏环办[2022]338）号</w:t>
            </w:r>
            <w:r>
              <w:rPr>
                <w:rFonts w:hint="eastAsia" w:ascii="Times New Roman" w:hAnsi="Times New Roman" w:eastAsia="宋体" w:cs="Times New Roman"/>
                <w:b/>
                <w:bCs w:val="0"/>
                <w:color w:val="auto"/>
                <w:kern w:val="0"/>
                <w:sz w:val="24"/>
                <w:szCs w:val="24"/>
                <w:lang w:val="en-US" w:eastAsia="zh-CN"/>
              </w:rPr>
              <w:t>相符性分析</w:t>
            </w:r>
          </w:p>
          <w:p w14:paraId="5582F6B9">
            <w:pPr>
              <w:pStyle w:val="40"/>
              <w:ind w:left="0" w:lef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表1-</w:t>
            </w:r>
            <w:r>
              <w:rPr>
                <w:rFonts w:hint="eastAsia" w:cs="Times New Roman"/>
                <w:color w:val="auto"/>
                <w:lang w:val="en-US" w:eastAsia="zh-CN"/>
              </w:rPr>
              <w:t xml:space="preserve">18 </w:t>
            </w:r>
            <w:r>
              <w:rPr>
                <w:rFonts w:hint="eastAsia" w:ascii="Times New Roman" w:hAnsi="Times New Roman" w:eastAsia="宋体" w:cs="Times New Roman"/>
                <w:color w:val="auto"/>
                <w:lang w:val="en-US" w:eastAsia="zh-CN"/>
              </w:rPr>
              <w:t>与</w:t>
            </w:r>
            <w:r>
              <w:rPr>
                <w:rFonts w:hint="default" w:ascii="Times New Roman" w:hAnsi="Times New Roman" w:eastAsia="宋体" w:cs="Times New Roman"/>
                <w:color w:val="auto"/>
              </w:rPr>
              <w:t>苏环办[2022]338号</w:t>
            </w:r>
            <w:r>
              <w:rPr>
                <w:rFonts w:hint="eastAsia" w:ascii="Times New Roman" w:hAnsi="Times New Roman" w:eastAsia="宋体" w:cs="Times New Roman"/>
                <w:color w:val="auto"/>
                <w:lang w:val="en-US" w:eastAsia="zh-CN"/>
              </w:rPr>
              <w:t>文相符性分析</w:t>
            </w:r>
          </w:p>
          <w:tbl>
            <w:tblPr>
              <w:tblStyle w:val="1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5494"/>
              <w:gridCol w:w="2018"/>
              <w:gridCol w:w="774"/>
            </w:tblGrid>
            <w:tr w14:paraId="2F226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 w:type="pct"/>
                  <w:noWrap w:val="0"/>
                  <w:vAlign w:val="center"/>
                </w:tcPr>
                <w:p w14:paraId="32966DD1">
                  <w:pPr>
                    <w:pStyle w:val="30"/>
                    <w:bidi w:val="0"/>
                    <w:jc w:val="center"/>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序号</w:t>
                  </w:r>
                </w:p>
              </w:tc>
              <w:tc>
                <w:tcPr>
                  <w:tcW w:w="3152" w:type="pct"/>
                  <w:noWrap w:val="0"/>
                  <w:vAlign w:val="center"/>
                </w:tcPr>
                <w:p w14:paraId="0FEDCD98">
                  <w:pPr>
                    <w:pStyle w:val="30"/>
                    <w:bidi w:val="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要求</w:t>
                  </w:r>
                </w:p>
              </w:tc>
              <w:tc>
                <w:tcPr>
                  <w:tcW w:w="1158" w:type="pct"/>
                  <w:noWrap w:val="0"/>
                  <w:vAlign w:val="center"/>
                </w:tcPr>
                <w:p w14:paraId="5CD7BB19">
                  <w:pPr>
                    <w:pStyle w:val="30"/>
                    <w:bidi w:val="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对照分析</w:t>
                  </w:r>
                </w:p>
              </w:tc>
              <w:tc>
                <w:tcPr>
                  <w:tcW w:w="444" w:type="pct"/>
                  <w:noWrap w:val="0"/>
                  <w:vAlign w:val="center"/>
                </w:tcPr>
                <w:p w14:paraId="27E04BC1">
                  <w:pPr>
                    <w:pStyle w:val="30"/>
                    <w:bidi w:val="0"/>
                    <w:jc w:val="center"/>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相符性</w:t>
                  </w:r>
                </w:p>
              </w:tc>
            </w:tr>
            <w:tr w14:paraId="04847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5" w:type="pct"/>
                  <w:noWrap w:val="0"/>
                  <w:vAlign w:val="center"/>
                </w:tcPr>
                <w:p w14:paraId="0DAC1C1C">
                  <w:pPr>
                    <w:pStyle w:val="30"/>
                    <w:bidi w:val="0"/>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1</w:t>
                  </w:r>
                </w:p>
              </w:tc>
              <w:tc>
                <w:tcPr>
                  <w:tcW w:w="3152" w:type="pct"/>
                  <w:noWrap w:val="0"/>
                  <w:vAlign w:val="center"/>
                </w:tcPr>
                <w:p w14:paraId="7483B5AC">
                  <w:pPr>
                    <w:pStyle w:val="30"/>
                    <w:bidi w:val="0"/>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建设项目的编制要点适用于环境影响报告书、环境影响报告表所附环境风险专项的环境应急内容编制。</w:t>
                  </w:r>
                </w:p>
                <w:p w14:paraId="71E6BF21">
                  <w:pPr>
                    <w:pStyle w:val="30"/>
                    <w:bidi w:val="0"/>
                    <w:ind w:firstLine="420" w:firstLineChars="200"/>
                    <w:jc w:val="left"/>
                    <w:rPr>
                      <w:rFonts w:hint="default" w:ascii="Times New Roman" w:hAnsi="Times New Roman" w:cs="Times New Roman"/>
                      <w:color w:val="auto"/>
                    </w:rPr>
                  </w:pPr>
                  <w:r>
                    <w:rPr>
                      <w:rFonts w:hint="eastAsia" w:cs="Times New Roman"/>
                      <w:color w:val="auto"/>
                      <w:lang w:val="en-US" w:eastAsia="zh-CN"/>
                    </w:rPr>
                    <w:t>1</w:t>
                  </w:r>
                  <w:r>
                    <w:rPr>
                      <w:rFonts w:hint="default" w:ascii="Times New Roman" w:hAnsi="Times New Roman" w:cs="Times New Roman"/>
                      <w:color w:val="auto"/>
                    </w:rPr>
                    <w:t>、科学判定环境风险评价工作等级和评价范围，系统识别环境风险。合理分析代表性风险事故情形，预测其影响范围与程度；</w:t>
                  </w:r>
                </w:p>
                <w:p w14:paraId="7BD724A5">
                  <w:pPr>
                    <w:pStyle w:val="30"/>
                    <w:bidi w:val="0"/>
                    <w:ind w:firstLine="420" w:firstLineChars="200"/>
                    <w:jc w:val="left"/>
                    <w:rPr>
                      <w:rFonts w:hint="default" w:ascii="Times New Roman" w:hAnsi="Times New Roman" w:cs="Times New Roman"/>
                      <w:color w:val="auto"/>
                    </w:rPr>
                  </w:pPr>
                  <w:r>
                    <w:rPr>
                      <w:rFonts w:hint="eastAsia" w:cs="Times New Roman"/>
                      <w:color w:val="auto"/>
                      <w:lang w:val="en-US" w:eastAsia="zh-CN"/>
                    </w:rPr>
                    <w:t>2</w:t>
                  </w:r>
                  <w:r>
                    <w:rPr>
                      <w:rFonts w:hint="default" w:ascii="Times New Roman" w:hAnsi="Times New Roman" w:cs="Times New Roman"/>
                      <w:color w:val="auto"/>
                    </w:rPr>
                    <w:t>、明确环境风险防范措施的建设任务。大气环境风险防范应结合风险源实际状况明确环境风险的防范、减缓措施，提出环境风险监控要求，特别是有毒有害气体厂界监控预警措施，并提供事故状态下区域人员疏散通道和安置场所位置图。事故废水环境风险防范应按照“单元-厂区-园区/区域”环境风险防控体系的要求，结合环境风险事故情形和预测结果，提出必要的应急设施（包括围堰、防火堤、应急池、雨污水排口闸阀及配套管网设施等)建设要求，并明确事故废水有效收集和妥善处理方式，以防进入外环境。要提供雨污水、事故废水收集排放管网示意图、环境应急设施分布图等防止事故废水进入外环境的控制、封堵系统图。明确企业与所在园区/区域的环境风险防控体系、设施的衔接和配套。</w:t>
                  </w:r>
                </w:p>
                <w:p w14:paraId="7FD977BE">
                  <w:pPr>
                    <w:pStyle w:val="30"/>
                    <w:bidi w:val="0"/>
                    <w:ind w:firstLine="420" w:firstLineChars="200"/>
                    <w:jc w:val="left"/>
                    <w:rPr>
                      <w:rFonts w:hint="default" w:ascii="Times New Roman" w:hAnsi="Times New Roman" w:cs="Times New Roman"/>
                      <w:color w:val="auto"/>
                    </w:rPr>
                  </w:pPr>
                  <w:r>
                    <w:rPr>
                      <w:rFonts w:hint="default" w:ascii="Times New Roman" w:hAnsi="Times New Roman" w:cs="Times New Roman"/>
                      <w:color w:val="auto"/>
                    </w:rPr>
                    <w:t>3、明确环境应急管理制度内容。包括：①突发环境事件应急预案的编制、修订和备案要求;②明确事故状态下的特征污染因子和应急监测能力；③参照相关规范明确环境应急物资装备配备要求；④建立突发环境事件隐患排查治理制度要求，明确隐患排查内容、方式和频次；⑤明确环境应急培训和演练内容、方式、频次和台账记录要求；⑥提出设置环境风险防范设施及环境应急处置卡标识标牌等相关要求。</w:t>
                  </w:r>
                </w:p>
              </w:tc>
              <w:tc>
                <w:tcPr>
                  <w:tcW w:w="1158" w:type="pct"/>
                  <w:noWrap w:val="0"/>
                  <w:vAlign w:val="center"/>
                </w:tcPr>
                <w:p w14:paraId="251FC243">
                  <w:pPr>
                    <w:pStyle w:val="5"/>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建设单位</w:t>
                  </w:r>
                  <w:r>
                    <w:rPr>
                      <w:rFonts w:hint="eastAsia" w:cs="Times New Roman"/>
                      <w:color w:val="auto"/>
                      <w:sz w:val="21"/>
                      <w:szCs w:val="21"/>
                      <w:lang w:val="en-US" w:eastAsia="zh-CN"/>
                    </w:rPr>
                    <w:t>需</w:t>
                  </w:r>
                  <w:r>
                    <w:rPr>
                      <w:rFonts w:hint="default" w:ascii="Times New Roman" w:hAnsi="Times New Roman" w:cs="Times New Roman"/>
                      <w:color w:val="auto"/>
                      <w:sz w:val="21"/>
                      <w:szCs w:val="21"/>
                      <w:lang w:val="en-US" w:eastAsia="zh-CN"/>
                    </w:rPr>
                    <w:t>按照文件要求自行或者委托相关符合要求机构编制单位进行应急预案的编制，科学判定环境风险评价工作等级和评价范围，系统识别环境风险。合理分析代表性风险事故情形，预测其影响范围与程度，明确环境风险防范措施的建设任务，明确环境应急管理制度内容等。</w:t>
                  </w:r>
                </w:p>
              </w:tc>
              <w:tc>
                <w:tcPr>
                  <w:tcW w:w="444" w:type="pct"/>
                  <w:noWrap w:val="0"/>
                  <w:vAlign w:val="center"/>
                </w:tcPr>
                <w:p w14:paraId="1C241514">
                  <w:pPr>
                    <w:pStyle w:val="30"/>
                    <w:bidi w:val="0"/>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相符</w:t>
                  </w:r>
                </w:p>
              </w:tc>
            </w:tr>
          </w:tbl>
          <w:p w14:paraId="2FBEE859">
            <w:pPr>
              <w:pStyle w:val="25"/>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b/>
                <w:bCs w:val="0"/>
                <w:color w:val="auto"/>
                <w:kern w:val="0"/>
                <w:sz w:val="24"/>
                <w:szCs w:val="24"/>
                <w:lang w:val="en-US" w:eastAsia="zh-CN"/>
              </w:rPr>
            </w:pPr>
          </w:p>
          <w:p w14:paraId="60004825">
            <w:pPr>
              <w:pStyle w:val="25"/>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b/>
                <w:bCs w:val="0"/>
                <w:color w:val="auto"/>
                <w:kern w:val="0"/>
                <w:sz w:val="24"/>
                <w:szCs w:val="24"/>
              </w:rPr>
            </w:pPr>
            <w:r>
              <w:rPr>
                <w:rFonts w:hint="eastAsia" w:ascii="Times New Roman" w:hAnsi="Times New Roman" w:cs="Times New Roman"/>
                <w:b/>
                <w:bCs w:val="0"/>
                <w:color w:val="auto"/>
                <w:kern w:val="0"/>
                <w:sz w:val="24"/>
                <w:szCs w:val="24"/>
                <w:lang w:val="en-US" w:eastAsia="zh-CN"/>
              </w:rPr>
              <w:t>1.</w:t>
            </w:r>
            <w:r>
              <w:rPr>
                <w:rFonts w:hint="default" w:ascii="Times New Roman" w:hAnsi="Times New Roman" w:eastAsia="宋体" w:cs="Times New Roman"/>
                <w:b/>
                <w:bCs w:val="0"/>
                <w:color w:val="auto"/>
                <w:kern w:val="0"/>
                <w:sz w:val="24"/>
                <w:szCs w:val="24"/>
                <w:lang w:val="en-US" w:eastAsia="zh-CN"/>
              </w:rPr>
              <w:t>3.</w:t>
            </w:r>
            <w:r>
              <w:rPr>
                <w:rFonts w:hint="eastAsia" w:ascii="Times New Roman" w:hAnsi="Times New Roman" w:cs="Times New Roman"/>
                <w:b/>
                <w:bCs w:val="0"/>
                <w:color w:val="auto"/>
                <w:kern w:val="0"/>
                <w:sz w:val="24"/>
                <w:szCs w:val="24"/>
                <w:lang w:val="en-US" w:eastAsia="zh-CN"/>
              </w:rPr>
              <w:t>10</w:t>
            </w:r>
            <w:r>
              <w:rPr>
                <w:rFonts w:hint="default" w:ascii="Times New Roman" w:hAnsi="Times New Roman" w:eastAsia="宋体" w:cs="Times New Roman"/>
                <w:b/>
                <w:bCs w:val="0"/>
                <w:color w:val="auto"/>
                <w:kern w:val="0"/>
                <w:sz w:val="24"/>
                <w:szCs w:val="24"/>
              </w:rPr>
              <w:t>用地性质相符性</w:t>
            </w:r>
          </w:p>
          <w:p w14:paraId="3BCE8971">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color w:val="auto"/>
                <w:kern w:val="0"/>
                <w:sz w:val="24"/>
                <w:szCs w:val="24"/>
              </w:rPr>
            </w:pPr>
            <w:r>
              <w:rPr>
                <w:rFonts w:hint="default" w:ascii="Times New Roman" w:hAnsi="Times New Roman" w:eastAsia="宋体" w:cs="Times New Roman"/>
                <w:b w:val="0"/>
                <w:bCs/>
                <w:color w:val="auto"/>
                <w:kern w:val="0"/>
                <w:sz w:val="24"/>
                <w:szCs w:val="24"/>
              </w:rPr>
              <w:t>本项目位于</w:t>
            </w:r>
            <w:r>
              <w:rPr>
                <w:rFonts w:hint="default" w:ascii="Times New Roman" w:hAnsi="Times New Roman" w:eastAsia="宋体" w:cs="Times New Roman"/>
                <w:b w:val="0"/>
                <w:bCs/>
                <w:color w:val="auto"/>
                <w:kern w:val="0"/>
                <w:sz w:val="24"/>
                <w:szCs w:val="24"/>
                <w:lang w:val="en-US" w:eastAsia="zh-CN"/>
              </w:rPr>
              <w:t>江苏省常州市</w:t>
            </w:r>
            <w:r>
              <w:rPr>
                <w:rFonts w:hint="eastAsia" w:ascii="Times New Roman" w:hAnsi="Times New Roman" w:eastAsia="宋体" w:cs="Times New Roman"/>
                <w:b w:val="0"/>
                <w:bCs/>
                <w:color w:val="auto"/>
                <w:kern w:val="0"/>
                <w:sz w:val="24"/>
                <w:szCs w:val="24"/>
                <w:lang w:val="en-US" w:eastAsia="zh-CN"/>
              </w:rPr>
              <w:t>金坛区直溪镇工业园区直东路6号</w:t>
            </w:r>
            <w:r>
              <w:rPr>
                <w:rFonts w:hint="default" w:ascii="Times New Roman" w:hAnsi="Times New Roman" w:eastAsia="宋体" w:cs="Times New Roman"/>
                <w:b w:val="0"/>
                <w:bCs/>
                <w:color w:val="auto"/>
                <w:kern w:val="0"/>
                <w:sz w:val="24"/>
                <w:szCs w:val="24"/>
                <w:lang w:val="en-US" w:eastAsia="zh-CN"/>
              </w:rPr>
              <w:t>，</w:t>
            </w:r>
            <w:r>
              <w:rPr>
                <w:rFonts w:hint="eastAsia" w:ascii="Times New Roman" w:hAnsi="Times New Roman" w:eastAsia="宋体" w:cs="Times New Roman"/>
                <w:b w:val="0"/>
                <w:bCs/>
                <w:color w:val="auto"/>
                <w:kern w:val="0"/>
                <w:sz w:val="24"/>
                <w:szCs w:val="24"/>
                <w:lang w:val="en-US" w:eastAsia="zh-CN"/>
              </w:rPr>
              <w:t>租用常州武银新材料科技有限公司厂房生产，该厂房已取得不动产证（苏（2022）金坛区不动产权第003292号），</w:t>
            </w:r>
            <w:r>
              <w:rPr>
                <w:rFonts w:hint="default" w:ascii="Times New Roman" w:hAnsi="Times New Roman" w:eastAsia="宋体" w:cs="Times New Roman"/>
                <w:b w:val="0"/>
                <w:bCs/>
                <w:color w:val="auto"/>
                <w:kern w:val="0"/>
                <w:sz w:val="24"/>
                <w:szCs w:val="24"/>
                <w:lang w:val="en-US" w:eastAsia="zh-CN"/>
              </w:rPr>
              <w:t>用地性质为工业用地，根据</w:t>
            </w:r>
            <w:r>
              <w:rPr>
                <w:rFonts w:hint="eastAsia" w:ascii="Times New Roman" w:hAnsi="Times New Roman" w:eastAsia="宋体" w:cs="Times New Roman"/>
                <w:b w:val="0"/>
                <w:bCs/>
                <w:color w:val="auto"/>
                <w:kern w:val="0"/>
                <w:sz w:val="24"/>
                <w:szCs w:val="24"/>
                <w:lang w:val="en-US" w:eastAsia="zh-CN"/>
              </w:rPr>
              <w:t>《</w:t>
            </w:r>
            <w:r>
              <w:rPr>
                <w:rFonts w:hint="eastAsia" w:cs="Times New Roman"/>
                <w:b w:val="0"/>
                <w:bCs/>
                <w:color w:val="auto"/>
                <w:sz w:val="24"/>
                <w:szCs w:val="24"/>
                <w:lang w:eastAsia="zh-CN"/>
              </w:rPr>
              <w:t>江苏省金坛经济开发区直溪现代产业园（新兴产业区）</w:t>
            </w:r>
            <w:r>
              <w:rPr>
                <w:rFonts w:hint="default" w:ascii="Times New Roman" w:hAnsi="Times New Roman" w:eastAsia="宋体" w:cs="Times New Roman"/>
                <w:b w:val="0"/>
                <w:bCs/>
                <w:color w:val="auto"/>
                <w:sz w:val="24"/>
                <w:szCs w:val="24"/>
              </w:rPr>
              <w:t>控制性详细规划</w:t>
            </w:r>
            <w:r>
              <w:rPr>
                <w:rFonts w:hint="eastAsia" w:ascii="Times New Roman" w:hAnsi="Times New Roman" w:eastAsia="宋体" w:cs="Times New Roman"/>
                <w:b w:val="0"/>
                <w:bCs/>
                <w:color w:val="auto"/>
                <w:kern w:val="0"/>
                <w:sz w:val="24"/>
                <w:szCs w:val="24"/>
                <w:lang w:val="en-US" w:eastAsia="zh-CN"/>
              </w:rPr>
              <w:t>》</w:t>
            </w:r>
            <w:r>
              <w:rPr>
                <w:rFonts w:hint="default" w:ascii="Times New Roman" w:hAnsi="Times New Roman" w:eastAsia="宋体" w:cs="Times New Roman"/>
                <w:b w:val="0"/>
                <w:bCs/>
                <w:color w:val="auto"/>
                <w:kern w:val="0"/>
                <w:sz w:val="24"/>
                <w:szCs w:val="24"/>
                <w:lang w:val="en-US" w:eastAsia="zh-CN"/>
              </w:rPr>
              <w:t>，本项目所在地为工业用地，本项目与用地</w:t>
            </w:r>
            <w:r>
              <w:rPr>
                <w:rFonts w:hint="default"/>
                <w:b w:val="0"/>
                <w:bCs/>
                <w:color w:val="auto"/>
                <w:lang w:val="en-US" w:eastAsia="zh-CN"/>
              </w:rPr>
              <w:t>性质、功能</w:t>
            </w:r>
            <w:r>
              <w:rPr>
                <w:rFonts w:hint="eastAsia"/>
                <w:b w:val="0"/>
                <w:bCs/>
                <w:color w:val="auto"/>
                <w:lang w:val="en-US" w:eastAsia="zh-CN"/>
              </w:rPr>
              <w:t>相符</w:t>
            </w:r>
            <w:r>
              <w:rPr>
                <w:rFonts w:hint="default" w:ascii="Times New Roman" w:hAnsi="Times New Roman" w:eastAsia="宋体" w:cs="Times New Roman"/>
                <w:b w:val="0"/>
                <w:bCs/>
                <w:color w:val="auto"/>
                <w:kern w:val="0"/>
                <w:sz w:val="24"/>
                <w:szCs w:val="24"/>
                <w:highlight w:val="none"/>
              </w:rPr>
              <w:t>。</w:t>
            </w:r>
            <w:r>
              <w:rPr>
                <w:rFonts w:hint="default" w:ascii="Times New Roman" w:hAnsi="Times New Roman" w:eastAsia="宋体" w:cs="Times New Roman"/>
                <w:b w:val="0"/>
                <w:bCs/>
                <w:color w:val="auto"/>
                <w:kern w:val="0"/>
                <w:sz w:val="24"/>
                <w:szCs w:val="24"/>
              </w:rPr>
              <w:t>本项目不属于《限制用地项目目录（2012年本）》和《禁止用地项目目录（2012年本）》中所规定的类别，不属于《江苏省限制用地项目目录（2013年本）》和《江苏省禁止用地项目目录（2013年本）》中所规定的类别的项目。对照《江苏省生态空间管控区域规划》（苏政发〔2020〕1号），本项目不在常州市生态空间保护区域国家级生态保护红线范围及生态空间管控区域范围内。对照《江苏省国家级生态保护红线规划》（苏政发〔2018〕74号），本项目不在江苏省陆域生态保护红线一级保护区、二级保护区内。</w:t>
            </w:r>
          </w:p>
          <w:p w14:paraId="2B616ADD">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color w:val="auto"/>
                <w:kern w:val="0"/>
                <w:sz w:val="24"/>
                <w:szCs w:val="24"/>
              </w:rPr>
            </w:pPr>
            <w:r>
              <w:rPr>
                <w:rFonts w:hint="default" w:ascii="Times New Roman" w:hAnsi="Times New Roman" w:eastAsia="宋体" w:cs="Times New Roman"/>
                <w:b w:val="0"/>
                <w:bCs/>
                <w:color w:val="auto"/>
                <w:kern w:val="0"/>
                <w:sz w:val="24"/>
                <w:szCs w:val="24"/>
              </w:rPr>
              <w:t>综上所述，本项目与规划相符，不属于限制、淘汰或禁止类项目</w:t>
            </w:r>
            <w:r>
              <w:rPr>
                <w:rFonts w:hint="eastAsia" w:ascii="Times New Roman" w:hAnsi="Times New Roman" w:cs="Times New Roman"/>
                <w:b w:val="0"/>
                <w:bCs/>
                <w:color w:val="auto"/>
                <w:kern w:val="0"/>
                <w:sz w:val="24"/>
                <w:szCs w:val="24"/>
                <w:lang w:eastAsia="zh-CN"/>
              </w:rPr>
              <w:t>；</w:t>
            </w:r>
            <w:r>
              <w:rPr>
                <w:rFonts w:hint="default" w:ascii="Times New Roman" w:hAnsi="Times New Roman" w:eastAsia="宋体" w:cs="Times New Roman"/>
                <w:b w:val="0"/>
                <w:bCs/>
                <w:color w:val="auto"/>
                <w:kern w:val="0"/>
                <w:sz w:val="24"/>
                <w:szCs w:val="24"/>
              </w:rPr>
              <w:t>本项目选址、产品、生产规模、生产工艺、污染防治措施等符合当前国家和地方产业政策、土地使用政策以及相关环保政策</w:t>
            </w:r>
            <w:r>
              <w:rPr>
                <w:rFonts w:hint="eastAsia" w:ascii="Times New Roman" w:hAnsi="Times New Roman" w:cs="Times New Roman"/>
                <w:b w:val="0"/>
                <w:bCs/>
                <w:color w:val="auto"/>
                <w:kern w:val="0"/>
                <w:sz w:val="24"/>
                <w:szCs w:val="24"/>
                <w:lang w:eastAsia="zh-CN"/>
              </w:rPr>
              <w:t>；</w:t>
            </w:r>
            <w:r>
              <w:rPr>
                <w:rFonts w:hint="eastAsia" w:ascii="Times New Roman" w:hAnsi="Times New Roman" w:cs="Times New Roman"/>
                <w:b w:val="0"/>
                <w:bCs/>
                <w:color w:val="auto"/>
                <w:kern w:val="0"/>
                <w:sz w:val="24"/>
                <w:szCs w:val="24"/>
                <w:lang w:val="en-US" w:eastAsia="zh-CN"/>
              </w:rPr>
              <w:t>本</w:t>
            </w:r>
            <w:r>
              <w:rPr>
                <w:rFonts w:hint="default" w:ascii="Times New Roman" w:hAnsi="Times New Roman" w:eastAsia="宋体" w:cs="Times New Roman"/>
                <w:b w:val="0"/>
                <w:bCs/>
                <w:color w:val="auto"/>
                <w:kern w:val="0"/>
                <w:sz w:val="24"/>
                <w:szCs w:val="24"/>
              </w:rPr>
              <w:t>项目的建设不会降低</w:t>
            </w:r>
            <w:r>
              <w:rPr>
                <w:rFonts w:hint="eastAsia" w:ascii="Times New Roman" w:hAnsi="Times New Roman" w:cs="Times New Roman"/>
                <w:b w:val="0"/>
                <w:bCs/>
                <w:color w:val="auto"/>
                <w:kern w:val="0"/>
                <w:sz w:val="24"/>
                <w:szCs w:val="24"/>
                <w:lang w:val="en-US" w:eastAsia="zh-CN"/>
              </w:rPr>
              <w:t>周边</w:t>
            </w:r>
            <w:r>
              <w:rPr>
                <w:rFonts w:hint="default" w:ascii="Times New Roman" w:hAnsi="Times New Roman" w:eastAsia="宋体" w:cs="Times New Roman"/>
                <w:b w:val="0"/>
                <w:bCs/>
                <w:color w:val="auto"/>
                <w:kern w:val="0"/>
                <w:sz w:val="24"/>
                <w:szCs w:val="24"/>
              </w:rPr>
              <w:t>区域环境质量现状。</w:t>
            </w:r>
          </w:p>
          <w:p w14:paraId="20E5AD1D">
            <w:pPr>
              <w:pStyle w:val="25"/>
              <w:rPr>
                <w:rFonts w:hint="default" w:ascii="Times New Roman" w:hAnsi="Times New Roman" w:eastAsia="宋体" w:cs="Times New Roman"/>
                <w:color w:val="auto"/>
                <w:kern w:val="0"/>
                <w:szCs w:val="21"/>
              </w:rPr>
            </w:pPr>
          </w:p>
          <w:p w14:paraId="30FB1387">
            <w:pPr>
              <w:pStyle w:val="25"/>
              <w:rPr>
                <w:rFonts w:hint="default" w:ascii="Times New Roman" w:hAnsi="Times New Roman" w:eastAsia="宋体" w:cs="Times New Roman"/>
                <w:color w:val="auto"/>
                <w:kern w:val="0"/>
                <w:szCs w:val="21"/>
              </w:rPr>
            </w:pPr>
          </w:p>
          <w:p w14:paraId="17C7FB4C">
            <w:pPr>
              <w:pStyle w:val="25"/>
              <w:rPr>
                <w:rFonts w:hint="default" w:ascii="Times New Roman" w:hAnsi="Times New Roman" w:eastAsia="宋体" w:cs="Times New Roman"/>
                <w:color w:val="auto"/>
                <w:kern w:val="0"/>
                <w:szCs w:val="21"/>
              </w:rPr>
            </w:pPr>
          </w:p>
          <w:p w14:paraId="1CA82A8C">
            <w:pPr>
              <w:pStyle w:val="25"/>
              <w:rPr>
                <w:rFonts w:hint="default" w:ascii="Times New Roman" w:hAnsi="Times New Roman" w:eastAsia="宋体" w:cs="Times New Roman"/>
                <w:color w:val="auto"/>
                <w:kern w:val="0"/>
                <w:szCs w:val="21"/>
              </w:rPr>
            </w:pPr>
          </w:p>
        </w:tc>
      </w:tr>
    </w:tbl>
    <w:p w14:paraId="719FEC5B">
      <w:pPr>
        <w:keepNext w:val="0"/>
        <w:keepLines w:val="0"/>
        <w:pageBreakBefore w:val="0"/>
        <w:widowControl w:val="0"/>
        <w:kinsoku/>
        <w:wordWrap/>
        <w:overflowPunct/>
        <w:topLinePunct w:val="0"/>
        <w:autoSpaceDE/>
        <w:autoSpaceDN/>
        <w:bidi w:val="0"/>
        <w:adjustRightInd w:val="0"/>
        <w:snapToGrid w:val="0"/>
        <w:jc w:val="center"/>
        <w:textAlignment w:val="auto"/>
        <w:outlineLvl w:val="0"/>
        <w:rPr>
          <w:rFonts w:hint="default" w:ascii="Times New Roman" w:hAnsi="Times New Roman" w:eastAsia="宋体" w:cs="Times New Roman"/>
          <w:color w:val="auto"/>
          <w:sz w:val="28"/>
          <w:szCs w:val="28"/>
        </w:rPr>
      </w:pPr>
      <w:r>
        <w:rPr>
          <w:rFonts w:hint="default" w:ascii="Times New Roman" w:hAnsi="Times New Roman" w:eastAsia="宋体" w:cs="Times New Roman"/>
          <w:b/>
          <w:bCs/>
          <w:snapToGrid w:val="0"/>
          <w:color w:val="auto"/>
          <w:sz w:val="28"/>
          <w:szCs w:val="28"/>
        </w:rPr>
        <w:t>二、建设项目工程分析</w:t>
      </w:r>
    </w:p>
    <w:tbl>
      <w:tblPr>
        <w:tblStyle w:val="17"/>
        <w:tblW w:w="909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1" w:type="dxa"/>
          <w:bottom w:w="0" w:type="dxa"/>
          <w:right w:w="11" w:type="dxa"/>
        </w:tblCellMar>
      </w:tblPr>
      <w:tblGrid>
        <w:gridCol w:w="240"/>
        <w:gridCol w:w="8859"/>
      </w:tblGrid>
      <w:tr w14:paraId="65543D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13497" w:hRule="atLeast"/>
        </w:trPr>
        <w:tc>
          <w:tcPr>
            <w:tcW w:w="240" w:type="dxa"/>
            <w:noWrap w:val="0"/>
            <w:vAlign w:val="center"/>
          </w:tcPr>
          <w:p w14:paraId="0999C040">
            <w:pPr>
              <w:pStyle w:val="15"/>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4"/>
                <w:szCs w:val="24"/>
              </w:rPr>
              <w:t>建设内容</w:t>
            </w:r>
          </w:p>
        </w:tc>
        <w:tc>
          <w:tcPr>
            <w:tcW w:w="8859" w:type="dxa"/>
            <w:noWrap w:val="0"/>
            <w:vAlign w:val="top"/>
          </w:tcPr>
          <w:p w14:paraId="125D992B">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auto"/>
                <w:sz w:val="24"/>
                <w:lang w:val="en-US" w:eastAsia="zh-CN"/>
              </w:rPr>
            </w:pPr>
            <w:r>
              <w:rPr>
                <w:rFonts w:hint="default" w:ascii="Times New Roman" w:hAnsi="Times New Roman" w:eastAsia="宋体" w:cs="Times New Roman"/>
                <w:b/>
                <w:bCs w:val="0"/>
                <w:color w:val="auto"/>
                <w:sz w:val="24"/>
                <w:lang w:val="en-US" w:eastAsia="zh-CN"/>
              </w:rPr>
              <w:t>2.1建设内容</w:t>
            </w:r>
          </w:p>
          <w:p w14:paraId="71D0B806">
            <w:pPr>
              <w:keepNext w:val="0"/>
              <w:keepLines w:val="0"/>
              <w:pageBreakBefore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auto"/>
                <w:sz w:val="24"/>
                <w:lang w:val="en-US" w:eastAsia="zh-CN"/>
              </w:rPr>
            </w:pPr>
            <w:r>
              <w:rPr>
                <w:rFonts w:hint="default" w:ascii="Times New Roman" w:hAnsi="Times New Roman" w:eastAsia="宋体" w:cs="Times New Roman"/>
                <w:b/>
                <w:bCs w:val="0"/>
                <w:color w:val="auto"/>
                <w:sz w:val="24"/>
                <w:lang w:val="en-US" w:eastAsia="zh-CN"/>
              </w:rPr>
              <w:t>2.1.1企业概况</w:t>
            </w:r>
          </w:p>
          <w:p w14:paraId="7DE1ED6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i w:val="0"/>
                <w:iCs w:val="0"/>
                <w:caps w:val="0"/>
                <w:color w:val="auto"/>
                <w:spacing w:val="0"/>
                <w:sz w:val="24"/>
                <w:szCs w:val="24"/>
                <w:lang w:eastAsia="zh-CN"/>
              </w:rPr>
            </w:pPr>
            <w:r>
              <w:rPr>
                <w:rFonts w:hint="eastAsia" w:cs="Times New Roman"/>
                <w:b w:val="0"/>
                <w:bCs/>
                <w:color w:val="auto"/>
                <w:sz w:val="24"/>
                <w:szCs w:val="24"/>
                <w:lang w:val="en-US" w:eastAsia="zh-CN"/>
              </w:rPr>
              <w:t>常州天新汽车配件有限公司</w:t>
            </w:r>
            <w:r>
              <w:rPr>
                <w:rFonts w:hint="default" w:ascii="Times New Roman" w:hAnsi="Times New Roman" w:eastAsia="宋体" w:cs="Times New Roman"/>
                <w:i w:val="0"/>
                <w:iCs w:val="0"/>
                <w:caps w:val="0"/>
                <w:color w:val="auto"/>
                <w:spacing w:val="0"/>
                <w:sz w:val="24"/>
                <w:szCs w:val="24"/>
              </w:rPr>
              <w:t>（以下</w:t>
            </w:r>
            <w:r>
              <w:rPr>
                <w:rFonts w:hint="default" w:ascii="Times New Roman" w:hAnsi="Times New Roman" w:eastAsia="宋体" w:cs="Times New Roman"/>
                <w:i w:val="0"/>
                <w:iCs w:val="0"/>
                <w:caps w:val="0"/>
                <w:color w:val="auto"/>
                <w:spacing w:val="0"/>
                <w:sz w:val="24"/>
                <w:szCs w:val="24"/>
                <w:lang w:eastAsia="zh-CN"/>
              </w:rPr>
              <w:t>简称“</w:t>
            </w:r>
            <w:r>
              <w:rPr>
                <w:rFonts w:hint="eastAsia" w:cs="Times New Roman"/>
                <w:i w:val="0"/>
                <w:iCs w:val="0"/>
                <w:caps w:val="0"/>
                <w:color w:val="auto"/>
                <w:spacing w:val="0"/>
                <w:sz w:val="24"/>
                <w:szCs w:val="24"/>
                <w:lang w:eastAsia="zh-CN"/>
              </w:rPr>
              <w:t>天新汽</w:t>
            </w:r>
            <w:r>
              <w:rPr>
                <w:rFonts w:hint="eastAsia" w:cs="Times New Roman"/>
                <w:b w:val="0"/>
                <w:bCs/>
                <w:color w:val="auto"/>
                <w:sz w:val="24"/>
                <w:szCs w:val="24"/>
                <w:lang w:val="en-US" w:eastAsia="zh-CN"/>
              </w:rPr>
              <w:t>车</w:t>
            </w:r>
            <w:r>
              <w:rPr>
                <w:rFonts w:hint="default" w:cs="Times New Roman"/>
                <w:b w:val="0"/>
                <w:bCs/>
                <w:color w:val="auto"/>
                <w:sz w:val="24"/>
                <w:szCs w:val="24"/>
                <w:lang w:val="en-US" w:eastAsia="zh-CN"/>
              </w:rPr>
              <w:t>”）成立于2</w:t>
            </w:r>
            <w:r>
              <w:rPr>
                <w:rFonts w:hint="eastAsia" w:cs="Times New Roman"/>
                <w:b w:val="0"/>
                <w:bCs/>
                <w:color w:val="auto"/>
                <w:sz w:val="24"/>
                <w:szCs w:val="24"/>
                <w:lang w:val="en-US" w:eastAsia="zh-CN"/>
              </w:rPr>
              <w:t>022</w:t>
            </w:r>
            <w:r>
              <w:rPr>
                <w:rFonts w:hint="default" w:cs="Times New Roman"/>
                <w:b w:val="0"/>
                <w:bCs/>
                <w:color w:val="auto"/>
                <w:sz w:val="24"/>
                <w:szCs w:val="24"/>
                <w:lang w:val="en-US" w:eastAsia="zh-CN"/>
              </w:rPr>
              <w:t>年</w:t>
            </w:r>
            <w:r>
              <w:rPr>
                <w:rFonts w:hint="eastAsia" w:cs="Times New Roman"/>
                <w:b w:val="0"/>
                <w:bCs/>
                <w:color w:val="auto"/>
                <w:sz w:val="24"/>
                <w:szCs w:val="24"/>
                <w:lang w:val="en-US" w:eastAsia="zh-CN"/>
              </w:rPr>
              <w:t>2</w:t>
            </w:r>
            <w:r>
              <w:rPr>
                <w:rFonts w:hint="default" w:cs="Times New Roman"/>
                <w:b w:val="0"/>
                <w:bCs/>
                <w:color w:val="auto"/>
                <w:sz w:val="24"/>
                <w:szCs w:val="24"/>
                <w:lang w:val="en-US" w:eastAsia="zh-CN"/>
              </w:rPr>
              <w:t>月</w:t>
            </w:r>
            <w:r>
              <w:rPr>
                <w:rFonts w:hint="eastAsia" w:cs="Times New Roman"/>
                <w:b w:val="0"/>
                <w:bCs/>
                <w:color w:val="auto"/>
                <w:sz w:val="24"/>
                <w:szCs w:val="24"/>
                <w:lang w:val="en-US" w:eastAsia="zh-CN"/>
              </w:rPr>
              <w:t>24</w:t>
            </w:r>
            <w:r>
              <w:rPr>
                <w:rFonts w:hint="default" w:cs="Times New Roman"/>
                <w:b w:val="0"/>
                <w:bCs/>
                <w:color w:val="auto"/>
                <w:sz w:val="24"/>
                <w:szCs w:val="24"/>
                <w:lang w:val="en-US" w:eastAsia="zh-CN"/>
              </w:rPr>
              <w:t>日，地址为常州市</w:t>
            </w:r>
            <w:r>
              <w:rPr>
                <w:rFonts w:hint="eastAsia" w:cs="Times New Roman"/>
                <w:b w:val="0"/>
                <w:bCs/>
                <w:color w:val="auto"/>
                <w:sz w:val="24"/>
                <w:szCs w:val="24"/>
                <w:lang w:val="en-US" w:eastAsia="zh-CN"/>
              </w:rPr>
              <w:t>金坛区直溪镇工业园区直东路6号</w:t>
            </w:r>
            <w:r>
              <w:rPr>
                <w:rFonts w:hint="default" w:cs="Times New Roman"/>
                <w:b w:val="0"/>
                <w:bCs/>
                <w:color w:val="auto"/>
                <w:sz w:val="24"/>
                <w:szCs w:val="24"/>
                <w:lang w:val="en-US" w:eastAsia="zh-CN"/>
              </w:rPr>
              <w:t>，经营范围</w:t>
            </w:r>
            <w:r>
              <w:rPr>
                <w:rFonts w:hint="eastAsia" w:cs="Times New Roman"/>
                <w:b w:val="0"/>
                <w:bCs/>
                <w:color w:val="auto"/>
                <w:sz w:val="24"/>
                <w:szCs w:val="24"/>
                <w:lang w:val="en-US" w:eastAsia="zh-CN"/>
              </w:rPr>
              <w:t>包括汽车零部件及配件制造；汽车零配件批发；新能源汽车电附件销售；汽车零部件研发；五金产品制造；五金产品批发；五金产品研发；模具销售；货物进出口；机械零件、零部件销售；技术进出口；塑料制品制造；塑料制品销售；机械零件、零部件加工。</w:t>
            </w:r>
          </w:p>
          <w:p w14:paraId="056E02DF">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2.1.</w:t>
            </w:r>
            <w:r>
              <w:rPr>
                <w:rFonts w:hint="eastAsia" w:cs="Times New Roman"/>
                <w:b/>
                <w:bCs w:val="0"/>
                <w:color w:val="auto"/>
                <w:sz w:val="24"/>
                <w:szCs w:val="24"/>
                <w:lang w:val="en-US" w:eastAsia="zh-CN"/>
              </w:rPr>
              <w:t>2</w:t>
            </w:r>
            <w:r>
              <w:rPr>
                <w:rFonts w:hint="default" w:ascii="Times New Roman" w:hAnsi="Times New Roman" w:eastAsia="宋体" w:cs="Times New Roman"/>
                <w:b/>
                <w:bCs w:val="0"/>
                <w:color w:val="auto"/>
                <w:sz w:val="24"/>
                <w:szCs w:val="24"/>
                <w:lang w:val="en-US" w:eastAsia="zh-CN"/>
              </w:rPr>
              <w:t>项目基本情况</w:t>
            </w:r>
          </w:p>
          <w:p w14:paraId="17165BA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项目名称：</w:t>
            </w:r>
            <w:r>
              <w:rPr>
                <w:rFonts w:hint="eastAsia" w:cs="Times New Roman"/>
                <w:b w:val="0"/>
                <w:bCs/>
                <w:color w:val="auto"/>
                <w:sz w:val="24"/>
                <w:szCs w:val="24"/>
                <w:lang w:val="en-US" w:eastAsia="zh-CN"/>
              </w:rPr>
              <w:t>新建年产19万套新能源汽车电池PACK箱体零件项目</w:t>
            </w:r>
            <w:r>
              <w:rPr>
                <w:rFonts w:hint="default" w:ascii="Times New Roman" w:hAnsi="Times New Roman" w:eastAsia="宋体" w:cs="Times New Roman"/>
                <w:b w:val="0"/>
                <w:bCs/>
                <w:color w:val="auto"/>
                <w:sz w:val="24"/>
                <w:szCs w:val="24"/>
              </w:rPr>
              <w:t>；</w:t>
            </w:r>
          </w:p>
          <w:p w14:paraId="477C39D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建设单位：</w:t>
            </w:r>
            <w:r>
              <w:rPr>
                <w:rFonts w:hint="eastAsia" w:cs="Times New Roman"/>
                <w:b w:val="0"/>
                <w:bCs/>
                <w:color w:val="auto"/>
                <w:sz w:val="24"/>
                <w:szCs w:val="24"/>
                <w:lang w:val="en-US" w:eastAsia="zh-CN"/>
              </w:rPr>
              <w:t>常州天新汽车配件有限公司</w:t>
            </w:r>
            <w:r>
              <w:rPr>
                <w:rFonts w:hint="default" w:ascii="Times New Roman" w:hAnsi="Times New Roman" w:eastAsia="宋体" w:cs="Times New Roman"/>
                <w:b w:val="0"/>
                <w:bCs/>
                <w:color w:val="auto"/>
                <w:sz w:val="24"/>
                <w:szCs w:val="24"/>
              </w:rPr>
              <w:t>；</w:t>
            </w:r>
          </w:p>
          <w:p w14:paraId="7676FA6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项目代码：</w:t>
            </w:r>
            <w:r>
              <w:rPr>
                <w:rFonts w:hint="eastAsia" w:cs="Times New Roman"/>
                <w:b w:val="0"/>
                <w:bCs/>
                <w:color w:val="auto"/>
                <w:sz w:val="24"/>
                <w:szCs w:val="24"/>
                <w:lang w:val="en-US" w:eastAsia="zh-CN"/>
              </w:rPr>
              <w:t>2404-320413-04-01-250707</w:t>
            </w:r>
            <w:r>
              <w:rPr>
                <w:rFonts w:hint="default" w:ascii="Times New Roman" w:hAnsi="Times New Roman" w:eastAsia="宋体" w:cs="Times New Roman"/>
                <w:b w:val="0"/>
                <w:bCs/>
                <w:color w:val="auto"/>
                <w:sz w:val="24"/>
                <w:szCs w:val="24"/>
              </w:rPr>
              <w:t>；</w:t>
            </w:r>
          </w:p>
          <w:p w14:paraId="10CF369F">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项目备案部门：</w:t>
            </w:r>
            <w:r>
              <w:rPr>
                <w:rFonts w:hint="eastAsia" w:cs="Times New Roman"/>
                <w:b w:val="0"/>
                <w:bCs/>
                <w:color w:val="auto"/>
                <w:sz w:val="24"/>
                <w:szCs w:val="24"/>
                <w:lang w:val="en-US" w:eastAsia="zh-CN"/>
              </w:rPr>
              <w:t>常州市金坛区发展和改革局</w:t>
            </w:r>
          </w:p>
          <w:p w14:paraId="58175574">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备案证号：</w:t>
            </w:r>
            <w:r>
              <w:rPr>
                <w:rFonts w:hint="eastAsia" w:cs="Times New Roman"/>
                <w:b w:val="0"/>
                <w:bCs/>
                <w:color w:val="auto"/>
                <w:sz w:val="24"/>
                <w:szCs w:val="24"/>
                <w:lang w:val="en-US" w:eastAsia="zh-CN"/>
              </w:rPr>
              <w:t>坛发改备（2024）200号</w:t>
            </w:r>
          </w:p>
          <w:p w14:paraId="1F48F96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备案日期：202</w:t>
            </w:r>
            <w:r>
              <w:rPr>
                <w:rFonts w:hint="eastAsia" w:cs="Times New Roman"/>
                <w:b w:val="0"/>
                <w:bCs/>
                <w:color w:val="auto"/>
                <w:sz w:val="24"/>
                <w:szCs w:val="24"/>
                <w:lang w:val="en-US" w:eastAsia="zh-CN"/>
              </w:rPr>
              <w:t>4</w:t>
            </w:r>
            <w:r>
              <w:rPr>
                <w:rFonts w:hint="default" w:ascii="Times New Roman" w:hAnsi="Times New Roman" w:eastAsia="宋体" w:cs="Times New Roman"/>
                <w:b w:val="0"/>
                <w:bCs/>
                <w:color w:val="auto"/>
                <w:sz w:val="24"/>
                <w:szCs w:val="24"/>
                <w:lang w:val="en-US" w:eastAsia="zh-CN"/>
              </w:rPr>
              <w:t>-</w:t>
            </w:r>
            <w:r>
              <w:rPr>
                <w:rFonts w:hint="eastAsia" w:cs="Times New Roman"/>
                <w:b w:val="0"/>
                <w:bCs/>
                <w:color w:val="auto"/>
                <w:sz w:val="24"/>
                <w:szCs w:val="24"/>
                <w:lang w:val="en-US" w:eastAsia="zh-CN"/>
              </w:rPr>
              <w:t>5</w:t>
            </w:r>
            <w:r>
              <w:rPr>
                <w:rFonts w:hint="default" w:ascii="Times New Roman" w:hAnsi="Times New Roman" w:eastAsia="宋体" w:cs="Times New Roman"/>
                <w:b w:val="0"/>
                <w:bCs/>
                <w:color w:val="auto"/>
                <w:sz w:val="24"/>
                <w:szCs w:val="24"/>
                <w:lang w:val="en-US" w:eastAsia="zh-CN"/>
              </w:rPr>
              <w:t>-</w:t>
            </w:r>
            <w:r>
              <w:rPr>
                <w:rFonts w:hint="eastAsia" w:cs="Times New Roman"/>
                <w:b w:val="0"/>
                <w:bCs/>
                <w:color w:val="auto"/>
                <w:sz w:val="24"/>
                <w:szCs w:val="24"/>
                <w:lang w:val="en-US" w:eastAsia="zh-CN"/>
              </w:rPr>
              <w:t>9</w:t>
            </w:r>
          </w:p>
          <w:p w14:paraId="660E8B1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建设性质：</w:t>
            </w:r>
            <w:r>
              <w:rPr>
                <w:rFonts w:hint="eastAsia" w:cs="Times New Roman"/>
                <w:b w:val="0"/>
                <w:bCs/>
                <w:color w:val="auto"/>
                <w:sz w:val="24"/>
                <w:szCs w:val="24"/>
                <w:lang w:val="en-US" w:eastAsia="zh-CN"/>
              </w:rPr>
              <w:t>新建</w:t>
            </w:r>
            <w:r>
              <w:rPr>
                <w:rFonts w:hint="default" w:ascii="Times New Roman" w:hAnsi="Times New Roman" w:eastAsia="宋体" w:cs="Times New Roman"/>
                <w:b w:val="0"/>
                <w:bCs/>
                <w:color w:val="auto"/>
                <w:sz w:val="24"/>
                <w:szCs w:val="24"/>
              </w:rPr>
              <w:t>；</w:t>
            </w:r>
          </w:p>
          <w:p w14:paraId="4E32788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建设地点：</w:t>
            </w:r>
            <w:r>
              <w:rPr>
                <w:rFonts w:hint="eastAsia" w:cs="Times New Roman"/>
                <w:b w:val="0"/>
                <w:bCs/>
                <w:color w:val="auto"/>
                <w:sz w:val="24"/>
                <w:szCs w:val="24"/>
                <w:lang w:val="en-US" w:eastAsia="zh-CN"/>
              </w:rPr>
              <w:t>常州市金坛区直溪镇工业园区直东路6号</w:t>
            </w:r>
            <w:r>
              <w:rPr>
                <w:rFonts w:hint="default" w:ascii="Times New Roman" w:hAnsi="Times New Roman" w:eastAsia="宋体" w:cs="Times New Roman"/>
                <w:b w:val="0"/>
                <w:bCs/>
                <w:color w:val="auto"/>
                <w:sz w:val="24"/>
                <w:szCs w:val="24"/>
                <w:lang w:val="en-US" w:eastAsia="zh-CN"/>
              </w:rPr>
              <w:t>；</w:t>
            </w:r>
          </w:p>
          <w:p w14:paraId="1F6A6E37">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rPr>
              <w:t>建设内容：</w:t>
            </w:r>
            <w:r>
              <w:rPr>
                <w:rFonts w:hint="eastAsia" w:ascii="Times New Roman" w:hAnsi="Times New Roman" w:eastAsia="宋体" w:cs="Times New Roman"/>
                <w:i w:val="0"/>
                <w:iCs w:val="0"/>
                <w:caps w:val="0"/>
                <w:color w:val="auto"/>
                <w:spacing w:val="0"/>
                <w:sz w:val="24"/>
                <w:szCs w:val="24"/>
                <w:lang w:val="en-US" w:eastAsia="zh-CN"/>
              </w:rPr>
              <w:t>项目租用厂房4350平方米</w:t>
            </w:r>
            <w:r>
              <w:rPr>
                <w:rFonts w:hint="eastAsia" w:cs="Times New Roman"/>
                <w:i w:val="0"/>
                <w:iCs w:val="0"/>
                <w:caps w:val="0"/>
                <w:color w:val="auto"/>
                <w:spacing w:val="0"/>
                <w:sz w:val="24"/>
                <w:szCs w:val="24"/>
                <w:lang w:val="en-US" w:eastAsia="zh-CN"/>
              </w:rPr>
              <w:t>（车间及仓库3876</w:t>
            </w:r>
            <w:r>
              <w:rPr>
                <w:rFonts w:hint="eastAsia" w:ascii="Times New Roman" w:hAnsi="Times New Roman" w:eastAsia="宋体" w:cs="Times New Roman"/>
                <w:i w:val="0"/>
                <w:iCs w:val="0"/>
                <w:caps w:val="0"/>
                <w:color w:val="auto"/>
                <w:spacing w:val="0"/>
                <w:sz w:val="24"/>
                <w:szCs w:val="24"/>
                <w:lang w:val="en-US" w:eastAsia="zh-CN"/>
              </w:rPr>
              <w:t>平方米</w:t>
            </w:r>
            <w:r>
              <w:rPr>
                <w:rFonts w:hint="eastAsia" w:cs="Times New Roman"/>
                <w:i w:val="0"/>
                <w:iCs w:val="0"/>
                <w:caps w:val="0"/>
                <w:color w:val="auto"/>
                <w:spacing w:val="0"/>
                <w:sz w:val="24"/>
                <w:szCs w:val="24"/>
                <w:lang w:val="en-US" w:eastAsia="zh-CN"/>
              </w:rPr>
              <w:t>，</w:t>
            </w:r>
            <w:r>
              <w:rPr>
                <w:rFonts w:hint="eastAsia" w:cs="Times New Roman"/>
                <w:color w:val="auto"/>
                <w:sz w:val="24"/>
                <w:szCs w:val="24"/>
                <w:lang w:val="en-US" w:eastAsia="zh-CN"/>
              </w:rPr>
              <w:t>停车场474</w:t>
            </w:r>
            <w:r>
              <w:rPr>
                <w:rFonts w:hint="eastAsia" w:ascii="Times New Roman" w:hAnsi="Times New Roman" w:eastAsia="宋体" w:cs="Times New Roman"/>
                <w:i w:val="0"/>
                <w:iCs w:val="0"/>
                <w:caps w:val="0"/>
                <w:color w:val="auto"/>
                <w:spacing w:val="0"/>
                <w:sz w:val="24"/>
                <w:szCs w:val="24"/>
                <w:lang w:val="en-US" w:eastAsia="zh-CN"/>
              </w:rPr>
              <w:t>平方米</w:t>
            </w:r>
            <w:r>
              <w:rPr>
                <w:rFonts w:hint="eastAsia" w:cs="Times New Roman"/>
                <w:i w:val="0"/>
                <w:iCs w:val="0"/>
                <w:caps w:val="0"/>
                <w:color w:val="auto"/>
                <w:spacing w:val="0"/>
                <w:sz w:val="24"/>
                <w:szCs w:val="24"/>
                <w:lang w:val="en-US" w:eastAsia="zh-CN"/>
              </w:rPr>
              <w:t>）</w:t>
            </w:r>
            <w:r>
              <w:rPr>
                <w:rFonts w:hint="eastAsia" w:ascii="Times New Roman" w:hAnsi="Times New Roman" w:eastAsia="宋体" w:cs="Times New Roman"/>
                <w:i w:val="0"/>
                <w:iCs w:val="0"/>
                <w:caps w:val="0"/>
                <w:color w:val="auto"/>
                <w:spacing w:val="0"/>
                <w:sz w:val="24"/>
                <w:szCs w:val="24"/>
                <w:lang w:val="en-US" w:eastAsia="zh-CN"/>
              </w:rPr>
              <w:t>，新建年产8万套结构件和11万套紧固件。</w:t>
            </w:r>
          </w:p>
          <w:p w14:paraId="3F9BD58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投资总额：</w:t>
            </w:r>
            <w:r>
              <w:rPr>
                <w:rFonts w:hint="eastAsia" w:cs="Times New Roman"/>
                <w:color w:val="auto"/>
                <w:kern w:val="21"/>
                <w:sz w:val="24"/>
                <w:szCs w:val="24"/>
                <w:lang w:val="en-US" w:eastAsia="zh-CN"/>
              </w:rPr>
              <w:t>35</w:t>
            </w:r>
            <w:r>
              <w:rPr>
                <w:rFonts w:hint="eastAsia" w:eastAsia="宋体" w:cs="Times New Roman"/>
                <w:color w:val="auto"/>
                <w:kern w:val="21"/>
                <w:sz w:val="24"/>
                <w:szCs w:val="24"/>
                <w:lang w:val="en-US" w:eastAsia="zh-CN"/>
              </w:rPr>
              <w:t>00</w:t>
            </w:r>
            <w:r>
              <w:rPr>
                <w:rFonts w:hint="default" w:ascii="Times New Roman" w:hAnsi="Times New Roman" w:eastAsia="宋体" w:cs="Times New Roman"/>
                <w:b w:val="0"/>
                <w:bCs/>
                <w:color w:val="auto"/>
                <w:sz w:val="24"/>
                <w:szCs w:val="24"/>
              </w:rPr>
              <w:t>万元；</w:t>
            </w:r>
          </w:p>
          <w:p w14:paraId="5539C9A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环保投资：</w:t>
            </w:r>
            <w:r>
              <w:rPr>
                <w:rFonts w:hint="eastAsia" w:cs="Times New Roman"/>
                <w:b w:val="0"/>
                <w:bCs/>
                <w:color w:val="auto"/>
                <w:sz w:val="24"/>
                <w:szCs w:val="24"/>
                <w:lang w:val="en-US" w:eastAsia="zh-CN"/>
              </w:rPr>
              <w:t>35</w:t>
            </w:r>
            <w:r>
              <w:rPr>
                <w:rFonts w:hint="default" w:ascii="Times New Roman" w:hAnsi="Times New Roman" w:eastAsia="宋体" w:cs="Times New Roman"/>
                <w:b w:val="0"/>
                <w:bCs/>
                <w:color w:val="auto"/>
                <w:sz w:val="24"/>
                <w:szCs w:val="24"/>
              </w:rPr>
              <w:t>万元。</w:t>
            </w:r>
          </w:p>
          <w:p w14:paraId="4EBBF92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2.1.</w:t>
            </w:r>
            <w:r>
              <w:rPr>
                <w:rFonts w:hint="eastAsia" w:cs="Times New Roman"/>
                <w:b/>
                <w:bCs w:val="0"/>
                <w:color w:val="auto"/>
                <w:sz w:val="24"/>
                <w:szCs w:val="24"/>
                <w:lang w:val="en-US" w:eastAsia="zh-CN"/>
              </w:rPr>
              <w:t>3</w:t>
            </w:r>
            <w:r>
              <w:rPr>
                <w:rFonts w:hint="default" w:ascii="Times New Roman" w:hAnsi="Times New Roman" w:eastAsia="宋体" w:cs="Times New Roman"/>
                <w:b/>
                <w:bCs w:val="0"/>
                <w:color w:val="auto"/>
                <w:sz w:val="24"/>
                <w:szCs w:val="24"/>
                <w:lang w:val="en-US" w:eastAsia="zh-CN"/>
              </w:rPr>
              <w:t>环境影响评价文件编制依据</w:t>
            </w:r>
          </w:p>
          <w:p w14:paraId="72EC99D4">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b w:val="0"/>
                <w:bCs/>
                <w:color w:val="auto"/>
                <w:sz w:val="24"/>
                <w:szCs w:val="24"/>
                <w:lang w:eastAsia="zh-CN"/>
              </w:rPr>
            </w:pPr>
            <w:r>
              <w:rPr>
                <w:rFonts w:hint="default" w:ascii="Times New Roman" w:hAnsi="Times New Roman" w:eastAsia="宋体" w:cs="Times New Roman"/>
                <w:b w:val="0"/>
                <w:bCs/>
                <w:color w:val="auto"/>
                <w:sz w:val="24"/>
                <w:szCs w:val="24"/>
                <w:lang w:val="en-US" w:eastAsia="zh-CN"/>
              </w:rPr>
              <w:t>根据《中华人民共和国环境保护法</w:t>
            </w:r>
            <w:r>
              <w:rPr>
                <w:rFonts w:hint="eastAsia" w:cs="Times New Roman"/>
                <w:b w:val="0"/>
                <w:bCs/>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建设项目环境保护管理条例》，建设过程中或者建成投产后可能对环境产生影响的新建、扩建、改建、迁建、技术改造项目及区域开发建设项目，必须进行环境影响评价。对照《建设项目环境影响评价分类管理名录》（2021年版），本项目属于</w:t>
            </w:r>
            <w:r>
              <w:rPr>
                <w:rFonts w:hint="default" w:ascii="Times New Roman" w:hAnsi="Times New Roman" w:eastAsia="宋体" w:cs="Times New Roman"/>
                <w:color w:val="auto"/>
                <w:sz w:val="24"/>
                <w:szCs w:val="24"/>
                <w:lang w:val="en-US" w:eastAsia="zh-CN"/>
              </w:rPr>
              <w:t>三十、金属制品业 33</w:t>
            </w:r>
            <w:r>
              <w:rPr>
                <w:rFonts w:hint="default" w:ascii="Times New Roman" w:hAnsi="Times New Roman" w:eastAsia="宋体" w:cs="Times New Roman"/>
                <w:color w:val="auto"/>
                <w:sz w:val="24"/>
                <w:szCs w:val="24"/>
              </w:rPr>
              <w:t>；二级项目类别：</w:t>
            </w:r>
            <w:r>
              <w:rPr>
                <w:rFonts w:hint="eastAsia" w:cs="Times New Roman"/>
                <w:color w:val="auto"/>
                <w:sz w:val="24"/>
                <w:szCs w:val="24"/>
                <w:lang w:val="en-US" w:eastAsia="zh-CN"/>
              </w:rPr>
              <w:t>68</w:t>
            </w:r>
            <w:r>
              <w:rPr>
                <w:rFonts w:hint="default" w:ascii="Times New Roman" w:hAnsi="Times New Roman" w:eastAsia="宋体" w:cs="Times New Roman"/>
                <w:color w:val="auto"/>
                <w:sz w:val="24"/>
                <w:szCs w:val="24"/>
              </w:rPr>
              <w:t>.铸造及其他金属制品制造 33</w:t>
            </w:r>
            <w:r>
              <w:rPr>
                <w:rFonts w:hint="eastAsia" w:cs="Times New Roman"/>
                <w:color w:val="auto"/>
                <w:sz w:val="24"/>
                <w:szCs w:val="24"/>
                <w:lang w:val="en-US" w:eastAsia="zh-CN"/>
              </w:rPr>
              <w:t>9</w:t>
            </w:r>
            <w:r>
              <w:rPr>
                <w:rFonts w:hint="default" w:ascii="Times New Roman" w:hAnsi="Times New Roman" w:eastAsia="宋体" w:cs="Times New Roman"/>
                <w:color w:val="auto"/>
                <w:sz w:val="24"/>
                <w:szCs w:val="24"/>
              </w:rPr>
              <w:t>；报告表：其他（仅分割、焊接、组装的除外）</w:t>
            </w:r>
            <w:r>
              <w:rPr>
                <w:rFonts w:hint="default" w:ascii="Times New Roman" w:hAnsi="Times New Roman" w:eastAsia="宋体" w:cs="Times New Roman"/>
                <w:b w:val="0"/>
                <w:bCs/>
                <w:color w:val="auto"/>
                <w:sz w:val="24"/>
                <w:szCs w:val="24"/>
                <w:lang w:val="en-US" w:eastAsia="zh-CN"/>
              </w:rPr>
              <w:t>，故本项目应编制环境影响报告表。在接受委托之后，经过</w:t>
            </w:r>
            <w:r>
              <w:rPr>
                <w:rFonts w:hint="eastAsia" w:ascii="Times New Roman" w:hAnsi="Times New Roman" w:eastAsia="宋体" w:cs="Times New Roman"/>
                <w:b w:val="0"/>
                <w:bCs/>
                <w:color w:val="auto"/>
                <w:sz w:val="24"/>
                <w:szCs w:val="24"/>
                <w:lang w:val="en-US" w:eastAsia="zh-CN"/>
              </w:rPr>
              <w:t>现场勘察</w:t>
            </w:r>
            <w:r>
              <w:rPr>
                <w:rFonts w:hint="default" w:ascii="Times New Roman" w:hAnsi="Times New Roman" w:eastAsia="宋体" w:cs="Times New Roman"/>
                <w:b w:val="0"/>
                <w:bCs/>
                <w:color w:val="auto"/>
                <w:sz w:val="24"/>
                <w:szCs w:val="24"/>
                <w:lang w:val="en-US" w:eastAsia="zh-CN"/>
              </w:rPr>
              <w:t>、资料收集、工程</w:t>
            </w:r>
            <w:r>
              <w:rPr>
                <w:rFonts w:hint="default" w:ascii="Times New Roman" w:hAnsi="Times New Roman" w:eastAsia="宋体" w:cs="Times New Roman"/>
                <w:color w:val="auto"/>
                <w:kern w:val="0"/>
                <w:sz w:val="24"/>
                <w:szCs w:val="24"/>
                <w:lang w:val="en-US" w:eastAsia="zh-CN" w:bidi="ar"/>
              </w:rPr>
              <w:t>分析的基础上</w:t>
            </w:r>
            <w:r>
              <w:rPr>
                <w:rFonts w:hint="default" w:ascii="Times New Roman" w:hAnsi="Times New Roman" w:eastAsia="宋体" w:cs="Times New Roman"/>
                <w:b w:val="0"/>
                <w:bCs/>
                <w:color w:val="auto"/>
                <w:sz w:val="24"/>
                <w:szCs w:val="24"/>
                <w:lang w:val="en-US" w:eastAsia="zh-CN"/>
              </w:rPr>
              <w:t>编制了本项目的环境影响评价报告表。</w:t>
            </w:r>
          </w:p>
          <w:p w14:paraId="28E53203">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val="0"/>
                <w:color w:val="auto"/>
                <w:sz w:val="21"/>
                <w:szCs w:val="21"/>
                <w:lang w:val="en-US" w:eastAsia="zh-CN"/>
              </w:rPr>
            </w:pPr>
          </w:p>
          <w:p w14:paraId="44746601">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表2-1</w:t>
            </w:r>
            <w:r>
              <w:rPr>
                <w:rFonts w:hint="eastAsia" w:cs="Times New Roman"/>
                <w:b/>
                <w:bCs w:val="0"/>
                <w:color w:val="auto"/>
                <w:sz w:val="21"/>
                <w:szCs w:val="21"/>
                <w:lang w:val="en-US" w:eastAsia="zh-CN"/>
              </w:rPr>
              <w:t xml:space="preserve"> </w:t>
            </w:r>
            <w:r>
              <w:rPr>
                <w:rFonts w:hint="default" w:ascii="Times New Roman" w:hAnsi="Times New Roman" w:eastAsia="宋体" w:cs="Times New Roman"/>
                <w:b/>
                <w:bCs w:val="0"/>
                <w:color w:val="auto"/>
                <w:sz w:val="21"/>
                <w:szCs w:val="21"/>
                <w:lang w:val="en-US" w:eastAsia="zh-CN"/>
              </w:rPr>
              <w:t>本项目涉及的建设项目环境影响评价分类管理名录内容</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521"/>
              <w:gridCol w:w="2958"/>
              <w:gridCol w:w="2703"/>
              <w:gridCol w:w="1974"/>
              <w:gridCol w:w="667"/>
            </w:tblGrid>
            <w:tr w14:paraId="5F02E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630" w:hRule="atLeast"/>
                <w:jc w:val="center"/>
              </w:trPr>
              <w:tc>
                <w:tcPr>
                  <w:tcW w:w="1971" w:type="pct"/>
                  <w:gridSpan w:val="2"/>
                  <w:vAlign w:val="center"/>
                  <mc:AlternateContent>
                    <mc:Choice Requires="wpsCustomData">
                      <wpsCustomData:diagonals>
                        <wpsCustomData:diagonal from="10000" to="30000">
                          <wpsCustomData:border w:val="single" w:color="auto" w:sz="4" w:space="0"/>
                        </wpsCustomData:diagonal>
                      </wpsCustomData:diagonals>
                    </mc:Choice>
                  </mc:AlternateContent>
                </w:tcPr>
                <w:p w14:paraId="7FF0058C">
                  <w:pPr>
                    <w:keepNext w:val="0"/>
                    <w:keepLines w:val="0"/>
                    <w:pageBreakBefore w:val="0"/>
                    <w:widowControl w:val="0"/>
                    <w:kinsoku/>
                    <w:wordWrap/>
                    <w:overflowPunct/>
                    <w:topLinePunct w:val="0"/>
                    <w:autoSpaceDE/>
                    <w:autoSpaceDN/>
                    <w:bidi w:val="0"/>
                    <w:adjustRightInd/>
                    <w:snapToGrid w:val="0"/>
                    <w:spacing w:line="240" w:lineRule="auto"/>
                    <w:jc w:val="left"/>
                    <w:textAlignment w:val="auto"/>
                    <mc:AlternateContent>
                      <mc:Choice Requires="wpsCustomData">
                        <wpsCustomData:diagonalParaType/>
                      </mc:Choice>
                    </mc:AlternateContent>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项目类别</w:t>
                  </w:r>
                </w:p>
                <w:p w14:paraId="47BD966B">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环评类别</w:t>
                  </w:r>
                </w:p>
              </w:tc>
              <w:tc>
                <w:tcPr>
                  <w:tcW w:w="1531" w:type="pct"/>
                  <w:vAlign w:val="center"/>
                </w:tcPr>
                <w:p w14:paraId="7E711B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报告书</w:t>
                  </w:r>
                </w:p>
              </w:tc>
              <w:tc>
                <w:tcPr>
                  <w:tcW w:w="1118" w:type="pct"/>
                  <w:vAlign w:val="center"/>
                </w:tcPr>
                <w:p w14:paraId="05F637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报告表</w:t>
                  </w:r>
                </w:p>
              </w:tc>
              <w:tc>
                <w:tcPr>
                  <w:tcW w:w="377" w:type="pct"/>
                  <w:vAlign w:val="center"/>
                </w:tcPr>
                <w:p w14:paraId="734DFE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auto"/>
                      <w:sz w:val="21"/>
                      <w:szCs w:val="21"/>
                      <w:vertAlign w:val="baseline"/>
                      <w:lang w:val="en-US" w:eastAsia="zh-CN"/>
                    </w:rPr>
                  </w:pPr>
                  <w:r>
                    <w:rPr>
                      <w:rFonts w:hint="default" w:ascii="Times New Roman" w:hAnsi="Times New Roman" w:eastAsia="宋体" w:cs="Times New Roman"/>
                      <w:b/>
                      <w:bCs w:val="0"/>
                      <w:color w:val="auto"/>
                      <w:sz w:val="21"/>
                      <w:szCs w:val="21"/>
                      <w:vertAlign w:val="baseline"/>
                      <w:lang w:val="en-US" w:eastAsia="zh-CN"/>
                    </w:rPr>
                    <w:t>登记表</w:t>
                  </w:r>
                </w:p>
              </w:tc>
            </w:tr>
            <w:tr w14:paraId="57782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jc w:val="center"/>
              </w:trPr>
              <w:tc>
                <w:tcPr>
                  <w:tcW w:w="5000" w:type="pct"/>
                  <w:gridSpan w:val="5"/>
                  <w:vAlign w:val="center"/>
                </w:tcPr>
                <w:p w14:paraId="4AF8A4B3">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lang w:val="en-US" w:eastAsia="zh-CN"/>
                    </w:rPr>
                    <w:t>三十、</w:t>
                  </w:r>
                  <w:r>
                    <w:rPr>
                      <w:rFonts w:hint="eastAsia" w:cs="Times New Roman"/>
                      <w:b w:val="0"/>
                      <w:bCs/>
                      <w:color w:val="auto"/>
                      <w:sz w:val="21"/>
                      <w:szCs w:val="21"/>
                      <w:lang w:val="en-US" w:eastAsia="zh-CN"/>
                    </w:rPr>
                    <w:t>金属</w:t>
                  </w:r>
                  <w:r>
                    <w:rPr>
                      <w:rFonts w:hint="default" w:ascii="Times New Roman" w:hAnsi="Times New Roman" w:eastAsia="宋体" w:cs="Times New Roman"/>
                      <w:b w:val="0"/>
                      <w:bCs/>
                      <w:color w:val="auto"/>
                      <w:sz w:val="21"/>
                      <w:szCs w:val="21"/>
                      <w:lang w:val="en-US" w:eastAsia="zh-CN"/>
                    </w:rPr>
                    <w:t>制</w:t>
                  </w:r>
                  <w:r>
                    <w:rPr>
                      <w:rFonts w:hint="eastAsia" w:cs="Times New Roman"/>
                      <w:b w:val="0"/>
                      <w:bCs/>
                      <w:color w:val="auto"/>
                      <w:sz w:val="21"/>
                      <w:szCs w:val="21"/>
                      <w:lang w:val="en-US" w:eastAsia="zh-CN"/>
                    </w:rPr>
                    <w:t>品</w:t>
                  </w:r>
                  <w:r>
                    <w:rPr>
                      <w:rFonts w:hint="default" w:ascii="Times New Roman" w:hAnsi="Times New Roman" w:eastAsia="宋体" w:cs="Times New Roman"/>
                      <w:b w:val="0"/>
                      <w:bCs/>
                      <w:color w:val="auto"/>
                      <w:sz w:val="21"/>
                      <w:szCs w:val="21"/>
                      <w:lang w:val="en-US" w:eastAsia="zh-CN"/>
                    </w:rPr>
                    <w:t>业</w:t>
                  </w:r>
                  <w:r>
                    <w:rPr>
                      <w:rFonts w:hint="eastAsia" w:cs="Times New Roman"/>
                      <w:b w:val="0"/>
                      <w:bCs/>
                      <w:color w:val="auto"/>
                      <w:sz w:val="21"/>
                      <w:szCs w:val="21"/>
                      <w:lang w:val="en-US" w:eastAsia="zh-CN"/>
                    </w:rPr>
                    <w:t>33</w:t>
                  </w:r>
                </w:p>
              </w:tc>
            </w:tr>
            <w:tr w14:paraId="65BBB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jc w:val="center"/>
              </w:trPr>
              <w:tc>
                <w:tcPr>
                  <w:tcW w:w="295" w:type="pct"/>
                  <w:vAlign w:val="center"/>
                </w:tcPr>
                <w:p w14:paraId="11A1D2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eastAsia" w:cs="Times New Roman"/>
                      <w:b w:val="0"/>
                      <w:bCs/>
                      <w:color w:val="auto"/>
                      <w:sz w:val="21"/>
                      <w:szCs w:val="21"/>
                      <w:vertAlign w:val="baseline"/>
                      <w:lang w:val="en-US" w:eastAsia="zh-CN"/>
                    </w:rPr>
                    <w:t>68</w:t>
                  </w:r>
                </w:p>
              </w:tc>
              <w:tc>
                <w:tcPr>
                  <w:tcW w:w="1676" w:type="pct"/>
                  <w:vAlign w:val="center"/>
                </w:tcPr>
                <w:p w14:paraId="187B216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color w:val="auto"/>
                      <w:sz w:val="21"/>
                      <w:szCs w:val="21"/>
                    </w:rPr>
                    <w:t>铸造及其他金属制品制造 33</w:t>
                  </w:r>
                  <w:r>
                    <w:rPr>
                      <w:rFonts w:hint="eastAsia" w:cs="Times New Roman"/>
                      <w:color w:val="auto"/>
                      <w:sz w:val="21"/>
                      <w:szCs w:val="21"/>
                      <w:lang w:val="en-US" w:eastAsia="zh-CN"/>
                    </w:rPr>
                    <w:t>9</w:t>
                  </w:r>
                </w:p>
              </w:tc>
              <w:tc>
                <w:tcPr>
                  <w:tcW w:w="1531" w:type="pct"/>
                  <w:vAlign w:val="center"/>
                </w:tcPr>
                <w:p w14:paraId="6F1118F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黑色金属铸造年产10万吨及以上的;有色金属铸造年产10万吨及以上的</w:t>
                  </w:r>
                </w:p>
              </w:tc>
              <w:tc>
                <w:tcPr>
                  <w:tcW w:w="1118" w:type="pct"/>
                  <w:vAlign w:val="center"/>
                </w:tcPr>
                <w:p w14:paraId="4EC9C6A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vertAlign w:val="baseline"/>
                    </w:rPr>
                  </w:pPr>
                  <w:r>
                    <w:rPr>
                      <w:rFonts w:hint="default" w:ascii="Times New Roman" w:hAnsi="Times New Roman" w:eastAsia="宋体" w:cs="Times New Roman"/>
                      <w:color w:val="auto"/>
                      <w:sz w:val="21"/>
                      <w:szCs w:val="21"/>
                    </w:rPr>
                    <w:t>其他（仅分割、焊接、组装的除外）</w:t>
                  </w:r>
                </w:p>
              </w:tc>
              <w:tc>
                <w:tcPr>
                  <w:tcW w:w="377" w:type="pct"/>
                  <w:vAlign w:val="center"/>
                </w:tcPr>
                <w:p w14:paraId="779925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auto"/>
                      <w:sz w:val="21"/>
                      <w:szCs w:val="21"/>
                      <w:vertAlign w:val="baseline"/>
                      <w:lang w:val="en-US" w:eastAsia="zh-CN"/>
                    </w:rPr>
                  </w:pPr>
                  <w:r>
                    <w:rPr>
                      <w:rFonts w:hint="default" w:ascii="Times New Roman" w:hAnsi="Times New Roman" w:eastAsia="宋体" w:cs="Times New Roman"/>
                      <w:b w:val="0"/>
                      <w:bCs/>
                      <w:color w:val="auto"/>
                      <w:sz w:val="21"/>
                      <w:szCs w:val="21"/>
                      <w:vertAlign w:val="baseline"/>
                      <w:lang w:val="en-US" w:eastAsia="zh-CN"/>
                    </w:rPr>
                    <w:t>/</w:t>
                  </w:r>
                </w:p>
              </w:tc>
            </w:tr>
          </w:tbl>
          <w:p w14:paraId="25E98A0A">
            <w:pPr>
              <w:pStyle w:val="6"/>
              <w:keepNext w:val="0"/>
              <w:keepLines w:val="0"/>
              <w:pageBreakBefore w:val="0"/>
              <w:widowControl/>
              <w:numPr>
                <w:ilvl w:val="0"/>
                <w:numId w:val="0"/>
              </w:numPr>
              <w:kinsoku/>
              <w:wordWrap/>
              <w:overflowPunct/>
              <w:topLinePunct w:val="0"/>
              <w:autoSpaceDE/>
              <w:autoSpaceDN/>
              <w:bidi w:val="0"/>
              <w:adjustRightInd/>
              <w:snapToGrid w:val="0"/>
              <w:spacing w:before="0" w:after="0" w:line="240" w:lineRule="auto"/>
              <w:ind w:leftChars="0" w:right="113" w:rightChars="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2.1.</w:t>
            </w:r>
            <w:r>
              <w:rPr>
                <w:rFonts w:hint="eastAsia" w:cs="Times New Roman"/>
                <w:b/>
                <w:bCs/>
                <w:color w:val="auto"/>
                <w:sz w:val="24"/>
                <w:szCs w:val="24"/>
                <w:lang w:val="en-US" w:eastAsia="zh-CN"/>
              </w:rPr>
              <w:t>4</w:t>
            </w:r>
            <w:r>
              <w:rPr>
                <w:rFonts w:hint="default" w:ascii="Times New Roman" w:hAnsi="Times New Roman" w:eastAsia="宋体" w:cs="Times New Roman"/>
                <w:b/>
                <w:bCs/>
                <w:color w:val="auto"/>
                <w:sz w:val="24"/>
                <w:szCs w:val="24"/>
              </w:rPr>
              <w:t>工程内容一览表</w:t>
            </w:r>
          </w:p>
          <w:p w14:paraId="561B404D">
            <w:pPr>
              <w:pStyle w:val="6"/>
              <w:keepNext w:val="0"/>
              <w:keepLines w:val="0"/>
              <w:pageBreakBefore w:val="0"/>
              <w:widowControl/>
              <w:kinsoku/>
              <w:wordWrap/>
              <w:overflowPunct/>
              <w:topLinePunct w:val="0"/>
              <w:autoSpaceDE/>
              <w:autoSpaceDN/>
              <w:bidi w:val="0"/>
              <w:adjustRightInd/>
              <w:snapToGrid w:val="0"/>
              <w:spacing w:before="0" w:after="0" w:line="240" w:lineRule="auto"/>
              <w:ind w:right="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表2-</w:t>
            </w:r>
            <w:r>
              <w:rPr>
                <w:rFonts w:hint="default" w:ascii="Times New Roman" w:hAnsi="Times New Roman" w:eastAsia="宋体" w:cs="Times New Roman"/>
                <w:b/>
                <w:bCs/>
                <w:color w:val="auto"/>
                <w:sz w:val="21"/>
                <w:szCs w:val="21"/>
                <w:lang w:val="en-US" w:eastAsia="zh-CN"/>
              </w:rPr>
              <w:t>2</w:t>
            </w:r>
            <w:r>
              <w:rPr>
                <w:rFonts w:hint="eastAsia" w:cs="Times New Roman"/>
                <w:b/>
                <w:bCs/>
                <w:color w:val="auto"/>
                <w:sz w:val="21"/>
                <w:szCs w:val="21"/>
                <w:lang w:val="en-US" w:eastAsia="zh-CN"/>
              </w:rPr>
              <w:t>本项目</w:t>
            </w:r>
            <w:r>
              <w:rPr>
                <w:rFonts w:hint="default" w:ascii="Times New Roman" w:hAnsi="Times New Roman" w:eastAsia="宋体" w:cs="Times New Roman"/>
                <w:b/>
                <w:bCs/>
                <w:color w:val="auto"/>
                <w:sz w:val="21"/>
                <w:szCs w:val="21"/>
              </w:rPr>
              <w:t>工程内容一览表</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1696"/>
              <w:gridCol w:w="2249"/>
              <w:gridCol w:w="3575"/>
            </w:tblGrid>
            <w:tr w14:paraId="3AFC3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noWrap w:val="0"/>
                  <w:vAlign w:val="center"/>
                </w:tcPr>
                <w:p w14:paraId="0C1EB403">
                  <w:pPr>
                    <w:adjustRightInd w:val="0"/>
                    <w:snapToGrid w:val="0"/>
                    <w:spacing w:line="30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961" w:type="pct"/>
                  <w:noWrap w:val="0"/>
                  <w:vAlign w:val="center"/>
                </w:tcPr>
                <w:p w14:paraId="6ECEAD5D">
                  <w:pPr>
                    <w:adjustRightInd w:val="0"/>
                    <w:snapToGrid w:val="0"/>
                    <w:spacing w:line="30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工程名称</w:t>
                  </w:r>
                </w:p>
              </w:tc>
              <w:tc>
                <w:tcPr>
                  <w:tcW w:w="1274" w:type="pct"/>
                  <w:noWrap w:val="0"/>
                  <w:vAlign w:val="center"/>
                </w:tcPr>
                <w:p w14:paraId="31915DAE">
                  <w:pPr>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具体内容</w:t>
                  </w:r>
                  <w:r>
                    <w:rPr>
                      <w:rFonts w:hint="eastAsia" w:cs="Times New Roman"/>
                      <w:b/>
                      <w:bCs/>
                      <w:color w:val="auto"/>
                      <w:sz w:val="21"/>
                      <w:szCs w:val="21"/>
                      <w:lang w:val="en-US" w:eastAsia="zh-CN"/>
                    </w:rPr>
                    <w:t>/规模</w:t>
                  </w:r>
                </w:p>
              </w:tc>
              <w:tc>
                <w:tcPr>
                  <w:tcW w:w="2026" w:type="pct"/>
                  <w:noWrap w:val="0"/>
                  <w:vAlign w:val="center"/>
                </w:tcPr>
                <w:p w14:paraId="133A7F4D">
                  <w:pPr>
                    <w:adjustRightInd w:val="0"/>
                    <w:snapToGrid w:val="0"/>
                    <w:spacing w:line="300" w:lineRule="exact"/>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备注</w:t>
                  </w:r>
                </w:p>
              </w:tc>
            </w:tr>
            <w:tr w14:paraId="4C13E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37" w:type="pct"/>
                  <w:vMerge w:val="restart"/>
                  <w:noWrap w:val="0"/>
                  <w:vAlign w:val="center"/>
                </w:tcPr>
                <w:p w14:paraId="6C0A0FD8">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w:t>
                  </w:r>
                </w:p>
              </w:tc>
              <w:tc>
                <w:tcPr>
                  <w:tcW w:w="961" w:type="pct"/>
                  <w:vMerge w:val="restart"/>
                  <w:noWrap w:val="0"/>
                  <w:vAlign w:val="center"/>
                </w:tcPr>
                <w:p w14:paraId="25A5B3B6">
                  <w:pPr>
                    <w:pStyle w:val="38"/>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p>
              </w:tc>
              <w:tc>
                <w:tcPr>
                  <w:tcW w:w="1274" w:type="pct"/>
                  <w:noWrap w:val="0"/>
                  <w:vAlign w:val="center"/>
                </w:tcPr>
                <w:p w14:paraId="45760CCE">
                  <w:pPr>
                    <w:pStyle w:val="5"/>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机加工区1500</w:t>
                  </w:r>
                  <w:r>
                    <w:rPr>
                      <w:rFonts w:hint="default" w:ascii="Times New Roman" w:hAnsi="Times New Roman" w:eastAsia="宋体" w:cs="Times New Roman"/>
                      <w:color w:val="auto"/>
                      <w:sz w:val="21"/>
                      <w:szCs w:val="21"/>
                      <w:lang w:eastAsia="zh-CN"/>
                    </w:rPr>
                    <w:t>m</w:t>
                  </w:r>
                  <w:r>
                    <w:rPr>
                      <w:rFonts w:hint="default" w:ascii="Times New Roman" w:hAnsi="Times New Roman" w:eastAsia="宋体" w:cs="Times New Roman"/>
                      <w:color w:val="auto"/>
                      <w:sz w:val="21"/>
                      <w:szCs w:val="21"/>
                      <w:vertAlign w:val="superscript"/>
                    </w:rPr>
                    <w:t>2</w:t>
                  </w:r>
                </w:p>
              </w:tc>
              <w:tc>
                <w:tcPr>
                  <w:tcW w:w="2026" w:type="pct"/>
                  <w:vMerge w:val="restart"/>
                  <w:noWrap w:val="0"/>
                  <w:vAlign w:val="center"/>
                </w:tcPr>
                <w:p w14:paraId="6B3412CA">
                  <w:pPr>
                    <w:adjustRightInd w:val="0"/>
                    <w:snapToGrid w:val="0"/>
                    <w:spacing w:line="300" w:lineRule="exact"/>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布设</w:t>
                  </w:r>
                  <w:r>
                    <w:rPr>
                      <w:rFonts w:hint="eastAsia" w:cs="Times New Roman"/>
                      <w:color w:val="auto"/>
                      <w:sz w:val="21"/>
                      <w:szCs w:val="21"/>
                      <w:lang w:val="en-US" w:eastAsia="zh-CN"/>
                    </w:rPr>
                    <w:t>本项目机加工设备、清洗设备</w:t>
                  </w:r>
                </w:p>
              </w:tc>
            </w:tr>
            <w:tr w14:paraId="73626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737" w:type="pct"/>
                  <w:vMerge w:val="continue"/>
                  <w:noWrap w:val="0"/>
                  <w:vAlign w:val="center"/>
                </w:tcPr>
                <w:p w14:paraId="16708BA0">
                  <w:pPr>
                    <w:pStyle w:val="5"/>
                    <w:jc w:val="center"/>
                    <w:rPr>
                      <w:color w:val="auto"/>
                    </w:rPr>
                  </w:pPr>
                </w:p>
              </w:tc>
              <w:tc>
                <w:tcPr>
                  <w:tcW w:w="961" w:type="pct"/>
                  <w:vMerge w:val="continue"/>
                  <w:noWrap w:val="0"/>
                  <w:vAlign w:val="center"/>
                </w:tcPr>
                <w:p w14:paraId="430EE8CA">
                  <w:pPr>
                    <w:pStyle w:val="5"/>
                    <w:jc w:val="center"/>
                    <w:rPr>
                      <w:color w:val="auto"/>
                    </w:rPr>
                  </w:pPr>
                </w:p>
              </w:tc>
              <w:tc>
                <w:tcPr>
                  <w:tcW w:w="1274" w:type="pct"/>
                  <w:noWrap w:val="0"/>
                  <w:vAlign w:val="center"/>
                </w:tcPr>
                <w:p w14:paraId="6034A87C">
                  <w:pPr>
                    <w:pStyle w:val="5"/>
                    <w:jc w:val="center"/>
                    <w:rPr>
                      <w:rFonts w:hint="default" w:cs="Times New Roman"/>
                      <w:color w:val="auto"/>
                      <w:sz w:val="21"/>
                      <w:szCs w:val="21"/>
                      <w:lang w:val="en-US" w:eastAsia="zh-CN"/>
                    </w:rPr>
                  </w:pPr>
                  <w:r>
                    <w:rPr>
                      <w:rFonts w:hint="eastAsia" w:cs="Times New Roman"/>
                      <w:color w:val="auto"/>
                      <w:sz w:val="21"/>
                      <w:szCs w:val="21"/>
                      <w:lang w:val="en-US" w:eastAsia="zh-CN"/>
                    </w:rPr>
                    <w:t>清洗区200</w:t>
                  </w:r>
                  <w:r>
                    <w:rPr>
                      <w:rFonts w:hint="default" w:ascii="Times New Roman" w:hAnsi="Times New Roman" w:eastAsia="宋体" w:cs="Times New Roman"/>
                      <w:color w:val="auto"/>
                      <w:sz w:val="21"/>
                      <w:szCs w:val="21"/>
                      <w:lang w:eastAsia="zh-CN"/>
                    </w:rPr>
                    <w:t>m</w:t>
                  </w:r>
                  <w:r>
                    <w:rPr>
                      <w:rFonts w:hint="default" w:ascii="Times New Roman" w:hAnsi="Times New Roman" w:eastAsia="宋体" w:cs="Times New Roman"/>
                      <w:color w:val="auto"/>
                      <w:sz w:val="21"/>
                      <w:szCs w:val="21"/>
                      <w:vertAlign w:val="superscript"/>
                    </w:rPr>
                    <w:t>2</w:t>
                  </w:r>
                </w:p>
              </w:tc>
              <w:tc>
                <w:tcPr>
                  <w:tcW w:w="2026" w:type="pct"/>
                  <w:vMerge w:val="continue"/>
                  <w:noWrap w:val="0"/>
                  <w:vAlign w:val="center"/>
                </w:tcPr>
                <w:p w14:paraId="7EDE5431">
                  <w:pPr>
                    <w:pStyle w:val="5"/>
                    <w:jc w:val="center"/>
                    <w:rPr>
                      <w:rFonts w:hint="eastAsia" w:cs="Times New Roman"/>
                      <w:color w:val="auto"/>
                      <w:sz w:val="21"/>
                      <w:szCs w:val="21"/>
                      <w:lang w:val="en-US" w:eastAsia="zh-CN"/>
                    </w:rPr>
                  </w:pPr>
                </w:p>
              </w:tc>
            </w:tr>
            <w:tr w14:paraId="6A7FC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vMerge w:val="restart"/>
                  <w:noWrap w:val="0"/>
                  <w:vAlign w:val="center"/>
                </w:tcPr>
                <w:p w14:paraId="1914EC19">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公用工程</w:t>
                  </w:r>
                </w:p>
              </w:tc>
              <w:tc>
                <w:tcPr>
                  <w:tcW w:w="961" w:type="pct"/>
                  <w:noWrap w:val="0"/>
                  <w:vAlign w:val="center"/>
                </w:tcPr>
                <w:p w14:paraId="7328ADAE">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给水工程</w:t>
                  </w:r>
                </w:p>
              </w:tc>
              <w:tc>
                <w:tcPr>
                  <w:tcW w:w="1274" w:type="pct"/>
                  <w:noWrap w:val="0"/>
                  <w:vAlign w:val="center"/>
                </w:tcPr>
                <w:p w14:paraId="05891EC4">
                  <w:pPr>
                    <w:adjustRightInd w:val="0"/>
                    <w:snapToGrid w:val="0"/>
                    <w:spacing w:line="300" w:lineRule="exact"/>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865.326</w:t>
                  </w:r>
                  <w:r>
                    <w:rPr>
                      <w:rFonts w:hint="default" w:ascii="Times New Roman" w:hAnsi="Times New Roman" w:eastAsia="宋体" w:cs="Times New Roman"/>
                      <w:color w:val="auto"/>
                      <w:sz w:val="21"/>
                      <w:szCs w:val="21"/>
                    </w:rPr>
                    <w:t>t/a</w:t>
                  </w:r>
                </w:p>
              </w:tc>
              <w:tc>
                <w:tcPr>
                  <w:tcW w:w="2026" w:type="pct"/>
                  <w:noWrap w:val="0"/>
                  <w:vAlign w:val="center"/>
                </w:tcPr>
                <w:p w14:paraId="7A3B78B9">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新增用水</w:t>
                  </w:r>
                  <w:r>
                    <w:rPr>
                      <w:rFonts w:hint="eastAsia" w:cs="Times New Roman"/>
                      <w:color w:val="auto"/>
                      <w:sz w:val="21"/>
                      <w:szCs w:val="21"/>
                      <w:lang w:val="en-US" w:eastAsia="zh-CN"/>
                    </w:rPr>
                    <w:t>865.326</w:t>
                  </w:r>
                  <w:r>
                    <w:rPr>
                      <w:rFonts w:hint="default" w:ascii="Times New Roman" w:hAnsi="Times New Roman" w:eastAsia="宋体" w:cs="Times New Roman"/>
                      <w:color w:val="auto"/>
                      <w:sz w:val="21"/>
                      <w:szCs w:val="21"/>
                    </w:rPr>
                    <w:t>t/a</w:t>
                  </w:r>
                  <w:r>
                    <w:rPr>
                      <w:rFonts w:hint="eastAsia" w:cs="Times New Roman"/>
                      <w:color w:val="auto"/>
                      <w:sz w:val="21"/>
                      <w:szCs w:val="21"/>
                      <w:lang w:eastAsia="zh-CN"/>
                    </w:rPr>
                    <w:t>，</w:t>
                  </w:r>
                  <w:r>
                    <w:rPr>
                      <w:rFonts w:hint="eastAsia" w:cs="Times New Roman"/>
                      <w:color w:val="auto"/>
                      <w:sz w:val="21"/>
                      <w:szCs w:val="21"/>
                      <w:lang w:val="en-US" w:eastAsia="zh-CN"/>
                    </w:rPr>
                    <w:t>依托市政供水管网</w:t>
                  </w:r>
                </w:p>
              </w:tc>
            </w:tr>
            <w:tr w14:paraId="63E06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vMerge w:val="continue"/>
                  <w:noWrap w:val="0"/>
                  <w:vAlign w:val="center"/>
                </w:tcPr>
                <w:p w14:paraId="4D792D4B">
                  <w:pPr>
                    <w:adjustRightInd w:val="0"/>
                    <w:snapToGrid w:val="0"/>
                    <w:spacing w:line="300" w:lineRule="exact"/>
                    <w:jc w:val="center"/>
                    <w:rPr>
                      <w:rFonts w:hint="default" w:ascii="Times New Roman" w:hAnsi="Times New Roman" w:eastAsia="宋体" w:cs="Times New Roman"/>
                      <w:color w:val="auto"/>
                      <w:sz w:val="21"/>
                      <w:szCs w:val="21"/>
                    </w:rPr>
                  </w:pPr>
                </w:p>
              </w:tc>
              <w:tc>
                <w:tcPr>
                  <w:tcW w:w="961" w:type="pct"/>
                  <w:noWrap w:val="0"/>
                  <w:vAlign w:val="center"/>
                </w:tcPr>
                <w:p w14:paraId="2D15F220">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排水工程</w:t>
                  </w:r>
                </w:p>
              </w:tc>
              <w:tc>
                <w:tcPr>
                  <w:tcW w:w="1274" w:type="pct"/>
                  <w:noWrap w:val="0"/>
                  <w:vAlign w:val="center"/>
                </w:tcPr>
                <w:p w14:paraId="01B0F7B0">
                  <w:pPr>
                    <w:adjustRightInd w:val="0"/>
                    <w:snapToGrid w:val="0"/>
                    <w:spacing w:line="300" w:lineRule="exact"/>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480</w:t>
                  </w:r>
                  <w:r>
                    <w:rPr>
                      <w:rFonts w:hint="default" w:ascii="Times New Roman" w:hAnsi="Times New Roman" w:eastAsia="宋体" w:cs="Times New Roman"/>
                      <w:color w:val="auto"/>
                      <w:sz w:val="21"/>
                      <w:szCs w:val="21"/>
                    </w:rPr>
                    <w:t>t/a</w:t>
                  </w:r>
                </w:p>
              </w:tc>
              <w:tc>
                <w:tcPr>
                  <w:tcW w:w="2026" w:type="pct"/>
                  <w:noWrap w:val="0"/>
                  <w:vAlign w:val="center"/>
                </w:tcPr>
                <w:p w14:paraId="7FC7ED14">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新增生活污水</w:t>
                  </w:r>
                  <w:r>
                    <w:rPr>
                      <w:rFonts w:hint="eastAsia" w:cs="Times New Roman"/>
                      <w:color w:val="auto"/>
                      <w:sz w:val="21"/>
                      <w:szCs w:val="21"/>
                      <w:lang w:val="en-US" w:eastAsia="zh-CN"/>
                    </w:rPr>
                    <w:t>480</w:t>
                  </w:r>
                  <w:r>
                    <w:rPr>
                      <w:rFonts w:hint="default" w:ascii="Times New Roman" w:hAnsi="Times New Roman" w:eastAsia="宋体" w:cs="Times New Roman"/>
                      <w:color w:val="auto"/>
                      <w:sz w:val="21"/>
                      <w:szCs w:val="21"/>
                    </w:rPr>
                    <w:t>t/a</w:t>
                  </w:r>
                  <w:r>
                    <w:rPr>
                      <w:rFonts w:hint="eastAsia" w:cs="Times New Roman"/>
                      <w:color w:val="auto"/>
                      <w:sz w:val="21"/>
                      <w:szCs w:val="21"/>
                      <w:lang w:eastAsia="zh-CN"/>
                    </w:rPr>
                    <w:t>，</w:t>
                  </w:r>
                  <w:r>
                    <w:rPr>
                      <w:rFonts w:hint="eastAsia" w:cs="Times New Roman"/>
                      <w:color w:val="auto"/>
                      <w:sz w:val="21"/>
                      <w:szCs w:val="21"/>
                      <w:lang w:val="en-US" w:eastAsia="zh-CN"/>
                    </w:rPr>
                    <w:t>依托出租方现有污水管网接管排放</w:t>
                  </w:r>
                </w:p>
              </w:tc>
            </w:tr>
            <w:tr w14:paraId="2A391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vMerge w:val="continue"/>
                  <w:noWrap w:val="0"/>
                  <w:vAlign w:val="center"/>
                </w:tcPr>
                <w:p w14:paraId="10322896">
                  <w:pPr>
                    <w:adjustRightInd w:val="0"/>
                    <w:snapToGrid w:val="0"/>
                    <w:spacing w:line="300" w:lineRule="exact"/>
                    <w:jc w:val="center"/>
                    <w:rPr>
                      <w:rFonts w:hint="default" w:ascii="Times New Roman" w:hAnsi="Times New Roman" w:eastAsia="宋体" w:cs="Times New Roman"/>
                      <w:color w:val="auto"/>
                      <w:sz w:val="21"/>
                      <w:szCs w:val="21"/>
                    </w:rPr>
                  </w:pPr>
                </w:p>
              </w:tc>
              <w:tc>
                <w:tcPr>
                  <w:tcW w:w="961" w:type="pct"/>
                  <w:noWrap w:val="0"/>
                  <w:vAlign w:val="center"/>
                </w:tcPr>
                <w:p w14:paraId="2F24F0DA">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供电</w:t>
                  </w:r>
                </w:p>
              </w:tc>
              <w:tc>
                <w:tcPr>
                  <w:tcW w:w="1274" w:type="pct"/>
                  <w:noWrap w:val="0"/>
                  <w:vAlign w:val="center"/>
                </w:tcPr>
                <w:p w14:paraId="372A05CA">
                  <w:pPr>
                    <w:adjustRightInd w:val="0"/>
                    <w:snapToGrid w:val="0"/>
                    <w:spacing w:line="300" w:lineRule="exact"/>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75</w:t>
                  </w:r>
                  <w:r>
                    <w:rPr>
                      <w:rFonts w:hint="default" w:ascii="Times New Roman" w:hAnsi="Times New Roman" w:eastAsia="宋体" w:cs="Times New Roman"/>
                      <w:color w:val="auto"/>
                      <w:sz w:val="21"/>
                      <w:szCs w:val="21"/>
                    </w:rPr>
                    <w:t>万度/年</w:t>
                  </w:r>
                </w:p>
              </w:tc>
              <w:tc>
                <w:tcPr>
                  <w:tcW w:w="2026" w:type="pct"/>
                  <w:noWrap w:val="0"/>
                  <w:vAlign w:val="center"/>
                </w:tcPr>
                <w:p w14:paraId="595CA841">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当地电网供电</w:t>
                  </w:r>
                </w:p>
              </w:tc>
            </w:tr>
            <w:tr w14:paraId="7E574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vMerge w:val="restart"/>
                  <w:noWrap w:val="0"/>
                  <w:vAlign w:val="center"/>
                </w:tcPr>
                <w:p w14:paraId="56A5666D">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辅助</w:t>
                  </w:r>
                  <w:r>
                    <w:rPr>
                      <w:rFonts w:hint="default" w:ascii="Times New Roman" w:hAnsi="Times New Roman" w:eastAsia="宋体" w:cs="Times New Roman"/>
                      <w:color w:val="auto"/>
                      <w:sz w:val="21"/>
                      <w:szCs w:val="21"/>
                    </w:rPr>
                    <w:t>工程</w:t>
                  </w:r>
                </w:p>
              </w:tc>
              <w:tc>
                <w:tcPr>
                  <w:tcW w:w="961" w:type="pct"/>
                  <w:noWrap w:val="0"/>
                  <w:vAlign w:val="center"/>
                </w:tcPr>
                <w:p w14:paraId="4A1BB823">
                  <w:pPr>
                    <w:adjustRightInd w:val="0"/>
                    <w:snapToGrid w:val="0"/>
                    <w:spacing w:line="30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办公区</w:t>
                  </w:r>
                </w:p>
              </w:tc>
              <w:tc>
                <w:tcPr>
                  <w:tcW w:w="1274" w:type="pct"/>
                  <w:noWrap w:val="0"/>
                  <w:vAlign w:val="center"/>
                </w:tcPr>
                <w:p w14:paraId="22FFB84B">
                  <w:pPr>
                    <w:adjustRightInd w:val="0"/>
                    <w:snapToGrid w:val="0"/>
                    <w:spacing w:line="300" w:lineRule="exact"/>
                    <w:jc w:val="center"/>
                    <w:rPr>
                      <w:rFonts w:hint="eastAsia" w:cs="Times New Roman"/>
                      <w:color w:val="auto"/>
                      <w:sz w:val="21"/>
                      <w:szCs w:val="21"/>
                      <w:lang w:val="en-US" w:eastAsia="zh-CN"/>
                    </w:rPr>
                  </w:pPr>
                  <w:r>
                    <w:rPr>
                      <w:rFonts w:hint="eastAsia" w:cs="Times New Roman"/>
                      <w:color w:val="auto"/>
                      <w:sz w:val="21"/>
                      <w:szCs w:val="21"/>
                      <w:lang w:val="en-US" w:eastAsia="zh-CN"/>
                    </w:rPr>
                    <w:t>400</w:t>
                  </w:r>
                  <w:r>
                    <w:rPr>
                      <w:rFonts w:hint="default" w:ascii="Times New Roman" w:hAnsi="Times New Roman" w:eastAsia="宋体" w:cs="Times New Roman"/>
                      <w:color w:val="auto"/>
                      <w:sz w:val="21"/>
                      <w:szCs w:val="21"/>
                      <w:lang w:eastAsia="zh-CN"/>
                    </w:rPr>
                    <w:t>m</w:t>
                  </w:r>
                  <w:r>
                    <w:rPr>
                      <w:rFonts w:hint="default" w:ascii="Times New Roman" w:hAnsi="Times New Roman" w:eastAsia="宋体" w:cs="Times New Roman"/>
                      <w:color w:val="auto"/>
                      <w:sz w:val="21"/>
                      <w:szCs w:val="21"/>
                      <w:vertAlign w:val="superscript"/>
                    </w:rPr>
                    <w:t>2</w:t>
                  </w:r>
                </w:p>
              </w:tc>
              <w:tc>
                <w:tcPr>
                  <w:tcW w:w="2026" w:type="pct"/>
                  <w:noWrap w:val="0"/>
                  <w:vAlign w:val="center"/>
                </w:tcPr>
                <w:p w14:paraId="4EC14DF9">
                  <w:pPr>
                    <w:adjustRightInd w:val="0"/>
                    <w:snapToGrid w:val="0"/>
                    <w:spacing w:line="300" w:lineRule="exact"/>
                    <w:jc w:val="center"/>
                    <w:rPr>
                      <w:rFonts w:hint="default"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位于生产车间西北侧</w:t>
                  </w:r>
                </w:p>
              </w:tc>
            </w:tr>
            <w:tr w14:paraId="72A65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vMerge w:val="continue"/>
                  <w:noWrap w:val="0"/>
                  <w:vAlign w:val="center"/>
                </w:tcPr>
                <w:p w14:paraId="567B1BA2">
                  <w:pPr>
                    <w:adjustRightInd w:val="0"/>
                    <w:snapToGrid w:val="0"/>
                    <w:spacing w:line="300" w:lineRule="exact"/>
                    <w:jc w:val="center"/>
                    <w:rPr>
                      <w:rFonts w:hint="default" w:ascii="Times New Roman" w:hAnsi="Times New Roman" w:eastAsia="宋体" w:cs="Times New Roman"/>
                      <w:color w:val="auto"/>
                      <w:sz w:val="21"/>
                      <w:szCs w:val="21"/>
                      <w:lang w:val="en-US" w:eastAsia="zh-CN"/>
                    </w:rPr>
                  </w:pPr>
                </w:p>
              </w:tc>
              <w:tc>
                <w:tcPr>
                  <w:tcW w:w="961" w:type="pct"/>
                  <w:noWrap w:val="0"/>
                  <w:vAlign w:val="center"/>
                </w:tcPr>
                <w:p w14:paraId="1470AB17">
                  <w:pPr>
                    <w:adjustRightInd w:val="0"/>
                    <w:snapToGrid w:val="0"/>
                    <w:spacing w:line="300" w:lineRule="exact"/>
                    <w:jc w:val="center"/>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停车场</w:t>
                  </w:r>
                </w:p>
              </w:tc>
              <w:tc>
                <w:tcPr>
                  <w:tcW w:w="1274" w:type="pct"/>
                  <w:noWrap w:val="0"/>
                  <w:vAlign w:val="center"/>
                </w:tcPr>
                <w:p w14:paraId="7CC475C0">
                  <w:pPr>
                    <w:adjustRightInd w:val="0"/>
                    <w:snapToGrid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474m</w:t>
                  </w:r>
                  <w:r>
                    <w:rPr>
                      <w:rFonts w:hint="eastAsia" w:cs="Times New Roman"/>
                      <w:color w:val="auto"/>
                      <w:sz w:val="21"/>
                      <w:szCs w:val="21"/>
                      <w:vertAlign w:val="superscript"/>
                      <w:lang w:val="en-US" w:eastAsia="zh-CN"/>
                    </w:rPr>
                    <w:t>2</w:t>
                  </w:r>
                </w:p>
              </w:tc>
              <w:tc>
                <w:tcPr>
                  <w:tcW w:w="2026" w:type="pct"/>
                  <w:noWrap w:val="0"/>
                  <w:vAlign w:val="center"/>
                </w:tcPr>
                <w:p w14:paraId="54455D71">
                  <w:pPr>
                    <w:adjustRightInd w:val="0"/>
                    <w:snapToGrid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在生产车间和仓库之间</w:t>
                  </w:r>
                </w:p>
              </w:tc>
            </w:tr>
            <w:tr w14:paraId="6C023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vMerge w:val="restart"/>
                  <w:noWrap w:val="0"/>
                  <w:vAlign w:val="center"/>
                </w:tcPr>
                <w:p w14:paraId="39411AAE">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贮运工程</w:t>
                  </w:r>
                </w:p>
              </w:tc>
              <w:tc>
                <w:tcPr>
                  <w:tcW w:w="961" w:type="pct"/>
                  <w:vMerge w:val="restart"/>
                  <w:noWrap w:val="0"/>
                  <w:vAlign w:val="center"/>
                </w:tcPr>
                <w:p w14:paraId="4E378811">
                  <w:pPr>
                    <w:pStyle w:val="38"/>
                    <w:rPr>
                      <w:rFonts w:hint="default" w:ascii="Times New Roman" w:hAnsi="Times New Roman" w:eastAsia="宋体" w:cs="Times New Roman"/>
                      <w:color w:val="auto"/>
                      <w:sz w:val="21"/>
                      <w:szCs w:val="21"/>
                      <w:lang w:val="en-US"/>
                    </w:rPr>
                  </w:pPr>
                  <w:r>
                    <w:rPr>
                      <w:rFonts w:hint="eastAsia" w:ascii="Times New Roman" w:hAnsi="Times New Roman" w:eastAsia="宋体" w:cs="Times New Roman"/>
                      <w:color w:val="auto"/>
                      <w:sz w:val="21"/>
                      <w:szCs w:val="21"/>
                      <w:lang w:val="en-US" w:eastAsia="zh-CN"/>
                    </w:rPr>
                    <w:t>仓库</w:t>
                  </w:r>
                </w:p>
              </w:tc>
              <w:tc>
                <w:tcPr>
                  <w:tcW w:w="1274" w:type="pct"/>
                  <w:noWrap w:val="0"/>
                  <w:vAlign w:val="center"/>
                </w:tcPr>
                <w:p w14:paraId="6BD071CE">
                  <w:pPr>
                    <w:pStyle w:val="5"/>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原料仓库800</w:t>
                  </w:r>
                  <w:r>
                    <w:rPr>
                      <w:rFonts w:hint="default" w:ascii="Times New Roman" w:hAnsi="Times New Roman" w:eastAsia="宋体" w:cs="Times New Roman"/>
                      <w:color w:val="auto"/>
                      <w:sz w:val="21"/>
                      <w:szCs w:val="21"/>
                      <w:lang w:eastAsia="zh-CN"/>
                    </w:rPr>
                    <w:t>m</w:t>
                  </w:r>
                  <w:r>
                    <w:rPr>
                      <w:rFonts w:hint="default" w:ascii="Times New Roman" w:hAnsi="Times New Roman" w:eastAsia="宋体" w:cs="Times New Roman"/>
                      <w:color w:val="auto"/>
                      <w:sz w:val="21"/>
                      <w:szCs w:val="21"/>
                      <w:vertAlign w:val="superscript"/>
                    </w:rPr>
                    <w:t>2</w:t>
                  </w:r>
                </w:p>
              </w:tc>
              <w:tc>
                <w:tcPr>
                  <w:tcW w:w="2026" w:type="pct"/>
                  <w:vMerge w:val="restart"/>
                  <w:noWrap w:val="0"/>
                  <w:vAlign w:val="center"/>
                </w:tcPr>
                <w:p w14:paraId="5F29B86D">
                  <w:pPr>
                    <w:adjustRightInd w:val="0"/>
                    <w:snapToGrid w:val="0"/>
                    <w:spacing w:line="300" w:lineRule="exact"/>
                    <w:jc w:val="center"/>
                    <w:rPr>
                      <w:rFonts w:hint="default" w:ascii="Times New Roman" w:hAnsi="Times New Roman" w:eastAsia="宋体" w:cs="Times New Roman"/>
                      <w:color w:val="auto"/>
                      <w:sz w:val="21"/>
                      <w:szCs w:val="21"/>
                      <w:highlight w:val="yellow"/>
                      <w:lang w:val="en-US" w:eastAsia="zh-CN"/>
                    </w:rPr>
                  </w:pPr>
                  <w:r>
                    <w:rPr>
                      <w:rFonts w:hint="eastAsia" w:cs="Times New Roman"/>
                      <w:color w:val="auto"/>
                      <w:sz w:val="21"/>
                      <w:szCs w:val="21"/>
                      <w:lang w:val="en-US" w:eastAsia="zh-CN"/>
                    </w:rPr>
                    <w:t>储存项目原料、成品</w:t>
                  </w:r>
                </w:p>
              </w:tc>
            </w:tr>
            <w:tr w14:paraId="5AE61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vMerge w:val="continue"/>
                  <w:noWrap w:val="0"/>
                  <w:vAlign w:val="center"/>
                </w:tcPr>
                <w:p w14:paraId="0CDDE249">
                  <w:pPr>
                    <w:adjustRightInd w:val="0"/>
                    <w:snapToGrid w:val="0"/>
                    <w:spacing w:line="300" w:lineRule="exact"/>
                    <w:jc w:val="center"/>
                    <w:rPr>
                      <w:rFonts w:hint="default" w:ascii="Times New Roman" w:hAnsi="Times New Roman" w:eastAsia="宋体" w:cs="Times New Roman"/>
                      <w:color w:val="auto"/>
                      <w:sz w:val="21"/>
                      <w:szCs w:val="21"/>
                    </w:rPr>
                  </w:pPr>
                </w:p>
              </w:tc>
              <w:tc>
                <w:tcPr>
                  <w:tcW w:w="961" w:type="pct"/>
                  <w:vMerge w:val="continue"/>
                  <w:noWrap w:val="0"/>
                  <w:vAlign w:val="center"/>
                </w:tcPr>
                <w:p w14:paraId="182E295A">
                  <w:pPr>
                    <w:pStyle w:val="38"/>
                    <w:rPr>
                      <w:rFonts w:hint="eastAsia" w:ascii="Times New Roman" w:hAnsi="Times New Roman" w:eastAsia="宋体" w:cs="Times New Roman"/>
                      <w:color w:val="auto"/>
                      <w:sz w:val="21"/>
                      <w:szCs w:val="21"/>
                      <w:lang w:val="en-US" w:eastAsia="zh-CN"/>
                    </w:rPr>
                  </w:pPr>
                </w:p>
              </w:tc>
              <w:tc>
                <w:tcPr>
                  <w:tcW w:w="1274" w:type="pct"/>
                  <w:noWrap w:val="0"/>
                  <w:vAlign w:val="center"/>
                </w:tcPr>
                <w:p w14:paraId="0FB3954A">
                  <w:pPr>
                    <w:pStyle w:val="5"/>
                    <w:jc w:val="center"/>
                    <w:rPr>
                      <w:rFonts w:hint="eastAsia" w:cs="Times New Roman"/>
                      <w:color w:val="auto"/>
                      <w:highlight w:val="none"/>
                      <w:lang w:val="en-US" w:eastAsia="zh-CN"/>
                    </w:rPr>
                  </w:pPr>
                  <w:r>
                    <w:rPr>
                      <w:rFonts w:hint="eastAsia" w:cs="Times New Roman"/>
                      <w:color w:val="auto"/>
                      <w:sz w:val="21"/>
                      <w:szCs w:val="21"/>
                      <w:lang w:val="en-US" w:eastAsia="zh-CN"/>
                    </w:rPr>
                    <w:t>成品仓库800</w:t>
                  </w:r>
                  <w:r>
                    <w:rPr>
                      <w:rFonts w:hint="default" w:ascii="Times New Roman" w:hAnsi="Times New Roman" w:eastAsia="宋体" w:cs="Times New Roman"/>
                      <w:color w:val="auto"/>
                      <w:sz w:val="21"/>
                      <w:szCs w:val="21"/>
                      <w:lang w:eastAsia="zh-CN"/>
                    </w:rPr>
                    <w:t>m</w:t>
                  </w:r>
                  <w:r>
                    <w:rPr>
                      <w:rFonts w:hint="default" w:ascii="Times New Roman" w:hAnsi="Times New Roman" w:eastAsia="宋体" w:cs="Times New Roman"/>
                      <w:color w:val="auto"/>
                      <w:sz w:val="21"/>
                      <w:szCs w:val="21"/>
                      <w:vertAlign w:val="superscript"/>
                    </w:rPr>
                    <w:t>2</w:t>
                  </w:r>
                </w:p>
              </w:tc>
              <w:tc>
                <w:tcPr>
                  <w:tcW w:w="2026" w:type="pct"/>
                  <w:vMerge w:val="continue"/>
                  <w:noWrap w:val="0"/>
                  <w:vAlign w:val="center"/>
                </w:tcPr>
                <w:p w14:paraId="7A03FD62">
                  <w:pPr>
                    <w:adjustRightInd w:val="0"/>
                    <w:snapToGrid w:val="0"/>
                    <w:spacing w:line="300" w:lineRule="exact"/>
                    <w:jc w:val="center"/>
                    <w:rPr>
                      <w:rFonts w:hint="eastAsia" w:cs="Times New Roman"/>
                      <w:color w:val="auto"/>
                      <w:sz w:val="21"/>
                      <w:szCs w:val="21"/>
                      <w:highlight w:val="yellow"/>
                      <w:lang w:val="en-US" w:eastAsia="zh-CN"/>
                    </w:rPr>
                  </w:pPr>
                </w:p>
              </w:tc>
            </w:tr>
            <w:tr w14:paraId="0B332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vMerge w:val="restart"/>
                  <w:noWrap w:val="0"/>
                  <w:vAlign w:val="center"/>
                </w:tcPr>
                <w:p w14:paraId="5889FEDB">
                  <w:pPr>
                    <w:adjustRightInd w:val="0"/>
                    <w:snapToGrid w:val="0"/>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环保工程</w:t>
                  </w:r>
                </w:p>
              </w:tc>
              <w:tc>
                <w:tcPr>
                  <w:tcW w:w="961" w:type="pct"/>
                  <w:noWrap w:val="0"/>
                  <w:vAlign w:val="center"/>
                </w:tcPr>
                <w:p w14:paraId="1374C5AD">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w:t>
                  </w:r>
                </w:p>
              </w:tc>
              <w:tc>
                <w:tcPr>
                  <w:tcW w:w="1274" w:type="pct"/>
                  <w:noWrap w:val="0"/>
                  <w:vAlign w:val="center"/>
                </w:tcPr>
                <w:p w14:paraId="66B937EA">
                  <w:pPr>
                    <w:adjustRightInd w:val="0"/>
                    <w:snapToGrid w:val="0"/>
                    <w:spacing w:line="300" w:lineRule="exact"/>
                    <w:jc w:val="center"/>
                    <w:rPr>
                      <w:rFonts w:hint="default" w:ascii="Times New Roman" w:hAnsi="Times New Roman" w:eastAsia="宋体" w:cs="Times New Roman"/>
                      <w:color w:val="auto"/>
                      <w:sz w:val="21"/>
                      <w:szCs w:val="21"/>
                    </w:rPr>
                  </w:pPr>
                  <w:r>
                    <w:rPr>
                      <w:rFonts w:hint="eastAsia" w:cs="Times New Roman"/>
                      <w:bCs/>
                      <w:color w:val="auto"/>
                      <w:sz w:val="21"/>
                      <w:szCs w:val="21"/>
                      <w:lang w:val="en-US" w:eastAsia="zh-CN"/>
                    </w:rPr>
                    <w:t>/</w:t>
                  </w:r>
                </w:p>
              </w:tc>
              <w:tc>
                <w:tcPr>
                  <w:tcW w:w="2026" w:type="pct"/>
                  <w:noWrap w:val="0"/>
                  <w:vAlign w:val="center"/>
                </w:tcPr>
                <w:p w14:paraId="3E223B07">
                  <w:pPr>
                    <w:adjustRightInd w:val="0"/>
                    <w:snapToGrid w:val="0"/>
                    <w:spacing w:line="300" w:lineRule="exact"/>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w:t>
                  </w:r>
                </w:p>
              </w:tc>
            </w:tr>
            <w:tr w14:paraId="6CDE9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vMerge w:val="continue"/>
                  <w:noWrap w:val="0"/>
                  <w:vAlign w:val="center"/>
                </w:tcPr>
                <w:p w14:paraId="0FE97B37">
                  <w:pPr>
                    <w:adjustRightInd w:val="0"/>
                    <w:snapToGrid w:val="0"/>
                    <w:spacing w:line="300" w:lineRule="exact"/>
                    <w:jc w:val="center"/>
                    <w:rPr>
                      <w:rFonts w:hint="default" w:ascii="Times New Roman" w:hAnsi="Times New Roman" w:eastAsia="宋体" w:cs="Times New Roman"/>
                      <w:color w:val="auto"/>
                      <w:sz w:val="21"/>
                      <w:szCs w:val="21"/>
                    </w:rPr>
                  </w:pPr>
                </w:p>
              </w:tc>
              <w:tc>
                <w:tcPr>
                  <w:tcW w:w="961" w:type="pct"/>
                  <w:vMerge w:val="restart"/>
                  <w:noWrap w:val="0"/>
                  <w:vAlign w:val="center"/>
                </w:tcPr>
                <w:p w14:paraId="55B4BBA1">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w:t>
                  </w:r>
                </w:p>
              </w:tc>
              <w:tc>
                <w:tcPr>
                  <w:tcW w:w="1274" w:type="pct"/>
                  <w:noWrap w:val="0"/>
                  <w:vAlign w:val="center"/>
                </w:tcPr>
                <w:p w14:paraId="1BD9ED38">
                  <w:pPr>
                    <w:adjustRightInd w:val="0"/>
                    <w:snapToGrid w:val="0"/>
                    <w:spacing w:line="300" w:lineRule="exact"/>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生活污水480</w:t>
                  </w:r>
                  <w:r>
                    <w:rPr>
                      <w:rFonts w:hint="default" w:ascii="Times New Roman" w:hAnsi="Times New Roman" w:eastAsia="宋体" w:cs="Times New Roman"/>
                      <w:color w:val="auto"/>
                      <w:sz w:val="21"/>
                      <w:szCs w:val="21"/>
                    </w:rPr>
                    <w:t>t/a</w:t>
                  </w:r>
                </w:p>
              </w:tc>
              <w:tc>
                <w:tcPr>
                  <w:tcW w:w="2026" w:type="pct"/>
                  <w:noWrap w:val="0"/>
                  <w:vAlign w:val="center"/>
                </w:tcPr>
                <w:p w14:paraId="2A73200A">
                  <w:pPr>
                    <w:adjustRightInd w:val="0"/>
                    <w:snapToGrid w:val="0"/>
                    <w:spacing w:line="300" w:lineRule="exact"/>
                    <w:jc w:val="center"/>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rPr>
                    <w:t>依托</w:t>
                  </w:r>
                  <w:r>
                    <w:rPr>
                      <w:rFonts w:hint="eastAsia" w:cs="Times New Roman"/>
                      <w:color w:val="auto"/>
                      <w:sz w:val="21"/>
                      <w:szCs w:val="21"/>
                      <w:lang w:val="en-US" w:eastAsia="zh-CN"/>
                    </w:rPr>
                    <w:t>出租方污水管网接管至金坛溪城污水处理有限公司处理</w:t>
                  </w:r>
                </w:p>
              </w:tc>
            </w:tr>
            <w:tr w14:paraId="3330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vMerge w:val="continue"/>
                  <w:noWrap w:val="0"/>
                  <w:vAlign w:val="center"/>
                </w:tcPr>
                <w:p w14:paraId="762F4349">
                  <w:pPr>
                    <w:adjustRightInd w:val="0"/>
                    <w:snapToGrid w:val="0"/>
                    <w:spacing w:line="300" w:lineRule="exact"/>
                    <w:jc w:val="center"/>
                    <w:rPr>
                      <w:rFonts w:hint="default" w:ascii="Times New Roman" w:hAnsi="Times New Roman" w:eastAsia="宋体" w:cs="Times New Roman"/>
                      <w:color w:val="auto"/>
                      <w:sz w:val="21"/>
                      <w:szCs w:val="21"/>
                    </w:rPr>
                  </w:pPr>
                </w:p>
              </w:tc>
              <w:tc>
                <w:tcPr>
                  <w:tcW w:w="961" w:type="pct"/>
                  <w:vMerge w:val="continue"/>
                  <w:noWrap w:val="0"/>
                  <w:vAlign w:val="center"/>
                </w:tcPr>
                <w:p w14:paraId="11E85705">
                  <w:pPr>
                    <w:spacing w:line="300" w:lineRule="exact"/>
                    <w:jc w:val="center"/>
                    <w:rPr>
                      <w:rFonts w:hint="default" w:ascii="Times New Roman" w:hAnsi="Times New Roman" w:eastAsia="宋体" w:cs="Times New Roman"/>
                      <w:color w:val="auto"/>
                      <w:sz w:val="21"/>
                      <w:szCs w:val="21"/>
                    </w:rPr>
                  </w:pPr>
                </w:p>
              </w:tc>
              <w:tc>
                <w:tcPr>
                  <w:tcW w:w="1274" w:type="pct"/>
                  <w:noWrap w:val="0"/>
                  <w:vAlign w:val="center"/>
                </w:tcPr>
                <w:p w14:paraId="509D4344">
                  <w:pPr>
                    <w:adjustRightInd w:val="0"/>
                    <w:snapToGrid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漂洗废水243</w:t>
                  </w:r>
                  <w:r>
                    <w:rPr>
                      <w:rFonts w:hint="default" w:ascii="Times New Roman" w:hAnsi="Times New Roman" w:eastAsia="宋体" w:cs="Times New Roman"/>
                      <w:color w:val="auto"/>
                      <w:sz w:val="21"/>
                      <w:szCs w:val="21"/>
                    </w:rPr>
                    <w:t>t/a</w:t>
                  </w:r>
                </w:p>
              </w:tc>
              <w:tc>
                <w:tcPr>
                  <w:tcW w:w="2026" w:type="pct"/>
                  <w:vMerge w:val="restart"/>
                  <w:noWrap w:val="0"/>
                  <w:vAlign w:val="center"/>
                </w:tcPr>
                <w:p w14:paraId="1336124D">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经污水站</w:t>
                  </w:r>
                  <w:r>
                    <w:rPr>
                      <w:rFonts w:hint="eastAsia" w:ascii="Times New Roman" w:hAnsi="Times New Roman" w:eastAsia="宋体" w:cs="Times New Roman"/>
                      <w:color w:val="auto"/>
                      <w:highlight w:val="none"/>
                      <w:lang w:val="en-US" w:eastAsia="zh-CN"/>
                    </w:rPr>
                    <w:t>（处理</w:t>
                  </w:r>
                  <w:r>
                    <w:rPr>
                      <w:rFonts w:hint="eastAsia"/>
                      <w:color w:val="auto"/>
                      <w:lang w:val="en-US" w:eastAsia="zh-CN"/>
                    </w:rPr>
                    <w:t>能力</w:t>
                  </w:r>
                  <w:r>
                    <w:rPr>
                      <w:rFonts w:hint="eastAsia" w:cs="Times New Roman"/>
                      <w:color w:val="auto"/>
                      <w:highlight w:val="none"/>
                      <w:lang w:val="en-US" w:eastAsia="zh-CN"/>
                    </w:rPr>
                    <w:t>1</w:t>
                  </w:r>
                  <w:r>
                    <w:rPr>
                      <w:rFonts w:hint="eastAsia" w:ascii="Times New Roman" w:hAnsi="Times New Roman" w:eastAsia="宋体" w:cs="Times New Roman"/>
                      <w:color w:val="auto"/>
                      <w:highlight w:val="none"/>
                      <w:lang w:val="en-US" w:eastAsia="zh-CN"/>
                    </w:rPr>
                    <w:t>t/天）</w:t>
                  </w:r>
                  <w:r>
                    <w:rPr>
                      <w:rFonts w:hint="eastAsia" w:cs="Times New Roman"/>
                      <w:color w:val="auto"/>
                      <w:sz w:val="21"/>
                      <w:szCs w:val="21"/>
                      <w:lang w:val="en-US" w:eastAsia="zh-CN"/>
                    </w:rPr>
                    <w:t>处理后回用</w:t>
                  </w:r>
                </w:p>
              </w:tc>
            </w:tr>
            <w:tr w14:paraId="241D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vMerge w:val="continue"/>
                  <w:noWrap w:val="0"/>
                  <w:vAlign w:val="center"/>
                </w:tcPr>
                <w:p w14:paraId="5D8A5ECF">
                  <w:pPr>
                    <w:adjustRightInd w:val="0"/>
                    <w:snapToGrid w:val="0"/>
                    <w:spacing w:line="300" w:lineRule="exact"/>
                    <w:jc w:val="center"/>
                    <w:rPr>
                      <w:rFonts w:hint="default" w:ascii="Times New Roman" w:hAnsi="Times New Roman" w:eastAsia="宋体" w:cs="Times New Roman"/>
                      <w:color w:val="auto"/>
                      <w:sz w:val="21"/>
                      <w:szCs w:val="21"/>
                    </w:rPr>
                  </w:pPr>
                </w:p>
              </w:tc>
              <w:tc>
                <w:tcPr>
                  <w:tcW w:w="961" w:type="pct"/>
                  <w:vMerge w:val="continue"/>
                  <w:noWrap w:val="0"/>
                  <w:vAlign w:val="center"/>
                </w:tcPr>
                <w:p w14:paraId="38081DAC">
                  <w:pPr>
                    <w:spacing w:line="300" w:lineRule="exact"/>
                    <w:jc w:val="center"/>
                    <w:rPr>
                      <w:rFonts w:hint="default" w:ascii="Times New Roman" w:hAnsi="Times New Roman" w:eastAsia="宋体" w:cs="Times New Roman"/>
                      <w:color w:val="auto"/>
                      <w:sz w:val="21"/>
                      <w:szCs w:val="21"/>
                    </w:rPr>
                  </w:pPr>
                </w:p>
              </w:tc>
              <w:tc>
                <w:tcPr>
                  <w:tcW w:w="1274" w:type="pct"/>
                  <w:noWrap w:val="0"/>
                  <w:vAlign w:val="center"/>
                </w:tcPr>
                <w:p w14:paraId="48333AE4">
                  <w:pPr>
                    <w:adjustRightInd w:val="0"/>
                    <w:snapToGrid w:val="0"/>
                    <w:spacing w:line="300" w:lineRule="exact"/>
                    <w:jc w:val="center"/>
                    <w:rPr>
                      <w:rFonts w:hint="default" w:cs="Times New Roman"/>
                      <w:color w:val="auto"/>
                      <w:sz w:val="21"/>
                      <w:szCs w:val="21"/>
                      <w:lang w:val="en-US" w:eastAsia="zh-CN"/>
                    </w:rPr>
                  </w:pPr>
                  <w:r>
                    <w:rPr>
                      <w:rFonts w:hint="eastAsia" w:cs="Times New Roman"/>
                      <w:color w:val="auto"/>
                      <w:sz w:val="21"/>
                      <w:szCs w:val="21"/>
                      <w:lang w:val="en-US" w:eastAsia="zh-CN"/>
                    </w:rPr>
                    <w:t>MBR反冲洗水1.2</w:t>
                  </w:r>
                  <w:r>
                    <w:rPr>
                      <w:rFonts w:hint="default" w:ascii="Times New Roman" w:hAnsi="Times New Roman" w:eastAsia="宋体" w:cs="Times New Roman"/>
                      <w:color w:val="auto"/>
                      <w:sz w:val="21"/>
                      <w:szCs w:val="21"/>
                    </w:rPr>
                    <w:t>t/a</w:t>
                  </w:r>
                </w:p>
              </w:tc>
              <w:tc>
                <w:tcPr>
                  <w:tcW w:w="2026" w:type="pct"/>
                  <w:vMerge w:val="continue"/>
                  <w:noWrap w:val="0"/>
                  <w:vAlign w:val="center"/>
                </w:tcPr>
                <w:p w14:paraId="70554650">
                  <w:pPr>
                    <w:adjustRightInd w:val="0"/>
                    <w:snapToGrid w:val="0"/>
                    <w:spacing w:line="300" w:lineRule="exact"/>
                    <w:jc w:val="center"/>
                    <w:rPr>
                      <w:rFonts w:hint="eastAsia" w:cs="Times New Roman"/>
                      <w:color w:val="auto"/>
                      <w:sz w:val="21"/>
                      <w:szCs w:val="21"/>
                      <w:lang w:val="en-US" w:eastAsia="zh-CN"/>
                    </w:rPr>
                  </w:pPr>
                </w:p>
              </w:tc>
            </w:tr>
            <w:tr w14:paraId="16FD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vMerge w:val="continue"/>
                  <w:noWrap w:val="0"/>
                  <w:vAlign w:val="center"/>
                </w:tcPr>
                <w:p w14:paraId="29FACBC7">
                  <w:pPr>
                    <w:adjustRightInd w:val="0"/>
                    <w:snapToGrid w:val="0"/>
                    <w:spacing w:line="300" w:lineRule="exact"/>
                    <w:jc w:val="center"/>
                    <w:rPr>
                      <w:rFonts w:hint="default" w:ascii="Times New Roman" w:hAnsi="Times New Roman" w:eastAsia="宋体" w:cs="Times New Roman"/>
                      <w:color w:val="auto"/>
                      <w:sz w:val="21"/>
                      <w:szCs w:val="21"/>
                    </w:rPr>
                  </w:pPr>
                </w:p>
              </w:tc>
              <w:tc>
                <w:tcPr>
                  <w:tcW w:w="961" w:type="pct"/>
                  <w:noWrap w:val="0"/>
                  <w:vAlign w:val="center"/>
                </w:tcPr>
                <w:p w14:paraId="65C495B0">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1274" w:type="pct"/>
                  <w:noWrap w:val="0"/>
                  <w:vAlign w:val="center"/>
                </w:tcPr>
                <w:p w14:paraId="1473475C">
                  <w:pPr>
                    <w:pStyle w:val="6"/>
                    <w:jc w:val="center"/>
                    <w:rPr>
                      <w:rFonts w:hint="eastAsia" w:eastAsia="宋体"/>
                      <w:color w:val="auto"/>
                      <w:lang w:val="en-US" w:eastAsia="zh-CN"/>
                    </w:rPr>
                  </w:pPr>
                  <w:r>
                    <w:rPr>
                      <w:rFonts w:hint="eastAsia"/>
                      <w:color w:val="auto"/>
                      <w:lang w:val="en-US" w:eastAsia="zh-CN"/>
                    </w:rPr>
                    <w:t>/</w:t>
                  </w:r>
                </w:p>
              </w:tc>
              <w:tc>
                <w:tcPr>
                  <w:tcW w:w="2026" w:type="pct"/>
                  <w:noWrap w:val="0"/>
                  <w:vAlign w:val="center"/>
                </w:tcPr>
                <w:p w14:paraId="73831E2A">
                  <w:pPr>
                    <w:adjustRightInd w:val="0"/>
                    <w:snapToGrid w:val="0"/>
                    <w:spacing w:line="300" w:lineRule="exact"/>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选购低噪声设备，隔声、合理布局等</w:t>
                  </w:r>
                </w:p>
              </w:tc>
            </w:tr>
            <w:tr w14:paraId="1B834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vMerge w:val="continue"/>
                  <w:noWrap w:val="0"/>
                  <w:vAlign w:val="center"/>
                </w:tcPr>
                <w:p w14:paraId="43A4148B">
                  <w:pPr>
                    <w:adjustRightInd w:val="0"/>
                    <w:snapToGrid w:val="0"/>
                    <w:spacing w:line="300" w:lineRule="exact"/>
                    <w:jc w:val="center"/>
                    <w:rPr>
                      <w:rFonts w:hint="default" w:ascii="Times New Roman" w:hAnsi="Times New Roman" w:eastAsia="宋体" w:cs="Times New Roman"/>
                      <w:color w:val="auto"/>
                      <w:sz w:val="21"/>
                      <w:szCs w:val="21"/>
                    </w:rPr>
                  </w:pPr>
                </w:p>
              </w:tc>
              <w:tc>
                <w:tcPr>
                  <w:tcW w:w="961" w:type="pct"/>
                  <w:noWrap w:val="0"/>
                  <w:vAlign w:val="center"/>
                </w:tcPr>
                <w:p w14:paraId="6FDAC35B">
                  <w:pPr>
                    <w:spacing w:line="300" w:lineRule="exact"/>
                    <w:jc w:val="center"/>
                    <w:rPr>
                      <w:rFonts w:hint="eastAsia" w:ascii="Times New Roman" w:hAnsi="Times New Roman" w:eastAsia="宋体" w:cs="Times New Roman"/>
                      <w:color w:val="auto"/>
                      <w:sz w:val="21"/>
                      <w:szCs w:val="21"/>
                      <w:lang w:eastAsia="zh-CN"/>
                    </w:rPr>
                  </w:pPr>
                  <w:r>
                    <w:rPr>
                      <w:rFonts w:hint="eastAsia" w:cs="Times New Roman"/>
                      <w:bCs/>
                      <w:color w:val="auto"/>
                      <w:sz w:val="21"/>
                      <w:szCs w:val="21"/>
                      <w:lang w:eastAsia="zh-CN"/>
                    </w:rPr>
                    <w:t>危废仓库</w:t>
                  </w:r>
                </w:p>
              </w:tc>
              <w:tc>
                <w:tcPr>
                  <w:tcW w:w="1274" w:type="pct"/>
                  <w:noWrap w:val="0"/>
                  <w:vAlign w:val="center"/>
                </w:tcPr>
                <w:p w14:paraId="5F39677C">
                  <w:pPr>
                    <w:snapToGrid w:val="0"/>
                    <w:jc w:val="center"/>
                    <w:rPr>
                      <w:rFonts w:hint="default" w:ascii="Times New Roman" w:hAnsi="Times New Roman" w:eastAsia="宋体" w:cs="Times New Roman"/>
                      <w:color w:val="auto"/>
                      <w:sz w:val="21"/>
                      <w:szCs w:val="21"/>
                      <w:lang w:val="en-US" w:eastAsia="zh-CN"/>
                    </w:rPr>
                  </w:pPr>
                  <w:r>
                    <w:rPr>
                      <w:rFonts w:hint="eastAsia" w:cs="Times New Roman"/>
                      <w:bCs/>
                      <w:color w:val="FF0000"/>
                      <w:sz w:val="21"/>
                      <w:szCs w:val="21"/>
                      <w:lang w:val="en-US" w:eastAsia="zh-CN"/>
                    </w:rPr>
                    <w:t>20m</w:t>
                  </w:r>
                  <w:r>
                    <w:rPr>
                      <w:rFonts w:hint="eastAsia" w:cs="Times New Roman"/>
                      <w:bCs/>
                      <w:color w:val="FF0000"/>
                      <w:sz w:val="21"/>
                      <w:szCs w:val="21"/>
                      <w:vertAlign w:val="superscript"/>
                      <w:lang w:val="en-US" w:eastAsia="zh-CN"/>
                    </w:rPr>
                    <w:t>2</w:t>
                  </w:r>
                </w:p>
              </w:tc>
              <w:tc>
                <w:tcPr>
                  <w:tcW w:w="2026" w:type="pct"/>
                  <w:noWrap w:val="0"/>
                  <w:vAlign w:val="center"/>
                </w:tcPr>
                <w:p w14:paraId="39C63F2D">
                  <w:pPr>
                    <w:adjustRightInd w:val="0"/>
                    <w:snapToGrid w:val="0"/>
                    <w:spacing w:line="300" w:lineRule="exact"/>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新建</w:t>
                  </w:r>
                </w:p>
              </w:tc>
            </w:tr>
            <w:tr w14:paraId="2D057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vMerge w:val="continue"/>
                  <w:noWrap w:val="0"/>
                  <w:vAlign w:val="center"/>
                </w:tcPr>
                <w:p w14:paraId="24E03E53">
                  <w:pPr>
                    <w:adjustRightInd w:val="0"/>
                    <w:snapToGrid w:val="0"/>
                    <w:spacing w:line="300" w:lineRule="exact"/>
                    <w:jc w:val="center"/>
                    <w:rPr>
                      <w:rFonts w:hint="default" w:ascii="Times New Roman" w:hAnsi="Times New Roman" w:eastAsia="宋体" w:cs="Times New Roman"/>
                      <w:color w:val="auto"/>
                      <w:sz w:val="21"/>
                      <w:szCs w:val="21"/>
                    </w:rPr>
                  </w:pPr>
                </w:p>
              </w:tc>
              <w:tc>
                <w:tcPr>
                  <w:tcW w:w="961" w:type="pct"/>
                  <w:noWrap w:val="0"/>
                  <w:vAlign w:val="center"/>
                </w:tcPr>
                <w:p w14:paraId="71A8D00F">
                  <w:pPr>
                    <w:spacing w:line="300" w:lineRule="exact"/>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一般固废仓库</w:t>
                  </w:r>
                </w:p>
              </w:tc>
              <w:tc>
                <w:tcPr>
                  <w:tcW w:w="1274" w:type="pct"/>
                  <w:noWrap w:val="0"/>
                  <w:vAlign w:val="center"/>
                </w:tcPr>
                <w:p w14:paraId="35EC5A4C">
                  <w:pPr>
                    <w:snapToGrid w:val="0"/>
                    <w:jc w:val="center"/>
                    <w:rPr>
                      <w:rFonts w:hint="default" w:ascii="Times New Roman" w:hAnsi="Times New Roman" w:eastAsia="宋体" w:cs="Times New Roman"/>
                      <w:color w:val="auto"/>
                      <w:sz w:val="21"/>
                      <w:szCs w:val="21"/>
                    </w:rPr>
                  </w:pPr>
                  <w:r>
                    <w:rPr>
                      <w:rFonts w:hint="eastAsia" w:cs="Times New Roman"/>
                      <w:bCs/>
                      <w:color w:val="auto"/>
                      <w:sz w:val="21"/>
                      <w:szCs w:val="21"/>
                      <w:lang w:val="en-US" w:eastAsia="zh-CN"/>
                    </w:rPr>
                    <w:t>10m</w:t>
                  </w:r>
                  <w:r>
                    <w:rPr>
                      <w:rFonts w:hint="eastAsia" w:cs="Times New Roman"/>
                      <w:bCs/>
                      <w:color w:val="auto"/>
                      <w:sz w:val="21"/>
                      <w:szCs w:val="21"/>
                      <w:vertAlign w:val="superscript"/>
                      <w:lang w:val="en-US" w:eastAsia="zh-CN"/>
                    </w:rPr>
                    <w:t>2</w:t>
                  </w:r>
                </w:p>
              </w:tc>
              <w:tc>
                <w:tcPr>
                  <w:tcW w:w="2026" w:type="pct"/>
                  <w:noWrap w:val="0"/>
                  <w:vAlign w:val="center"/>
                </w:tcPr>
                <w:p w14:paraId="7AA0B279">
                  <w:pPr>
                    <w:adjustRightInd w:val="0"/>
                    <w:snapToGrid w:val="0"/>
                    <w:spacing w:line="300" w:lineRule="exact"/>
                    <w:jc w:val="center"/>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新建</w:t>
                  </w:r>
                </w:p>
              </w:tc>
            </w:tr>
            <w:tr w14:paraId="5794B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7" w:type="pct"/>
                  <w:vMerge w:val="continue"/>
                  <w:noWrap w:val="0"/>
                  <w:vAlign w:val="center"/>
                </w:tcPr>
                <w:p w14:paraId="6D08CDE8">
                  <w:pPr>
                    <w:adjustRightInd w:val="0"/>
                    <w:snapToGrid w:val="0"/>
                    <w:spacing w:line="300" w:lineRule="exact"/>
                    <w:jc w:val="center"/>
                    <w:rPr>
                      <w:rFonts w:hint="default" w:ascii="Times New Roman" w:hAnsi="Times New Roman" w:eastAsia="宋体" w:cs="Times New Roman"/>
                      <w:color w:val="auto"/>
                      <w:sz w:val="21"/>
                      <w:szCs w:val="21"/>
                    </w:rPr>
                  </w:pPr>
                </w:p>
              </w:tc>
              <w:tc>
                <w:tcPr>
                  <w:tcW w:w="961" w:type="pct"/>
                  <w:noWrap w:val="0"/>
                  <w:vAlign w:val="center"/>
                </w:tcPr>
                <w:p w14:paraId="2F52F42A">
                  <w:pPr>
                    <w:spacing w:line="30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应急事故池</w:t>
                  </w:r>
                </w:p>
              </w:tc>
              <w:tc>
                <w:tcPr>
                  <w:tcW w:w="1274" w:type="pct"/>
                  <w:noWrap w:val="0"/>
                  <w:vAlign w:val="center"/>
                </w:tcPr>
                <w:p w14:paraId="682C2CAD">
                  <w:pPr>
                    <w:snapToGrid w:val="0"/>
                    <w:jc w:val="center"/>
                    <w:rPr>
                      <w:rFonts w:hint="eastAsia" w:ascii="Times New Roman" w:hAnsi="Times New Roman" w:eastAsia="宋体" w:cs="Times New Roman"/>
                      <w:bCs/>
                      <w:color w:val="auto"/>
                      <w:sz w:val="21"/>
                      <w:szCs w:val="21"/>
                      <w:lang w:eastAsia="zh-CN"/>
                    </w:rPr>
                  </w:pPr>
                  <w:r>
                    <w:rPr>
                      <w:rFonts w:hint="eastAsia" w:cs="Times New Roman"/>
                      <w:color w:val="auto"/>
                      <w:sz w:val="21"/>
                      <w:szCs w:val="21"/>
                      <w:lang w:val="en-US" w:eastAsia="zh-CN"/>
                    </w:rPr>
                    <w:t>45</w:t>
                  </w:r>
                  <w:r>
                    <w:rPr>
                      <w:rFonts w:hint="default" w:ascii="Times New Roman" w:hAnsi="Times New Roman" w:eastAsia="宋体" w:cs="Times New Roman"/>
                      <w:color w:val="auto"/>
                      <w:sz w:val="21"/>
                      <w:szCs w:val="21"/>
                      <w:lang w:eastAsia="zh-CN"/>
                    </w:rPr>
                    <w:t>m</w:t>
                  </w:r>
                  <w:r>
                    <w:rPr>
                      <w:rFonts w:hint="eastAsia" w:cs="Times New Roman"/>
                      <w:color w:val="auto"/>
                      <w:sz w:val="21"/>
                      <w:szCs w:val="21"/>
                      <w:vertAlign w:val="superscript"/>
                      <w:lang w:val="en-US" w:eastAsia="zh-CN"/>
                    </w:rPr>
                    <w:t>3</w:t>
                  </w:r>
                </w:p>
              </w:tc>
              <w:tc>
                <w:tcPr>
                  <w:tcW w:w="2026" w:type="pct"/>
                  <w:noWrap w:val="0"/>
                  <w:vAlign w:val="center"/>
                </w:tcPr>
                <w:p w14:paraId="4A573540">
                  <w:pPr>
                    <w:adjustRightInd w:val="0"/>
                    <w:snapToGrid w:val="0"/>
                    <w:spacing w:line="300" w:lineRule="exact"/>
                    <w:jc w:val="center"/>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新建</w:t>
                  </w:r>
                </w:p>
              </w:tc>
            </w:tr>
          </w:tbl>
          <w:p w14:paraId="2419EC2B">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2.1.</w:t>
            </w:r>
            <w:r>
              <w:rPr>
                <w:rFonts w:hint="eastAsia" w:cs="Times New Roman"/>
                <w:b/>
                <w:bCs w:val="0"/>
                <w:color w:val="auto"/>
                <w:sz w:val="24"/>
                <w:szCs w:val="24"/>
                <w:lang w:val="en-US" w:eastAsia="zh-CN"/>
              </w:rPr>
              <w:t>5</w:t>
            </w:r>
            <w:r>
              <w:rPr>
                <w:rFonts w:hint="default" w:ascii="Times New Roman" w:hAnsi="Times New Roman" w:eastAsia="宋体" w:cs="Times New Roman"/>
                <w:b/>
                <w:bCs w:val="0"/>
                <w:color w:val="auto"/>
                <w:sz w:val="24"/>
                <w:szCs w:val="24"/>
                <w:lang w:val="en-US" w:eastAsia="zh-CN"/>
              </w:rPr>
              <w:t>主要产品及产能</w:t>
            </w:r>
          </w:p>
          <w:p w14:paraId="6799C204">
            <w:pPr>
              <w:pStyle w:val="7"/>
              <w:keepNext w:val="0"/>
              <w:keepLines w:val="0"/>
              <w:pageBreakBefore w:val="0"/>
              <w:widowControl w:val="0"/>
              <w:numPr>
                <w:ilvl w:val="0"/>
                <w:numId w:val="0"/>
              </w:numPr>
              <w:tabs>
                <w:tab w:val="clear" w:pos="20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表2-</w:t>
            </w:r>
            <w:r>
              <w:rPr>
                <w:rFonts w:hint="eastAsia" w:cs="Times New Roman"/>
                <w:b/>
                <w:bCs/>
                <w:color w:val="auto"/>
                <w:sz w:val="21"/>
                <w:szCs w:val="21"/>
                <w:lang w:val="en-US" w:eastAsia="zh-CN"/>
              </w:rPr>
              <w:t xml:space="preserve">3 </w:t>
            </w:r>
            <w:r>
              <w:rPr>
                <w:rFonts w:hint="default" w:ascii="Times New Roman" w:hAnsi="Times New Roman" w:eastAsia="宋体" w:cs="Times New Roman"/>
                <w:b/>
                <w:bCs/>
                <w:color w:val="auto"/>
                <w:sz w:val="21"/>
                <w:szCs w:val="21"/>
              </w:rPr>
              <w:t>产品及产能一览表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7"/>
              <w:gridCol w:w="3178"/>
              <w:gridCol w:w="2394"/>
              <w:gridCol w:w="1723"/>
              <w:gridCol w:w="1101"/>
            </w:tblGrid>
            <w:tr w14:paraId="587E6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42" w:type="pct"/>
                  <w:noWrap w:val="0"/>
                  <w:vAlign w:val="center"/>
                </w:tcPr>
                <w:p w14:paraId="76259EE9">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800" w:type="pct"/>
                  <w:noWrap w:val="0"/>
                  <w:vAlign w:val="center"/>
                </w:tcPr>
                <w:p w14:paraId="3B4E3DB1">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主体工程名称</w:t>
                  </w:r>
                </w:p>
              </w:tc>
              <w:tc>
                <w:tcPr>
                  <w:tcW w:w="1356" w:type="pct"/>
                  <w:noWrap w:val="0"/>
                  <w:vAlign w:val="center"/>
                </w:tcPr>
                <w:p w14:paraId="35450B4E">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产品名称</w:t>
                  </w:r>
                </w:p>
              </w:tc>
              <w:tc>
                <w:tcPr>
                  <w:tcW w:w="976" w:type="pct"/>
                  <w:noWrap w:val="0"/>
                  <w:vAlign w:val="center"/>
                </w:tcPr>
                <w:p w14:paraId="753BB68F">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设计能力</w:t>
                  </w:r>
                </w:p>
              </w:tc>
              <w:tc>
                <w:tcPr>
                  <w:tcW w:w="623" w:type="pct"/>
                  <w:noWrap w:val="0"/>
                  <w:vAlign w:val="center"/>
                </w:tcPr>
                <w:p w14:paraId="2021B0BF">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年运行</w:t>
                  </w:r>
                </w:p>
                <w:p w14:paraId="014B003B">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时数</w:t>
                  </w:r>
                </w:p>
              </w:tc>
            </w:tr>
            <w:tr w14:paraId="12DCD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40" w:hRule="atLeast"/>
                <w:jc w:val="center"/>
              </w:trPr>
              <w:tc>
                <w:tcPr>
                  <w:tcW w:w="242" w:type="pct"/>
                  <w:noWrap w:val="0"/>
                  <w:vAlign w:val="center"/>
                </w:tcPr>
                <w:p w14:paraId="4AD95F5C">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4834" w:type="dxa"/>
                  <w:noWrap w:val="0"/>
                  <w:vAlign w:val="center"/>
                </w:tcPr>
                <w:p w14:paraId="53D76977">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结构件生产线</w:t>
                  </w:r>
                </w:p>
              </w:tc>
              <w:tc>
                <w:tcPr>
                  <w:tcW w:w="3642" w:type="dxa"/>
                  <w:noWrap w:val="0"/>
                  <w:vAlign w:val="center"/>
                </w:tcPr>
                <w:p w14:paraId="3CCD0FE0">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结构件</w:t>
                  </w:r>
                </w:p>
              </w:tc>
              <w:tc>
                <w:tcPr>
                  <w:tcW w:w="2621" w:type="dxa"/>
                  <w:noWrap w:val="0"/>
                  <w:vAlign w:val="center"/>
                </w:tcPr>
                <w:p w14:paraId="523C4AFF">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8万套</w:t>
                  </w:r>
                  <w:r>
                    <w:rPr>
                      <w:rFonts w:hint="default" w:ascii="Times New Roman" w:hAnsi="Times New Roman" w:eastAsia="宋体" w:cs="Times New Roman"/>
                      <w:color w:val="auto"/>
                      <w:sz w:val="21"/>
                      <w:szCs w:val="21"/>
                      <w:lang w:val="en-US" w:eastAsia="zh-CN"/>
                    </w:rPr>
                    <w:t>/a</w:t>
                  </w:r>
                </w:p>
              </w:tc>
              <w:tc>
                <w:tcPr>
                  <w:tcW w:w="623" w:type="pct"/>
                  <w:vMerge w:val="restart"/>
                  <w:noWrap w:val="0"/>
                  <w:vAlign w:val="center"/>
                </w:tcPr>
                <w:p w14:paraId="3CCABA0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72</w:t>
                  </w:r>
                  <w:r>
                    <w:rPr>
                      <w:rFonts w:hint="default" w:ascii="Times New Roman" w:hAnsi="Times New Roman" w:eastAsia="宋体" w:cs="Times New Roman"/>
                      <w:color w:val="auto"/>
                      <w:sz w:val="21"/>
                      <w:szCs w:val="21"/>
                    </w:rPr>
                    <w:t>00h</w:t>
                  </w:r>
                </w:p>
              </w:tc>
            </w:tr>
            <w:tr w14:paraId="1B1FD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63" w:hRule="atLeast"/>
                <w:jc w:val="center"/>
              </w:trPr>
              <w:tc>
                <w:tcPr>
                  <w:tcW w:w="242" w:type="pct"/>
                  <w:noWrap w:val="0"/>
                  <w:vAlign w:val="center"/>
                </w:tcPr>
                <w:p w14:paraId="7C7B83B8">
                  <w:pPr>
                    <w:spacing w:line="240" w:lineRule="atLeas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4834" w:type="dxa"/>
                  <w:noWrap w:val="0"/>
                  <w:vAlign w:val="center"/>
                </w:tcPr>
                <w:p w14:paraId="5E1DFFF3">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紧固件生产线</w:t>
                  </w:r>
                </w:p>
              </w:tc>
              <w:tc>
                <w:tcPr>
                  <w:tcW w:w="3642" w:type="dxa"/>
                  <w:noWrap w:val="0"/>
                  <w:vAlign w:val="center"/>
                </w:tcPr>
                <w:p w14:paraId="7EE6A826">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紧固件</w:t>
                  </w:r>
                </w:p>
              </w:tc>
              <w:tc>
                <w:tcPr>
                  <w:tcW w:w="2621" w:type="dxa"/>
                  <w:noWrap w:val="0"/>
                  <w:vAlign w:val="center"/>
                </w:tcPr>
                <w:p w14:paraId="3CC62593">
                  <w:pPr>
                    <w:adjustRightInd w:val="0"/>
                    <w:snapToGrid w:val="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11万套</w:t>
                  </w:r>
                  <w:r>
                    <w:rPr>
                      <w:rFonts w:hint="default" w:ascii="Times New Roman" w:hAnsi="Times New Roman" w:eastAsia="宋体" w:cs="Times New Roman"/>
                      <w:color w:val="auto"/>
                      <w:sz w:val="21"/>
                      <w:szCs w:val="21"/>
                      <w:lang w:val="en-US" w:eastAsia="zh-CN"/>
                    </w:rPr>
                    <w:t>/a</w:t>
                  </w:r>
                </w:p>
              </w:tc>
              <w:tc>
                <w:tcPr>
                  <w:tcW w:w="623" w:type="pct"/>
                  <w:vMerge w:val="continue"/>
                  <w:noWrap w:val="0"/>
                  <w:vAlign w:val="center"/>
                </w:tcPr>
                <w:p w14:paraId="3D482C25">
                  <w:pPr>
                    <w:adjustRightInd w:val="0"/>
                    <w:snapToGrid w:val="0"/>
                    <w:jc w:val="center"/>
                    <w:rPr>
                      <w:rFonts w:hint="default" w:ascii="Times New Roman" w:hAnsi="Times New Roman" w:eastAsia="宋体" w:cs="Times New Roman"/>
                      <w:color w:val="auto"/>
                      <w:sz w:val="21"/>
                      <w:szCs w:val="21"/>
                    </w:rPr>
                  </w:pPr>
                </w:p>
              </w:tc>
            </w:tr>
          </w:tbl>
          <w:p w14:paraId="5BDC925A">
            <w:pPr>
              <w:adjustRightInd w:val="0"/>
              <w:snapToGrid w:val="0"/>
              <w:jc w:val="center"/>
              <w:rPr>
                <w:rFonts w:hint="default" w:ascii="Times New Roman" w:hAnsi="Times New Roman" w:eastAsia="宋体" w:cs="Times New Roman"/>
                <w:bCs/>
                <w:color w:val="auto"/>
                <w:szCs w:val="21"/>
              </w:rPr>
            </w:pPr>
          </w:p>
        </w:tc>
      </w:tr>
    </w:tbl>
    <w:p w14:paraId="26DDD0A0">
      <w:pPr>
        <w:keepNext w:val="0"/>
        <w:keepLines w:val="0"/>
        <w:pageBreakBefore w:val="0"/>
        <w:widowControl w:val="0"/>
        <w:kinsoku/>
        <w:wordWrap/>
        <w:overflowPunct/>
        <w:topLinePunct w:val="0"/>
        <w:autoSpaceDE/>
        <w:autoSpaceDN/>
        <w:bidi w:val="0"/>
        <w:adjustRightInd/>
        <w:snapToGrid/>
        <w:textAlignment w:val="auto"/>
        <w:outlineLvl w:val="0"/>
        <w:rPr>
          <w:rFonts w:hint="default" w:ascii="Times New Roman" w:hAnsi="Times New Roman" w:eastAsia="宋体" w:cs="Times New Roman"/>
          <w:color w:val="auto"/>
        </w:rPr>
      </w:pPr>
    </w:p>
    <w:p w14:paraId="09FEF55F">
      <w:pPr>
        <w:rPr>
          <w:rFonts w:hint="default"/>
          <w:color w:val="auto"/>
          <w:vertAlign w:val="baseline"/>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13652"/>
      </w:tblGrid>
      <w:tr w14:paraId="6B04F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6" w:hRule="atLeast"/>
        </w:trPr>
        <w:tc>
          <w:tcPr>
            <w:tcW w:w="427" w:type="dxa"/>
          </w:tcPr>
          <w:p w14:paraId="154EA1B6">
            <w:pPr>
              <w:pStyle w:val="3"/>
              <w:rPr>
                <w:rFonts w:hint="default" w:ascii="Times New Roman" w:hAnsi="Times New Roman" w:eastAsia="宋体" w:cs="Times New Roman"/>
                <w:color w:val="auto"/>
                <w:sz w:val="24"/>
                <w:szCs w:val="24"/>
              </w:rPr>
            </w:pPr>
          </w:p>
          <w:p w14:paraId="1F2F01F8">
            <w:pPr>
              <w:pStyle w:val="3"/>
              <w:rPr>
                <w:rFonts w:hint="default" w:ascii="Times New Roman" w:hAnsi="Times New Roman" w:eastAsia="宋体" w:cs="Times New Roman"/>
                <w:color w:val="auto"/>
                <w:sz w:val="24"/>
                <w:szCs w:val="24"/>
              </w:rPr>
            </w:pPr>
          </w:p>
          <w:p w14:paraId="5F5A425B">
            <w:pPr>
              <w:pStyle w:val="3"/>
              <w:rPr>
                <w:rFonts w:hint="default" w:ascii="Times New Roman" w:hAnsi="Times New Roman" w:eastAsia="宋体" w:cs="Times New Roman"/>
                <w:color w:val="auto"/>
                <w:sz w:val="24"/>
                <w:szCs w:val="24"/>
              </w:rPr>
            </w:pPr>
          </w:p>
          <w:p w14:paraId="5BC9F606">
            <w:pPr>
              <w:pStyle w:val="3"/>
              <w:rPr>
                <w:rFonts w:hint="default" w:ascii="Times New Roman" w:hAnsi="Times New Roman" w:eastAsia="宋体" w:cs="Times New Roman"/>
                <w:color w:val="auto"/>
                <w:sz w:val="24"/>
                <w:szCs w:val="24"/>
              </w:rPr>
            </w:pPr>
          </w:p>
          <w:p w14:paraId="5F9FA247">
            <w:pPr>
              <w:pStyle w:val="3"/>
              <w:rPr>
                <w:rFonts w:hint="default" w:ascii="Times New Roman" w:hAnsi="Times New Roman" w:eastAsia="宋体" w:cs="Times New Roman"/>
                <w:color w:val="auto"/>
                <w:sz w:val="24"/>
                <w:szCs w:val="24"/>
              </w:rPr>
            </w:pPr>
          </w:p>
          <w:p w14:paraId="27AE426B">
            <w:pPr>
              <w:pStyle w:val="3"/>
              <w:rPr>
                <w:rFonts w:hint="default" w:ascii="Times New Roman" w:hAnsi="Times New Roman" w:eastAsia="宋体" w:cs="Times New Roman"/>
                <w:color w:val="auto"/>
                <w:sz w:val="24"/>
                <w:szCs w:val="24"/>
              </w:rPr>
            </w:pPr>
          </w:p>
          <w:p w14:paraId="67BB2FBC">
            <w:pPr>
              <w:pStyle w:val="3"/>
              <w:rPr>
                <w:rFonts w:hint="default" w:ascii="Times New Roman" w:hAnsi="Times New Roman" w:eastAsia="宋体" w:cs="Times New Roman"/>
                <w:color w:val="auto"/>
                <w:sz w:val="24"/>
                <w:szCs w:val="24"/>
              </w:rPr>
            </w:pPr>
          </w:p>
          <w:p w14:paraId="44A0100C">
            <w:pPr>
              <w:pStyle w:val="3"/>
              <w:rPr>
                <w:rFonts w:hint="default" w:ascii="Times New Roman" w:hAnsi="Times New Roman" w:eastAsia="宋体" w:cs="Times New Roman"/>
                <w:color w:val="auto"/>
                <w:sz w:val="24"/>
                <w:szCs w:val="24"/>
              </w:rPr>
            </w:pPr>
          </w:p>
          <w:p w14:paraId="1FD4187F">
            <w:pPr>
              <w:pStyle w:val="3"/>
              <w:rPr>
                <w:rFonts w:hint="default" w:ascii="Times New Roman" w:hAnsi="Times New Roman" w:cs="Times New Roman"/>
                <w:color w:val="auto"/>
              </w:rPr>
            </w:pPr>
            <w:r>
              <w:rPr>
                <w:rFonts w:hint="default" w:ascii="Times New Roman" w:hAnsi="Times New Roman" w:eastAsia="宋体" w:cs="Times New Roman"/>
                <w:color w:val="auto"/>
                <w:sz w:val="24"/>
                <w:szCs w:val="24"/>
              </w:rPr>
              <w:t>建设内容</w:t>
            </w:r>
          </w:p>
        </w:tc>
        <w:tc>
          <w:tcPr>
            <w:tcW w:w="13652" w:type="dxa"/>
          </w:tcPr>
          <w:p w14:paraId="1D775E5F">
            <w:pPr>
              <w:pStyle w:val="7"/>
              <w:keepNext w:val="0"/>
              <w:keepLines w:val="0"/>
              <w:pageBreakBefore w:val="0"/>
              <w:numPr>
                <w:ilvl w:val="0"/>
                <w:numId w:val="0"/>
              </w:numPr>
              <w:kinsoku/>
              <w:wordWrap/>
              <w:overflowPunct/>
              <w:topLinePunct w:val="0"/>
              <w:autoSpaceDE/>
              <w:autoSpaceDN/>
              <w:bidi w:val="0"/>
              <w:spacing w:line="360" w:lineRule="auto"/>
              <w:jc w:val="lef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4"/>
                <w:lang w:val="en-US" w:eastAsia="zh-CN"/>
              </w:rPr>
              <w:t>2.1.</w:t>
            </w:r>
            <w:r>
              <w:rPr>
                <w:rFonts w:hint="default" w:ascii="Times New Roman" w:hAnsi="Times New Roman" w:cs="Times New Roman"/>
                <w:b/>
                <w:bCs/>
                <w:color w:val="auto"/>
                <w:sz w:val="24"/>
                <w:lang w:val="en-US" w:eastAsia="zh-CN"/>
              </w:rPr>
              <w:t>6</w:t>
            </w:r>
            <w:r>
              <w:rPr>
                <w:rFonts w:hint="default" w:ascii="Times New Roman" w:hAnsi="Times New Roman" w:eastAsia="宋体" w:cs="Times New Roman"/>
                <w:b/>
                <w:bCs/>
                <w:color w:val="auto"/>
                <w:sz w:val="24"/>
              </w:rPr>
              <w:t>主要生产设施</w:t>
            </w:r>
          </w:p>
          <w:p w14:paraId="0D4C84FD">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表2-</w:t>
            </w:r>
            <w:r>
              <w:rPr>
                <w:rFonts w:hint="default" w:ascii="Times New Roman" w:hAnsi="Times New Roman" w:cs="Times New Roman"/>
                <w:b/>
                <w:bCs/>
                <w:color w:val="auto"/>
                <w:sz w:val="21"/>
                <w:szCs w:val="21"/>
                <w:lang w:val="en-US" w:eastAsia="zh-CN"/>
              </w:rPr>
              <w:t xml:space="preserve">4 </w:t>
            </w:r>
            <w:r>
              <w:rPr>
                <w:rFonts w:hint="default" w:ascii="Times New Roman" w:hAnsi="Times New Roman" w:eastAsia="宋体" w:cs="Times New Roman"/>
                <w:b/>
                <w:bCs/>
                <w:color w:val="auto"/>
                <w:sz w:val="21"/>
                <w:szCs w:val="21"/>
                <w:lang w:val="en-US" w:eastAsia="zh-CN"/>
              </w:rPr>
              <w:t>主要设备</w:t>
            </w:r>
            <w:r>
              <w:rPr>
                <w:rFonts w:hint="default" w:ascii="Times New Roman" w:hAnsi="Times New Roman" w:eastAsia="宋体" w:cs="Times New Roman"/>
                <w:b/>
                <w:bCs/>
                <w:color w:val="auto"/>
                <w:sz w:val="21"/>
                <w:szCs w:val="21"/>
              </w:rPr>
              <w:t>一览表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14"/>
              <w:gridCol w:w="2350"/>
              <w:gridCol w:w="6065"/>
              <w:gridCol w:w="1620"/>
              <w:gridCol w:w="1472"/>
            </w:tblGrid>
            <w:tr w14:paraId="06DCD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blHeader/>
              </w:trPr>
              <w:tc>
                <w:tcPr>
                  <w:tcW w:w="713" w:type="pct"/>
                  <w:noWrap w:val="0"/>
                  <w:vAlign w:val="center"/>
                </w:tcPr>
                <w:p w14:paraId="3C28BDC9">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cs="Times New Roman"/>
                      <w:b/>
                      <w:bCs/>
                      <w:color w:val="auto"/>
                      <w:sz w:val="21"/>
                      <w:szCs w:val="21"/>
                      <w:lang w:val="en-US" w:eastAsia="zh-CN"/>
                    </w:rPr>
                    <w:t>序号</w:t>
                  </w:r>
                </w:p>
              </w:tc>
              <w:tc>
                <w:tcPr>
                  <w:tcW w:w="875" w:type="pct"/>
                  <w:noWrap w:val="0"/>
                  <w:vAlign w:val="center"/>
                </w:tcPr>
                <w:p w14:paraId="60410AB0">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设备名称</w:t>
                  </w:r>
                </w:p>
              </w:tc>
              <w:tc>
                <w:tcPr>
                  <w:tcW w:w="2258" w:type="pct"/>
                  <w:noWrap w:val="0"/>
                  <w:vAlign w:val="center"/>
                </w:tcPr>
                <w:p w14:paraId="39E9B4A7">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型号</w:t>
                  </w:r>
                </w:p>
              </w:tc>
              <w:tc>
                <w:tcPr>
                  <w:tcW w:w="603" w:type="pct"/>
                  <w:noWrap w:val="0"/>
                  <w:vAlign w:val="center"/>
                </w:tcPr>
                <w:p w14:paraId="1CAE7320">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数量（台/套）</w:t>
                  </w:r>
                </w:p>
              </w:tc>
              <w:tc>
                <w:tcPr>
                  <w:tcW w:w="548" w:type="pct"/>
                  <w:noWrap w:val="0"/>
                  <w:vAlign w:val="center"/>
                </w:tcPr>
                <w:p w14:paraId="6B0363B9">
                  <w:pPr>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备注</w:t>
                  </w:r>
                </w:p>
              </w:tc>
            </w:tr>
            <w:tr w14:paraId="2DF7B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4" w:type="dxa"/>
                  <w:noWrap w:val="0"/>
                  <w:vAlign w:val="center"/>
                </w:tcPr>
                <w:p w14:paraId="78CB3DA3">
                  <w:pPr>
                    <w:adjustRightInd w:val="0"/>
                    <w:snapToGrid w:val="0"/>
                    <w:jc w:val="center"/>
                    <w:rPr>
                      <w:rFonts w:hint="default" w:ascii="Times New Roman" w:hAnsi="Times New Roman" w:cs="Times New Roman"/>
                      <w:b w:val="0"/>
                      <w:bCs w:val="0"/>
                      <w:i w:val="0"/>
                      <w:iCs w:val="0"/>
                      <w:caps w:val="0"/>
                      <w:color w:val="auto"/>
                      <w:spacing w:val="0"/>
                      <w:sz w:val="21"/>
                      <w:szCs w:val="21"/>
                      <w:lang w:val="en-US" w:eastAsia="zh-CN"/>
                    </w:rPr>
                  </w:pPr>
                  <w:r>
                    <w:rPr>
                      <w:rFonts w:hint="default" w:ascii="Times New Roman" w:hAnsi="Times New Roman" w:cs="Times New Roman"/>
                      <w:b w:val="0"/>
                      <w:bCs w:val="0"/>
                      <w:i w:val="0"/>
                      <w:iCs w:val="0"/>
                      <w:caps w:val="0"/>
                      <w:color w:val="auto"/>
                      <w:spacing w:val="0"/>
                      <w:sz w:val="21"/>
                      <w:szCs w:val="21"/>
                      <w:lang w:val="en-US" w:eastAsia="zh-CN"/>
                    </w:rPr>
                    <w:t>1</w:t>
                  </w:r>
                </w:p>
              </w:tc>
              <w:tc>
                <w:tcPr>
                  <w:tcW w:w="875" w:type="pct"/>
                  <w:noWrap w:val="0"/>
                  <w:vAlign w:val="center"/>
                </w:tcPr>
                <w:p w14:paraId="45D345C0">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切割机</w:t>
                  </w:r>
                </w:p>
              </w:tc>
              <w:tc>
                <w:tcPr>
                  <w:tcW w:w="2258" w:type="pct"/>
                  <w:noWrap w:val="0"/>
                  <w:vAlign w:val="center"/>
                </w:tcPr>
                <w:p w14:paraId="336C866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i w:val="0"/>
                      <w:iCs w:val="0"/>
                      <w:color w:val="auto"/>
                      <w:kern w:val="0"/>
                      <w:sz w:val="21"/>
                      <w:szCs w:val="21"/>
                      <w:u w:val="none"/>
                      <w:lang w:val="en-US" w:eastAsia="zh-CN" w:bidi="ar"/>
                    </w:rPr>
                    <w:t>/</w:t>
                  </w:r>
                </w:p>
              </w:tc>
              <w:tc>
                <w:tcPr>
                  <w:tcW w:w="603" w:type="pct"/>
                  <w:noWrap w:val="0"/>
                  <w:vAlign w:val="center"/>
                </w:tcPr>
                <w:p w14:paraId="492D3B9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548" w:type="pct"/>
                  <w:noWrap w:val="0"/>
                  <w:vAlign w:val="center"/>
                </w:tcPr>
                <w:p w14:paraId="19492BDE">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国产</w:t>
                  </w:r>
                </w:p>
              </w:tc>
            </w:tr>
            <w:tr w14:paraId="4EDD4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4" w:type="dxa"/>
                  <w:noWrap w:val="0"/>
                  <w:vAlign w:val="center"/>
                </w:tcPr>
                <w:p w14:paraId="3BCA6DD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b w:val="0"/>
                      <w:bCs w:val="0"/>
                      <w:i w:val="0"/>
                      <w:iCs w:val="0"/>
                      <w:caps w:val="0"/>
                      <w:color w:val="auto"/>
                      <w:spacing w:val="0"/>
                      <w:sz w:val="21"/>
                      <w:szCs w:val="21"/>
                      <w:lang w:val="en-US" w:eastAsia="zh-CN"/>
                    </w:rPr>
                    <w:t>2</w:t>
                  </w:r>
                </w:p>
              </w:tc>
              <w:tc>
                <w:tcPr>
                  <w:tcW w:w="875" w:type="pct"/>
                  <w:noWrap w:val="0"/>
                  <w:vAlign w:val="center"/>
                </w:tcPr>
                <w:p w14:paraId="28EF439D">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加工中心</w:t>
                  </w:r>
                </w:p>
              </w:tc>
              <w:tc>
                <w:tcPr>
                  <w:tcW w:w="2258" w:type="pct"/>
                  <w:noWrap w:val="0"/>
                  <w:vAlign w:val="center"/>
                </w:tcPr>
                <w:p w14:paraId="0A6B0800">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CNC850</w:t>
                  </w:r>
                </w:p>
              </w:tc>
              <w:tc>
                <w:tcPr>
                  <w:tcW w:w="603" w:type="pct"/>
                  <w:noWrap w:val="0"/>
                  <w:vAlign w:val="center"/>
                </w:tcPr>
                <w:p w14:paraId="02DB4836">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w:t>
                  </w:r>
                </w:p>
              </w:tc>
              <w:tc>
                <w:tcPr>
                  <w:tcW w:w="548" w:type="pct"/>
                  <w:noWrap w:val="0"/>
                  <w:vAlign w:val="center"/>
                </w:tcPr>
                <w:p w14:paraId="70C2F278">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国产</w:t>
                  </w:r>
                </w:p>
              </w:tc>
            </w:tr>
            <w:tr w14:paraId="367C0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4" w:type="dxa"/>
                  <w:noWrap w:val="0"/>
                  <w:vAlign w:val="center"/>
                </w:tcPr>
                <w:p w14:paraId="041481EC">
                  <w:pPr>
                    <w:adjustRightInd w:val="0"/>
                    <w:snapToGrid w:val="0"/>
                    <w:jc w:val="center"/>
                    <w:rPr>
                      <w:rFonts w:hint="default" w:ascii="Times New Roman" w:hAnsi="Times New Roman" w:cs="Times New Roman"/>
                      <w:b w:val="0"/>
                      <w:bCs w:val="0"/>
                      <w:i w:val="0"/>
                      <w:iCs w:val="0"/>
                      <w:caps w:val="0"/>
                      <w:color w:val="auto"/>
                      <w:spacing w:val="0"/>
                      <w:sz w:val="21"/>
                      <w:szCs w:val="21"/>
                      <w:lang w:val="en-US" w:eastAsia="zh-CN"/>
                    </w:rPr>
                  </w:pPr>
                  <w:r>
                    <w:rPr>
                      <w:rFonts w:hint="default" w:ascii="Times New Roman" w:hAnsi="Times New Roman" w:cs="Times New Roman"/>
                      <w:b w:val="0"/>
                      <w:bCs w:val="0"/>
                      <w:i w:val="0"/>
                      <w:iCs w:val="0"/>
                      <w:caps w:val="0"/>
                      <w:color w:val="auto"/>
                      <w:spacing w:val="0"/>
                      <w:sz w:val="21"/>
                      <w:szCs w:val="21"/>
                      <w:lang w:val="en-US" w:eastAsia="zh-CN"/>
                    </w:rPr>
                    <w:t>3</w:t>
                  </w:r>
                </w:p>
              </w:tc>
              <w:tc>
                <w:tcPr>
                  <w:tcW w:w="875" w:type="pct"/>
                  <w:noWrap w:val="0"/>
                  <w:vAlign w:val="center"/>
                </w:tcPr>
                <w:p w14:paraId="7BD0898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钻攻机</w:t>
                  </w:r>
                </w:p>
              </w:tc>
              <w:tc>
                <w:tcPr>
                  <w:tcW w:w="2258" w:type="pct"/>
                  <w:noWrap w:val="0"/>
                  <w:vAlign w:val="center"/>
                </w:tcPr>
                <w:p w14:paraId="4470469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600</w:t>
                  </w:r>
                </w:p>
              </w:tc>
              <w:tc>
                <w:tcPr>
                  <w:tcW w:w="603" w:type="pct"/>
                  <w:noWrap w:val="0"/>
                  <w:vAlign w:val="center"/>
                </w:tcPr>
                <w:p w14:paraId="145F0462">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w:t>
                  </w:r>
                </w:p>
              </w:tc>
              <w:tc>
                <w:tcPr>
                  <w:tcW w:w="548" w:type="pct"/>
                  <w:noWrap w:val="0"/>
                  <w:vAlign w:val="center"/>
                </w:tcPr>
                <w:p w14:paraId="1A4E11A5">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国产</w:t>
                  </w:r>
                </w:p>
              </w:tc>
            </w:tr>
            <w:tr w14:paraId="72C73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4" w:type="dxa"/>
                  <w:noWrap w:val="0"/>
                  <w:vAlign w:val="center"/>
                </w:tcPr>
                <w:p w14:paraId="6A4C6188">
                  <w:pPr>
                    <w:adjustRightInd w:val="0"/>
                    <w:snapToGrid w:val="0"/>
                    <w:jc w:val="center"/>
                    <w:rPr>
                      <w:rFonts w:hint="default" w:ascii="Times New Roman" w:hAnsi="Times New Roman" w:cs="Times New Roman"/>
                      <w:b w:val="0"/>
                      <w:bCs w:val="0"/>
                      <w:i w:val="0"/>
                      <w:iCs w:val="0"/>
                      <w:caps w:val="0"/>
                      <w:color w:val="auto"/>
                      <w:spacing w:val="0"/>
                      <w:sz w:val="21"/>
                      <w:szCs w:val="21"/>
                      <w:lang w:val="en-US" w:eastAsia="zh-CN"/>
                    </w:rPr>
                  </w:pPr>
                  <w:r>
                    <w:rPr>
                      <w:rFonts w:hint="default" w:ascii="Times New Roman" w:hAnsi="Times New Roman" w:cs="Times New Roman"/>
                      <w:b w:val="0"/>
                      <w:bCs w:val="0"/>
                      <w:i w:val="0"/>
                      <w:iCs w:val="0"/>
                      <w:caps w:val="0"/>
                      <w:color w:val="auto"/>
                      <w:spacing w:val="0"/>
                      <w:sz w:val="21"/>
                      <w:szCs w:val="21"/>
                      <w:lang w:val="en-US" w:eastAsia="zh-CN"/>
                    </w:rPr>
                    <w:t>4</w:t>
                  </w:r>
                </w:p>
              </w:tc>
              <w:tc>
                <w:tcPr>
                  <w:tcW w:w="875" w:type="pct"/>
                  <w:noWrap w:val="0"/>
                  <w:vAlign w:val="center"/>
                </w:tcPr>
                <w:p w14:paraId="78DE5C4C">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数控机床</w:t>
                  </w:r>
                </w:p>
              </w:tc>
              <w:tc>
                <w:tcPr>
                  <w:tcW w:w="2258" w:type="pct"/>
                  <w:noWrap w:val="0"/>
                  <w:vAlign w:val="center"/>
                </w:tcPr>
                <w:p w14:paraId="1591BBB6">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i w:val="0"/>
                      <w:iCs w:val="0"/>
                      <w:color w:val="auto"/>
                      <w:kern w:val="0"/>
                      <w:sz w:val="21"/>
                      <w:szCs w:val="21"/>
                      <w:u w:val="none"/>
                      <w:lang w:val="en-US" w:eastAsia="zh-CN" w:bidi="ar"/>
                    </w:rPr>
                    <w:t>/</w:t>
                  </w:r>
                </w:p>
              </w:tc>
              <w:tc>
                <w:tcPr>
                  <w:tcW w:w="603" w:type="pct"/>
                  <w:noWrap w:val="0"/>
                  <w:vAlign w:val="center"/>
                </w:tcPr>
                <w:p w14:paraId="56BE903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w:t>
                  </w:r>
                </w:p>
              </w:tc>
              <w:tc>
                <w:tcPr>
                  <w:tcW w:w="548" w:type="pct"/>
                  <w:noWrap w:val="0"/>
                  <w:vAlign w:val="center"/>
                </w:tcPr>
                <w:p w14:paraId="62E82BDB">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国产</w:t>
                  </w:r>
                </w:p>
              </w:tc>
            </w:tr>
            <w:tr w14:paraId="16ACB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914" w:type="dxa"/>
                  <w:noWrap w:val="0"/>
                  <w:vAlign w:val="center"/>
                </w:tcPr>
                <w:p w14:paraId="44A81902">
                  <w:pPr>
                    <w:adjustRightInd w:val="0"/>
                    <w:snapToGrid w:val="0"/>
                    <w:jc w:val="center"/>
                    <w:rPr>
                      <w:rFonts w:hint="default" w:ascii="Times New Roman" w:hAnsi="Times New Roman" w:cs="Times New Roman"/>
                      <w:b w:val="0"/>
                      <w:bCs w:val="0"/>
                      <w:i w:val="0"/>
                      <w:iCs w:val="0"/>
                      <w:caps w:val="0"/>
                      <w:color w:val="auto"/>
                      <w:spacing w:val="0"/>
                      <w:sz w:val="21"/>
                      <w:szCs w:val="21"/>
                      <w:lang w:val="en-US" w:eastAsia="zh-CN"/>
                    </w:rPr>
                  </w:pPr>
                  <w:r>
                    <w:rPr>
                      <w:rFonts w:hint="default" w:ascii="Times New Roman" w:hAnsi="Times New Roman" w:cs="Times New Roman"/>
                      <w:b w:val="0"/>
                      <w:bCs w:val="0"/>
                      <w:i w:val="0"/>
                      <w:iCs w:val="0"/>
                      <w:caps w:val="0"/>
                      <w:color w:val="auto"/>
                      <w:spacing w:val="0"/>
                      <w:sz w:val="21"/>
                      <w:szCs w:val="21"/>
                      <w:lang w:val="en-US" w:eastAsia="zh-CN"/>
                    </w:rPr>
                    <w:t>5</w:t>
                  </w:r>
                </w:p>
              </w:tc>
              <w:tc>
                <w:tcPr>
                  <w:tcW w:w="875" w:type="pct"/>
                  <w:noWrap w:val="0"/>
                  <w:vAlign w:val="center"/>
                </w:tcPr>
                <w:p w14:paraId="39AA8A19">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清洗机</w:t>
                  </w:r>
                </w:p>
              </w:tc>
              <w:tc>
                <w:tcPr>
                  <w:tcW w:w="2258" w:type="pct"/>
                  <w:noWrap w:val="0"/>
                  <w:vAlign w:val="center"/>
                </w:tcPr>
                <w:p w14:paraId="354C1FA9">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6个槽，单槽尺寸均为80cm*80cm*70cm</w:t>
                  </w:r>
                </w:p>
              </w:tc>
              <w:tc>
                <w:tcPr>
                  <w:tcW w:w="603" w:type="pct"/>
                  <w:noWrap w:val="0"/>
                  <w:vAlign w:val="center"/>
                </w:tcPr>
                <w:p w14:paraId="6103334B">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w:t>
                  </w:r>
                </w:p>
              </w:tc>
              <w:tc>
                <w:tcPr>
                  <w:tcW w:w="548" w:type="pct"/>
                  <w:noWrap w:val="0"/>
                  <w:vAlign w:val="center"/>
                </w:tcPr>
                <w:p w14:paraId="352BA976">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国产</w:t>
                  </w:r>
                </w:p>
              </w:tc>
            </w:tr>
            <w:tr w14:paraId="249D7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3" w:type="pct"/>
                  <w:noWrap w:val="0"/>
                  <w:vAlign w:val="center"/>
                </w:tcPr>
                <w:p w14:paraId="69BE23D1">
                  <w:pPr>
                    <w:adjustRightInd w:val="0"/>
                    <w:snapToGrid w:val="0"/>
                    <w:jc w:val="center"/>
                    <w:rPr>
                      <w:rFonts w:hint="default" w:ascii="Times New Roman" w:hAnsi="Times New Roman" w:cs="Times New Roman"/>
                      <w:b w:val="0"/>
                      <w:bCs w:val="0"/>
                      <w:i w:val="0"/>
                      <w:iCs w:val="0"/>
                      <w:caps w:val="0"/>
                      <w:color w:val="auto"/>
                      <w:spacing w:val="0"/>
                      <w:sz w:val="21"/>
                      <w:szCs w:val="21"/>
                      <w:lang w:val="en-US" w:eastAsia="zh-CN"/>
                    </w:rPr>
                  </w:pPr>
                  <w:r>
                    <w:rPr>
                      <w:rFonts w:hint="default" w:ascii="Times New Roman" w:hAnsi="Times New Roman" w:cs="Times New Roman"/>
                      <w:b w:val="0"/>
                      <w:bCs w:val="0"/>
                      <w:i w:val="0"/>
                      <w:iCs w:val="0"/>
                      <w:caps w:val="0"/>
                      <w:color w:val="auto"/>
                      <w:spacing w:val="0"/>
                      <w:sz w:val="21"/>
                      <w:szCs w:val="21"/>
                      <w:lang w:val="en-US" w:eastAsia="zh-CN"/>
                    </w:rPr>
                    <w:t>6</w:t>
                  </w:r>
                </w:p>
              </w:tc>
              <w:tc>
                <w:tcPr>
                  <w:tcW w:w="875" w:type="pct"/>
                  <w:noWrap w:val="0"/>
                  <w:vAlign w:val="center"/>
                </w:tcPr>
                <w:p w14:paraId="0499C29B">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烘箱</w:t>
                  </w:r>
                </w:p>
              </w:tc>
              <w:tc>
                <w:tcPr>
                  <w:tcW w:w="2258" w:type="pct"/>
                  <w:noWrap w:val="0"/>
                  <w:vAlign w:val="center"/>
                </w:tcPr>
                <w:p w14:paraId="3BA5BA0B">
                  <w:pPr>
                    <w:adjustRightInd w:val="0"/>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电加热</w:t>
                  </w:r>
                </w:p>
              </w:tc>
              <w:tc>
                <w:tcPr>
                  <w:tcW w:w="603" w:type="pct"/>
                  <w:noWrap w:val="0"/>
                  <w:vAlign w:val="center"/>
                </w:tcPr>
                <w:p w14:paraId="21D237A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548" w:type="pct"/>
                  <w:noWrap w:val="0"/>
                  <w:vAlign w:val="center"/>
                </w:tcPr>
                <w:p w14:paraId="367843A1">
                  <w:pPr>
                    <w:adjustRightInd w:val="0"/>
                    <w:snapToGrid w:val="0"/>
                    <w:jc w:val="center"/>
                    <w:rPr>
                      <w:rFonts w:hint="default" w:ascii="Times New Roman" w:hAnsi="Times New Roman" w:eastAsia="仿宋"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国产</w:t>
                  </w:r>
                </w:p>
              </w:tc>
            </w:tr>
            <w:tr w14:paraId="64727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3" w:type="pct"/>
                  <w:noWrap w:val="0"/>
                  <w:vAlign w:val="center"/>
                </w:tcPr>
                <w:p w14:paraId="215BA4FF">
                  <w:pPr>
                    <w:adjustRightInd w:val="0"/>
                    <w:snapToGrid w:val="0"/>
                    <w:jc w:val="center"/>
                    <w:rPr>
                      <w:rFonts w:hint="default" w:ascii="Times New Roman" w:hAnsi="Times New Roman" w:cs="Times New Roman"/>
                      <w:b w:val="0"/>
                      <w:bCs w:val="0"/>
                      <w:i w:val="0"/>
                      <w:iCs w:val="0"/>
                      <w:caps w:val="0"/>
                      <w:color w:val="auto"/>
                      <w:spacing w:val="0"/>
                      <w:sz w:val="21"/>
                      <w:szCs w:val="21"/>
                      <w:lang w:val="en-US" w:eastAsia="zh-CN"/>
                    </w:rPr>
                  </w:pPr>
                  <w:r>
                    <w:rPr>
                      <w:rFonts w:hint="eastAsia" w:cs="Times New Roman"/>
                      <w:b w:val="0"/>
                      <w:bCs w:val="0"/>
                      <w:i w:val="0"/>
                      <w:iCs w:val="0"/>
                      <w:caps w:val="0"/>
                      <w:color w:val="auto"/>
                      <w:spacing w:val="0"/>
                      <w:sz w:val="21"/>
                      <w:szCs w:val="21"/>
                      <w:lang w:val="en-US" w:eastAsia="zh-CN"/>
                    </w:rPr>
                    <w:t>7</w:t>
                  </w:r>
                </w:p>
              </w:tc>
              <w:tc>
                <w:tcPr>
                  <w:tcW w:w="875" w:type="pct"/>
                  <w:noWrap w:val="0"/>
                  <w:vAlign w:val="center"/>
                </w:tcPr>
                <w:p w14:paraId="6F2735D8">
                  <w:pPr>
                    <w:adjustRightInd w:val="0"/>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板框压滤机</w:t>
                  </w:r>
                </w:p>
              </w:tc>
              <w:tc>
                <w:tcPr>
                  <w:tcW w:w="2258" w:type="pct"/>
                  <w:noWrap w:val="0"/>
                  <w:vAlign w:val="center"/>
                </w:tcPr>
                <w:p w14:paraId="7FB0EED4">
                  <w:pPr>
                    <w:adjustRightInd w:val="0"/>
                    <w:snapToGrid w:val="0"/>
                    <w:jc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w:t>
                  </w:r>
                </w:p>
              </w:tc>
              <w:tc>
                <w:tcPr>
                  <w:tcW w:w="603" w:type="pct"/>
                  <w:noWrap w:val="0"/>
                  <w:vAlign w:val="center"/>
                </w:tcPr>
                <w:p w14:paraId="39CDFD87">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548" w:type="pct"/>
                  <w:noWrap w:val="0"/>
                  <w:vAlign w:val="center"/>
                </w:tcPr>
                <w:p w14:paraId="1A38A97E">
                  <w:pPr>
                    <w:adjustRightInd w:val="0"/>
                    <w:snapToGrid w:val="0"/>
                    <w:jc w:val="center"/>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国产</w:t>
                  </w:r>
                </w:p>
              </w:tc>
            </w:tr>
            <w:tr w14:paraId="667C5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3" w:type="pct"/>
                  <w:noWrap w:val="0"/>
                  <w:vAlign w:val="center"/>
                </w:tcPr>
                <w:p w14:paraId="3768C26A">
                  <w:pPr>
                    <w:adjustRightInd w:val="0"/>
                    <w:snapToGrid w:val="0"/>
                    <w:jc w:val="center"/>
                    <w:rPr>
                      <w:rFonts w:hint="default" w:cs="Times New Roman"/>
                      <w:b w:val="0"/>
                      <w:bCs w:val="0"/>
                      <w:i w:val="0"/>
                      <w:iCs w:val="0"/>
                      <w:caps w:val="0"/>
                      <w:color w:val="auto"/>
                      <w:spacing w:val="0"/>
                      <w:sz w:val="21"/>
                      <w:szCs w:val="21"/>
                      <w:lang w:val="en-US" w:eastAsia="zh-CN"/>
                    </w:rPr>
                  </w:pPr>
                  <w:r>
                    <w:rPr>
                      <w:rFonts w:hint="eastAsia" w:cs="Times New Roman"/>
                      <w:b w:val="0"/>
                      <w:bCs w:val="0"/>
                      <w:i w:val="0"/>
                      <w:iCs w:val="0"/>
                      <w:caps w:val="0"/>
                      <w:color w:val="auto"/>
                      <w:spacing w:val="0"/>
                      <w:sz w:val="21"/>
                      <w:szCs w:val="21"/>
                      <w:lang w:val="en-US" w:eastAsia="zh-CN"/>
                    </w:rPr>
                    <w:t>8</w:t>
                  </w:r>
                </w:p>
              </w:tc>
              <w:tc>
                <w:tcPr>
                  <w:tcW w:w="875" w:type="pct"/>
                  <w:noWrap w:val="0"/>
                  <w:vAlign w:val="center"/>
                </w:tcPr>
                <w:p w14:paraId="3269EDCC">
                  <w:pPr>
                    <w:adjustRightInd w:val="0"/>
                    <w:snapToGrid w:val="0"/>
                    <w:jc w:val="center"/>
                    <w:rPr>
                      <w:rFonts w:hint="eastAsia"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千分尺</w:t>
                  </w:r>
                </w:p>
              </w:tc>
              <w:tc>
                <w:tcPr>
                  <w:tcW w:w="2258" w:type="pct"/>
                  <w:noWrap w:val="0"/>
                  <w:vAlign w:val="center"/>
                </w:tcPr>
                <w:p w14:paraId="5A17443A">
                  <w:pPr>
                    <w:adjustRightInd w:val="0"/>
                    <w:snapToGrid w:val="0"/>
                    <w:jc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w:t>
                  </w:r>
                </w:p>
              </w:tc>
              <w:tc>
                <w:tcPr>
                  <w:tcW w:w="603" w:type="pct"/>
                  <w:noWrap w:val="0"/>
                  <w:vAlign w:val="center"/>
                </w:tcPr>
                <w:p w14:paraId="5A55A805">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w:t>
                  </w:r>
                </w:p>
              </w:tc>
              <w:tc>
                <w:tcPr>
                  <w:tcW w:w="1472" w:type="dxa"/>
                  <w:noWrap w:val="0"/>
                  <w:vAlign w:val="center"/>
                </w:tcPr>
                <w:p w14:paraId="4B77A931">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国产</w:t>
                  </w:r>
                </w:p>
              </w:tc>
            </w:tr>
            <w:tr w14:paraId="3D718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13" w:type="pct"/>
                  <w:noWrap w:val="0"/>
                  <w:vAlign w:val="center"/>
                </w:tcPr>
                <w:p w14:paraId="48E92CF5">
                  <w:pPr>
                    <w:adjustRightInd w:val="0"/>
                    <w:snapToGrid w:val="0"/>
                    <w:jc w:val="center"/>
                    <w:rPr>
                      <w:rFonts w:hint="default" w:cs="Times New Roman"/>
                      <w:b w:val="0"/>
                      <w:bCs w:val="0"/>
                      <w:i w:val="0"/>
                      <w:iCs w:val="0"/>
                      <w:caps w:val="0"/>
                      <w:color w:val="auto"/>
                      <w:spacing w:val="0"/>
                      <w:sz w:val="21"/>
                      <w:szCs w:val="21"/>
                      <w:lang w:val="en-US" w:eastAsia="zh-CN"/>
                    </w:rPr>
                  </w:pPr>
                  <w:r>
                    <w:rPr>
                      <w:rFonts w:hint="eastAsia" w:cs="Times New Roman"/>
                      <w:b w:val="0"/>
                      <w:bCs w:val="0"/>
                      <w:i w:val="0"/>
                      <w:iCs w:val="0"/>
                      <w:caps w:val="0"/>
                      <w:color w:val="auto"/>
                      <w:spacing w:val="0"/>
                      <w:sz w:val="21"/>
                      <w:szCs w:val="21"/>
                      <w:lang w:val="en-US" w:eastAsia="zh-CN"/>
                    </w:rPr>
                    <w:t>9</w:t>
                  </w:r>
                </w:p>
              </w:tc>
              <w:tc>
                <w:tcPr>
                  <w:tcW w:w="875" w:type="pct"/>
                  <w:noWrap w:val="0"/>
                  <w:vAlign w:val="center"/>
                </w:tcPr>
                <w:p w14:paraId="27DCC077">
                  <w:pPr>
                    <w:adjustRightInd w:val="0"/>
                    <w:snapToGrid w:val="0"/>
                    <w:jc w:val="center"/>
                    <w:rPr>
                      <w:rFonts w:hint="eastAsia"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环刃检测仪</w:t>
                  </w:r>
                </w:p>
              </w:tc>
              <w:tc>
                <w:tcPr>
                  <w:tcW w:w="2258" w:type="pct"/>
                  <w:noWrap w:val="0"/>
                  <w:vAlign w:val="center"/>
                </w:tcPr>
                <w:p w14:paraId="0DF9FB99">
                  <w:pPr>
                    <w:adjustRightInd w:val="0"/>
                    <w:snapToGrid w:val="0"/>
                    <w:jc w:val="center"/>
                    <w:rPr>
                      <w:rFonts w:hint="eastAsia" w:ascii="Times New Roman" w:hAnsi="Times New Roman"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w:t>
                  </w:r>
                </w:p>
              </w:tc>
              <w:tc>
                <w:tcPr>
                  <w:tcW w:w="603" w:type="pct"/>
                  <w:noWrap w:val="0"/>
                  <w:vAlign w:val="center"/>
                </w:tcPr>
                <w:p w14:paraId="65079E34">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w:t>
                  </w:r>
                </w:p>
              </w:tc>
              <w:tc>
                <w:tcPr>
                  <w:tcW w:w="1472" w:type="dxa"/>
                  <w:noWrap w:val="0"/>
                  <w:vAlign w:val="center"/>
                </w:tcPr>
                <w:p w14:paraId="5B2A8447">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国产</w:t>
                  </w:r>
                </w:p>
              </w:tc>
            </w:tr>
          </w:tbl>
          <w:p w14:paraId="49B4A81E">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4"/>
                <w:lang w:val="en-US" w:eastAsia="zh-CN"/>
              </w:rPr>
              <w:t>2.1.</w:t>
            </w:r>
            <w:r>
              <w:rPr>
                <w:rFonts w:hint="default" w:ascii="Times New Roman" w:hAnsi="Times New Roman" w:cs="Times New Roman"/>
                <w:b/>
                <w:bCs/>
                <w:color w:val="auto"/>
                <w:sz w:val="24"/>
                <w:lang w:val="en-US" w:eastAsia="zh-CN"/>
              </w:rPr>
              <w:t>7</w:t>
            </w:r>
            <w:r>
              <w:rPr>
                <w:rFonts w:hint="default" w:ascii="Times New Roman" w:hAnsi="Times New Roman" w:eastAsia="宋体" w:cs="Times New Roman"/>
                <w:b/>
                <w:bCs/>
                <w:color w:val="auto"/>
                <w:sz w:val="24"/>
              </w:rPr>
              <w:t>原辅料及燃料</w:t>
            </w:r>
          </w:p>
          <w:p w14:paraId="004464EE">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表2-</w:t>
            </w:r>
            <w:r>
              <w:rPr>
                <w:rFonts w:hint="default" w:ascii="Times New Roman" w:hAnsi="Times New Roman" w:cs="Times New Roman"/>
                <w:b/>
                <w:bCs/>
                <w:color w:val="auto"/>
                <w:sz w:val="21"/>
                <w:szCs w:val="21"/>
                <w:lang w:val="en-US" w:eastAsia="zh-CN"/>
              </w:rPr>
              <w:t xml:space="preserve">5 </w:t>
            </w:r>
            <w:r>
              <w:rPr>
                <w:rFonts w:hint="default" w:ascii="Times New Roman" w:hAnsi="Times New Roman" w:eastAsia="宋体" w:cs="Times New Roman"/>
                <w:b/>
                <w:bCs/>
                <w:color w:val="auto"/>
                <w:sz w:val="21"/>
                <w:szCs w:val="21"/>
              </w:rPr>
              <w:t>主要原辅料</w:t>
            </w:r>
            <w:r>
              <w:rPr>
                <w:rFonts w:hint="default" w:ascii="Times New Roman" w:hAnsi="Times New Roman" w:eastAsia="宋体" w:cs="Times New Roman"/>
                <w:b/>
                <w:bCs/>
                <w:color w:val="auto"/>
                <w:sz w:val="21"/>
                <w:szCs w:val="21"/>
                <w:lang w:val="en-US" w:eastAsia="zh-CN"/>
              </w:rPr>
              <w:t>种类和用量</w:t>
            </w:r>
            <w:r>
              <w:rPr>
                <w:rFonts w:hint="default" w:ascii="Times New Roman" w:hAnsi="Times New Roman" w:eastAsia="宋体" w:cs="Times New Roman"/>
                <w:b/>
                <w:bCs/>
                <w:color w:val="auto"/>
                <w:sz w:val="21"/>
                <w:szCs w:val="21"/>
              </w:rPr>
              <w:t>一览表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76"/>
              <w:gridCol w:w="1985"/>
              <w:gridCol w:w="4145"/>
              <w:gridCol w:w="1875"/>
              <w:gridCol w:w="1663"/>
              <w:gridCol w:w="1499"/>
              <w:gridCol w:w="1478"/>
            </w:tblGrid>
            <w:tr w14:paraId="3BCBD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9" w:type="pct"/>
                  <w:noWrap w:val="0"/>
                  <w:vAlign w:val="center"/>
                </w:tcPr>
                <w:p w14:paraId="39E5782D">
                  <w:pPr>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序号</w:t>
                  </w:r>
                </w:p>
              </w:tc>
              <w:tc>
                <w:tcPr>
                  <w:tcW w:w="739" w:type="pct"/>
                  <w:noWrap w:val="0"/>
                  <w:vAlign w:val="center"/>
                </w:tcPr>
                <w:p w14:paraId="016FD655">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原辅料名称</w:t>
                  </w:r>
                </w:p>
              </w:tc>
              <w:tc>
                <w:tcPr>
                  <w:tcW w:w="1543" w:type="pct"/>
                  <w:noWrap w:val="0"/>
                  <w:vAlign w:val="center"/>
                </w:tcPr>
                <w:p w14:paraId="6559152F">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组分、规格</w:t>
                  </w:r>
                </w:p>
              </w:tc>
              <w:tc>
                <w:tcPr>
                  <w:tcW w:w="698" w:type="pct"/>
                  <w:noWrap w:val="0"/>
                  <w:vAlign w:val="center"/>
                </w:tcPr>
                <w:p w14:paraId="1344F82A">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年耗量（t/a）</w:t>
                  </w:r>
                </w:p>
              </w:tc>
              <w:tc>
                <w:tcPr>
                  <w:tcW w:w="619" w:type="pct"/>
                  <w:noWrap w:val="0"/>
                  <w:vAlign w:val="center"/>
                </w:tcPr>
                <w:p w14:paraId="728F34E0">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最大储存量（t）</w:t>
                  </w:r>
                </w:p>
              </w:tc>
              <w:tc>
                <w:tcPr>
                  <w:tcW w:w="558" w:type="pct"/>
                  <w:noWrap w:val="0"/>
                  <w:vAlign w:val="center"/>
                </w:tcPr>
                <w:p w14:paraId="14284C43">
                  <w:pPr>
                    <w:adjustRightInd w:val="0"/>
                    <w:snapToGrid w:val="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lang w:val="en-US" w:eastAsia="zh-CN"/>
                    </w:rPr>
                    <w:t>包装规格</w:t>
                  </w:r>
                </w:p>
              </w:tc>
              <w:tc>
                <w:tcPr>
                  <w:tcW w:w="550" w:type="pct"/>
                  <w:noWrap w:val="0"/>
                  <w:vAlign w:val="center"/>
                </w:tcPr>
                <w:p w14:paraId="5568CB3B">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来源及运输方式</w:t>
                  </w:r>
                </w:p>
              </w:tc>
            </w:tr>
            <w:tr w14:paraId="39006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9" w:type="pct"/>
                  <w:noWrap w:val="0"/>
                  <w:vAlign w:val="center"/>
                </w:tcPr>
                <w:p w14:paraId="560177C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739" w:type="pct"/>
                  <w:noWrap w:val="0"/>
                  <w:vAlign w:val="center"/>
                </w:tcPr>
                <w:p w14:paraId="17108E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铝型材</w:t>
                  </w:r>
                </w:p>
              </w:tc>
              <w:tc>
                <w:tcPr>
                  <w:tcW w:w="1543" w:type="pct"/>
                  <w:noWrap w:val="0"/>
                  <w:vAlign w:val="center"/>
                </w:tcPr>
                <w:p w14:paraId="7940F4E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6061</w:t>
                  </w:r>
                  <w:r>
                    <w:rPr>
                      <w:rFonts w:hint="eastAsia"/>
                      <w:color w:val="auto"/>
                      <w:lang w:eastAsia="zh-CN"/>
                    </w:rPr>
                    <w:t>，</w:t>
                  </w:r>
                  <w:r>
                    <w:rPr>
                      <w:rFonts w:hint="eastAsia"/>
                      <w:color w:val="auto"/>
                      <w:szCs w:val="21"/>
                      <w:lang w:val="en-US" w:eastAsia="zh-CN"/>
                    </w:rPr>
                    <w:t>厚度</w:t>
                  </w:r>
                  <w:r>
                    <w:rPr>
                      <w:rFonts w:hint="eastAsia" w:ascii="Times New Roman" w:hAnsi="Times New Roman"/>
                      <w:color w:val="auto"/>
                      <w:szCs w:val="21"/>
                      <w:lang w:val="en-US" w:eastAsia="zh-CN"/>
                    </w:rPr>
                    <w:t>4.0mm</w:t>
                  </w:r>
                  <w:r>
                    <w:rPr>
                      <w:rFonts w:hint="eastAsia"/>
                      <w:color w:val="auto"/>
                      <w:szCs w:val="21"/>
                      <w:lang w:val="en-US" w:eastAsia="zh-CN"/>
                    </w:rPr>
                    <w:t>，</w:t>
                  </w:r>
                  <w:r>
                    <w:rPr>
                      <w:rFonts w:hint="eastAsia" w:cs="Times New Roman"/>
                      <w:color w:val="auto"/>
                      <w:kern w:val="0"/>
                      <w:sz w:val="21"/>
                      <w:szCs w:val="21"/>
                      <w:lang w:val="en-US" w:eastAsia="zh-CN"/>
                    </w:rPr>
                    <w:t>主要成</w:t>
                  </w:r>
                  <w:r>
                    <w:rPr>
                      <w:rFonts w:hint="eastAsia" w:ascii="Times New Roman" w:hAnsi="Times New Roman" w:eastAsia="宋体" w:cs="Times New Roman"/>
                      <w:color w:val="auto"/>
                      <w:kern w:val="0"/>
                      <w:sz w:val="21"/>
                      <w:szCs w:val="21"/>
                      <w:lang w:val="en-US" w:eastAsia="zh-CN"/>
                    </w:rPr>
                    <w:t>分为Al，含有少量Si、 Cu、Mg</w:t>
                  </w:r>
                </w:p>
              </w:tc>
              <w:tc>
                <w:tcPr>
                  <w:tcW w:w="698" w:type="pct"/>
                  <w:noWrap w:val="0"/>
                  <w:vAlign w:val="center"/>
                </w:tcPr>
                <w:p w14:paraId="2589A9F4">
                  <w:pPr>
                    <w:autoSpaceDN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730</w:t>
                  </w:r>
                </w:p>
              </w:tc>
              <w:tc>
                <w:tcPr>
                  <w:tcW w:w="619" w:type="pct"/>
                  <w:noWrap w:val="0"/>
                  <w:vAlign w:val="center"/>
                </w:tcPr>
                <w:p w14:paraId="1EE39F8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70</w:t>
                  </w:r>
                </w:p>
              </w:tc>
              <w:tc>
                <w:tcPr>
                  <w:tcW w:w="558" w:type="pct"/>
                  <w:noWrap w:val="0"/>
                  <w:vAlign w:val="center"/>
                </w:tcPr>
                <w:p w14:paraId="39CD0492">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散装</w:t>
                  </w:r>
                </w:p>
              </w:tc>
              <w:tc>
                <w:tcPr>
                  <w:tcW w:w="550" w:type="pct"/>
                  <w:noWrap w:val="0"/>
                  <w:vAlign w:val="center"/>
                </w:tcPr>
                <w:p w14:paraId="0DC7D03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外购，汽运</w:t>
                  </w:r>
                </w:p>
              </w:tc>
            </w:tr>
            <w:tr w14:paraId="07D7B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9" w:type="pct"/>
                  <w:noWrap w:val="0"/>
                  <w:vAlign w:val="center"/>
                </w:tcPr>
                <w:p w14:paraId="7D9F1050">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i w:val="0"/>
                      <w:iCs w:val="0"/>
                      <w:caps w:val="0"/>
                      <w:color w:val="auto"/>
                      <w:spacing w:val="0"/>
                      <w:sz w:val="21"/>
                      <w:szCs w:val="21"/>
                      <w:lang w:val="en-US" w:eastAsia="zh-CN"/>
                    </w:rPr>
                    <w:t>2</w:t>
                  </w:r>
                </w:p>
              </w:tc>
              <w:tc>
                <w:tcPr>
                  <w:tcW w:w="739" w:type="pct"/>
                  <w:noWrap w:val="0"/>
                  <w:vAlign w:val="center"/>
                </w:tcPr>
                <w:p w14:paraId="2ABFC2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铝型材</w:t>
                  </w:r>
                </w:p>
              </w:tc>
              <w:tc>
                <w:tcPr>
                  <w:tcW w:w="1543" w:type="pct"/>
                  <w:noWrap w:val="0"/>
                  <w:vAlign w:val="center"/>
                </w:tcPr>
                <w:p w14:paraId="35D6B4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6063</w:t>
                  </w:r>
                  <w:r>
                    <w:rPr>
                      <w:rFonts w:hint="eastAsia"/>
                      <w:color w:val="auto"/>
                      <w:lang w:eastAsia="zh-CN"/>
                    </w:rPr>
                    <w:t>，</w:t>
                  </w:r>
                  <w:r>
                    <w:rPr>
                      <w:rFonts w:hint="eastAsia"/>
                      <w:color w:val="auto"/>
                      <w:szCs w:val="21"/>
                      <w:lang w:val="en-US" w:eastAsia="zh-CN"/>
                    </w:rPr>
                    <w:t>厚度</w:t>
                  </w:r>
                  <w:r>
                    <w:rPr>
                      <w:rFonts w:hint="eastAsia" w:ascii="Times New Roman" w:hAnsi="Times New Roman"/>
                      <w:color w:val="auto"/>
                      <w:szCs w:val="21"/>
                      <w:lang w:val="en-US" w:eastAsia="zh-CN"/>
                    </w:rPr>
                    <w:t>4.0mm，</w:t>
                  </w:r>
                  <w:r>
                    <w:rPr>
                      <w:rFonts w:hint="eastAsia" w:cs="Times New Roman"/>
                      <w:color w:val="auto"/>
                      <w:kern w:val="0"/>
                      <w:sz w:val="21"/>
                      <w:szCs w:val="21"/>
                      <w:lang w:val="en-US" w:eastAsia="zh-CN"/>
                    </w:rPr>
                    <w:t>主要成</w:t>
                  </w:r>
                  <w:r>
                    <w:rPr>
                      <w:rFonts w:hint="eastAsia" w:ascii="Times New Roman" w:hAnsi="Times New Roman" w:eastAsia="宋体" w:cs="Times New Roman"/>
                      <w:color w:val="auto"/>
                      <w:kern w:val="0"/>
                      <w:sz w:val="21"/>
                      <w:szCs w:val="21"/>
                      <w:lang w:val="en-US" w:eastAsia="zh-CN"/>
                    </w:rPr>
                    <w:t>分为Al，含有少量Si、 Cu、Mg</w:t>
                  </w:r>
                </w:p>
              </w:tc>
              <w:tc>
                <w:tcPr>
                  <w:tcW w:w="698" w:type="pct"/>
                  <w:noWrap w:val="0"/>
                  <w:vAlign w:val="center"/>
                </w:tcPr>
                <w:p w14:paraId="13FA5DE1">
                  <w:pPr>
                    <w:autoSpaceDN w:val="0"/>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310</w:t>
                  </w:r>
                </w:p>
              </w:tc>
              <w:tc>
                <w:tcPr>
                  <w:tcW w:w="619" w:type="pct"/>
                  <w:noWrap w:val="0"/>
                  <w:vAlign w:val="center"/>
                </w:tcPr>
                <w:p w14:paraId="0659DA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30</w:t>
                  </w:r>
                </w:p>
              </w:tc>
              <w:tc>
                <w:tcPr>
                  <w:tcW w:w="558" w:type="pct"/>
                  <w:noWrap w:val="0"/>
                  <w:vAlign w:val="center"/>
                </w:tcPr>
                <w:p w14:paraId="4D1C8815">
                  <w:pPr>
                    <w:adjustRightInd w:val="0"/>
                    <w:snapToGrid w:val="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散装</w:t>
                  </w:r>
                </w:p>
              </w:tc>
              <w:tc>
                <w:tcPr>
                  <w:tcW w:w="550" w:type="pct"/>
                  <w:noWrap w:val="0"/>
                  <w:vAlign w:val="center"/>
                </w:tcPr>
                <w:p w14:paraId="1FD8D8FF">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外购，汽运</w:t>
                  </w:r>
                </w:p>
              </w:tc>
            </w:tr>
            <w:tr w14:paraId="0FFFC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9" w:type="pct"/>
                  <w:noWrap w:val="0"/>
                  <w:vAlign w:val="center"/>
                </w:tcPr>
                <w:p w14:paraId="610B4B6B">
                  <w:pPr>
                    <w:adjustRightInd w:val="0"/>
                    <w:snapToGrid w:val="0"/>
                    <w:jc w:val="center"/>
                    <w:rPr>
                      <w:rFonts w:hint="default" w:ascii="Times New Roman" w:hAnsi="Times New Roman" w:eastAsia="宋体" w:cs="Times New Roman"/>
                      <w:i w:val="0"/>
                      <w:iCs w:val="0"/>
                      <w:caps w:val="0"/>
                      <w:color w:val="auto"/>
                      <w:spacing w:val="0"/>
                      <w:sz w:val="21"/>
                      <w:szCs w:val="21"/>
                      <w:lang w:val="en-US" w:eastAsia="zh-CN"/>
                    </w:rPr>
                  </w:pPr>
                  <w:r>
                    <w:rPr>
                      <w:rFonts w:hint="default" w:ascii="Times New Roman" w:hAnsi="Times New Roman" w:cs="Times New Roman"/>
                      <w:i w:val="0"/>
                      <w:iCs w:val="0"/>
                      <w:caps w:val="0"/>
                      <w:color w:val="auto"/>
                      <w:spacing w:val="0"/>
                      <w:sz w:val="21"/>
                      <w:szCs w:val="21"/>
                      <w:lang w:val="en-US" w:eastAsia="zh-CN"/>
                    </w:rPr>
                    <w:t>3</w:t>
                  </w:r>
                </w:p>
              </w:tc>
              <w:tc>
                <w:tcPr>
                  <w:tcW w:w="739" w:type="pct"/>
                  <w:noWrap w:val="0"/>
                  <w:vAlign w:val="center"/>
                </w:tcPr>
                <w:p w14:paraId="068366F9">
                  <w:pPr>
                    <w:keepNext w:val="0"/>
                    <w:keepLines w:val="0"/>
                    <w:widowControl/>
                    <w:suppressLineNumbers w:val="0"/>
                    <w:jc w:val="center"/>
                    <w:rPr>
                      <w:rFonts w:hint="eastAsia"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切削液</w:t>
                  </w:r>
                  <w:r>
                    <w:rPr>
                      <w:rFonts w:hint="eastAsia"/>
                      <w:color w:val="auto"/>
                      <w:lang w:eastAsia="zh-CN"/>
                    </w:rPr>
                    <w:t>（</w:t>
                  </w:r>
                  <w:r>
                    <w:rPr>
                      <w:rFonts w:hint="eastAsia" w:ascii="宋体" w:hAnsi="宋体" w:eastAsia="宋体" w:cs="宋体"/>
                      <w:color w:val="auto"/>
                      <w:kern w:val="0"/>
                      <w:sz w:val="21"/>
                      <w:szCs w:val="21"/>
                      <w:lang w:val="en-US" w:eastAsia="zh-CN" w:bidi="ar"/>
                    </w:rPr>
                    <w:t>半合成微乳切削液）</w:t>
                  </w:r>
                </w:p>
              </w:tc>
              <w:tc>
                <w:tcPr>
                  <w:tcW w:w="1543" w:type="pct"/>
                  <w:noWrap w:val="0"/>
                  <w:vAlign w:val="center"/>
                </w:tcPr>
                <w:p w14:paraId="7380211D">
                  <w:pPr>
                    <w:keepNext w:val="0"/>
                    <w:keepLines w:val="0"/>
                    <w:widowControl/>
                    <w:suppressLineNumbers w:val="0"/>
                    <w:jc w:val="center"/>
                    <w:rPr>
                      <w:rFonts w:hint="default" w:ascii="Times New Roman" w:hAnsi="Times New Roman" w:eastAsia="宋体" w:cs="Times New Roman"/>
                      <w:color w:val="auto"/>
                      <w:kern w:val="0"/>
                      <w:sz w:val="21"/>
                      <w:szCs w:val="21"/>
                      <w:lang w:val="en-US" w:eastAsia="zh-CN"/>
                    </w:rPr>
                  </w:pPr>
                  <w:r>
                    <w:rPr>
                      <w:rFonts w:hint="default"/>
                      <w:color w:val="auto"/>
                      <w:sz w:val="21"/>
                      <w:szCs w:val="21"/>
                    </w:rPr>
                    <w:t>水、</w:t>
                  </w:r>
                  <w:r>
                    <w:rPr>
                      <w:rFonts w:hint="eastAsia"/>
                      <w:color w:val="auto"/>
                      <w:sz w:val="21"/>
                      <w:szCs w:val="21"/>
                      <w:lang w:val="en-US" w:eastAsia="zh-CN"/>
                    </w:rPr>
                    <w:t>矿物油、</w:t>
                  </w:r>
                  <w:r>
                    <w:rPr>
                      <w:rFonts w:hint="eastAsia" w:ascii="宋体" w:hAnsi="宋体" w:eastAsia="宋体" w:cs="宋体"/>
                      <w:color w:val="auto"/>
                      <w:kern w:val="0"/>
                      <w:sz w:val="21"/>
                      <w:szCs w:val="21"/>
                      <w:lang w:val="en-US" w:eastAsia="zh-CN" w:bidi="ar"/>
                    </w:rPr>
                    <w:t>脂肪醇乙氧基化物</w:t>
                  </w:r>
                  <w:r>
                    <w:rPr>
                      <w:rFonts w:hint="default"/>
                      <w:color w:val="auto"/>
                      <w:sz w:val="21"/>
                      <w:szCs w:val="21"/>
                    </w:rPr>
                    <w:t>、氯化石蜡、</w:t>
                  </w:r>
                  <w:r>
                    <w:rPr>
                      <w:rFonts w:hint="eastAsia" w:ascii="宋体" w:hAnsi="宋体" w:eastAsia="宋体" w:cs="宋体"/>
                      <w:color w:val="auto"/>
                      <w:kern w:val="0"/>
                      <w:sz w:val="21"/>
                      <w:szCs w:val="21"/>
                      <w:lang w:val="en-US" w:eastAsia="zh-CN" w:bidi="ar"/>
                    </w:rPr>
                    <w:t>吡啶硫酮钠盐</w:t>
                  </w:r>
                </w:p>
              </w:tc>
              <w:tc>
                <w:tcPr>
                  <w:tcW w:w="698" w:type="pct"/>
                  <w:noWrap w:val="0"/>
                  <w:vAlign w:val="center"/>
                </w:tcPr>
                <w:p w14:paraId="1BF3B1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0.4</w:t>
                  </w:r>
                </w:p>
              </w:tc>
              <w:tc>
                <w:tcPr>
                  <w:tcW w:w="619" w:type="pct"/>
                  <w:noWrap w:val="0"/>
                  <w:vAlign w:val="center"/>
                </w:tcPr>
                <w:p w14:paraId="0058E1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0.2</w:t>
                  </w:r>
                </w:p>
              </w:tc>
              <w:tc>
                <w:tcPr>
                  <w:tcW w:w="558" w:type="pct"/>
                  <w:noWrap w:val="0"/>
                  <w:vAlign w:val="center"/>
                </w:tcPr>
                <w:p w14:paraId="4D1D94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200</w:t>
                  </w:r>
                  <w:r>
                    <w:rPr>
                      <w:rFonts w:hint="default" w:ascii="Times New Roman" w:hAnsi="Times New Roman" w:eastAsia="宋体" w:cs="Times New Roman"/>
                      <w:color w:val="auto"/>
                      <w:kern w:val="0"/>
                      <w:sz w:val="21"/>
                      <w:szCs w:val="21"/>
                      <w:lang w:val="en-US" w:eastAsia="zh-CN"/>
                    </w:rPr>
                    <w:t>kg/桶</w:t>
                  </w:r>
                </w:p>
              </w:tc>
              <w:tc>
                <w:tcPr>
                  <w:tcW w:w="550" w:type="pct"/>
                  <w:noWrap w:val="0"/>
                  <w:vAlign w:val="center"/>
                </w:tcPr>
                <w:p w14:paraId="7672C6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外购，汽运</w:t>
                  </w:r>
                </w:p>
              </w:tc>
            </w:tr>
            <w:tr w14:paraId="2A157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9" w:type="pct"/>
                  <w:noWrap w:val="0"/>
                  <w:vAlign w:val="center"/>
                </w:tcPr>
                <w:p w14:paraId="38F3E2E1">
                  <w:pPr>
                    <w:adjustRightInd w:val="0"/>
                    <w:snapToGrid w:val="0"/>
                    <w:jc w:val="center"/>
                    <w:rPr>
                      <w:rFonts w:hint="default" w:ascii="Times New Roman" w:hAnsi="Times New Roman" w:cs="Times New Roman"/>
                      <w:i w:val="0"/>
                      <w:iCs w:val="0"/>
                      <w:caps w:val="0"/>
                      <w:color w:val="auto"/>
                      <w:spacing w:val="0"/>
                      <w:sz w:val="21"/>
                      <w:szCs w:val="21"/>
                      <w:lang w:val="en-US" w:eastAsia="zh-CN"/>
                    </w:rPr>
                  </w:pPr>
                  <w:r>
                    <w:rPr>
                      <w:rFonts w:hint="default" w:ascii="Times New Roman" w:hAnsi="Times New Roman" w:cs="Times New Roman"/>
                      <w:i w:val="0"/>
                      <w:iCs w:val="0"/>
                      <w:caps w:val="0"/>
                      <w:color w:val="auto"/>
                      <w:spacing w:val="0"/>
                      <w:sz w:val="21"/>
                      <w:szCs w:val="21"/>
                      <w:lang w:val="en-US" w:eastAsia="zh-CN"/>
                    </w:rPr>
                    <w:t>4</w:t>
                  </w:r>
                </w:p>
              </w:tc>
              <w:tc>
                <w:tcPr>
                  <w:tcW w:w="739" w:type="pct"/>
                  <w:noWrap w:val="0"/>
                  <w:vAlign w:val="center"/>
                </w:tcPr>
                <w:p w14:paraId="1615D2D7">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highlight w:val="none"/>
                      <w:lang w:val="en-US" w:eastAsia="zh-CN" w:bidi="ar-SA"/>
                    </w:rPr>
                    <w:t>清洗剂</w:t>
                  </w:r>
                </w:p>
              </w:tc>
              <w:tc>
                <w:tcPr>
                  <w:tcW w:w="1543" w:type="pct"/>
                  <w:noWrap w:val="0"/>
                  <w:vAlign w:val="center"/>
                </w:tcPr>
                <w:p w14:paraId="267121AB">
                  <w:pPr>
                    <w:keepNext w:val="0"/>
                    <w:keepLines w:val="0"/>
                    <w:pageBreakBefore w:val="0"/>
                    <w:widowControl/>
                    <w:suppressLineNumbers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bCs/>
                      <w:color w:val="auto"/>
                    </w:rPr>
                    <w:t>五水偏硅酸钠1-20%、水80-99%</w:t>
                  </w:r>
                </w:p>
              </w:tc>
              <w:tc>
                <w:tcPr>
                  <w:tcW w:w="698" w:type="pct"/>
                  <w:noWrap w:val="0"/>
                  <w:vAlign w:val="center"/>
                </w:tcPr>
                <w:p w14:paraId="396528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0.16</w:t>
                  </w:r>
                </w:p>
              </w:tc>
              <w:tc>
                <w:tcPr>
                  <w:tcW w:w="619" w:type="pct"/>
                  <w:noWrap w:val="0"/>
                  <w:vAlign w:val="center"/>
                </w:tcPr>
                <w:p w14:paraId="57C4491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0.2</w:t>
                  </w:r>
                </w:p>
              </w:tc>
              <w:tc>
                <w:tcPr>
                  <w:tcW w:w="558" w:type="pct"/>
                  <w:noWrap w:val="0"/>
                  <w:vAlign w:val="center"/>
                </w:tcPr>
                <w:p w14:paraId="081161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w:t>
                  </w:r>
                  <w:r>
                    <w:rPr>
                      <w:rFonts w:hint="default" w:ascii="Times New Roman" w:hAnsi="Times New Roman" w:eastAsia="宋体" w:cs="Times New Roman"/>
                      <w:color w:val="auto"/>
                      <w:kern w:val="0"/>
                      <w:sz w:val="21"/>
                      <w:szCs w:val="21"/>
                      <w:lang w:val="en-US" w:eastAsia="zh-CN"/>
                    </w:rPr>
                    <w:t>kg/桶</w:t>
                  </w:r>
                </w:p>
              </w:tc>
              <w:tc>
                <w:tcPr>
                  <w:tcW w:w="550" w:type="pct"/>
                  <w:noWrap w:val="0"/>
                  <w:vAlign w:val="center"/>
                </w:tcPr>
                <w:p w14:paraId="4964CB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外购，汽运</w:t>
                  </w:r>
                </w:p>
              </w:tc>
            </w:tr>
            <w:tr w14:paraId="17B06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9" w:type="pct"/>
                  <w:noWrap w:val="0"/>
                  <w:vAlign w:val="center"/>
                </w:tcPr>
                <w:p w14:paraId="74323887">
                  <w:pPr>
                    <w:adjustRightInd w:val="0"/>
                    <w:snapToGrid w:val="0"/>
                    <w:jc w:val="center"/>
                    <w:rPr>
                      <w:rFonts w:hint="default" w:ascii="Times New Roman" w:hAnsi="Times New Roman" w:cs="Times New Roman"/>
                      <w:i w:val="0"/>
                      <w:iCs w:val="0"/>
                      <w:caps w:val="0"/>
                      <w:color w:val="auto"/>
                      <w:spacing w:val="0"/>
                      <w:sz w:val="21"/>
                      <w:szCs w:val="21"/>
                      <w:lang w:val="en-US" w:eastAsia="zh-CN"/>
                    </w:rPr>
                  </w:pPr>
                  <w:r>
                    <w:rPr>
                      <w:rFonts w:hint="default" w:ascii="Times New Roman" w:hAnsi="Times New Roman" w:cs="Times New Roman"/>
                      <w:i w:val="0"/>
                      <w:iCs w:val="0"/>
                      <w:caps w:val="0"/>
                      <w:color w:val="auto"/>
                      <w:spacing w:val="0"/>
                      <w:sz w:val="21"/>
                      <w:szCs w:val="21"/>
                      <w:lang w:val="en-US" w:eastAsia="zh-CN"/>
                    </w:rPr>
                    <w:t>5</w:t>
                  </w:r>
                </w:p>
              </w:tc>
              <w:tc>
                <w:tcPr>
                  <w:tcW w:w="739" w:type="pct"/>
                  <w:noWrap w:val="0"/>
                  <w:vAlign w:val="center"/>
                </w:tcPr>
                <w:p w14:paraId="4E3D313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机油</w:t>
                  </w:r>
                </w:p>
              </w:tc>
              <w:tc>
                <w:tcPr>
                  <w:tcW w:w="1543" w:type="pct"/>
                  <w:noWrap w:val="0"/>
                  <w:vAlign w:val="center"/>
                </w:tcPr>
                <w:p w14:paraId="43F79C99">
                  <w:pPr>
                    <w:keepNext w:val="0"/>
                    <w:keepLines w:val="0"/>
                    <w:pageBreakBefore w:val="0"/>
                    <w:widowControl/>
                    <w:suppressLineNumbers w:val="0"/>
                    <w:kinsoku/>
                    <w:wordWrap/>
                    <w:overflowPunct/>
                    <w:topLinePunct w:val="0"/>
                    <w:bidi w:val="0"/>
                    <w:adjustRightInd w:val="0"/>
                    <w:snapToGrid w:val="0"/>
                    <w:ind w:left="0" w:leftChars="0" w:right="0" w:rightChars="0"/>
                    <w:jc w:val="center"/>
                    <w:rPr>
                      <w:rFonts w:hint="default" w:ascii="Times New Roman" w:hAnsi="Times New Roman" w:eastAsia="宋体" w:cs="Times New Roman"/>
                      <w:bCs/>
                      <w:color w:val="auto"/>
                    </w:rPr>
                  </w:pPr>
                  <w:r>
                    <w:rPr>
                      <w:rFonts w:hint="default" w:ascii="Times New Roman" w:hAnsi="Times New Roman" w:eastAsia="宋体" w:cs="Times New Roman"/>
                      <w:color w:val="auto"/>
                      <w:sz w:val="21"/>
                      <w:szCs w:val="21"/>
                      <w:lang w:val="en-US" w:eastAsia="zh-CN"/>
                    </w:rPr>
                    <w:t>矿物油、抗氧剂、防锈剂</w:t>
                  </w:r>
                </w:p>
              </w:tc>
              <w:tc>
                <w:tcPr>
                  <w:tcW w:w="698" w:type="pct"/>
                  <w:noWrap w:val="0"/>
                  <w:vAlign w:val="center"/>
                </w:tcPr>
                <w:p w14:paraId="2804BA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ascii="Times New Roman" w:hAnsi="Times New Roman" w:eastAsia="宋体" w:cs="Times New Roman"/>
                      <w:color w:val="auto"/>
                      <w:kern w:val="0"/>
                      <w:sz w:val="21"/>
                      <w:szCs w:val="21"/>
                      <w:lang w:val="en-US" w:eastAsia="zh-CN"/>
                    </w:rPr>
                    <w:t>1</w:t>
                  </w:r>
                </w:p>
              </w:tc>
              <w:tc>
                <w:tcPr>
                  <w:tcW w:w="619" w:type="pct"/>
                  <w:noWrap w:val="0"/>
                  <w:vAlign w:val="center"/>
                </w:tcPr>
                <w:p w14:paraId="6759C7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0.2</w:t>
                  </w:r>
                </w:p>
              </w:tc>
              <w:tc>
                <w:tcPr>
                  <w:tcW w:w="558" w:type="pct"/>
                  <w:noWrap w:val="0"/>
                  <w:vAlign w:val="center"/>
                </w:tcPr>
                <w:p w14:paraId="2029D1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200</w:t>
                  </w:r>
                  <w:r>
                    <w:rPr>
                      <w:rFonts w:hint="default" w:ascii="Times New Roman" w:hAnsi="Times New Roman" w:eastAsia="宋体" w:cs="Times New Roman"/>
                      <w:color w:val="auto"/>
                      <w:kern w:val="0"/>
                      <w:sz w:val="21"/>
                      <w:szCs w:val="21"/>
                      <w:lang w:val="en-US" w:eastAsia="zh-CN"/>
                    </w:rPr>
                    <w:t>kg/桶</w:t>
                  </w:r>
                </w:p>
              </w:tc>
              <w:tc>
                <w:tcPr>
                  <w:tcW w:w="550" w:type="pct"/>
                  <w:noWrap w:val="0"/>
                  <w:vAlign w:val="center"/>
                </w:tcPr>
                <w:p w14:paraId="27EFEB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外购，汽运</w:t>
                  </w:r>
                </w:p>
              </w:tc>
            </w:tr>
            <w:tr w14:paraId="796B6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9" w:type="pct"/>
                  <w:noWrap w:val="0"/>
                  <w:vAlign w:val="center"/>
                </w:tcPr>
                <w:p w14:paraId="46072882">
                  <w:pPr>
                    <w:adjustRightInd w:val="0"/>
                    <w:snapToGrid w:val="0"/>
                    <w:jc w:val="center"/>
                    <w:rPr>
                      <w:rFonts w:hint="default" w:ascii="Times New Roman" w:hAnsi="Times New Roman" w:cs="Times New Roman"/>
                      <w:i w:val="0"/>
                      <w:iCs w:val="0"/>
                      <w:caps w:val="0"/>
                      <w:color w:val="auto"/>
                      <w:spacing w:val="0"/>
                      <w:sz w:val="21"/>
                      <w:szCs w:val="21"/>
                      <w:lang w:val="en-US" w:eastAsia="zh-CN"/>
                    </w:rPr>
                  </w:pPr>
                  <w:r>
                    <w:rPr>
                      <w:rFonts w:hint="eastAsia" w:cs="Times New Roman"/>
                      <w:i w:val="0"/>
                      <w:iCs w:val="0"/>
                      <w:caps w:val="0"/>
                      <w:color w:val="auto"/>
                      <w:spacing w:val="0"/>
                      <w:sz w:val="21"/>
                      <w:szCs w:val="21"/>
                      <w:lang w:val="en-US" w:eastAsia="zh-CN"/>
                    </w:rPr>
                    <w:t>6</w:t>
                  </w:r>
                </w:p>
              </w:tc>
              <w:tc>
                <w:tcPr>
                  <w:tcW w:w="739" w:type="pct"/>
                  <w:noWrap w:val="0"/>
                  <w:vAlign w:val="center"/>
                </w:tcPr>
                <w:p w14:paraId="4D7AD0D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PAC</w:t>
                  </w:r>
                </w:p>
              </w:tc>
              <w:tc>
                <w:tcPr>
                  <w:tcW w:w="1543" w:type="pct"/>
                  <w:noWrap w:val="0"/>
                  <w:vAlign w:val="center"/>
                </w:tcPr>
                <w:p w14:paraId="7CCF7DB1">
                  <w:pPr>
                    <w:keepNext w:val="0"/>
                    <w:keepLines w:val="0"/>
                    <w:pageBreakBefore w:val="0"/>
                    <w:widowControl/>
                    <w:suppressLineNumbers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聚合氯化铝</w:t>
                  </w:r>
                </w:p>
              </w:tc>
              <w:tc>
                <w:tcPr>
                  <w:tcW w:w="1875" w:type="dxa"/>
                  <w:noWrap w:val="0"/>
                  <w:vAlign w:val="center"/>
                </w:tcPr>
                <w:p w14:paraId="644D35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lang w:val="en-US" w:eastAsia="zh-CN"/>
                    </w:rPr>
                    <w:t>0.144</w:t>
                  </w:r>
                </w:p>
              </w:tc>
              <w:tc>
                <w:tcPr>
                  <w:tcW w:w="619" w:type="pct"/>
                  <w:noWrap w:val="0"/>
                  <w:vAlign w:val="center"/>
                </w:tcPr>
                <w:p w14:paraId="7129865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0.1</w:t>
                  </w:r>
                </w:p>
              </w:tc>
              <w:tc>
                <w:tcPr>
                  <w:tcW w:w="558" w:type="pct"/>
                  <w:noWrap w:val="0"/>
                  <w:vAlign w:val="center"/>
                </w:tcPr>
                <w:p w14:paraId="2EC0D9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w:t>
                  </w:r>
                  <w:r>
                    <w:rPr>
                      <w:rFonts w:hint="eastAsia" w:ascii="Times New Roman" w:hAnsi="Times New Roman" w:cs="Times New Roman"/>
                      <w:color w:val="auto"/>
                      <w:kern w:val="0"/>
                      <w:sz w:val="21"/>
                      <w:szCs w:val="21"/>
                      <w:lang w:val="en-US" w:eastAsia="zh-CN"/>
                    </w:rPr>
                    <w:t>5</w:t>
                  </w:r>
                  <w:r>
                    <w:rPr>
                      <w:rFonts w:hint="default" w:ascii="Times New Roman" w:hAnsi="Times New Roman" w:eastAsia="宋体" w:cs="Times New Roman"/>
                      <w:color w:val="auto"/>
                      <w:kern w:val="0"/>
                      <w:sz w:val="21"/>
                      <w:szCs w:val="21"/>
                      <w:lang w:val="en-US" w:eastAsia="zh-CN"/>
                    </w:rPr>
                    <w:t>kg/</w:t>
                  </w:r>
                  <w:r>
                    <w:rPr>
                      <w:rFonts w:hint="eastAsia" w:ascii="Times New Roman" w:hAnsi="Times New Roman" w:eastAsia="宋体" w:cs="Times New Roman"/>
                      <w:color w:val="auto"/>
                      <w:kern w:val="0"/>
                      <w:sz w:val="21"/>
                      <w:szCs w:val="21"/>
                      <w:lang w:val="en-US" w:eastAsia="zh-CN"/>
                    </w:rPr>
                    <w:t>袋</w:t>
                  </w:r>
                </w:p>
              </w:tc>
              <w:tc>
                <w:tcPr>
                  <w:tcW w:w="550" w:type="pct"/>
                  <w:noWrap w:val="0"/>
                  <w:vAlign w:val="center"/>
                </w:tcPr>
                <w:p w14:paraId="6270EC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外购，汽运</w:t>
                  </w:r>
                </w:p>
              </w:tc>
            </w:tr>
            <w:tr w14:paraId="5B94E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9" w:type="pct"/>
                  <w:noWrap w:val="0"/>
                  <w:vAlign w:val="center"/>
                </w:tcPr>
                <w:p w14:paraId="7E2630BB">
                  <w:pPr>
                    <w:adjustRightInd w:val="0"/>
                    <w:snapToGrid w:val="0"/>
                    <w:jc w:val="center"/>
                    <w:rPr>
                      <w:rFonts w:hint="default" w:ascii="Times New Roman" w:hAnsi="Times New Roman" w:cs="Times New Roman"/>
                      <w:i w:val="0"/>
                      <w:iCs w:val="0"/>
                      <w:caps w:val="0"/>
                      <w:color w:val="auto"/>
                      <w:spacing w:val="0"/>
                      <w:sz w:val="21"/>
                      <w:szCs w:val="21"/>
                      <w:lang w:val="en-US" w:eastAsia="zh-CN"/>
                    </w:rPr>
                  </w:pPr>
                  <w:r>
                    <w:rPr>
                      <w:rFonts w:hint="eastAsia" w:cs="Times New Roman"/>
                      <w:i w:val="0"/>
                      <w:iCs w:val="0"/>
                      <w:caps w:val="0"/>
                      <w:color w:val="auto"/>
                      <w:spacing w:val="0"/>
                      <w:sz w:val="21"/>
                      <w:szCs w:val="21"/>
                      <w:lang w:val="en-US" w:eastAsia="zh-CN"/>
                    </w:rPr>
                    <w:t>7</w:t>
                  </w:r>
                </w:p>
              </w:tc>
              <w:tc>
                <w:tcPr>
                  <w:tcW w:w="739" w:type="pct"/>
                  <w:noWrap w:val="0"/>
                  <w:vAlign w:val="center"/>
                </w:tcPr>
                <w:p w14:paraId="6D9A9A8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PAM</w:t>
                  </w:r>
                </w:p>
              </w:tc>
              <w:tc>
                <w:tcPr>
                  <w:tcW w:w="1543" w:type="pct"/>
                  <w:noWrap w:val="0"/>
                  <w:vAlign w:val="center"/>
                </w:tcPr>
                <w:p w14:paraId="2D986412">
                  <w:pPr>
                    <w:keepNext w:val="0"/>
                    <w:keepLines w:val="0"/>
                    <w:pageBreakBefore w:val="0"/>
                    <w:widowControl/>
                    <w:suppressLineNumbers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聚丙烯酰胺</w:t>
                  </w:r>
                </w:p>
              </w:tc>
              <w:tc>
                <w:tcPr>
                  <w:tcW w:w="1875" w:type="dxa"/>
                  <w:noWrap w:val="0"/>
                  <w:vAlign w:val="center"/>
                </w:tcPr>
                <w:p w14:paraId="77D979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lang w:val="en-US" w:eastAsia="zh-CN"/>
                    </w:rPr>
                  </w:pPr>
                  <w:r>
                    <w:rPr>
                      <w:rFonts w:hint="eastAsia" w:cs="Times New Roman"/>
                      <w:color w:val="auto"/>
                      <w:sz w:val="21"/>
                      <w:szCs w:val="21"/>
                      <w:lang w:val="en-US" w:eastAsia="zh-CN"/>
                    </w:rPr>
                    <w:t>0.1</w:t>
                  </w:r>
                </w:p>
              </w:tc>
              <w:tc>
                <w:tcPr>
                  <w:tcW w:w="619" w:type="pct"/>
                  <w:noWrap w:val="0"/>
                  <w:vAlign w:val="center"/>
                </w:tcPr>
                <w:p w14:paraId="45F103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0.1</w:t>
                  </w:r>
                </w:p>
              </w:tc>
              <w:tc>
                <w:tcPr>
                  <w:tcW w:w="558" w:type="pct"/>
                  <w:noWrap w:val="0"/>
                  <w:vAlign w:val="center"/>
                </w:tcPr>
                <w:p w14:paraId="4C455A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w:t>
                  </w:r>
                  <w:r>
                    <w:rPr>
                      <w:rFonts w:hint="eastAsia" w:ascii="Times New Roman" w:hAnsi="Times New Roman" w:cs="Times New Roman"/>
                      <w:color w:val="auto"/>
                      <w:kern w:val="0"/>
                      <w:sz w:val="21"/>
                      <w:szCs w:val="21"/>
                      <w:lang w:val="en-US" w:eastAsia="zh-CN"/>
                    </w:rPr>
                    <w:t>5</w:t>
                  </w:r>
                  <w:r>
                    <w:rPr>
                      <w:rFonts w:hint="default" w:ascii="Times New Roman" w:hAnsi="Times New Roman" w:eastAsia="宋体" w:cs="Times New Roman"/>
                      <w:color w:val="auto"/>
                      <w:kern w:val="0"/>
                      <w:sz w:val="21"/>
                      <w:szCs w:val="21"/>
                      <w:lang w:val="en-US" w:eastAsia="zh-CN"/>
                    </w:rPr>
                    <w:t>kg/</w:t>
                  </w:r>
                  <w:r>
                    <w:rPr>
                      <w:rFonts w:hint="eastAsia" w:ascii="Times New Roman" w:hAnsi="Times New Roman" w:eastAsia="宋体" w:cs="Times New Roman"/>
                      <w:color w:val="auto"/>
                      <w:kern w:val="0"/>
                      <w:sz w:val="21"/>
                      <w:szCs w:val="21"/>
                      <w:lang w:val="en-US" w:eastAsia="zh-CN"/>
                    </w:rPr>
                    <w:t>袋</w:t>
                  </w:r>
                </w:p>
              </w:tc>
              <w:tc>
                <w:tcPr>
                  <w:tcW w:w="550" w:type="pct"/>
                  <w:noWrap w:val="0"/>
                  <w:vAlign w:val="center"/>
                </w:tcPr>
                <w:p w14:paraId="454AA0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外购，汽运</w:t>
                  </w:r>
                </w:p>
              </w:tc>
            </w:tr>
            <w:tr w14:paraId="48214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289" w:type="pct"/>
                  <w:noWrap w:val="0"/>
                  <w:vAlign w:val="center"/>
                </w:tcPr>
                <w:p w14:paraId="3131AC16">
                  <w:pPr>
                    <w:adjustRightInd w:val="0"/>
                    <w:snapToGrid w:val="0"/>
                    <w:jc w:val="center"/>
                    <w:rPr>
                      <w:rFonts w:hint="default" w:cs="Times New Roman"/>
                      <w:i w:val="0"/>
                      <w:iCs w:val="0"/>
                      <w:caps w:val="0"/>
                      <w:color w:val="auto"/>
                      <w:spacing w:val="0"/>
                      <w:sz w:val="21"/>
                      <w:szCs w:val="21"/>
                      <w:lang w:val="en-US" w:eastAsia="zh-CN"/>
                    </w:rPr>
                  </w:pPr>
                  <w:r>
                    <w:rPr>
                      <w:rFonts w:hint="eastAsia" w:cs="Times New Roman"/>
                      <w:i w:val="0"/>
                      <w:iCs w:val="0"/>
                      <w:caps w:val="0"/>
                      <w:color w:val="auto"/>
                      <w:spacing w:val="0"/>
                      <w:sz w:val="21"/>
                      <w:szCs w:val="21"/>
                      <w:lang w:val="en-US" w:eastAsia="zh-CN"/>
                    </w:rPr>
                    <w:t>8</w:t>
                  </w:r>
                </w:p>
              </w:tc>
              <w:tc>
                <w:tcPr>
                  <w:tcW w:w="739" w:type="pct"/>
                  <w:noWrap w:val="0"/>
                  <w:vAlign w:val="center"/>
                </w:tcPr>
                <w:p w14:paraId="7750A5B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柠檬酸</w:t>
                  </w:r>
                </w:p>
              </w:tc>
              <w:tc>
                <w:tcPr>
                  <w:tcW w:w="1543" w:type="pct"/>
                  <w:noWrap w:val="0"/>
                  <w:vAlign w:val="center"/>
                </w:tcPr>
                <w:p w14:paraId="6330DEC3">
                  <w:pPr>
                    <w:keepNext w:val="0"/>
                    <w:keepLines w:val="0"/>
                    <w:pageBreakBefore w:val="0"/>
                    <w:widowControl/>
                    <w:suppressLineNumbers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1875" w:type="dxa"/>
                  <w:noWrap w:val="0"/>
                  <w:vAlign w:val="center"/>
                </w:tcPr>
                <w:p w14:paraId="6F2B08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sz w:val="21"/>
                      <w:szCs w:val="21"/>
                      <w:lang w:val="en-US" w:eastAsia="zh-CN"/>
                    </w:rPr>
                    <w:t>0.005</w:t>
                  </w:r>
                </w:p>
              </w:tc>
              <w:tc>
                <w:tcPr>
                  <w:tcW w:w="619" w:type="pct"/>
                  <w:noWrap w:val="0"/>
                  <w:vAlign w:val="center"/>
                </w:tcPr>
                <w:p w14:paraId="7E615B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0.025</w:t>
                  </w:r>
                </w:p>
              </w:tc>
              <w:tc>
                <w:tcPr>
                  <w:tcW w:w="558" w:type="pct"/>
                  <w:noWrap w:val="0"/>
                  <w:vAlign w:val="center"/>
                </w:tcPr>
                <w:p w14:paraId="536675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2</w:t>
                  </w:r>
                  <w:r>
                    <w:rPr>
                      <w:rFonts w:hint="eastAsia" w:ascii="Times New Roman" w:hAnsi="Times New Roman" w:cs="Times New Roman"/>
                      <w:color w:val="auto"/>
                      <w:kern w:val="0"/>
                      <w:sz w:val="21"/>
                      <w:szCs w:val="21"/>
                      <w:lang w:val="en-US" w:eastAsia="zh-CN"/>
                    </w:rPr>
                    <w:t>5</w:t>
                  </w:r>
                  <w:r>
                    <w:rPr>
                      <w:rFonts w:hint="default" w:ascii="Times New Roman" w:hAnsi="Times New Roman" w:eastAsia="宋体" w:cs="Times New Roman"/>
                      <w:color w:val="auto"/>
                      <w:kern w:val="0"/>
                      <w:sz w:val="21"/>
                      <w:szCs w:val="21"/>
                      <w:lang w:val="en-US" w:eastAsia="zh-CN"/>
                    </w:rPr>
                    <w:t>kg/</w:t>
                  </w:r>
                  <w:r>
                    <w:rPr>
                      <w:rFonts w:hint="eastAsia" w:ascii="Times New Roman" w:hAnsi="Times New Roman" w:eastAsia="宋体" w:cs="Times New Roman"/>
                      <w:color w:val="auto"/>
                      <w:kern w:val="0"/>
                      <w:sz w:val="21"/>
                      <w:szCs w:val="21"/>
                      <w:lang w:val="en-US" w:eastAsia="zh-CN"/>
                    </w:rPr>
                    <w:t>袋</w:t>
                  </w:r>
                </w:p>
              </w:tc>
              <w:tc>
                <w:tcPr>
                  <w:tcW w:w="550" w:type="pct"/>
                  <w:noWrap w:val="0"/>
                  <w:vAlign w:val="center"/>
                </w:tcPr>
                <w:p w14:paraId="5327E2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default" w:ascii="Times New Roman" w:hAnsi="Times New Roman" w:eastAsia="宋体" w:cs="Times New Roman"/>
                      <w:color w:val="auto"/>
                      <w:kern w:val="0"/>
                      <w:sz w:val="21"/>
                      <w:szCs w:val="21"/>
                      <w:lang w:val="en-US" w:eastAsia="zh-CN"/>
                    </w:rPr>
                    <w:t>外购，汽运</w:t>
                  </w:r>
                </w:p>
              </w:tc>
            </w:tr>
          </w:tbl>
          <w:p w14:paraId="4F6AFE7B">
            <w:pPr>
              <w:keepNext w:val="0"/>
              <w:keepLines w:val="0"/>
              <w:pageBreakBefore w:val="0"/>
              <w:widowControl w:val="0"/>
              <w:kinsoku/>
              <w:wordWrap/>
              <w:overflowPunct/>
              <w:topLinePunct w:val="0"/>
              <w:autoSpaceDE/>
              <w:autoSpaceDN/>
              <w:bidi w:val="0"/>
              <w:adjustRightInd w:val="0"/>
              <w:snapToGrid w:val="0"/>
              <w:spacing w:line="240" w:lineRule="auto"/>
              <w:ind w:right="0"/>
              <w:textAlignment w:val="auto"/>
              <w:rPr>
                <w:rFonts w:hint="eastAsia" w:ascii="Times New Roman" w:hAnsi="Times New Roman" w:eastAsia="宋体" w:cs="Times New Roman"/>
                <w:color w:val="auto"/>
                <w:sz w:val="24"/>
                <w:lang w:eastAsia="zh-CN"/>
              </w:rPr>
            </w:pPr>
            <w:r>
              <w:rPr>
                <w:rFonts w:hint="eastAsia" w:ascii="Times New Roman" w:hAnsi="Times New Roman" w:eastAsia="宋体" w:cs="Times New Roman"/>
                <w:color w:val="auto"/>
                <w:sz w:val="21"/>
                <w:szCs w:val="21"/>
                <w:lang w:eastAsia="zh-CN"/>
              </w:rPr>
              <w:t>注：</w:t>
            </w:r>
            <w:r>
              <w:rPr>
                <w:bCs/>
                <w:color w:val="auto"/>
                <w:sz w:val="21"/>
                <w:szCs w:val="21"/>
              </w:rPr>
              <w:t>本项目</w:t>
            </w:r>
            <w:r>
              <w:rPr>
                <w:rFonts w:hint="eastAsia"/>
                <w:bCs/>
                <w:color w:val="auto"/>
                <w:sz w:val="21"/>
                <w:szCs w:val="21"/>
                <w:lang w:val="en-US" w:eastAsia="zh-CN"/>
              </w:rPr>
              <w:t>工件</w:t>
            </w:r>
            <w:r>
              <w:rPr>
                <w:bCs/>
                <w:color w:val="auto"/>
                <w:sz w:val="21"/>
                <w:szCs w:val="21"/>
              </w:rPr>
              <w:t>清洗使用</w:t>
            </w:r>
            <w:r>
              <w:rPr>
                <w:rFonts w:hint="eastAsia"/>
                <w:bCs/>
                <w:color w:val="auto"/>
                <w:sz w:val="21"/>
                <w:szCs w:val="21"/>
                <w:lang w:val="en-US" w:eastAsia="zh-CN"/>
              </w:rPr>
              <w:t>水基型</w:t>
            </w:r>
            <w:r>
              <w:rPr>
                <w:rFonts w:hint="default"/>
                <w:bCs/>
                <w:color w:val="auto"/>
                <w:sz w:val="21"/>
                <w:szCs w:val="21"/>
                <w:lang w:val="en-US" w:eastAsia="zh-CN"/>
              </w:rPr>
              <w:t>清洗剂</w:t>
            </w:r>
            <w:r>
              <w:rPr>
                <w:rFonts w:hint="eastAsia"/>
                <w:bCs/>
                <w:color w:val="auto"/>
                <w:sz w:val="21"/>
                <w:szCs w:val="21"/>
                <w:lang w:eastAsia="zh-CN"/>
              </w:rPr>
              <w:t>。根据原料</w:t>
            </w:r>
            <w:r>
              <w:rPr>
                <w:rFonts w:hint="eastAsia"/>
                <w:bCs/>
                <w:color w:val="auto"/>
                <w:sz w:val="21"/>
                <w:szCs w:val="21"/>
                <w:lang w:val="en-US" w:eastAsia="zh-CN"/>
              </w:rPr>
              <w:t>MSDS，水基型</w:t>
            </w:r>
            <w:r>
              <w:rPr>
                <w:rFonts w:hint="default"/>
                <w:bCs/>
                <w:color w:val="auto"/>
                <w:sz w:val="21"/>
                <w:szCs w:val="21"/>
                <w:lang w:val="en-US" w:eastAsia="zh-CN"/>
              </w:rPr>
              <w:t>清洗剂</w:t>
            </w:r>
            <w:r>
              <w:rPr>
                <w:rFonts w:hint="eastAsia"/>
                <w:bCs/>
                <w:color w:val="auto"/>
                <w:sz w:val="21"/>
                <w:szCs w:val="21"/>
                <w:lang w:val="en-US" w:eastAsia="zh-CN"/>
              </w:rPr>
              <w:t>不含挥发性组分，符合</w:t>
            </w:r>
            <w:r>
              <w:rPr>
                <w:bCs/>
                <w:color w:val="auto"/>
                <w:sz w:val="21"/>
                <w:szCs w:val="21"/>
              </w:rPr>
              <w:t>VOCs含量满足《清洗剂挥发性有机化合物含量限值》（GB 38508-2020）表1中</w:t>
            </w:r>
            <w:r>
              <w:rPr>
                <w:rFonts w:hint="eastAsia"/>
                <w:bCs/>
                <w:color w:val="auto"/>
                <w:sz w:val="21"/>
                <w:szCs w:val="21"/>
                <w:lang w:eastAsia="zh-CN"/>
              </w:rPr>
              <w:t>“</w:t>
            </w:r>
            <w:r>
              <w:rPr>
                <w:rFonts w:hint="default"/>
                <w:bCs/>
                <w:color w:val="auto"/>
                <w:sz w:val="21"/>
                <w:szCs w:val="21"/>
                <w:lang w:val="en-US" w:eastAsia="zh-CN"/>
              </w:rPr>
              <w:t>水基清洗剂</w:t>
            </w:r>
            <w:r>
              <w:rPr>
                <w:rFonts w:hint="eastAsia"/>
                <w:bCs/>
                <w:color w:val="auto"/>
                <w:sz w:val="21"/>
                <w:szCs w:val="21"/>
                <w:lang w:eastAsia="zh-CN"/>
              </w:rPr>
              <w:t>”</w:t>
            </w:r>
            <w:r>
              <w:rPr>
                <w:bCs/>
                <w:color w:val="auto"/>
                <w:sz w:val="21"/>
                <w:szCs w:val="21"/>
              </w:rPr>
              <w:t>相关限值（</w:t>
            </w:r>
            <w:r>
              <w:rPr>
                <w:rFonts w:hint="eastAsia"/>
                <w:bCs/>
                <w:color w:val="auto"/>
                <w:sz w:val="21"/>
                <w:szCs w:val="21"/>
                <w:lang w:val="en-US" w:eastAsia="zh-CN"/>
              </w:rPr>
              <w:t>35</w:t>
            </w:r>
            <w:r>
              <w:rPr>
                <w:bCs/>
                <w:color w:val="auto"/>
                <w:sz w:val="21"/>
                <w:szCs w:val="21"/>
              </w:rPr>
              <w:t>g/L）要求。</w:t>
            </w:r>
          </w:p>
          <w:p w14:paraId="4E74A5F3">
            <w:pPr>
              <w:pStyle w:val="6"/>
              <w:keepNext w:val="0"/>
              <w:keepLines w:val="0"/>
              <w:pageBreakBefore w:val="0"/>
              <w:kinsoku/>
              <w:wordWrap/>
              <w:overflowPunct/>
              <w:topLinePunct w:val="0"/>
              <w:autoSpaceDE/>
              <w:autoSpaceDN/>
              <w:bidi w:val="0"/>
              <w:spacing w:line="360" w:lineRule="auto"/>
              <w:jc w:val="left"/>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2.1.</w:t>
            </w:r>
            <w:r>
              <w:rPr>
                <w:rFonts w:hint="eastAsia" w:cs="Times New Roman"/>
                <w:b/>
                <w:bCs/>
                <w:color w:val="auto"/>
                <w:sz w:val="24"/>
                <w:szCs w:val="24"/>
                <w:lang w:val="en-US" w:eastAsia="zh-CN"/>
              </w:rPr>
              <w:t>8</w:t>
            </w:r>
            <w:r>
              <w:rPr>
                <w:rFonts w:hint="default" w:ascii="Times New Roman" w:hAnsi="Times New Roman" w:eastAsia="宋体" w:cs="Times New Roman"/>
                <w:b/>
                <w:bCs/>
                <w:color w:val="auto"/>
                <w:sz w:val="24"/>
                <w:szCs w:val="24"/>
              </w:rPr>
              <w:t>主要原辅料理化性质见下表</w:t>
            </w:r>
          </w:p>
          <w:p w14:paraId="09F6A3B0">
            <w:pPr>
              <w:pStyle w:val="6"/>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表2-</w:t>
            </w:r>
            <w:r>
              <w:rPr>
                <w:rFonts w:hint="eastAsia" w:cs="Times New Roman"/>
                <w:b/>
                <w:bCs/>
                <w:color w:val="auto"/>
                <w:sz w:val="21"/>
                <w:szCs w:val="21"/>
                <w:lang w:val="en-US" w:eastAsia="zh-CN"/>
              </w:rPr>
              <w:t>6</w:t>
            </w:r>
            <w:r>
              <w:rPr>
                <w:rFonts w:hint="default" w:ascii="Times New Roman" w:hAnsi="Times New Roman" w:eastAsia="宋体" w:cs="Times New Roman"/>
                <w:b/>
                <w:bCs/>
                <w:color w:val="auto"/>
                <w:sz w:val="21"/>
                <w:szCs w:val="21"/>
              </w:rPr>
              <w:t>主要原辅料理化性质</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697"/>
              <w:gridCol w:w="7928"/>
              <w:gridCol w:w="1455"/>
              <w:gridCol w:w="2338"/>
            </w:tblGrid>
            <w:tr w14:paraId="37AF7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632" w:type="pct"/>
                  <w:noWrap w:val="0"/>
                  <w:tcMar>
                    <w:left w:w="28" w:type="dxa"/>
                    <w:right w:w="28" w:type="dxa"/>
                  </w:tcMar>
                  <w:vAlign w:val="center"/>
                </w:tcPr>
                <w:p w14:paraId="44826B5E">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2953" w:type="pct"/>
                  <w:noWrap w:val="0"/>
                  <w:tcMar>
                    <w:left w:w="28" w:type="dxa"/>
                    <w:right w:w="28" w:type="dxa"/>
                  </w:tcMar>
                  <w:vAlign w:val="center"/>
                </w:tcPr>
                <w:p w14:paraId="1F06E537">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理化性质</w:t>
                  </w:r>
                </w:p>
              </w:tc>
              <w:tc>
                <w:tcPr>
                  <w:tcW w:w="542" w:type="pct"/>
                  <w:noWrap w:val="0"/>
                  <w:tcMar>
                    <w:left w:w="28" w:type="dxa"/>
                    <w:right w:w="28" w:type="dxa"/>
                  </w:tcMar>
                  <w:vAlign w:val="center"/>
                </w:tcPr>
                <w:p w14:paraId="5D0E2841">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燃烧及爆炸特性</w:t>
                  </w:r>
                </w:p>
              </w:tc>
              <w:tc>
                <w:tcPr>
                  <w:tcW w:w="871" w:type="pct"/>
                  <w:noWrap w:val="0"/>
                  <w:tcMar>
                    <w:left w:w="28" w:type="dxa"/>
                    <w:right w:w="28" w:type="dxa"/>
                  </w:tcMar>
                  <w:vAlign w:val="center"/>
                </w:tcPr>
                <w:p w14:paraId="0B24D2C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毒理毒性</w:t>
                  </w:r>
                </w:p>
              </w:tc>
            </w:tr>
            <w:tr w14:paraId="78E69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632" w:type="pct"/>
                  <w:noWrap w:val="0"/>
                  <w:tcMar>
                    <w:left w:w="28" w:type="dxa"/>
                    <w:right w:w="28" w:type="dxa"/>
                  </w:tcMar>
                  <w:vAlign w:val="center"/>
                </w:tcPr>
                <w:p w14:paraId="2E163DD1">
                  <w:pPr>
                    <w:widowControl/>
                    <w:adjustRightInd w:val="0"/>
                    <w:snapToGrid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kern w:val="0"/>
                      <w:szCs w:val="21"/>
                      <w:lang w:val="en-US" w:eastAsia="zh-CN"/>
                    </w:rPr>
                    <w:t>切削液</w:t>
                  </w:r>
                </w:p>
              </w:tc>
              <w:tc>
                <w:tcPr>
                  <w:tcW w:w="2953" w:type="pct"/>
                  <w:noWrap w:val="0"/>
                  <w:tcMar>
                    <w:left w:w="28" w:type="dxa"/>
                    <w:right w:w="28" w:type="dxa"/>
                  </w:tcMar>
                  <w:vAlign w:val="center"/>
                </w:tcPr>
                <w:p w14:paraId="0A23BF5B">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highlight w:val="none"/>
                      <w:lang w:val="en-US" w:eastAsia="zh-CN"/>
                    </w:rPr>
                    <w:t>琥珀色</w:t>
                  </w:r>
                  <w:r>
                    <w:rPr>
                      <w:rFonts w:hint="default" w:ascii="Times New Roman" w:hAnsi="Times New Roman" w:eastAsia="宋体" w:cs="Times New Roman"/>
                      <w:b w:val="0"/>
                      <w:color w:val="auto"/>
                      <w:highlight w:val="none"/>
                      <w:lang w:val="en-US" w:eastAsia="zh-CN"/>
                    </w:rPr>
                    <w:t>粘稠液体</w:t>
                  </w:r>
                  <w:r>
                    <w:rPr>
                      <w:rFonts w:hint="eastAsia" w:ascii="Times New Roman" w:hAnsi="Times New Roman" w:eastAsia="宋体" w:cs="Times New Roman"/>
                      <w:b w:val="0"/>
                      <w:color w:val="auto"/>
                      <w:highlight w:val="none"/>
                      <w:lang w:val="en-US" w:eastAsia="zh-CN"/>
                    </w:rPr>
                    <w:t>，</w:t>
                  </w:r>
                  <w:r>
                    <w:rPr>
                      <w:rFonts w:hint="default" w:ascii="Times New Roman" w:hAnsi="Times New Roman" w:eastAsia="宋体" w:cs="Times New Roman"/>
                      <w:b w:val="0"/>
                      <w:color w:val="auto"/>
                      <w:highlight w:val="none"/>
                      <w:lang w:val="en-US" w:eastAsia="zh-CN"/>
                    </w:rPr>
                    <w:t>pH值：</w:t>
                  </w:r>
                  <w:r>
                    <w:rPr>
                      <w:rFonts w:hint="eastAsia" w:ascii="Times New Roman" w:hAnsi="Times New Roman" w:eastAsia="宋体" w:cs="Times New Roman"/>
                      <w:b w:val="0"/>
                      <w:color w:val="auto"/>
                      <w:highlight w:val="none"/>
                      <w:lang w:val="en-US" w:eastAsia="zh-CN"/>
                    </w:rPr>
                    <w:t>9.2</w:t>
                  </w:r>
                  <w:r>
                    <w:rPr>
                      <w:rFonts w:hint="default" w:ascii="Times New Roman" w:hAnsi="Times New Roman" w:eastAsia="宋体" w:cs="Times New Roman"/>
                      <w:b w:val="0"/>
                      <w:color w:val="auto"/>
                      <w:highlight w:val="none"/>
                      <w:lang w:val="en-US" w:eastAsia="zh-CN"/>
                    </w:rPr>
                    <w:t>，</w:t>
                  </w:r>
                  <w:r>
                    <w:rPr>
                      <w:rFonts w:hint="eastAsia" w:ascii="Times New Roman" w:hAnsi="Times New Roman" w:eastAsia="宋体" w:cs="Times New Roman"/>
                      <w:b w:val="0"/>
                      <w:color w:val="auto"/>
                      <w:highlight w:val="none"/>
                      <w:lang w:val="en-US" w:eastAsia="zh-CN"/>
                    </w:rPr>
                    <w:t>沸点100</w:t>
                  </w:r>
                  <w:r>
                    <w:rPr>
                      <w:rFonts w:hint="default" w:ascii="Times New Roman" w:hAnsi="Times New Roman" w:eastAsia="宋体" w:cs="Times New Roman"/>
                      <w:b w:val="0"/>
                      <w:color w:val="auto"/>
                      <w:highlight w:val="none"/>
                      <w:lang w:val="en-US" w:eastAsia="zh-CN"/>
                    </w:rPr>
                    <w:t>℃，熔点：</w:t>
                  </w:r>
                  <w:r>
                    <w:rPr>
                      <w:rFonts w:hint="eastAsia" w:ascii="Times New Roman" w:hAnsi="Times New Roman" w:eastAsia="宋体" w:cs="Times New Roman"/>
                      <w:b w:val="0"/>
                      <w:color w:val="auto"/>
                      <w:highlight w:val="none"/>
                      <w:lang w:val="en-US" w:eastAsia="zh-CN"/>
                    </w:rPr>
                    <w:t>＜4</w:t>
                  </w:r>
                  <w:r>
                    <w:rPr>
                      <w:rFonts w:hint="default" w:ascii="Times New Roman" w:hAnsi="Times New Roman" w:eastAsia="宋体" w:cs="Times New Roman"/>
                      <w:b w:val="0"/>
                      <w:color w:val="auto"/>
                      <w:highlight w:val="none"/>
                      <w:lang w:val="en-US" w:eastAsia="zh-CN"/>
                    </w:rPr>
                    <w:t>℃，相对密度：</w:t>
                  </w:r>
                  <w:r>
                    <w:rPr>
                      <w:rFonts w:hint="eastAsia" w:ascii="Times New Roman" w:hAnsi="Times New Roman" w:eastAsia="宋体" w:cs="Times New Roman"/>
                      <w:b w:val="0"/>
                      <w:color w:val="auto"/>
                      <w:highlight w:val="none"/>
                      <w:lang w:val="en-US" w:eastAsia="zh-CN"/>
                    </w:rPr>
                    <w:t>0.99g/cm</w:t>
                  </w:r>
                  <w:r>
                    <w:rPr>
                      <w:rFonts w:hint="eastAsia" w:ascii="Times New Roman" w:hAnsi="Times New Roman" w:eastAsia="宋体" w:cs="Times New Roman"/>
                      <w:b w:val="0"/>
                      <w:color w:val="auto"/>
                      <w:highlight w:val="none"/>
                      <w:vertAlign w:val="superscript"/>
                      <w:lang w:val="en-US" w:eastAsia="zh-CN"/>
                    </w:rPr>
                    <w:t>3</w:t>
                  </w:r>
                  <w:r>
                    <w:rPr>
                      <w:rFonts w:hint="default" w:ascii="Times New Roman" w:hAnsi="Times New Roman" w:eastAsia="宋体" w:cs="Times New Roman"/>
                      <w:b w:val="0"/>
                      <w:color w:val="auto"/>
                      <w:highlight w:val="none"/>
                      <w:lang w:val="en-US" w:eastAsia="zh-CN"/>
                    </w:rPr>
                    <w:t>，溶解性：溶于水</w:t>
                  </w:r>
                  <w:r>
                    <w:rPr>
                      <w:rFonts w:hint="default" w:ascii="Times New Roman" w:hAnsi="Times New Roman" w:cs="Times New Roman"/>
                      <w:color w:val="auto"/>
                      <w:szCs w:val="21"/>
                      <w:highlight w:val="none"/>
                    </w:rPr>
                    <w:t>。</w:t>
                  </w:r>
                </w:p>
              </w:tc>
              <w:tc>
                <w:tcPr>
                  <w:tcW w:w="542" w:type="pct"/>
                  <w:noWrap w:val="0"/>
                  <w:tcMar>
                    <w:left w:w="28" w:type="dxa"/>
                    <w:right w:w="28" w:type="dxa"/>
                  </w:tcMar>
                  <w:vAlign w:val="center"/>
                </w:tcPr>
                <w:p w14:paraId="37BE6913">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kern w:val="0"/>
                      <w:sz w:val="21"/>
                      <w:szCs w:val="21"/>
                      <w:lang w:val="en-US" w:eastAsia="zh-CN"/>
                    </w:rPr>
                  </w:pPr>
                  <w:r>
                    <w:rPr>
                      <w:rFonts w:hint="eastAsia" w:cs="Times New Roman"/>
                      <w:color w:val="auto"/>
                      <w:szCs w:val="21"/>
                      <w:shd w:val="clear" w:color="auto" w:fill="FFFFFF"/>
                      <w:lang w:val="en-US" w:eastAsia="zh-CN"/>
                    </w:rPr>
                    <w:t>不燃</w:t>
                  </w:r>
                </w:p>
              </w:tc>
              <w:tc>
                <w:tcPr>
                  <w:tcW w:w="871" w:type="pct"/>
                  <w:noWrap w:val="0"/>
                  <w:tcMar>
                    <w:left w:w="28" w:type="dxa"/>
                    <w:right w:w="28" w:type="dxa"/>
                  </w:tcMar>
                  <w:vAlign w:val="center"/>
                </w:tcPr>
                <w:p w14:paraId="6962F6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rPr>
                  </w:pPr>
                  <w:r>
                    <w:rPr>
                      <w:rFonts w:hint="eastAsia" w:cs="Times New Roman"/>
                      <w:color w:val="auto"/>
                      <w:kern w:val="0"/>
                      <w:sz w:val="21"/>
                      <w:szCs w:val="21"/>
                      <w:lang w:val="en-US" w:eastAsia="zh-CN"/>
                    </w:rPr>
                    <w:t>/</w:t>
                  </w:r>
                </w:p>
              </w:tc>
            </w:tr>
            <w:tr w14:paraId="5363A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632" w:type="pct"/>
                  <w:noWrap w:val="0"/>
                  <w:tcMar>
                    <w:left w:w="28" w:type="dxa"/>
                    <w:right w:w="28" w:type="dxa"/>
                  </w:tcMar>
                  <w:vAlign w:val="center"/>
                </w:tcPr>
                <w:p w14:paraId="6B9A06C8">
                  <w:pPr>
                    <w:widowControl/>
                    <w:adjustRightInd w:val="0"/>
                    <w:snapToGrid w:val="0"/>
                    <w:jc w:val="center"/>
                    <w:textAlignment w:val="center"/>
                    <w:rPr>
                      <w:rFonts w:hint="default" w:ascii="Times New Roman" w:hAnsi="Times New Roman" w:cs="Times New Roman"/>
                      <w:color w:val="auto"/>
                      <w:kern w:val="0"/>
                      <w:szCs w:val="21"/>
                      <w:lang w:val="en-US" w:eastAsia="zh-CN"/>
                    </w:rPr>
                  </w:pPr>
                  <w:r>
                    <w:rPr>
                      <w:rFonts w:hint="eastAsia" w:cs="Times New Roman"/>
                      <w:color w:val="auto"/>
                      <w:kern w:val="0"/>
                      <w:sz w:val="21"/>
                      <w:szCs w:val="21"/>
                      <w:highlight w:val="none"/>
                      <w:lang w:val="en-US" w:eastAsia="zh-CN" w:bidi="ar-SA"/>
                    </w:rPr>
                    <w:t>机油</w:t>
                  </w:r>
                </w:p>
              </w:tc>
              <w:tc>
                <w:tcPr>
                  <w:tcW w:w="2953" w:type="pct"/>
                  <w:noWrap w:val="0"/>
                  <w:tcMar>
                    <w:left w:w="28" w:type="dxa"/>
                    <w:right w:w="28" w:type="dxa"/>
                  </w:tcMar>
                  <w:vAlign w:val="center"/>
                </w:tcPr>
                <w:p w14:paraId="26A146B5">
                  <w:pPr>
                    <w:widowControl/>
                    <w:contextualSpacing/>
                    <w:jc w:val="center"/>
                    <w:rPr>
                      <w:rFonts w:hint="default" w:ascii="Times New Roman" w:hAnsi="Times New Roman" w:cs="Times New Roman"/>
                      <w:color w:val="auto"/>
                      <w:szCs w:val="21"/>
                      <w:highlight w:val="none"/>
                    </w:rPr>
                  </w:pPr>
                  <w:r>
                    <w:rPr>
                      <w:rFonts w:hint="default" w:ascii="Times New Roman" w:hAnsi="Times New Roman" w:eastAsia="宋体" w:cs="Times New Roman"/>
                      <w:color w:val="auto"/>
                    </w:rPr>
                    <w:t>沸点&gt;316℃，引燃温度：220-250℃</w:t>
                  </w:r>
                  <w:r>
                    <w:rPr>
                      <w:rFonts w:hint="eastAsia" w:cs="Times New Roman"/>
                      <w:color w:val="auto"/>
                      <w:lang w:eastAsia="zh-CN"/>
                    </w:rPr>
                    <w:t>，</w:t>
                  </w:r>
                  <w:r>
                    <w:rPr>
                      <w:rFonts w:hint="default" w:ascii="Times New Roman" w:hAnsi="Times New Roman" w:eastAsia="宋体" w:cs="Times New Roman"/>
                      <w:color w:val="auto"/>
                    </w:rPr>
                    <w:t>闪点224℃左右，淡黄色液体，不溶于水</w:t>
                  </w:r>
                </w:p>
              </w:tc>
              <w:tc>
                <w:tcPr>
                  <w:tcW w:w="542" w:type="pct"/>
                  <w:noWrap w:val="0"/>
                  <w:tcMar>
                    <w:left w:w="28" w:type="dxa"/>
                    <w:right w:w="28" w:type="dxa"/>
                  </w:tcMar>
                  <w:vAlign w:val="center"/>
                </w:tcPr>
                <w:p w14:paraId="3A3D6817">
                  <w:pPr>
                    <w:widowControl/>
                    <w:contextualSpacing/>
                    <w:jc w:val="center"/>
                    <w:rPr>
                      <w:rFonts w:hint="default" w:cs="Times New Roman"/>
                      <w:color w:val="auto"/>
                      <w:szCs w:val="21"/>
                      <w:shd w:val="clear" w:color="auto" w:fill="FFFFFF"/>
                      <w:lang w:val="en-US" w:eastAsia="zh-CN"/>
                    </w:rPr>
                  </w:pPr>
                  <w:r>
                    <w:rPr>
                      <w:rFonts w:hint="default" w:ascii="Times New Roman" w:hAnsi="Times New Roman" w:eastAsia="宋体" w:cs="Times New Roman"/>
                      <w:color w:val="auto"/>
                    </w:rPr>
                    <w:t>可燃</w:t>
                  </w:r>
                </w:p>
              </w:tc>
              <w:tc>
                <w:tcPr>
                  <w:tcW w:w="871" w:type="pct"/>
                  <w:noWrap w:val="0"/>
                  <w:tcMar>
                    <w:left w:w="28" w:type="dxa"/>
                    <w:right w:w="28" w:type="dxa"/>
                  </w:tcMar>
                  <w:vAlign w:val="center"/>
                </w:tcPr>
                <w:p w14:paraId="3297EA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w:t>
                  </w:r>
                </w:p>
              </w:tc>
            </w:tr>
            <w:tr w14:paraId="27FE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632" w:type="pct"/>
                  <w:noWrap w:val="0"/>
                  <w:tcMar>
                    <w:left w:w="28" w:type="dxa"/>
                    <w:right w:w="28" w:type="dxa"/>
                  </w:tcMar>
                  <w:vAlign w:val="center"/>
                </w:tcPr>
                <w:p w14:paraId="1DF81EAB">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Cs/>
                      <w:color w:val="auto"/>
                    </w:rPr>
                    <w:t>五水偏硅酸钠</w:t>
                  </w:r>
                </w:p>
              </w:tc>
              <w:tc>
                <w:tcPr>
                  <w:tcW w:w="2953" w:type="pct"/>
                  <w:noWrap w:val="0"/>
                  <w:tcMar>
                    <w:left w:w="28" w:type="dxa"/>
                    <w:right w:w="28" w:type="dxa"/>
                  </w:tcMar>
                  <w:vAlign w:val="center"/>
                </w:tcPr>
                <w:p w14:paraId="658D6070">
                  <w:pPr>
                    <w:adjustRightInd w:val="0"/>
                    <w:snapToGrid w:val="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rPr>
                    <w:t>粘稠液体，密度2.61 g/cm³，用于超</w:t>
                  </w:r>
                  <w:r>
                    <w:rPr>
                      <w:rFonts w:hint="default" w:ascii="Times New Roman" w:hAnsi="Times New Roman" w:eastAsia="宋体" w:cs="Times New Roman"/>
                      <w:color w:val="auto"/>
                      <w:kern w:val="0"/>
                    </w:rPr>
                    <w:fldChar w:fldCharType="begin"/>
                  </w:r>
                  <w:r>
                    <w:rPr>
                      <w:rFonts w:hint="default" w:ascii="Times New Roman" w:hAnsi="Times New Roman" w:eastAsia="宋体" w:cs="Times New Roman"/>
                      <w:color w:val="auto"/>
                      <w:kern w:val="0"/>
                    </w:rPr>
                    <w:instrText xml:space="preserve"> HYPERLINK "https://baike.baidu.com/item/%E6%B5%93%E7%BC%A9%E6%B4%97%E8%A1%A3%E7%B2%89/6960084" \t "https://baike.baidu.com/item/_blank" </w:instrText>
                  </w:r>
                  <w:r>
                    <w:rPr>
                      <w:rFonts w:hint="default" w:ascii="Times New Roman" w:hAnsi="Times New Roman" w:eastAsia="宋体" w:cs="Times New Roman"/>
                      <w:color w:val="auto"/>
                      <w:kern w:val="0"/>
                    </w:rPr>
                    <w:fldChar w:fldCharType="separate"/>
                  </w:r>
                  <w:r>
                    <w:rPr>
                      <w:rFonts w:hint="default" w:ascii="Times New Roman" w:hAnsi="Times New Roman" w:eastAsia="宋体" w:cs="Times New Roman"/>
                      <w:color w:val="auto"/>
                      <w:kern w:val="0"/>
                    </w:rPr>
                    <w:t>浓缩洗衣粉</w:t>
                  </w:r>
                  <w:r>
                    <w:rPr>
                      <w:rFonts w:hint="default" w:ascii="Times New Roman" w:hAnsi="Times New Roman" w:eastAsia="宋体" w:cs="Times New Roman"/>
                      <w:color w:val="auto"/>
                      <w:kern w:val="0"/>
                    </w:rPr>
                    <w:fldChar w:fldCharType="end"/>
                  </w:r>
                  <w:r>
                    <w:rPr>
                      <w:rFonts w:hint="default" w:ascii="Times New Roman" w:hAnsi="Times New Roman" w:eastAsia="宋体" w:cs="Times New Roman"/>
                      <w:color w:val="auto"/>
                      <w:kern w:val="0"/>
                    </w:rPr>
                    <w:t>、洗涤剂、</w:t>
                  </w:r>
                  <w:r>
                    <w:rPr>
                      <w:rFonts w:hint="default" w:ascii="Times New Roman" w:hAnsi="Times New Roman" w:eastAsia="宋体" w:cs="Times New Roman"/>
                      <w:color w:val="auto"/>
                      <w:kern w:val="0"/>
                    </w:rPr>
                    <w:fldChar w:fldCharType="begin"/>
                  </w:r>
                  <w:r>
                    <w:rPr>
                      <w:rFonts w:hint="default" w:ascii="Times New Roman" w:hAnsi="Times New Roman" w:eastAsia="宋体" w:cs="Times New Roman"/>
                      <w:color w:val="auto"/>
                      <w:kern w:val="0"/>
                    </w:rPr>
                    <w:instrText xml:space="preserve"> HYPERLINK "https://baike.baidu.com/item/%E9%87%91%E5%B1%9E%E6%B8%85%E6%B4%97%E5%89%82/4566198" \t "https://baike.baidu.com/item/_blank" </w:instrText>
                  </w:r>
                  <w:r>
                    <w:rPr>
                      <w:rFonts w:hint="default" w:ascii="Times New Roman" w:hAnsi="Times New Roman" w:eastAsia="宋体" w:cs="Times New Roman"/>
                      <w:color w:val="auto"/>
                      <w:kern w:val="0"/>
                    </w:rPr>
                    <w:fldChar w:fldCharType="separate"/>
                  </w:r>
                  <w:r>
                    <w:rPr>
                      <w:rFonts w:hint="default" w:ascii="Times New Roman" w:hAnsi="Times New Roman" w:eastAsia="宋体" w:cs="Times New Roman"/>
                      <w:color w:val="auto"/>
                      <w:kern w:val="0"/>
                    </w:rPr>
                    <w:t>金属清洗剂</w:t>
                  </w:r>
                  <w:r>
                    <w:rPr>
                      <w:rFonts w:hint="default" w:ascii="Times New Roman" w:hAnsi="Times New Roman" w:eastAsia="宋体" w:cs="Times New Roman"/>
                      <w:color w:val="auto"/>
                      <w:kern w:val="0"/>
                    </w:rPr>
                    <w:fldChar w:fldCharType="end"/>
                  </w:r>
                  <w:r>
                    <w:rPr>
                      <w:rFonts w:hint="default" w:ascii="Times New Roman" w:hAnsi="Times New Roman" w:eastAsia="宋体" w:cs="Times New Roman"/>
                      <w:color w:val="auto"/>
                      <w:kern w:val="0"/>
                    </w:rPr>
                    <w:t>、食品行业洗净剂</w:t>
                  </w:r>
                  <w:r>
                    <w:rPr>
                      <w:rFonts w:hint="eastAsia" w:ascii="Times New Roman" w:hAnsi="Times New Roman" w:eastAsia="宋体" w:cs="Times New Roman"/>
                      <w:color w:val="auto"/>
                      <w:szCs w:val="21"/>
                      <w:highlight w:val="none"/>
                      <w:lang w:eastAsia="zh-CN"/>
                    </w:rPr>
                    <w:t>。</w:t>
                  </w:r>
                </w:p>
              </w:tc>
              <w:tc>
                <w:tcPr>
                  <w:tcW w:w="542" w:type="pct"/>
                  <w:noWrap w:val="0"/>
                  <w:tcMar>
                    <w:left w:w="28" w:type="dxa"/>
                    <w:right w:w="28" w:type="dxa"/>
                  </w:tcMar>
                  <w:vAlign w:val="center"/>
                </w:tcPr>
                <w:p w14:paraId="480D9C14">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szCs w:val="21"/>
                      <w:shd w:val="clear" w:color="auto" w:fill="FFFFFF"/>
                      <w:lang w:val="en-US" w:eastAsia="zh-CN"/>
                    </w:rPr>
                    <w:t>不燃</w:t>
                  </w:r>
                </w:p>
              </w:tc>
              <w:tc>
                <w:tcPr>
                  <w:tcW w:w="871" w:type="pct"/>
                  <w:noWrap w:val="0"/>
                  <w:tcMar>
                    <w:left w:w="28" w:type="dxa"/>
                    <w:right w:w="28" w:type="dxa"/>
                  </w:tcMar>
                  <w:vAlign w:val="center"/>
                </w:tcPr>
                <w:p w14:paraId="213F1D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r>
            <w:tr w14:paraId="7B951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632" w:type="pct"/>
                  <w:noWrap w:val="0"/>
                  <w:tcMar>
                    <w:left w:w="28" w:type="dxa"/>
                    <w:right w:w="28" w:type="dxa"/>
                  </w:tcMar>
                  <w:vAlign w:val="center"/>
                </w:tcPr>
                <w:p w14:paraId="2D3D18E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rPr>
                  </w:pPr>
                  <w:r>
                    <w:rPr>
                      <w:rFonts w:hint="eastAsia" w:cs="Times New Roman"/>
                      <w:color w:val="auto"/>
                      <w:kern w:val="0"/>
                      <w:sz w:val="21"/>
                      <w:szCs w:val="21"/>
                      <w:highlight w:val="none"/>
                      <w:lang w:val="en-US" w:eastAsia="zh-CN" w:bidi="ar-SA"/>
                    </w:rPr>
                    <w:t>PAC</w:t>
                  </w:r>
                </w:p>
              </w:tc>
              <w:tc>
                <w:tcPr>
                  <w:tcW w:w="2953" w:type="pct"/>
                  <w:noWrap w:val="0"/>
                  <w:tcMar>
                    <w:left w:w="28" w:type="dxa"/>
                    <w:right w:w="28" w:type="dxa"/>
                  </w:tcMar>
                  <w:vAlign w:val="center"/>
                </w:tcPr>
                <w:p w14:paraId="0C0A3240">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一种</w:t>
                  </w:r>
                  <w:r>
                    <w:rPr>
                      <w:rFonts w:hint="eastAsia" w:cs="Times New Roman"/>
                      <w:color w:val="auto"/>
                      <w:kern w:val="0"/>
                      <w:sz w:val="21"/>
                      <w:szCs w:val="24"/>
                      <w:lang w:val="en-US" w:eastAsia="zh-CN" w:bidi="ar-SA"/>
                    </w:rPr>
                    <w:t>新型</w:t>
                  </w:r>
                  <w:r>
                    <w:rPr>
                      <w:rFonts w:hint="default" w:ascii="Times New Roman" w:hAnsi="Times New Roman" w:eastAsia="宋体" w:cs="Times New Roman"/>
                      <w:color w:val="auto"/>
                      <w:kern w:val="0"/>
                      <w:sz w:val="21"/>
                      <w:szCs w:val="24"/>
                      <w:lang w:val="en-US" w:eastAsia="zh-CN" w:bidi="ar-SA"/>
                    </w:rPr>
                    <w:t>净水材料、</w:t>
                  </w:r>
                  <w:r>
                    <w:rPr>
                      <w:rFonts w:hint="default" w:ascii="Times New Roman" w:hAnsi="Times New Roman" w:eastAsia="宋体" w:cs="Times New Roman"/>
                      <w:color w:val="auto"/>
                      <w:kern w:val="0"/>
                      <w:sz w:val="21"/>
                      <w:szCs w:val="24"/>
                      <w:lang w:val="en-US" w:eastAsia="zh-CN" w:bidi="ar-SA"/>
                    </w:rPr>
                    <w:fldChar w:fldCharType="begin"/>
                  </w:r>
                  <w:r>
                    <w:rPr>
                      <w:rFonts w:hint="default" w:ascii="Times New Roman" w:hAnsi="Times New Roman" w:eastAsia="宋体" w:cs="Times New Roman"/>
                      <w:color w:val="auto"/>
                      <w:kern w:val="0"/>
                      <w:sz w:val="21"/>
                      <w:szCs w:val="24"/>
                      <w:lang w:val="en-US" w:eastAsia="zh-CN" w:bidi="ar-SA"/>
                    </w:rPr>
                    <w:instrText xml:space="preserve"> HYPERLINK "https://baike.baidu.com/item/%E6%97%A0%E6%9C%BA%E9%AB%98%E5%88%86%E5%AD%90/10251184?fromModule=lemma_inlink" \t "https://baike.baidu.com/item/%E8%81%9A%E5%90%88%E6%B0%AF%E5%8C%96%E9%93%9D/_blank" </w:instrText>
                  </w:r>
                  <w:r>
                    <w:rPr>
                      <w:rFonts w:hint="default" w:ascii="Times New Roman" w:hAnsi="Times New Roman" w:eastAsia="宋体" w:cs="Times New Roman"/>
                      <w:color w:val="auto"/>
                      <w:kern w:val="0"/>
                      <w:sz w:val="21"/>
                      <w:szCs w:val="24"/>
                      <w:lang w:val="en-US" w:eastAsia="zh-CN" w:bidi="ar-SA"/>
                    </w:rPr>
                    <w:fldChar w:fldCharType="separate"/>
                  </w:r>
                  <w:r>
                    <w:rPr>
                      <w:rFonts w:hint="default" w:ascii="Times New Roman" w:hAnsi="Times New Roman" w:eastAsia="宋体" w:cs="Times New Roman"/>
                      <w:color w:val="auto"/>
                      <w:kern w:val="0"/>
                      <w:sz w:val="21"/>
                      <w:szCs w:val="24"/>
                      <w:lang w:val="en-US" w:eastAsia="zh-CN" w:bidi="ar-SA"/>
                    </w:rPr>
                    <w:t>无机高分子</w:t>
                  </w:r>
                  <w:r>
                    <w:rPr>
                      <w:rFonts w:hint="default" w:ascii="Times New Roman" w:hAnsi="Times New Roman" w:eastAsia="宋体" w:cs="Times New Roman"/>
                      <w:color w:val="auto"/>
                      <w:kern w:val="0"/>
                      <w:sz w:val="21"/>
                      <w:szCs w:val="24"/>
                      <w:lang w:val="en-US" w:eastAsia="zh-CN" w:bidi="ar-SA"/>
                    </w:rPr>
                    <w:fldChar w:fldCharType="end"/>
                  </w:r>
                  <w:r>
                    <w:rPr>
                      <w:rFonts w:hint="default" w:ascii="Times New Roman" w:hAnsi="Times New Roman" w:eastAsia="宋体" w:cs="Times New Roman"/>
                      <w:color w:val="auto"/>
                      <w:kern w:val="0"/>
                      <w:sz w:val="21"/>
                      <w:szCs w:val="24"/>
                      <w:lang w:val="en-US" w:eastAsia="zh-CN" w:bidi="ar-SA"/>
                    </w:rPr>
                    <w:t>混凝剂，简称聚合氯化铝。颜色呈黄色或淡黄色、深褐色、深灰色树脂状固体</w:t>
                  </w:r>
                  <w:r>
                    <w:rPr>
                      <w:rFonts w:hint="eastAsia" w:ascii="Times New Roman" w:hAnsi="Times New Roman" w:eastAsia="宋体" w:cs="Times New Roman"/>
                      <w:color w:val="auto"/>
                      <w:kern w:val="0"/>
                      <w:sz w:val="21"/>
                      <w:szCs w:val="24"/>
                      <w:lang w:val="en-US" w:eastAsia="zh-CN" w:bidi="ar-SA"/>
                    </w:rPr>
                    <w:t>，</w:t>
                  </w:r>
                  <w:r>
                    <w:rPr>
                      <w:rFonts w:hint="default" w:ascii="Times New Roman" w:hAnsi="Times New Roman" w:eastAsia="宋体" w:cs="Times New Roman"/>
                      <w:color w:val="auto"/>
                      <w:kern w:val="0"/>
                      <w:sz w:val="21"/>
                      <w:szCs w:val="24"/>
                      <w:lang w:val="en-US" w:eastAsia="zh-CN" w:bidi="ar-SA"/>
                    </w:rPr>
                    <w:t>熔点：</w:t>
                  </w:r>
                  <w:r>
                    <w:rPr>
                      <w:rFonts w:hint="eastAsia" w:ascii="Times New Roman" w:hAnsi="Times New Roman" w:eastAsia="宋体" w:cs="Times New Roman"/>
                      <w:color w:val="auto"/>
                      <w:kern w:val="0"/>
                      <w:sz w:val="21"/>
                      <w:szCs w:val="24"/>
                      <w:lang w:val="en-US" w:eastAsia="zh-CN" w:bidi="ar-SA"/>
                    </w:rPr>
                    <w:t>190</w:t>
                  </w:r>
                  <w:r>
                    <w:rPr>
                      <w:rFonts w:hint="default" w:ascii="Times New Roman" w:hAnsi="Times New Roman" w:eastAsia="宋体" w:cs="Times New Roman"/>
                      <w:color w:val="auto"/>
                      <w:kern w:val="0"/>
                      <w:sz w:val="21"/>
                      <w:szCs w:val="24"/>
                      <w:lang w:val="en-US" w:eastAsia="zh-CN" w:bidi="ar-SA"/>
                    </w:rPr>
                    <w:t>℃</w:t>
                  </w:r>
                  <w:r>
                    <w:rPr>
                      <w:rFonts w:hint="eastAsia" w:ascii="Times New Roman" w:hAnsi="Times New Roman" w:eastAsia="宋体" w:cs="Times New Roman"/>
                      <w:color w:val="auto"/>
                      <w:kern w:val="0"/>
                      <w:sz w:val="21"/>
                      <w:szCs w:val="24"/>
                      <w:lang w:val="en-US" w:eastAsia="zh-CN" w:bidi="ar-SA"/>
                    </w:rPr>
                    <w:t>，易溶于水。</w:t>
                  </w:r>
                  <w:r>
                    <w:rPr>
                      <w:rFonts w:hint="default" w:ascii="Times New Roman" w:hAnsi="Times New Roman" w:eastAsia="宋体" w:cs="Times New Roman"/>
                      <w:color w:val="auto"/>
                      <w:kern w:val="0"/>
                      <w:sz w:val="21"/>
                      <w:szCs w:val="24"/>
                      <w:lang w:val="en-US" w:eastAsia="zh-CN" w:bidi="ar-SA"/>
                    </w:rPr>
                    <w:t>它是介于AlCl</w:t>
                  </w:r>
                  <w:r>
                    <w:rPr>
                      <w:rFonts w:hint="default" w:ascii="Times New Roman" w:hAnsi="Times New Roman" w:eastAsia="宋体" w:cs="Times New Roman"/>
                      <w:color w:val="auto"/>
                      <w:kern w:val="0"/>
                      <w:sz w:val="21"/>
                      <w:szCs w:val="24"/>
                      <w:vertAlign w:val="subscript"/>
                      <w:lang w:val="en-US" w:eastAsia="zh-CN" w:bidi="ar-SA"/>
                    </w:rPr>
                    <w:t>3</w:t>
                  </w:r>
                  <w:r>
                    <w:rPr>
                      <w:rFonts w:hint="default" w:ascii="Times New Roman" w:hAnsi="Times New Roman" w:eastAsia="宋体" w:cs="Times New Roman"/>
                      <w:color w:val="auto"/>
                      <w:kern w:val="0"/>
                      <w:sz w:val="21"/>
                      <w:szCs w:val="24"/>
                      <w:lang w:val="en-US" w:eastAsia="zh-CN" w:bidi="ar-SA"/>
                    </w:rPr>
                    <w:t>和Al(OH)</w:t>
                  </w:r>
                  <w:r>
                    <w:rPr>
                      <w:rFonts w:hint="default" w:ascii="Times New Roman" w:hAnsi="Times New Roman" w:eastAsia="宋体" w:cs="Times New Roman"/>
                      <w:color w:val="auto"/>
                      <w:kern w:val="0"/>
                      <w:sz w:val="21"/>
                      <w:szCs w:val="24"/>
                      <w:vertAlign w:val="subscript"/>
                      <w:lang w:val="en-US" w:eastAsia="zh-CN" w:bidi="ar-SA"/>
                    </w:rPr>
                    <w:t>3</w:t>
                  </w:r>
                  <w:r>
                    <w:rPr>
                      <w:rFonts w:hint="default" w:ascii="Times New Roman" w:hAnsi="Times New Roman" w:eastAsia="宋体" w:cs="Times New Roman"/>
                      <w:color w:val="auto"/>
                      <w:kern w:val="0"/>
                      <w:sz w:val="21"/>
                      <w:szCs w:val="24"/>
                      <w:lang w:val="en-US" w:eastAsia="zh-CN" w:bidi="ar-SA"/>
                    </w:rPr>
                    <w:t>之间的一种水溶性无机高分子聚合物，化学通式为[Al</w:t>
                  </w:r>
                  <w:r>
                    <w:rPr>
                      <w:rFonts w:hint="default" w:ascii="Times New Roman" w:hAnsi="Times New Roman" w:eastAsia="宋体" w:cs="Times New Roman"/>
                      <w:color w:val="auto"/>
                      <w:kern w:val="0"/>
                      <w:sz w:val="21"/>
                      <w:szCs w:val="24"/>
                      <w:vertAlign w:val="subscript"/>
                      <w:lang w:val="en-US" w:eastAsia="zh-CN" w:bidi="ar-SA"/>
                    </w:rPr>
                    <w:t>2</w:t>
                  </w:r>
                  <w:r>
                    <w:rPr>
                      <w:rFonts w:hint="default" w:ascii="Times New Roman" w:hAnsi="Times New Roman" w:eastAsia="宋体" w:cs="Times New Roman"/>
                      <w:color w:val="auto"/>
                      <w:kern w:val="0"/>
                      <w:sz w:val="21"/>
                      <w:szCs w:val="24"/>
                      <w:lang w:val="en-US" w:eastAsia="zh-CN" w:bidi="ar-SA"/>
                    </w:rPr>
                    <w:t>(OH)nCl</w:t>
                  </w:r>
                  <w:r>
                    <w:rPr>
                      <w:rFonts w:hint="default" w:ascii="Times New Roman" w:hAnsi="Times New Roman" w:eastAsia="宋体" w:cs="Times New Roman"/>
                      <w:color w:val="auto"/>
                      <w:kern w:val="0"/>
                      <w:sz w:val="21"/>
                      <w:szCs w:val="24"/>
                      <w:vertAlign w:val="subscript"/>
                      <w:lang w:val="en-US" w:eastAsia="zh-CN" w:bidi="ar-SA"/>
                    </w:rPr>
                    <w:t>6-n</w:t>
                  </w:r>
                  <w:r>
                    <w:rPr>
                      <w:rFonts w:hint="default" w:ascii="Times New Roman" w:hAnsi="Times New Roman" w:eastAsia="宋体" w:cs="Times New Roman"/>
                      <w:color w:val="auto"/>
                      <w:kern w:val="0"/>
                      <w:sz w:val="21"/>
                      <w:szCs w:val="24"/>
                      <w:lang w:val="en-US" w:eastAsia="zh-CN" w:bidi="ar-SA"/>
                    </w:rPr>
                    <w:t>]</w:t>
                  </w:r>
                  <w:r>
                    <w:rPr>
                      <w:rFonts w:hint="default" w:ascii="Times New Roman" w:hAnsi="Times New Roman" w:eastAsia="宋体" w:cs="Times New Roman"/>
                      <w:color w:val="auto"/>
                      <w:kern w:val="0"/>
                      <w:sz w:val="21"/>
                      <w:szCs w:val="24"/>
                      <w:vertAlign w:val="subscript"/>
                      <w:lang w:val="en-US" w:eastAsia="zh-CN" w:bidi="ar-SA"/>
                    </w:rPr>
                    <w:t>m</w:t>
                  </w:r>
                  <w:r>
                    <w:rPr>
                      <w:rFonts w:hint="default" w:ascii="Times New Roman" w:hAnsi="Times New Roman" w:eastAsia="宋体" w:cs="Times New Roman"/>
                      <w:color w:val="auto"/>
                      <w:kern w:val="0"/>
                      <w:sz w:val="21"/>
                      <w:szCs w:val="24"/>
                      <w:lang w:val="en-US" w:eastAsia="zh-CN" w:bidi="ar-SA"/>
                    </w:rPr>
                    <w:t>，其中m代表聚合程度，n表示PAC产品的中性程度。n=1~5为具有Keggin结构的高电荷聚合环链体，对水中胶体和颗粒物具有高度电中和及桥联作用，并可强力去除微有毒物及重金属离子，性状稳定。</w:t>
                  </w:r>
                </w:p>
              </w:tc>
              <w:tc>
                <w:tcPr>
                  <w:tcW w:w="542" w:type="pct"/>
                  <w:noWrap w:val="0"/>
                  <w:tcMar>
                    <w:left w:w="28" w:type="dxa"/>
                    <w:right w:w="28" w:type="dxa"/>
                  </w:tcMar>
                  <w:vAlign w:val="center"/>
                </w:tcPr>
                <w:p w14:paraId="3AA7C514">
                  <w:pPr>
                    <w:keepNext w:val="0"/>
                    <w:keepLines w:val="0"/>
                    <w:pageBreakBefore w:val="0"/>
                    <w:kinsoku/>
                    <w:wordWrap/>
                    <w:overflowPunct/>
                    <w:topLinePunct w:val="0"/>
                    <w:bidi w:val="0"/>
                    <w:adjustRightInd w:val="0"/>
                    <w:snapToGrid w:val="0"/>
                    <w:ind w:left="0" w:leftChars="0" w:right="0" w:rightChars="0"/>
                    <w:jc w:val="center"/>
                    <w:rPr>
                      <w:rFonts w:hint="eastAsia"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color w:val="auto"/>
                      <w:kern w:val="0"/>
                      <w:sz w:val="21"/>
                      <w:szCs w:val="24"/>
                      <w:lang w:val="en-US" w:eastAsia="zh-CN" w:bidi="ar-SA"/>
                    </w:rPr>
                    <w:t>不燃</w:t>
                  </w:r>
                </w:p>
              </w:tc>
              <w:tc>
                <w:tcPr>
                  <w:tcW w:w="871" w:type="pct"/>
                  <w:noWrap w:val="0"/>
                  <w:tcMar>
                    <w:left w:w="28" w:type="dxa"/>
                    <w:right w:w="28" w:type="dxa"/>
                  </w:tcMar>
                  <w:vAlign w:val="center"/>
                </w:tcPr>
                <w:p w14:paraId="7442AAF5">
                  <w:pPr>
                    <w:keepNext w:val="0"/>
                    <w:keepLines w:val="0"/>
                    <w:pageBreakBefore w:val="0"/>
                    <w:kinsoku/>
                    <w:wordWrap/>
                    <w:overflowPunct/>
                    <w:topLinePunct w:val="0"/>
                    <w:bidi w:val="0"/>
                    <w:adjustRightInd w:val="0"/>
                    <w:snapToGrid w:val="0"/>
                    <w:ind w:left="0" w:leftChars="0" w:right="0" w:rightChars="0"/>
                    <w:jc w:val="center"/>
                    <w:rPr>
                      <w:rFonts w:hint="eastAsia"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color w:val="auto"/>
                      <w:kern w:val="0"/>
                      <w:sz w:val="21"/>
                      <w:szCs w:val="24"/>
                      <w:lang w:val="en-US" w:eastAsia="zh-CN" w:bidi="ar-SA"/>
                    </w:rPr>
                    <w:t>/</w:t>
                  </w:r>
                </w:p>
              </w:tc>
            </w:tr>
            <w:tr w14:paraId="33813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632" w:type="pct"/>
                  <w:noWrap w:val="0"/>
                  <w:tcMar>
                    <w:left w:w="28" w:type="dxa"/>
                    <w:right w:w="28" w:type="dxa"/>
                  </w:tcMar>
                  <w:vAlign w:val="center"/>
                </w:tcPr>
                <w:p w14:paraId="21291AA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rPr>
                  </w:pPr>
                  <w:r>
                    <w:rPr>
                      <w:rFonts w:hint="eastAsia" w:cs="Times New Roman"/>
                      <w:color w:val="auto"/>
                      <w:kern w:val="0"/>
                      <w:sz w:val="21"/>
                      <w:szCs w:val="21"/>
                      <w:highlight w:val="none"/>
                      <w:lang w:val="en-US" w:eastAsia="zh-CN" w:bidi="ar-SA"/>
                    </w:rPr>
                    <w:t>PAM</w:t>
                  </w:r>
                </w:p>
              </w:tc>
              <w:tc>
                <w:tcPr>
                  <w:tcW w:w="2953" w:type="pct"/>
                  <w:noWrap w:val="0"/>
                  <w:tcMar>
                    <w:left w:w="28" w:type="dxa"/>
                    <w:right w:w="28" w:type="dxa"/>
                  </w:tcMar>
                  <w:vAlign w:val="center"/>
                </w:tcPr>
                <w:p w14:paraId="6563C887">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是一种线型高分子</w:t>
                  </w:r>
                  <w:r>
                    <w:rPr>
                      <w:rFonts w:hint="default" w:ascii="Times New Roman" w:hAnsi="Times New Roman" w:eastAsia="宋体" w:cs="Times New Roman"/>
                      <w:color w:val="auto"/>
                      <w:kern w:val="0"/>
                      <w:sz w:val="21"/>
                      <w:szCs w:val="24"/>
                      <w:lang w:val="en-US" w:eastAsia="zh-CN" w:bidi="ar-SA"/>
                    </w:rPr>
                    <w:fldChar w:fldCharType="begin"/>
                  </w:r>
                  <w:r>
                    <w:rPr>
                      <w:rFonts w:hint="default" w:ascii="Times New Roman" w:hAnsi="Times New Roman" w:eastAsia="宋体" w:cs="Times New Roman"/>
                      <w:color w:val="auto"/>
                      <w:kern w:val="0"/>
                      <w:sz w:val="21"/>
                      <w:szCs w:val="24"/>
                      <w:lang w:val="en-US" w:eastAsia="zh-CN" w:bidi="ar-SA"/>
                    </w:rPr>
                    <w:instrText xml:space="preserve"> HYPERLINK "https://baike.baidu.com/item/%E8%81%9A%E5%90%88%E7%89%A9/6252844?fromModule=lemma_inlink" \t "https://baike.baidu.com/item/%E8%81%9A%E4%B8%99%E7%83%AF%E9%85%B0%E8%83%BA/_blank" </w:instrText>
                  </w:r>
                  <w:r>
                    <w:rPr>
                      <w:rFonts w:hint="default" w:ascii="Times New Roman" w:hAnsi="Times New Roman" w:eastAsia="宋体" w:cs="Times New Roman"/>
                      <w:color w:val="auto"/>
                      <w:kern w:val="0"/>
                      <w:sz w:val="21"/>
                      <w:szCs w:val="24"/>
                      <w:lang w:val="en-US" w:eastAsia="zh-CN" w:bidi="ar-SA"/>
                    </w:rPr>
                    <w:fldChar w:fldCharType="separate"/>
                  </w:r>
                  <w:r>
                    <w:rPr>
                      <w:rFonts w:hint="default" w:ascii="Times New Roman" w:hAnsi="Times New Roman" w:eastAsia="宋体" w:cs="Times New Roman"/>
                      <w:color w:val="auto"/>
                      <w:kern w:val="0"/>
                      <w:sz w:val="21"/>
                      <w:szCs w:val="24"/>
                      <w:lang w:val="en-US" w:eastAsia="zh-CN" w:bidi="ar-SA"/>
                    </w:rPr>
                    <w:t>聚合物</w:t>
                  </w:r>
                  <w:r>
                    <w:rPr>
                      <w:rFonts w:hint="default" w:ascii="Times New Roman" w:hAnsi="Times New Roman" w:eastAsia="宋体" w:cs="Times New Roman"/>
                      <w:color w:val="auto"/>
                      <w:kern w:val="0"/>
                      <w:sz w:val="21"/>
                      <w:szCs w:val="24"/>
                      <w:lang w:val="en-US" w:eastAsia="zh-CN" w:bidi="ar-SA"/>
                    </w:rPr>
                    <w:fldChar w:fldCharType="end"/>
                  </w:r>
                  <w:r>
                    <w:rPr>
                      <w:rFonts w:hint="default" w:ascii="Times New Roman" w:hAnsi="Times New Roman" w:eastAsia="宋体" w:cs="Times New Roman"/>
                      <w:color w:val="auto"/>
                      <w:kern w:val="0"/>
                      <w:sz w:val="21"/>
                      <w:szCs w:val="24"/>
                      <w:lang w:val="en-US" w:eastAsia="zh-CN" w:bidi="ar-SA"/>
                    </w:rPr>
                    <w:t>，化学式为(C</w:t>
                  </w:r>
                  <w:r>
                    <w:rPr>
                      <w:rFonts w:hint="default" w:ascii="Times New Roman" w:hAnsi="Times New Roman" w:eastAsia="宋体" w:cs="Times New Roman"/>
                      <w:color w:val="auto"/>
                      <w:kern w:val="0"/>
                      <w:sz w:val="21"/>
                      <w:szCs w:val="24"/>
                      <w:vertAlign w:val="subscript"/>
                      <w:lang w:val="en-US" w:eastAsia="zh-CN" w:bidi="ar-SA"/>
                    </w:rPr>
                    <w:t>3</w:t>
                  </w:r>
                  <w:r>
                    <w:rPr>
                      <w:rFonts w:hint="default" w:ascii="Times New Roman" w:hAnsi="Times New Roman" w:eastAsia="宋体" w:cs="Times New Roman"/>
                      <w:color w:val="auto"/>
                      <w:kern w:val="0"/>
                      <w:sz w:val="21"/>
                      <w:szCs w:val="24"/>
                      <w:lang w:val="en-US" w:eastAsia="zh-CN" w:bidi="ar-SA"/>
                    </w:rPr>
                    <w:t>H</w:t>
                  </w:r>
                  <w:r>
                    <w:rPr>
                      <w:rFonts w:hint="default" w:ascii="Times New Roman" w:hAnsi="Times New Roman" w:eastAsia="宋体" w:cs="Times New Roman"/>
                      <w:color w:val="auto"/>
                      <w:kern w:val="0"/>
                      <w:sz w:val="21"/>
                      <w:szCs w:val="24"/>
                      <w:vertAlign w:val="subscript"/>
                      <w:lang w:val="en-US" w:eastAsia="zh-CN" w:bidi="ar-SA"/>
                    </w:rPr>
                    <w:t>5</w:t>
                  </w:r>
                  <w:r>
                    <w:rPr>
                      <w:rFonts w:hint="default" w:ascii="Times New Roman" w:hAnsi="Times New Roman" w:eastAsia="宋体" w:cs="Times New Roman"/>
                      <w:color w:val="auto"/>
                      <w:kern w:val="0"/>
                      <w:sz w:val="21"/>
                      <w:szCs w:val="24"/>
                      <w:lang w:val="en-US" w:eastAsia="zh-CN" w:bidi="ar-SA"/>
                    </w:rPr>
                    <w:t>NO)n。在常温下为坚硬的玻璃态固体，产品有胶液、胶乳和白色粉粒、半透明珠粒和薄片等。热稳定性良好。能以任意比例溶于水，水溶液为均匀透明的液体。</w:t>
                  </w:r>
                </w:p>
              </w:tc>
              <w:tc>
                <w:tcPr>
                  <w:tcW w:w="542" w:type="pct"/>
                  <w:noWrap w:val="0"/>
                  <w:tcMar>
                    <w:left w:w="28" w:type="dxa"/>
                    <w:right w:w="28" w:type="dxa"/>
                  </w:tcMar>
                  <w:vAlign w:val="center"/>
                </w:tcPr>
                <w:p w14:paraId="2461F043">
                  <w:pPr>
                    <w:keepNext w:val="0"/>
                    <w:keepLines w:val="0"/>
                    <w:pageBreakBefore w:val="0"/>
                    <w:kinsoku/>
                    <w:wordWrap/>
                    <w:overflowPunct/>
                    <w:topLinePunct w:val="0"/>
                    <w:bidi w:val="0"/>
                    <w:adjustRightInd w:val="0"/>
                    <w:snapToGrid w:val="0"/>
                    <w:ind w:left="0" w:leftChars="0" w:right="0" w:rightChars="0"/>
                    <w:jc w:val="center"/>
                    <w:rPr>
                      <w:rFonts w:hint="eastAsia"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color w:val="auto"/>
                      <w:kern w:val="0"/>
                      <w:sz w:val="21"/>
                      <w:szCs w:val="24"/>
                      <w:lang w:val="en-US" w:eastAsia="zh-CN" w:bidi="ar-SA"/>
                    </w:rPr>
                    <w:t>不燃</w:t>
                  </w:r>
                </w:p>
              </w:tc>
              <w:tc>
                <w:tcPr>
                  <w:tcW w:w="871" w:type="pct"/>
                  <w:noWrap w:val="0"/>
                  <w:tcMar>
                    <w:left w:w="28" w:type="dxa"/>
                    <w:right w:w="28" w:type="dxa"/>
                  </w:tcMar>
                  <w:vAlign w:val="center"/>
                </w:tcPr>
                <w:p w14:paraId="51CC0B06">
                  <w:pPr>
                    <w:keepNext w:val="0"/>
                    <w:keepLines w:val="0"/>
                    <w:pageBreakBefore w:val="0"/>
                    <w:kinsoku/>
                    <w:wordWrap/>
                    <w:overflowPunct/>
                    <w:topLinePunct w:val="0"/>
                    <w:bidi w:val="0"/>
                    <w:adjustRightInd w:val="0"/>
                    <w:snapToGrid w:val="0"/>
                    <w:ind w:left="0" w:leftChars="0" w:right="0" w:rightChars="0"/>
                    <w:jc w:val="center"/>
                    <w:rPr>
                      <w:rFonts w:hint="eastAsia" w:ascii="Times New Roman" w:hAnsi="Times New Roman" w:eastAsia="宋体" w:cs="Times New Roman"/>
                      <w:color w:val="auto"/>
                      <w:kern w:val="0"/>
                      <w:sz w:val="21"/>
                      <w:szCs w:val="24"/>
                      <w:lang w:val="en-US" w:eastAsia="zh-CN" w:bidi="ar-SA"/>
                    </w:rPr>
                  </w:pPr>
                  <w:r>
                    <w:rPr>
                      <w:rFonts w:hint="eastAsia" w:ascii="Times New Roman" w:hAnsi="Times New Roman" w:eastAsia="宋体" w:cs="Times New Roman"/>
                      <w:color w:val="auto"/>
                      <w:kern w:val="0"/>
                      <w:sz w:val="21"/>
                      <w:szCs w:val="24"/>
                      <w:lang w:val="en-US" w:eastAsia="zh-CN" w:bidi="ar-SA"/>
                    </w:rPr>
                    <w:t>/</w:t>
                  </w:r>
                </w:p>
              </w:tc>
            </w:tr>
            <w:tr w14:paraId="36462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jc w:val="center"/>
              </w:trPr>
              <w:tc>
                <w:tcPr>
                  <w:tcW w:w="632" w:type="pct"/>
                  <w:noWrap w:val="0"/>
                  <w:tcMar>
                    <w:left w:w="28" w:type="dxa"/>
                    <w:right w:w="28" w:type="dxa"/>
                  </w:tcMar>
                  <w:vAlign w:val="center"/>
                </w:tcPr>
                <w:p w14:paraId="13C27F7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Cs/>
                      <w:color w:val="auto"/>
                    </w:rPr>
                  </w:pPr>
                  <w:r>
                    <w:rPr>
                      <w:rFonts w:hint="default" w:ascii="Times New Roman" w:hAnsi="Times New Roman" w:eastAsia="宋体" w:cs="Times New Roman"/>
                      <w:color w:val="auto"/>
                      <w:kern w:val="0"/>
                      <w:sz w:val="21"/>
                      <w:szCs w:val="21"/>
                      <w:highlight w:val="none"/>
                      <w:lang w:val="en-US" w:eastAsia="zh-CN" w:bidi="ar-SA"/>
                    </w:rPr>
                    <w:t>柠檬酸</w:t>
                  </w:r>
                </w:p>
              </w:tc>
              <w:tc>
                <w:tcPr>
                  <w:tcW w:w="2953" w:type="pct"/>
                  <w:noWrap w:val="0"/>
                  <w:tcMar>
                    <w:left w:w="28" w:type="dxa"/>
                    <w:right w:w="28" w:type="dxa"/>
                  </w:tcMar>
                  <w:vAlign w:val="center"/>
                </w:tcPr>
                <w:p w14:paraId="2DF423D2">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分子式为C₆H₈O₇，是一种重要的有机弱酸，为无色晶体，无臭，沸点175℃，熔点153至159 ℃，易溶于水，溶液显酸性。</w:t>
                  </w:r>
                </w:p>
              </w:tc>
              <w:tc>
                <w:tcPr>
                  <w:tcW w:w="542" w:type="pct"/>
                  <w:noWrap w:val="0"/>
                  <w:tcMar>
                    <w:left w:w="28" w:type="dxa"/>
                    <w:right w:w="28" w:type="dxa"/>
                  </w:tcMar>
                  <w:vAlign w:val="center"/>
                </w:tcPr>
                <w:p w14:paraId="0823DB17">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可燃</w:t>
                  </w:r>
                </w:p>
              </w:tc>
              <w:tc>
                <w:tcPr>
                  <w:tcW w:w="871" w:type="pct"/>
                  <w:noWrap w:val="0"/>
                  <w:tcMar>
                    <w:left w:w="28" w:type="dxa"/>
                    <w:right w:w="28" w:type="dxa"/>
                  </w:tcMar>
                  <w:vAlign w:val="center"/>
                </w:tcPr>
                <w:p w14:paraId="3EBE2AEE">
                  <w:pPr>
                    <w:keepNext w:val="0"/>
                    <w:keepLines w:val="0"/>
                    <w:pageBreakBefore w:val="0"/>
                    <w:kinsoku/>
                    <w:wordWrap/>
                    <w:overflowPunct/>
                    <w:topLinePunct w:val="0"/>
                    <w:bidi w:val="0"/>
                    <w:adjustRightInd w:val="0"/>
                    <w:snapToGrid w:val="0"/>
                    <w:ind w:left="0" w:leftChars="0" w:right="0" w:rightChars="0"/>
                    <w:jc w:val="center"/>
                    <w:rPr>
                      <w:rFonts w:hint="default" w:ascii="Times New Roman" w:hAnsi="Times New Roman" w:eastAsia="宋体" w:cs="Times New Roman"/>
                      <w:color w:val="auto"/>
                      <w:kern w:val="0"/>
                      <w:sz w:val="21"/>
                      <w:szCs w:val="24"/>
                      <w:lang w:val="en-US" w:eastAsia="zh-CN" w:bidi="ar-SA"/>
                    </w:rPr>
                  </w:pPr>
                  <w:r>
                    <w:rPr>
                      <w:rFonts w:hint="default" w:ascii="Times New Roman" w:hAnsi="Times New Roman" w:eastAsia="宋体" w:cs="Times New Roman"/>
                      <w:color w:val="auto"/>
                      <w:kern w:val="0"/>
                      <w:sz w:val="21"/>
                      <w:szCs w:val="24"/>
                      <w:lang w:val="en-US" w:eastAsia="zh-CN" w:bidi="ar-SA"/>
                    </w:rPr>
                    <w:t>/</w:t>
                  </w:r>
                </w:p>
              </w:tc>
            </w:tr>
          </w:tbl>
          <w:p w14:paraId="59C72E61">
            <w:pPr>
              <w:rPr>
                <w:rFonts w:hint="default" w:ascii="Times New Roman" w:hAnsi="Times New Roman" w:cs="Times New Roman"/>
                <w:color w:val="auto"/>
                <w:vertAlign w:val="baseline"/>
              </w:rPr>
            </w:pPr>
          </w:p>
          <w:p w14:paraId="40FDA5C9">
            <w:pPr>
              <w:rPr>
                <w:rFonts w:hint="default" w:ascii="Times New Roman" w:hAnsi="Times New Roman" w:cs="Times New Roman"/>
                <w:color w:val="auto"/>
                <w:vertAlign w:val="baseline"/>
              </w:rPr>
            </w:pPr>
          </w:p>
          <w:p w14:paraId="0C40564E">
            <w:pPr>
              <w:rPr>
                <w:rFonts w:hint="default" w:ascii="Times New Roman" w:hAnsi="Times New Roman" w:cs="Times New Roman"/>
                <w:color w:val="auto"/>
                <w:vertAlign w:val="baseline"/>
              </w:rPr>
            </w:pPr>
          </w:p>
        </w:tc>
      </w:tr>
    </w:tbl>
    <w:p w14:paraId="63A54880">
      <w:pPr>
        <w:rPr>
          <w:rFonts w:hint="default"/>
          <w:color w:val="auto"/>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p w14:paraId="23A24AEA">
      <w:pPr>
        <w:rPr>
          <w:rFonts w:hint="default"/>
          <w:color w:val="auto"/>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8851"/>
      </w:tblGrid>
      <w:tr w14:paraId="41031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 w:type="dxa"/>
          </w:tcPr>
          <w:p w14:paraId="47292D5B">
            <w:pPr>
              <w:rPr>
                <w:rFonts w:hint="default" w:ascii="Times New Roman" w:hAnsi="Times New Roman" w:eastAsia="宋体" w:cs="Times New Roman"/>
                <w:color w:val="auto"/>
                <w:sz w:val="24"/>
                <w:szCs w:val="24"/>
              </w:rPr>
            </w:pPr>
          </w:p>
          <w:p w14:paraId="636B8A97">
            <w:pPr>
              <w:rPr>
                <w:rFonts w:hint="default" w:ascii="Times New Roman" w:hAnsi="Times New Roman" w:eastAsia="宋体" w:cs="Times New Roman"/>
                <w:color w:val="auto"/>
                <w:sz w:val="24"/>
                <w:szCs w:val="24"/>
              </w:rPr>
            </w:pPr>
          </w:p>
          <w:p w14:paraId="09C8CEBA">
            <w:pPr>
              <w:rPr>
                <w:rFonts w:hint="default" w:ascii="Times New Roman" w:hAnsi="Times New Roman" w:eastAsia="宋体" w:cs="Times New Roman"/>
                <w:color w:val="auto"/>
                <w:sz w:val="24"/>
                <w:szCs w:val="24"/>
              </w:rPr>
            </w:pPr>
          </w:p>
          <w:p w14:paraId="41BFA057">
            <w:pPr>
              <w:rPr>
                <w:rFonts w:hint="default" w:ascii="Times New Roman" w:hAnsi="Times New Roman" w:eastAsia="宋体" w:cs="Times New Roman"/>
                <w:color w:val="auto"/>
                <w:sz w:val="24"/>
                <w:szCs w:val="24"/>
              </w:rPr>
            </w:pPr>
          </w:p>
          <w:p w14:paraId="728976F5">
            <w:pPr>
              <w:rPr>
                <w:rFonts w:hint="default" w:ascii="Times New Roman" w:hAnsi="Times New Roman" w:eastAsia="宋体" w:cs="Times New Roman"/>
                <w:color w:val="auto"/>
                <w:sz w:val="24"/>
                <w:szCs w:val="24"/>
              </w:rPr>
            </w:pPr>
          </w:p>
          <w:p w14:paraId="0B03134E">
            <w:pPr>
              <w:rPr>
                <w:rFonts w:hint="default" w:ascii="Times New Roman" w:hAnsi="Times New Roman" w:eastAsia="宋体" w:cs="Times New Roman"/>
                <w:color w:val="auto"/>
                <w:sz w:val="24"/>
                <w:szCs w:val="24"/>
              </w:rPr>
            </w:pPr>
          </w:p>
          <w:p w14:paraId="62FADA20">
            <w:pPr>
              <w:rPr>
                <w:rFonts w:hint="default" w:ascii="Times New Roman" w:hAnsi="Times New Roman" w:eastAsia="宋体" w:cs="Times New Roman"/>
                <w:color w:val="auto"/>
                <w:sz w:val="24"/>
                <w:szCs w:val="24"/>
              </w:rPr>
            </w:pPr>
          </w:p>
          <w:p w14:paraId="14B36F8B">
            <w:pPr>
              <w:rPr>
                <w:rFonts w:hint="default" w:ascii="Times New Roman" w:hAnsi="Times New Roman" w:eastAsia="宋体" w:cs="Times New Roman"/>
                <w:color w:val="auto"/>
                <w:sz w:val="24"/>
                <w:szCs w:val="24"/>
              </w:rPr>
            </w:pPr>
          </w:p>
          <w:p w14:paraId="36885DCA">
            <w:pPr>
              <w:rPr>
                <w:rFonts w:hint="default" w:ascii="Times New Roman" w:hAnsi="Times New Roman" w:eastAsia="宋体" w:cs="Times New Roman"/>
                <w:color w:val="auto"/>
                <w:sz w:val="24"/>
                <w:szCs w:val="24"/>
              </w:rPr>
            </w:pPr>
          </w:p>
          <w:p w14:paraId="1DD10660">
            <w:pPr>
              <w:rPr>
                <w:rFonts w:hint="default" w:ascii="Times New Roman" w:hAnsi="Times New Roman" w:eastAsia="宋体" w:cs="Times New Roman"/>
                <w:color w:val="auto"/>
                <w:sz w:val="24"/>
                <w:szCs w:val="24"/>
              </w:rPr>
            </w:pPr>
          </w:p>
          <w:p w14:paraId="0C6EB74E">
            <w:pPr>
              <w:rPr>
                <w:rFonts w:hint="default" w:ascii="Times New Roman" w:hAnsi="Times New Roman" w:eastAsia="宋体" w:cs="Times New Roman"/>
                <w:color w:val="auto"/>
                <w:sz w:val="24"/>
                <w:szCs w:val="24"/>
              </w:rPr>
            </w:pPr>
          </w:p>
          <w:p w14:paraId="236CF0AA">
            <w:pPr>
              <w:rPr>
                <w:rFonts w:hint="default" w:ascii="Times New Roman" w:hAnsi="Times New Roman" w:eastAsia="宋体" w:cs="Times New Roman"/>
                <w:color w:val="auto"/>
                <w:sz w:val="24"/>
                <w:szCs w:val="24"/>
              </w:rPr>
            </w:pPr>
          </w:p>
          <w:p w14:paraId="13F5F2BA">
            <w:pPr>
              <w:rPr>
                <w:rFonts w:hint="default" w:ascii="Times New Roman" w:hAnsi="Times New Roman" w:eastAsia="宋体" w:cs="Times New Roman"/>
                <w:color w:val="auto"/>
                <w:sz w:val="24"/>
                <w:szCs w:val="24"/>
              </w:rPr>
            </w:pPr>
          </w:p>
          <w:p w14:paraId="386E5328">
            <w:pPr>
              <w:rPr>
                <w:rFonts w:hint="default" w:ascii="Times New Roman" w:hAnsi="Times New Roman" w:eastAsia="宋体" w:cs="Times New Roman"/>
                <w:color w:val="auto"/>
                <w:sz w:val="24"/>
                <w:szCs w:val="24"/>
              </w:rPr>
            </w:pPr>
          </w:p>
          <w:p w14:paraId="087C3AB9">
            <w:pPr>
              <w:rPr>
                <w:rFonts w:hint="default" w:ascii="Times New Roman" w:hAnsi="Times New Roman" w:eastAsia="宋体" w:cs="Times New Roman"/>
                <w:color w:val="auto"/>
                <w:sz w:val="24"/>
                <w:szCs w:val="24"/>
              </w:rPr>
            </w:pPr>
          </w:p>
          <w:p w14:paraId="0BAE30FB">
            <w:pPr>
              <w:rPr>
                <w:rFonts w:hint="default" w:ascii="Times New Roman" w:hAnsi="Times New Roman" w:eastAsia="宋体" w:cs="Times New Roman"/>
                <w:color w:val="auto"/>
                <w:sz w:val="24"/>
                <w:szCs w:val="24"/>
              </w:rPr>
            </w:pPr>
          </w:p>
          <w:p w14:paraId="063B036B">
            <w:pPr>
              <w:rPr>
                <w:rFonts w:hint="default" w:ascii="Times New Roman" w:hAnsi="Times New Roman" w:eastAsia="宋体" w:cs="Times New Roman"/>
                <w:color w:val="auto"/>
                <w:sz w:val="24"/>
                <w:szCs w:val="24"/>
              </w:rPr>
            </w:pPr>
          </w:p>
          <w:p w14:paraId="7E11E940">
            <w:pPr>
              <w:rPr>
                <w:rFonts w:hint="default" w:ascii="Times New Roman" w:hAnsi="Times New Roman" w:eastAsia="宋体" w:cs="Times New Roman"/>
                <w:color w:val="auto"/>
                <w:sz w:val="24"/>
                <w:szCs w:val="24"/>
              </w:rPr>
            </w:pPr>
          </w:p>
          <w:p w14:paraId="290EF398">
            <w:pPr>
              <w:rPr>
                <w:rFonts w:hint="default" w:ascii="Times New Roman" w:hAnsi="Times New Roman" w:eastAsia="宋体" w:cs="Times New Roman"/>
                <w:color w:val="auto"/>
                <w:sz w:val="24"/>
                <w:szCs w:val="24"/>
              </w:rPr>
            </w:pPr>
          </w:p>
          <w:p w14:paraId="79A2B7B3">
            <w:pPr>
              <w:rPr>
                <w:rFonts w:hint="default" w:ascii="Times New Roman" w:hAnsi="Times New Roman" w:eastAsia="宋体" w:cs="Times New Roman"/>
                <w:color w:val="auto"/>
                <w:sz w:val="24"/>
                <w:szCs w:val="24"/>
              </w:rPr>
            </w:pPr>
          </w:p>
          <w:p w14:paraId="5DA5408B">
            <w:pPr>
              <w:rPr>
                <w:rFonts w:hint="default" w:ascii="Times New Roman" w:hAnsi="Times New Roman" w:eastAsia="宋体" w:cs="Times New Roman"/>
                <w:color w:val="auto"/>
                <w:sz w:val="24"/>
                <w:szCs w:val="24"/>
              </w:rPr>
            </w:pPr>
          </w:p>
          <w:p w14:paraId="02A47BFA">
            <w:pPr>
              <w:rPr>
                <w:rFonts w:hint="default" w:ascii="Times New Roman" w:hAnsi="Times New Roman" w:eastAsia="宋体" w:cs="Times New Roman"/>
                <w:color w:val="auto"/>
                <w:sz w:val="24"/>
                <w:szCs w:val="24"/>
              </w:rPr>
            </w:pPr>
          </w:p>
          <w:p w14:paraId="6AD0B8FF">
            <w:pPr>
              <w:rPr>
                <w:rFonts w:hint="default"/>
                <w:color w:val="auto"/>
                <w:vertAlign w:val="baseline"/>
              </w:rPr>
            </w:pPr>
            <w:r>
              <w:rPr>
                <w:rFonts w:hint="default" w:ascii="Times New Roman" w:hAnsi="Times New Roman" w:eastAsia="宋体" w:cs="Times New Roman"/>
                <w:color w:val="auto"/>
                <w:sz w:val="24"/>
                <w:szCs w:val="24"/>
              </w:rPr>
              <w:t>建设内容</w:t>
            </w:r>
          </w:p>
        </w:tc>
        <w:tc>
          <w:tcPr>
            <w:tcW w:w="8851" w:type="dxa"/>
          </w:tcPr>
          <w:p w14:paraId="16268889">
            <w:pPr>
              <w:pStyle w:val="6"/>
              <w:keepNext w:val="0"/>
              <w:keepLines w:val="0"/>
              <w:pageBreakBefore w:val="0"/>
              <w:widowControl/>
              <w:kinsoku/>
              <w:wordWrap/>
              <w:overflowPunct/>
              <w:topLinePunct w:val="0"/>
              <w:autoSpaceDE/>
              <w:autoSpaceDN/>
              <w:bidi w:val="0"/>
              <w:adjustRightInd w:val="0"/>
              <w:snapToGrid w:val="0"/>
              <w:spacing w:before="0" w:after="0" w:line="360" w:lineRule="auto"/>
              <w:ind w:right="0"/>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2.1.</w:t>
            </w:r>
            <w:r>
              <w:rPr>
                <w:rFonts w:hint="eastAsia" w:cs="Times New Roman"/>
                <w:b/>
                <w:bCs w:val="0"/>
                <w:color w:val="auto"/>
                <w:sz w:val="24"/>
                <w:szCs w:val="24"/>
                <w:lang w:val="en-US" w:eastAsia="zh-CN"/>
              </w:rPr>
              <w:t>9</w:t>
            </w:r>
            <w:r>
              <w:rPr>
                <w:rFonts w:hint="default" w:ascii="Times New Roman" w:hAnsi="Times New Roman" w:eastAsia="宋体" w:cs="Times New Roman"/>
                <w:b/>
                <w:bCs w:val="0"/>
                <w:color w:val="auto"/>
                <w:sz w:val="24"/>
                <w:szCs w:val="24"/>
                <w:lang w:val="en-US" w:eastAsia="zh-CN"/>
              </w:rPr>
              <w:t>水平衡分析</w:t>
            </w:r>
          </w:p>
          <w:p w14:paraId="3DA31B3F">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default" w:ascii="Times New Roman" w:hAnsi="Times New Roman" w:eastAsia="宋体" w:cs="Times New Roman"/>
                <w:bCs/>
                <w:color w:val="auto"/>
                <w:szCs w:val="21"/>
                <w:lang w:val="en-US" w:eastAsia="zh-CN"/>
              </w:rPr>
            </w:pPr>
            <w:r>
              <w:rPr>
                <w:rFonts w:hint="default" w:ascii="Times New Roman" w:hAnsi="Times New Roman" w:eastAsia="宋体" w:cs="Times New Roman"/>
                <w:color w:val="auto"/>
                <w:sz w:val="24"/>
              </w:rPr>
              <w:t>（1）生活用水：本项目</w:t>
            </w:r>
            <w:r>
              <w:rPr>
                <w:rFonts w:hint="eastAsia" w:cs="Times New Roman"/>
                <w:color w:val="auto"/>
                <w:sz w:val="24"/>
                <w:lang w:val="en-US" w:eastAsia="zh-CN"/>
              </w:rPr>
              <w:t>劳动</w:t>
            </w:r>
            <w:r>
              <w:rPr>
                <w:rFonts w:hint="default" w:ascii="Times New Roman" w:hAnsi="Times New Roman" w:eastAsia="宋体" w:cs="Times New Roman"/>
                <w:color w:val="auto"/>
                <w:sz w:val="24"/>
              </w:rPr>
              <w:t>定员</w:t>
            </w:r>
            <w:r>
              <w:rPr>
                <w:rFonts w:hint="eastAsia" w:cs="Times New Roman"/>
                <w:color w:val="auto"/>
                <w:sz w:val="24"/>
                <w:lang w:val="en-US" w:eastAsia="zh-CN"/>
              </w:rPr>
              <w:t>20</w:t>
            </w:r>
            <w:r>
              <w:rPr>
                <w:rFonts w:hint="default" w:ascii="Times New Roman" w:hAnsi="Times New Roman" w:eastAsia="宋体" w:cs="Times New Roman"/>
                <w:color w:val="auto"/>
                <w:sz w:val="24"/>
              </w:rPr>
              <w:t>人，根据《常州市农业、林牧渔业、工业、生活和服务业用水定额(2021年修订)》用水量以100L/d人计，年工作</w:t>
            </w:r>
            <w:r>
              <w:rPr>
                <w:rFonts w:hint="eastAsia" w:ascii="Times New Roman" w:hAnsi="Times New Roman" w:eastAsia="宋体" w:cs="Times New Roman"/>
                <w:color w:val="auto"/>
                <w:sz w:val="24"/>
                <w:lang w:val="en-US" w:eastAsia="zh-CN"/>
              </w:rPr>
              <w:t>30</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d，生活用水量约</w:t>
            </w:r>
            <w:r>
              <w:rPr>
                <w:rFonts w:hint="eastAsia" w:cs="Times New Roman"/>
                <w:color w:val="auto"/>
                <w:sz w:val="24"/>
                <w:lang w:val="en-US" w:eastAsia="zh-CN"/>
              </w:rPr>
              <w:t>60</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t/a，产污系数以0</w:t>
            </w:r>
            <w:r>
              <w:rPr>
                <w:rFonts w:hint="default" w:ascii="Times New Roman" w:hAnsi="Times New Roman" w:eastAsia="宋体" w:cs="Times New Roman"/>
                <w:color w:val="auto"/>
                <w:sz w:val="24"/>
                <w:shd w:val="clear" w:fill="auto"/>
              </w:rPr>
              <w:t>.</w:t>
            </w:r>
            <w:r>
              <w:rPr>
                <w:rFonts w:hint="default" w:ascii="Times New Roman" w:hAnsi="Times New Roman" w:eastAsia="宋体" w:cs="Times New Roman"/>
                <w:color w:val="auto"/>
                <w:sz w:val="24"/>
              </w:rPr>
              <w:t>8计，生活污水产生量</w:t>
            </w:r>
            <w:r>
              <w:rPr>
                <w:rFonts w:hint="eastAsia" w:cs="Times New Roman"/>
                <w:color w:val="auto"/>
                <w:sz w:val="24"/>
                <w:lang w:val="en-US" w:eastAsia="zh-CN"/>
              </w:rPr>
              <w:t>48</w:t>
            </w:r>
            <w:r>
              <w:rPr>
                <w:rFonts w:hint="default" w:ascii="Times New Roman" w:hAnsi="Times New Roman" w:eastAsia="宋体" w:cs="Times New Roman"/>
                <w:color w:val="auto"/>
                <w:sz w:val="24"/>
                <w:lang w:val="en-US" w:eastAsia="zh-CN"/>
              </w:rPr>
              <w:t>0t</w:t>
            </w:r>
            <w:r>
              <w:rPr>
                <w:rFonts w:hint="default" w:ascii="Times New Roman" w:hAnsi="Times New Roman" w:eastAsia="宋体" w:cs="Times New Roman"/>
                <w:color w:val="auto"/>
                <w:sz w:val="24"/>
              </w:rPr>
              <w:t>/a</w:t>
            </w:r>
            <w:r>
              <w:rPr>
                <w:rFonts w:hint="default" w:ascii="Times New Roman" w:hAnsi="Times New Roman" w:eastAsia="宋体" w:cs="Times New Roman"/>
                <w:color w:val="auto"/>
                <w:sz w:val="24"/>
                <w:shd w:val="clear" w:fill="auto"/>
                <w:lang w:eastAsia="zh-CN"/>
              </w:rPr>
              <w:t>，</w:t>
            </w:r>
            <w:r>
              <w:rPr>
                <w:rFonts w:hint="default" w:ascii="Times New Roman" w:hAnsi="Times New Roman" w:eastAsia="宋体" w:cs="Times New Roman"/>
                <w:color w:val="auto"/>
                <w:sz w:val="24"/>
                <w:shd w:val="clear" w:fill="auto"/>
                <w:lang w:val="en-US" w:eastAsia="zh-CN"/>
              </w:rPr>
              <w:t>经常州</w:t>
            </w:r>
            <w:r>
              <w:rPr>
                <w:rFonts w:hint="eastAsia" w:cs="Times New Roman"/>
                <w:color w:val="auto"/>
                <w:sz w:val="24"/>
                <w:shd w:val="clear" w:fill="auto"/>
                <w:lang w:val="en-US" w:eastAsia="zh-CN"/>
              </w:rPr>
              <w:t>金坛溪城污水处理有限公司</w:t>
            </w:r>
            <w:r>
              <w:rPr>
                <w:rFonts w:hint="default" w:ascii="Times New Roman" w:hAnsi="Times New Roman" w:eastAsia="宋体" w:cs="Times New Roman"/>
                <w:color w:val="auto"/>
                <w:sz w:val="24"/>
                <w:shd w:val="clear" w:fill="auto"/>
                <w:lang w:val="en-US" w:eastAsia="zh-CN"/>
              </w:rPr>
              <w:t>处理后尾水排入</w:t>
            </w:r>
            <w:r>
              <w:rPr>
                <w:rFonts w:hint="eastAsia" w:cs="Times New Roman"/>
                <w:color w:val="auto"/>
                <w:sz w:val="24"/>
                <w:shd w:val="clear" w:fill="auto"/>
                <w:lang w:val="en-US" w:eastAsia="zh-CN"/>
              </w:rPr>
              <w:t>通济河</w:t>
            </w:r>
            <w:r>
              <w:rPr>
                <w:rFonts w:hint="default" w:ascii="Times New Roman" w:hAnsi="Times New Roman" w:eastAsia="宋体" w:cs="Times New Roman"/>
                <w:color w:val="auto"/>
                <w:sz w:val="24"/>
                <w:shd w:val="clear" w:fill="auto"/>
              </w:rPr>
              <w:t>。</w:t>
            </w:r>
          </w:p>
          <w:p w14:paraId="7F9B908E">
            <w:pPr>
              <w:keepNext w:val="0"/>
              <w:keepLines w:val="0"/>
              <w:pageBreakBefore w:val="0"/>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color w:val="auto"/>
                <w:sz w:val="24"/>
              </w:rPr>
            </w:pPr>
            <w:r>
              <w:rPr>
                <w:rFonts w:hint="eastAsia" w:ascii="Times New Roman" w:hAnsi="Times New Roman" w:eastAsia="宋体"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en-US" w:eastAsia="zh-CN" w:bidi="ar-SA"/>
              </w:rPr>
              <w:t>切削液</w:t>
            </w:r>
            <w:r>
              <w:rPr>
                <w:rFonts w:hint="default" w:ascii="Times New Roman" w:hAnsi="Times New Roman" w:cs="Times New Roman"/>
                <w:color w:val="auto"/>
                <w:sz w:val="24"/>
              </w:rPr>
              <w:t>配置用水</w:t>
            </w:r>
          </w:p>
          <w:p w14:paraId="726F5471">
            <w:pPr>
              <w:keepNext w:val="0"/>
              <w:keepLines w:val="0"/>
              <w:pageBreakBefore w:val="0"/>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cs="Times New Roman"/>
                <w:color w:val="auto"/>
                <w:sz w:val="24"/>
              </w:rPr>
            </w:pPr>
            <w:r>
              <w:rPr>
                <w:rFonts w:hint="eastAsia" w:ascii="Times New Roman" w:hAnsi="Times New Roman" w:eastAsia="宋体" w:cs="Times New Roman"/>
                <w:color w:val="auto"/>
                <w:kern w:val="2"/>
                <w:sz w:val="24"/>
                <w:szCs w:val="20"/>
                <w:highlight w:val="none"/>
                <w:lang w:val="en-US" w:eastAsia="zh-CN" w:bidi="ar-SA"/>
              </w:rPr>
              <w:t>项目机加工过程需使用切削液，</w:t>
            </w:r>
            <w:r>
              <w:rPr>
                <w:rFonts w:hint="eastAsia" w:cs="Times New Roman"/>
                <w:color w:val="auto"/>
                <w:kern w:val="2"/>
                <w:sz w:val="24"/>
                <w:szCs w:val="20"/>
                <w:highlight w:val="none"/>
                <w:lang w:val="en-US" w:eastAsia="zh-CN" w:bidi="ar-SA"/>
              </w:rPr>
              <w:t>项目</w:t>
            </w:r>
            <w:r>
              <w:rPr>
                <w:rFonts w:hint="eastAsia" w:ascii="Times New Roman" w:hAnsi="Times New Roman" w:eastAsia="宋体" w:cs="Times New Roman"/>
                <w:color w:val="auto"/>
                <w:kern w:val="2"/>
                <w:sz w:val="24"/>
                <w:szCs w:val="20"/>
                <w:highlight w:val="none"/>
                <w:lang w:val="en-US" w:eastAsia="zh-CN" w:bidi="ar-SA"/>
              </w:rPr>
              <w:t>外购切削液量为0.4t/a，机加工过程使用的切削液由外购切削液与自来水按1:10的比例</w:t>
            </w:r>
            <w:r>
              <w:rPr>
                <w:rFonts w:hint="eastAsia" w:cs="Times New Roman"/>
                <w:color w:val="auto"/>
                <w:kern w:val="2"/>
                <w:sz w:val="24"/>
                <w:szCs w:val="20"/>
                <w:highlight w:val="none"/>
                <w:lang w:val="en-US" w:eastAsia="zh-CN" w:bidi="ar-SA"/>
              </w:rPr>
              <w:t>配制</w:t>
            </w:r>
            <w:r>
              <w:rPr>
                <w:rFonts w:hint="eastAsia" w:ascii="Times New Roman" w:hAnsi="Times New Roman" w:eastAsia="宋体" w:cs="Times New Roman"/>
                <w:color w:val="auto"/>
                <w:kern w:val="2"/>
                <w:sz w:val="24"/>
                <w:szCs w:val="20"/>
                <w:highlight w:val="none"/>
                <w:lang w:val="en-US" w:eastAsia="zh-CN" w:bidi="ar-SA"/>
              </w:rPr>
              <w:t>，则本项目需使用4t/a自来水用于切削液兑制。兑得的切削液循环使用、定期更换，</w:t>
            </w:r>
            <w:r>
              <w:rPr>
                <w:rFonts w:hint="default" w:ascii="Times New Roman" w:hAnsi="Times New Roman" w:eastAsia="宋体" w:cs="Times New Roman"/>
                <w:b w:val="0"/>
                <w:bCs/>
                <w:color w:val="auto"/>
                <w:sz w:val="24"/>
                <w:szCs w:val="24"/>
                <w:highlight w:val="none"/>
                <w:lang w:val="en-US" w:eastAsia="zh-CN"/>
              </w:rPr>
              <w:t>蒸发及工件带出的损耗量为</w:t>
            </w:r>
            <w:r>
              <w:rPr>
                <w:rFonts w:hint="eastAsia" w:cs="Times New Roman"/>
                <w:b w:val="0"/>
                <w:bCs/>
                <w:color w:val="auto"/>
                <w:sz w:val="24"/>
                <w:szCs w:val="24"/>
                <w:highlight w:val="none"/>
                <w:lang w:val="en-US" w:eastAsia="zh-CN"/>
              </w:rPr>
              <w:t>2</w:t>
            </w:r>
            <w:r>
              <w:rPr>
                <w:rFonts w:hint="default" w:ascii="Times New Roman" w:hAnsi="Times New Roman" w:eastAsia="宋体" w:cs="Times New Roman"/>
                <w:b w:val="0"/>
                <w:bCs/>
                <w:color w:val="auto"/>
                <w:sz w:val="24"/>
                <w:szCs w:val="24"/>
                <w:highlight w:val="none"/>
                <w:lang w:val="en-US" w:eastAsia="zh-CN"/>
              </w:rPr>
              <w:t>t。切削液定期更换，</w:t>
            </w:r>
            <w:r>
              <w:rPr>
                <w:rFonts w:hint="eastAsia" w:cs="Times New Roman"/>
                <w:b w:val="0"/>
                <w:bCs/>
                <w:color w:val="auto"/>
                <w:sz w:val="24"/>
                <w:szCs w:val="24"/>
                <w:highlight w:val="none"/>
                <w:lang w:val="en-US" w:eastAsia="zh-CN"/>
              </w:rPr>
              <w:t>产生废</w:t>
            </w:r>
            <w:r>
              <w:rPr>
                <w:rFonts w:hint="default" w:ascii="Times New Roman" w:hAnsi="Times New Roman" w:eastAsia="宋体" w:cs="Times New Roman"/>
                <w:b w:val="0"/>
                <w:bCs/>
                <w:color w:val="auto"/>
                <w:sz w:val="24"/>
                <w:szCs w:val="24"/>
                <w:highlight w:val="none"/>
                <w:lang w:val="en-US" w:eastAsia="zh-CN"/>
              </w:rPr>
              <w:t>切削液</w:t>
            </w:r>
            <w:r>
              <w:rPr>
                <w:rFonts w:hint="eastAsia" w:cs="Times New Roman"/>
                <w:b w:val="0"/>
                <w:bCs/>
                <w:color w:val="auto"/>
                <w:sz w:val="24"/>
                <w:szCs w:val="24"/>
                <w:highlight w:val="none"/>
                <w:lang w:val="en-US" w:eastAsia="zh-CN"/>
              </w:rPr>
              <w:t>2.2</w:t>
            </w:r>
            <w:r>
              <w:rPr>
                <w:rFonts w:hint="eastAsia" w:ascii="Times New Roman" w:hAnsi="Times New Roman" w:eastAsia="宋体" w:cs="Times New Roman"/>
                <w:color w:val="auto"/>
                <w:kern w:val="2"/>
                <w:sz w:val="24"/>
                <w:szCs w:val="20"/>
                <w:highlight w:val="none"/>
                <w:lang w:val="en-US" w:eastAsia="zh-CN" w:bidi="ar-SA"/>
              </w:rPr>
              <w:t>t/a</w:t>
            </w:r>
            <w:r>
              <w:rPr>
                <w:rFonts w:hint="eastAsia" w:cs="Times New Roman"/>
                <w:color w:val="auto"/>
                <w:kern w:val="2"/>
                <w:sz w:val="24"/>
                <w:szCs w:val="20"/>
                <w:highlight w:val="none"/>
                <w:lang w:val="en-US" w:eastAsia="zh-CN" w:bidi="ar-SA"/>
              </w:rPr>
              <w:t>，进入</w:t>
            </w:r>
            <w:r>
              <w:rPr>
                <w:rFonts w:hint="eastAsia" w:cs="Times New Roman"/>
                <w:b w:val="0"/>
                <w:bCs/>
                <w:color w:val="auto"/>
                <w:sz w:val="24"/>
                <w:szCs w:val="24"/>
                <w:highlight w:val="none"/>
                <w:lang w:val="en-US" w:eastAsia="zh-CN"/>
              </w:rPr>
              <w:t>废</w:t>
            </w:r>
            <w:r>
              <w:rPr>
                <w:rFonts w:hint="default" w:ascii="Times New Roman" w:hAnsi="Times New Roman" w:eastAsia="宋体" w:cs="Times New Roman"/>
                <w:b w:val="0"/>
                <w:bCs/>
                <w:color w:val="auto"/>
                <w:sz w:val="24"/>
                <w:szCs w:val="24"/>
                <w:highlight w:val="none"/>
                <w:lang w:val="en-US" w:eastAsia="zh-CN"/>
              </w:rPr>
              <w:t>切削液</w:t>
            </w:r>
            <w:r>
              <w:rPr>
                <w:rFonts w:hint="eastAsia" w:cs="Times New Roman"/>
                <w:b w:val="0"/>
                <w:bCs/>
                <w:color w:val="auto"/>
                <w:sz w:val="24"/>
                <w:szCs w:val="24"/>
                <w:highlight w:val="none"/>
                <w:lang w:val="en-US" w:eastAsia="zh-CN"/>
              </w:rPr>
              <w:t>的</w:t>
            </w:r>
            <w:r>
              <w:rPr>
                <w:rFonts w:hint="eastAsia" w:eastAsia="宋体" w:cs="Times New Roman"/>
                <w:b w:val="0"/>
                <w:bCs/>
                <w:color w:val="auto"/>
                <w:sz w:val="24"/>
                <w:szCs w:val="24"/>
                <w:lang w:val="en-US" w:eastAsia="zh-CN"/>
              </w:rPr>
              <w:t>水量为</w:t>
            </w:r>
            <w:r>
              <w:rPr>
                <w:rFonts w:hint="eastAsia" w:cs="Times New Roman"/>
                <w:b w:val="0"/>
                <w:bCs/>
                <w:color w:val="auto"/>
                <w:sz w:val="24"/>
                <w:szCs w:val="24"/>
                <w:highlight w:val="none"/>
                <w:lang w:val="en-US" w:eastAsia="zh-CN"/>
              </w:rPr>
              <w:t>2</w:t>
            </w:r>
            <w:r>
              <w:rPr>
                <w:rFonts w:hint="eastAsia" w:ascii="Times New Roman" w:hAnsi="Times New Roman" w:eastAsia="宋体" w:cs="Times New Roman"/>
                <w:color w:val="auto"/>
                <w:kern w:val="2"/>
                <w:sz w:val="24"/>
                <w:szCs w:val="20"/>
                <w:highlight w:val="none"/>
                <w:lang w:val="en-US" w:eastAsia="zh-CN" w:bidi="ar-SA"/>
              </w:rPr>
              <w:t>t/a。</w:t>
            </w:r>
          </w:p>
          <w:p w14:paraId="6D38B6BC">
            <w:pPr>
              <w:keepNext w:val="0"/>
              <w:keepLines w:val="0"/>
              <w:pageBreakBefore w:val="0"/>
              <w:kinsoku/>
              <w:wordWrap/>
              <w:overflowPunct/>
              <w:topLinePunct w:val="0"/>
              <w:autoSpaceDE/>
              <w:autoSpaceDN/>
              <w:bidi w:val="0"/>
              <w:adjustRightInd w:val="0"/>
              <w:snapToGrid w:val="0"/>
              <w:spacing w:line="360" w:lineRule="auto"/>
              <w:ind w:leftChars="0" w:firstLine="480" w:firstLineChars="200"/>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（3）清洗用水</w:t>
            </w:r>
          </w:p>
          <w:p w14:paraId="02117817">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both"/>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加工好的工件首先进入3台清洗机</w:t>
            </w:r>
            <w:r>
              <w:rPr>
                <w:rFonts w:hint="eastAsia" w:cs="Times New Roman"/>
                <w:color w:val="auto"/>
                <w:kern w:val="2"/>
                <w:sz w:val="24"/>
                <w:szCs w:val="20"/>
                <w:highlight w:val="none"/>
                <w:lang w:val="en-US" w:eastAsia="zh-CN" w:bidi="ar-SA"/>
              </w:rPr>
              <w:t>（单台清洗机设2个清洗槽，</w:t>
            </w:r>
            <w:r>
              <w:rPr>
                <w:rFonts w:hint="eastAsia" w:ascii="Times New Roman" w:hAnsi="Times New Roman" w:eastAsia="宋体" w:cs="Times New Roman"/>
                <w:color w:val="auto"/>
                <w:kern w:val="2"/>
                <w:sz w:val="24"/>
                <w:szCs w:val="20"/>
                <w:highlight w:val="none"/>
                <w:lang w:val="en-US" w:eastAsia="zh-CN" w:bidi="ar-SA"/>
              </w:rPr>
              <w:t>尺寸均为80cm*80cm*70cm</w:t>
            </w:r>
            <w:r>
              <w:rPr>
                <w:rFonts w:hint="eastAsia" w:cs="Times New Roman"/>
                <w:color w:val="auto"/>
                <w:kern w:val="2"/>
                <w:sz w:val="24"/>
                <w:szCs w:val="20"/>
                <w:highlight w:val="none"/>
                <w:lang w:val="en-US" w:eastAsia="zh-CN" w:bidi="ar-SA"/>
              </w:rPr>
              <w:t>）进行连续</w:t>
            </w:r>
            <w:r>
              <w:rPr>
                <w:rFonts w:hint="eastAsia" w:ascii="Times New Roman" w:hAnsi="Times New Roman" w:eastAsia="宋体" w:cs="Times New Roman"/>
                <w:color w:val="auto"/>
                <w:kern w:val="2"/>
                <w:sz w:val="24"/>
                <w:szCs w:val="20"/>
                <w:highlight w:val="none"/>
                <w:lang w:val="en-US" w:eastAsia="zh-CN" w:bidi="ar-SA"/>
              </w:rPr>
              <w:t>浸洗，浸洗温度为常温，清洗液由</w:t>
            </w:r>
            <w:r>
              <w:rPr>
                <w:rFonts w:hint="eastAsia" w:ascii="Times New Roman" w:hAnsi="Times New Roman" w:eastAsia="宋体" w:cs="Times New Roman"/>
                <w:color w:val="auto"/>
                <w:kern w:val="2"/>
                <w:sz w:val="24"/>
                <w:szCs w:val="24"/>
                <w:lang w:val="en-US" w:eastAsia="zh-CN" w:bidi="ar-SA"/>
              </w:rPr>
              <w:t>清洗剂和水按1:50兑成</w:t>
            </w:r>
            <w:r>
              <w:rPr>
                <w:rFonts w:hint="eastAsia" w:cs="Times New Roman"/>
                <w:color w:val="auto"/>
                <w:kern w:val="2"/>
                <w:sz w:val="24"/>
                <w:szCs w:val="24"/>
                <w:lang w:val="en-US" w:eastAsia="zh-CN" w:bidi="ar-SA"/>
              </w:rPr>
              <w:t>（清洗液有效浓度在1-30%之间均能满足清洗要求）</w:t>
            </w:r>
            <w:r>
              <w:rPr>
                <w:rFonts w:hint="eastAsia" w:ascii="Times New Roman" w:hAnsi="Times New Roman" w:eastAsia="宋体" w:cs="Times New Roman"/>
                <w:color w:val="auto"/>
                <w:kern w:val="2"/>
                <w:sz w:val="24"/>
                <w:szCs w:val="20"/>
                <w:highlight w:val="none"/>
                <w:lang w:val="en-US" w:eastAsia="zh-CN" w:bidi="ar-SA"/>
              </w:rPr>
              <w:t>。按照60%的有效容积进行计算，</w:t>
            </w:r>
            <w:r>
              <w:rPr>
                <w:rFonts w:hint="eastAsia" w:cs="Times New Roman"/>
                <w:color w:val="auto"/>
                <w:kern w:val="2"/>
                <w:sz w:val="24"/>
                <w:szCs w:val="20"/>
                <w:highlight w:val="none"/>
                <w:lang w:val="en-US" w:eastAsia="zh-CN" w:bidi="ar-SA"/>
              </w:rPr>
              <w:t>6</w:t>
            </w:r>
            <w:r>
              <w:rPr>
                <w:rFonts w:hint="eastAsia" w:ascii="Times New Roman" w:hAnsi="Times New Roman" w:eastAsia="宋体" w:cs="Times New Roman"/>
                <w:color w:val="auto"/>
                <w:kern w:val="2"/>
                <w:sz w:val="24"/>
                <w:szCs w:val="20"/>
                <w:highlight w:val="none"/>
                <w:lang w:val="en-US" w:eastAsia="zh-CN" w:bidi="ar-SA"/>
              </w:rPr>
              <w:t>个清洗槽有效储水量</w:t>
            </w:r>
            <w:r>
              <w:rPr>
                <w:rFonts w:hint="eastAsia" w:cs="Times New Roman"/>
                <w:color w:val="auto"/>
                <w:kern w:val="2"/>
                <w:sz w:val="24"/>
                <w:szCs w:val="20"/>
                <w:highlight w:val="none"/>
                <w:lang w:val="en-US" w:eastAsia="zh-CN" w:bidi="ar-SA"/>
              </w:rPr>
              <w:t>合计</w:t>
            </w:r>
            <w:r>
              <w:rPr>
                <w:rFonts w:hint="eastAsia" w:ascii="Times New Roman" w:hAnsi="Times New Roman" w:eastAsia="宋体" w:cs="Times New Roman"/>
                <w:color w:val="auto"/>
                <w:kern w:val="2"/>
                <w:sz w:val="24"/>
                <w:szCs w:val="20"/>
                <w:highlight w:val="none"/>
                <w:lang w:val="en-US" w:eastAsia="zh-CN" w:bidi="ar-SA"/>
              </w:rPr>
              <w:t>约</w:t>
            </w:r>
            <w:r>
              <w:rPr>
                <w:rFonts w:hint="eastAsia" w:cs="Times New Roman"/>
                <w:color w:val="auto"/>
                <w:kern w:val="2"/>
                <w:sz w:val="24"/>
                <w:szCs w:val="20"/>
                <w:highlight w:val="none"/>
                <w:lang w:val="en-US" w:eastAsia="zh-CN" w:bidi="ar-SA"/>
              </w:rPr>
              <w:t>1.62</w:t>
            </w:r>
            <w:r>
              <w:rPr>
                <w:rFonts w:hint="eastAsia" w:ascii="Times New Roman" w:hAnsi="Times New Roman" w:eastAsia="宋体" w:cs="Times New Roman"/>
                <w:color w:val="auto"/>
                <w:kern w:val="2"/>
                <w:sz w:val="24"/>
                <w:szCs w:val="20"/>
                <w:highlight w:val="none"/>
                <w:lang w:val="en-US" w:eastAsia="zh-CN" w:bidi="ar-SA"/>
              </w:rPr>
              <w:t>m</w:t>
            </w:r>
            <w:r>
              <w:rPr>
                <w:rFonts w:hint="eastAsia" w:ascii="Times New Roman" w:hAnsi="Times New Roman" w:eastAsia="宋体" w:cs="Times New Roman"/>
                <w:color w:val="auto"/>
                <w:kern w:val="2"/>
                <w:sz w:val="24"/>
                <w:szCs w:val="20"/>
                <w:highlight w:val="none"/>
                <w:vertAlign w:val="superscript"/>
                <w:lang w:val="en-US" w:eastAsia="zh-CN" w:bidi="ar-SA"/>
              </w:rPr>
              <w:t>3</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清洗槽水约60天更换一次，每次更换量约1.62t</w:t>
            </w:r>
            <w:r>
              <w:rPr>
                <w:rFonts w:hint="eastAsia" w:cs="Times New Roman"/>
                <w:color w:val="auto"/>
                <w:kern w:val="2"/>
                <w:sz w:val="24"/>
                <w:szCs w:val="20"/>
                <w:highlight w:val="none"/>
                <w:lang w:val="en-US" w:eastAsia="zh-CN" w:bidi="ar-SA"/>
              </w:rPr>
              <w:t>，</w:t>
            </w:r>
            <w:r>
              <w:rPr>
                <w:rFonts w:hint="eastAsia" w:ascii="Times New Roman" w:hAnsi="Times New Roman" w:eastAsia="宋体" w:cs="Times New Roman"/>
                <w:color w:val="auto"/>
                <w:kern w:val="2"/>
                <w:sz w:val="24"/>
                <w:szCs w:val="20"/>
                <w:highlight w:val="none"/>
                <w:lang w:val="en-US" w:eastAsia="zh-CN" w:bidi="ar-SA"/>
              </w:rPr>
              <w:t>产生清洗废液8.1t/a</w:t>
            </w:r>
            <w:r>
              <w:rPr>
                <w:rFonts w:hint="eastAsia" w:cs="Times New Roman"/>
                <w:color w:val="auto"/>
                <w:kern w:val="2"/>
                <w:sz w:val="24"/>
                <w:szCs w:val="20"/>
                <w:highlight w:val="none"/>
                <w:lang w:val="en-US" w:eastAsia="zh-CN" w:bidi="ar-SA"/>
              </w:rPr>
              <w:t>，</w:t>
            </w:r>
            <w:r>
              <w:rPr>
                <w:rFonts w:hint="eastAsia" w:eastAsia="宋体" w:cs="Times New Roman"/>
                <w:b w:val="0"/>
                <w:bCs/>
                <w:color w:val="auto"/>
                <w:sz w:val="24"/>
                <w:szCs w:val="24"/>
                <w:lang w:val="en-US" w:eastAsia="zh-CN"/>
              </w:rPr>
              <w:t>进入废液中的水量为</w:t>
            </w:r>
            <w:r>
              <w:rPr>
                <w:rFonts w:hint="eastAsia" w:cs="Times New Roman"/>
                <w:b w:val="0"/>
                <w:bCs/>
                <w:color w:val="auto"/>
                <w:sz w:val="24"/>
                <w:szCs w:val="24"/>
                <w:lang w:val="en-US" w:eastAsia="zh-CN"/>
              </w:rPr>
              <w:t>7.94</w:t>
            </w:r>
            <w:r>
              <w:rPr>
                <w:rFonts w:hint="eastAsia" w:eastAsia="宋体" w:cs="Times New Roman"/>
                <w:b w:val="0"/>
                <w:bCs/>
                <w:color w:val="auto"/>
                <w:sz w:val="24"/>
                <w:szCs w:val="24"/>
                <w:lang w:val="en-US" w:eastAsia="zh-CN"/>
              </w:rPr>
              <w:t>t/a。</w:t>
            </w:r>
          </w:p>
          <w:p w14:paraId="1CF19C23">
            <w:pPr>
              <w:pStyle w:val="4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参照《给水排水设计手册2》建筑排水给水P559表7-32，水池表面蒸发量计算公式：H=52.0（Pm-P）(1+0.135Vm)[L/d·m</w:t>
            </w:r>
            <w:r>
              <w:rPr>
                <w:rFonts w:hint="default" w:ascii="Times New Roman" w:hAnsi="Times New Roman" w:eastAsia="宋体" w:cs="Times New Roman"/>
                <w:b w:val="0"/>
                <w:bCs/>
                <w:color w:val="auto"/>
                <w:sz w:val="24"/>
                <w:szCs w:val="24"/>
                <w:vertAlign w:val="superscript"/>
                <w:lang w:val="en-US" w:eastAsia="zh-CN"/>
              </w:rPr>
              <w:t>2</w:t>
            </w:r>
            <w:r>
              <w:rPr>
                <w:rFonts w:hint="default" w:ascii="Times New Roman" w:hAnsi="Times New Roman" w:eastAsia="宋体" w:cs="Times New Roman"/>
                <w:b w:val="0"/>
                <w:bCs/>
                <w:color w:val="auto"/>
                <w:sz w:val="24"/>
                <w:szCs w:val="24"/>
                <w:lang w:val="en-US" w:eastAsia="zh-CN"/>
              </w:rPr>
              <w:t>]</w:t>
            </w:r>
            <w:r>
              <w:rPr>
                <w:rFonts w:hint="eastAsia" w:eastAsia="宋体" w:cs="Times New Roman"/>
                <w:b w:val="0"/>
                <w:bCs/>
                <w:color w:val="auto"/>
                <w:sz w:val="24"/>
                <w:szCs w:val="24"/>
                <w:lang w:val="en-US" w:eastAsia="zh-CN"/>
              </w:rPr>
              <w:t>；</w:t>
            </w:r>
          </w:p>
          <w:p w14:paraId="1BDEDFDE">
            <w:pPr>
              <w:pStyle w:val="4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H:表面蒸发损失[L/d·m</w:t>
            </w:r>
            <w:r>
              <w:rPr>
                <w:rFonts w:hint="default" w:ascii="Times New Roman" w:hAnsi="Times New Roman" w:eastAsia="宋体" w:cs="Times New Roman"/>
                <w:b w:val="0"/>
                <w:bCs/>
                <w:color w:val="auto"/>
                <w:sz w:val="24"/>
                <w:szCs w:val="24"/>
                <w:vertAlign w:val="superscript"/>
                <w:lang w:val="en-US" w:eastAsia="zh-CN"/>
              </w:rPr>
              <w:t>2</w:t>
            </w:r>
            <w:r>
              <w:rPr>
                <w:rFonts w:hint="default" w:ascii="Times New Roman" w:hAnsi="Times New Roman" w:eastAsia="宋体" w:cs="Times New Roman"/>
                <w:b w:val="0"/>
                <w:bCs/>
                <w:color w:val="auto"/>
                <w:sz w:val="24"/>
                <w:szCs w:val="24"/>
                <w:lang w:val="en-US" w:eastAsia="zh-CN"/>
              </w:rPr>
              <w:t>]</w:t>
            </w:r>
            <w:r>
              <w:rPr>
                <w:rFonts w:hint="eastAsia" w:eastAsia="宋体" w:cs="Times New Roman"/>
                <w:b w:val="0"/>
                <w:bCs/>
                <w:color w:val="auto"/>
                <w:sz w:val="24"/>
                <w:szCs w:val="24"/>
                <w:lang w:val="en-US" w:eastAsia="zh-CN"/>
              </w:rPr>
              <w:t>，</w:t>
            </w:r>
          </w:p>
          <w:p w14:paraId="6C400E0E">
            <w:pPr>
              <w:pStyle w:val="4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Pm:按水池表面温度计算的饱和蒸汽压（Pa）取10</w:t>
            </w:r>
            <w:r>
              <w:rPr>
                <w:rFonts w:hint="default" w:ascii="Times New Roman" w:hAnsi="Times New Roman" w:eastAsia="宋体" w:cs="Times New Roman"/>
                <w:b w:val="0"/>
                <w:bCs/>
                <w:color w:val="auto"/>
                <w:sz w:val="24"/>
                <w:szCs w:val="24"/>
                <w:vertAlign w:val="superscript"/>
                <w:lang w:val="en-US" w:eastAsia="zh-CN"/>
              </w:rPr>
              <w:t>0</w:t>
            </w:r>
            <w:r>
              <w:rPr>
                <w:rFonts w:hint="default" w:ascii="Times New Roman" w:hAnsi="Times New Roman" w:eastAsia="宋体" w:cs="Times New Roman"/>
                <w:b w:val="0"/>
                <w:bCs/>
                <w:color w:val="auto"/>
                <w:sz w:val="24"/>
                <w:szCs w:val="24"/>
                <w:lang w:val="en-US" w:eastAsia="zh-CN"/>
              </w:rPr>
              <w:t>C，饱和蒸汽压，1228.1Pa</w:t>
            </w:r>
            <w:r>
              <w:rPr>
                <w:rFonts w:hint="eastAsia" w:eastAsia="宋体" w:cs="Times New Roman"/>
                <w:b w:val="0"/>
                <w:bCs/>
                <w:color w:val="auto"/>
                <w:sz w:val="24"/>
                <w:szCs w:val="24"/>
                <w:lang w:val="en-US" w:eastAsia="zh-CN"/>
              </w:rPr>
              <w:t>；</w:t>
            </w:r>
          </w:p>
          <w:p w14:paraId="08104B14">
            <w:pPr>
              <w:pStyle w:val="4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P:空气中水蒸气分压，空气中水蒸气分压为1226.9Pa</w:t>
            </w:r>
            <w:r>
              <w:rPr>
                <w:rFonts w:hint="eastAsia" w:eastAsia="宋体" w:cs="Times New Roman"/>
                <w:b w:val="0"/>
                <w:bCs/>
                <w:color w:val="auto"/>
                <w:sz w:val="24"/>
                <w:szCs w:val="24"/>
                <w:lang w:val="en-US" w:eastAsia="zh-CN"/>
              </w:rPr>
              <w:t>；</w:t>
            </w:r>
          </w:p>
          <w:p w14:paraId="56E7EB04">
            <w:pPr>
              <w:pStyle w:val="48"/>
              <w:keepNext w:val="0"/>
              <w:keepLines w:val="0"/>
              <w:pageBreakBefore w:val="0"/>
              <w:widowControl w:val="0"/>
              <w:kinsoku/>
              <w:wordWrap/>
              <w:overflowPunct/>
              <w:topLinePunct w:val="0"/>
              <w:autoSpaceDE/>
              <w:autoSpaceDN/>
              <w:bidi w:val="0"/>
              <w:adjustRightInd w:val="0"/>
              <w:snapToGrid w:val="0"/>
              <w:spacing w:line="360" w:lineRule="auto"/>
              <w:ind w:leftChars="0" w:firstLine="480" w:firstLineChars="200"/>
              <w:textAlignment w:val="auto"/>
              <w:rPr>
                <w:rFonts w:hint="default"/>
                <w:color w:val="auto"/>
                <w:sz w:val="24"/>
                <w:szCs w:val="24"/>
                <w:lang w:val="en-US" w:eastAsia="zh-CN"/>
              </w:rPr>
            </w:pPr>
            <w:r>
              <w:rPr>
                <w:rFonts w:hint="default"/>
                <w:color w:val="auto"/>
                <w:sz w:val="24"/>
                <w:szCs w:val="24"/>
                <w:lang w:val="en-US" w:eastAsia="zh-CN"/>
              </w:rPr>
              <w:t>Vm:日平均风速，本项目处于室内，金属制品厂、电子元器件厂、印刷厂等室内风速要求为0.15-0.2m/s</w:t>
            </w:r>
            <w:r>
              <w:rPr>
                <w:rFonts w:hint="eastAsia"/>
                <w:color w:val="auto"/>
                <w:sz w:val="24"/>
                <w:szCs w:val="24"/>
                <w:lang w:val="en-US" w:eastAsia="zh-CN"/>
              </w:rPr>
              <w:t>，本次</w:t>
            </w:r>
            <w:r>
              <w:rPr>
                <w:rFonts w:hint="default"/>
                <w:color w:val="auto"/>
                <w:sz w:val="24"/>
                <w:szCs w:val="24"/>
                <w:lang w:val="en-US" w:eastAsia="zh-CN"/>
              </w:rPr>
              <w:t>取0.</w:t>
            </w:r>
            <w:r>
              <w:rPr>
                <w:rFonts w:hint="eastAsia"/>
                <w:color w:val="auto"/>
                <w:sz w:val="24"/>
                <w:szCs w:val="24"/>
                <w:lang w:val="en-US" w:eastAsia="zh-CN"/>
              </w:rPr>
              <w:t>2</w:t>
            </w:r>
            <w:r>
              <w:rPr>
                <w:rFonts w:hint="default"/>
                <w:color w:val="auto"/>
                <w:sz w:val="24"/>
                <w:szCs w:val="24"/>
                <w:lang w:val="en-US" w:eastAsia="zh-CN"/>
              </w:rPr>
              <w:t>m/s</w:t>
            </w:r>
            <w:r>
              <w:rPr>
                <w:rFonts w:hint="eastAsia"/>
                <w:color w:val="auto"/>
                <w:sz w:val="24"/>
                <w:szCs w:val="24"/>
                <w:lang w:val="en-US" w:eastAsia="zh-CN"/>
              </w:rPr>
              <w:t>。</w:t>
            </w:r>
          </w:p>
          <w:p w14:paraId="4C5778D1">
            <w:pPr>
              <w:pStyle w:val="4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eastAsia="宋体" w:cs="Times New Roman"/>
                <w:b w:val="0"/>
                <w:bCs/>
                <w:color w:val="auto"/>
                <w:sz w:val="24"/>
                <w:szCs w:val="24"/>
                <w:lang w:val="en-US" w:eastAsia="zh-CN"/>
              </w:rPr>
            </w:pPr>
            <w:r>
              <w:rPr>
                <w:rFonts w:hint="eastAsia" w:cs="Times New Roman"/>
                <w:b w:val="0"/>
                <w:bCs/>
                <w:color w:val="auto"/>
                <w:sz w:val="24"/>
                <w:szCs w:val="24"/>
                <w:lang w:val="en-US" w:eastAsia="zh-CN"/>
              </w:rPr>
              <w:t>计算得</w:t>
            </w:r>
            <w:r>
              <w:rPr>
                <w:rFonts w:hint="default" w:ascii="Times New Roman" w:hAnsi="Times New Roman" w:eastAsia="宋体" w:cs="Times New Roman"/>
                <w:b w:val="0"/>
                <w:bCs/>
                <w:color w:val="auto"/>
                <w:sz w:val="24"/>
                <w:szCs w:val="24"/>
                <w:lang w:val="en-US" w:eastAsia="zh-CN"/>
              </w:rPr>
              <w:t>H=6</w:t>
            </w:r>
            <w:r>
              <w:rPr>
                <w:rFonts w:hint="eastAsia" w:eastAsia="宋体" w:cs="Times New Roman"/>
                <w:b w:val="0"/>
                <w:bCs/>
                <w:color w:val="auto"/>
                <w:sz w:val="24"/>
                <w:szCs w:val="24"/>
                <w:lang w:val="en-US" w:eastAsia="zh-CN"/>
              </w:rPr>
              <w:t>4</w:t>
            </w:r>
            <w:r>
              <w:rPr>
                <w:rFonts w:hint="default" w:ascii="Times New Roman" w:hAnsi="Times New Roman" w:eastAsia="宋体" w:cs="Times New Roman"/>
                <w:b w:val="0"/>
                <w:bCs/>
                <w:color w:val="auto"/>
                <w:sz w:val="24"/>
                <w:szCs w:val="24"/>
                <w:lang w:val="en-US" w:eastAsia="zh-CN"/>
              </w:rPr>
              <w:t>[L/d·m</w:t>
            </w:r>
            <w:r>
              <w:rPr>
                <w:rFonts w:hint="default" w:ascii="Times New Roman" w:hAnsi="Times New Roman" w:eastAsia="宋体" w:cs="Times New Roman"/>
                <w:b w:val="0"/>
                <w:bCs/>
                <w:color w:val="auto"/>
                <w:sz w:val="24"/>
                <w:szCs w:val="24"/>
                <w:vertAlign w:val="superscript"/>
                <w:lang w:val="en-US" w:eastAsia="zh-CN"/>
              </w:rPr>
              <w:t>2</w:t>
            </w:r>
            <w:r>
              <w:rPr>
                <w:rFonts w:hint="default" w:ascii="Times New Roman" w:hAnsi="Times New Roman" w:eastAsia="宋体" w:cs="Times New Roman"/>
                <w:b w:val="0"/>
                <w:bCs/>
                <w:color w:val="auto"/>
                <w:sz w:val="24"/>
                <w:szCs w:val="24"/>
                <w:lang w:val="en-US" w:eastAsia="zh-CN"/>
              </w:rPr>
              <w:t>]</w:t>
            </w:r>
            <w:r>
              <w:rPr>
                <w:rFonts w:hint="default" w:ascii="Times New Roman" w:hAnsi="Times New Roman" w:eastAsia="宋体" w:cs="Times New Roman"/>
                <w:b w:val="0"/>
                <w:bCs/>
                <w:color w:val="auto"/>
                <w:sz w:val="24"/>
                <w:szCs w:val="24"/>
                <w:vertAlign w:val="baseline"/>
                <w:lang w:val="en-US" w:eastAsia="zh-CN"/>
              </w:rPr>
              <w:t>，全年按300天计算。</w:t>
            </w:r>
            <w:r>
              <w:rPr>
                <w:rFonts w:hint="eastAsia" w:cs="Times New Roman"/>
                <w:b w:val="0"/>
                <w:bCs/>
                <w:color w:val="auto"/>
                <w:sz w:val="24"/>
                <w:szCs w:val="24"/>
                <w:vertAlign w:val="baseline"/>
                <w:lang w:val="en-US" w:eastAsia="zh-CN"/>
              </w:rPr>
              <w:t>项目</w:t>
            </w:r>
            <w:r>
              <w:rPr>
                <w:rFonts w:hint="eastAsia" w:cs="Times New Roman"/>
                <w:b w:val="0"/>
                <w:bCs/>
                <w:color w:val="auto"/>
                <w:kern w:val="2"/>
                <w:sz w:val="24"/>
                <w:szCs w:val="20"/>
                <w:highlight w:val="none"/>
                <w:lang w:val="en-US" w:eastAsia="zh-CN" w:bidi="ar-SA"/>
              </w:rPr>
              <w:t>6</w:t>
            </w:r>
            <w:r>
              <w:rPr>
                <w:rFonts w:hint="eastAsia" w:ascii="Times New Roman" w:hAnsi="Times New Roman" w:eastAsia="宋体" w:cs="Times New Roman"/>
                <w:b w:val="0"/>
                <w:bCs/>
                <w:color w:val="auto"/>
                <w:kern w:val="2"/>
                <w:sz w:val="24"/>
                <w:szCs w:val="20"/>
                <w:highlight w:val="none"/>
                <w:lang w:val="en-US" w:eastAsia="zh-CN" w:bidi="ar-SA"/>
              </w:rPr>
              <w:t>个清洗槽</w:t>
            </w:r>
            <w:r>
              <w:rPr>
                <w:rFonts w:hint="default" w:ascii="Times New Roman" w:hAnsi="Times New Roman" w:eastAsia="宋体" w:cs="Times New Roman"/>
                <w:b w:val="0"/>
                <w:bCs/>
                <w:color w:val="auto"/>
                <w:sz w:val="24"/>
                <w:szCs w:val="24"/>
                <w:lang w:val="en-US" w:eastAsia="zh-CN"/>
              </w:rPr>
              <w:t>表面</w:t>
            </w:r>
            <w:r>
              <w:rPr>
                <w:rFonts w:hint="eastAsia" w:cs="Times New Roman"/>
                <w:b w:val="0"/>
                <w:bCs/>
                <w:color w:val="auto"/>
                <w:sz w:val="24"/>
                <w:szCs w:val="24"/>
                <w:lang w:val="en-US" w:eastAsia="zh-CN"/>
              </w:rPr>
              <w:t>均</w:t>
            </w:r>
            <w:r>
              <w:rPr>
                <w:rFonts w:hint="default" w:ascii="Times New Roman" w:hAnsi="Times New Roman" w:eastAsia="宋体" w:cs="Times New Roman"/>
                <w:b w:val="0"/>
                <w:bCs/>
                <w:color w:val="auto"/>
                <w:sz w:val="24"/>
                <w:szCs w:val="24"/>
                <w:lang w:val="en-US" w:eastAsia="zh-CN"/>
              </w:rPr>
              <w:t>为</w:t>
            </w:r>
            <w:r>
              <w:rPr>
                <w:rFonts w:hint="eastAsia" w:cs="Times New Roman"/>
                <w:b w:val="0"/>
                <w:bCs/>
                <w:color w:val="auto"/>
                <w:sz w:val="24"/>
                <w:szCs w:val="24"/>
                <w:lang w:val="en-US" w:eastAsia="zh-CN"/>
              </w:rPr>
              <w:t>0.64</w:t>
            </w:r>
            <w:r>
              <w:rPr>
                <w:rFonts w:hint="default" w:ascii="Times New Roman" w:hAnsi="Times New Roman" w:eastAsia="宋体" w:cs="Times New Roman"/>
                <w:b w:val="0"/>
                <w:bCs/>
                <w:color w:val="auto"/>
                <w:sz w:val="24"/>
                <w:szCs w:val="24"/>
                <w:lang w:val="en-US" w:eastAsia="zh-CN"/>
              </w:rPr>
              <w:t>m</w:t>
            </w:r>
            <w:r>
              <w:rPr>
                <w:rFonts w:hint="default" w:ascii="Times New Roman" w:hAnsi="Times New Roman" w:eastAsia="宋体" w:cs="Times New Roman"/>
                <w:b w:val="0"/>
                <w:bCs/>
                <w:color w:val="auto"/>
                <w:sz w:val="24"/>
                <w:szCs w:val="24"/>
                <w:vertAlign w:val="superscript"/>
                <w:lang w:val="en-US" w:eastAsia="zh-CN"/>
              </w:rPr>
              <w:t>2</w:t>
            </w:r>
            <w:r>
              <w:rPr>
                <w:rFonts w:hint="default" w:ascii="Times New Roman" w:hAnsi="Times New Roman" w:eastAsia="宋体" w:cs="Times New Roman"/>
                <w:b w:val="0"/>
                <w:bCs/>
                <w:color w:val="auto"/>
                <w:sz w:val="24"/>
                <w:szCs w:val="24"/>
                <w:vertAlign w:val="baseline"/>
                <w:lang w:val="en-US" w:eastAsia="zh-CN"/>
              </w:rPr>
              <w:t>。因此</w:t>
            </w:r>
            <w:r>
              <w:rPr>
                <w:rFonts w:hint="default" w:ascii="Times New Roman" w:hAnsi="Times New Roman" w:eastAsia="宋体" w:cs="Times New Roman"/>
                <w:b w:val="0"/>
                <w:bCs/>
                <w:color w:val="auto"/>
                <w:sz w:val="24"/>
                <w:szCs w:val="24"/>
                <w:lang w:val="en-US" w:eastAsia="zh-CN"/>
              </w:rPr>
              <w:t>清洗过程中</w:t>
            </w:r>
            <w:r>
              <w:rPr>
                <w:rFonts w:hint="eastAsia" w:cs="Times New Roman"/>
                <w:b w:val="0"/>
                <w:bCs/>
                <w:color w:val="auto"/>
                <w:sz w:val="24"/>
                <w:szCs w:val="24"/>
                <w:lang w:val="en-US" w:eastAsia="zh-CN"/>
              </w:rPr>
              <w:t>单个</w:t>
            </w:r>
            <w:r>
              <w:rPr>
                <w:rFonts w:hint="eastAsia" w:ascii="Times New Roman" w:hAnsi="Times New Roman" w:eastAsia="宋体" w:cs="Times New Roman"/>
                <w:b w:val="0"/>
                <w:bCs/>
                <w:color w:val="auto"/>
                <w:kern w:val="2"/>
                <w:sz w:val="24"/>
                <w:szCs w:val="20"/>
                <w:highlight w:val="none"/>
                <w:lang w:val="en-US" w:eastAsia="zh-CN" w:bidi="ar-SA"/>
              </w:rPr>
              <w:t>清洗槽</w:t>
            </w:r>
            <w:r>
              <w:rPr>
                <w:rFonts w:hint="default" w:ascii="Times New Roman" w:hAnsi="Times New Roman" w:eastAsia="宋体" w:cs="Times New Roman"/>
                <w:b w:val="0"/>
                <w:bCs/>
                <w:color w:val="auto"/>
                <w:sz w:val="24"/>
                <w:szCs w:val="24"/>
                <w:lang w:val="en-US" w:eastAsia="zh-CN"/>
              </w:rPr>
              <w:t>蒸发损耗量为H*</w:t>
            </w:r>
            <w:r>
              <w:rPr>
                <w:rFonts w:hint="eastAsia" w:cs="Times New Roman"/>
                <w:b w:val="0"/>
                <w:bCs/>
                <w:color w:val="auto"/>
                <w:sz w:val="24"/>
                <w:szCs w:val="24"/>
                <w:lang w:val="en-US" w:eastAsia="zh-CN"/>
              </w:rPr>
              <w:t>0.64</w:t>
            </w:r>
            <w:r>
              <w:rPr>
                <w:rFonts w:hint="default" w:ascii="Times New Roman" w:hAnsi="Times New Roman" w:eastAsia="宋体" w:cs="Times New Roman"/>
                <w:b w:val="0"/>
                <w:bCs/>
                <w:color w:val="auto"/>
                <w:sz w:val="24"/>
                <w:szCs w:val="24"/>
                <w:lang w:val="en-US" w:eastAsia="zh-CN"/>
              </w:rPr>
              <w:t>*300/1000=</w:t>
            </w:r>
            <w:r>
              <w:rPr>
                <w:rFonts w:hint="eastAsia" w:cs="Times New Roman"/>
                <w:b w:val="0"/>
                <w:bCs/>
                <w:color w:val="auto"/>
                <w:sz w:val="24"/>
                <w:szCs w:val="24"/>
                <w:lang w:val="en-US" w:eastAsia="zh-CN"/>
              </w:rPr>
              <w:t>12.288</w:t>
            </w:r>
            <w:r>
              <w:rPr>
                <w:rFonts w:hint="default" w:ascii="Times New Roman" w:hAnsi="Times New Roman" w:eastAsia="宋体" w:cs="Times New Roman"/>
                <w:b w:val="0"/>
                <w:bCs/>
                <w:color w:val="auto"/>
                <w:sz w:val="24"/>
                <w:szCs w:val="24"/>
                <w:lang w:val="en-US" w:eastAsia="zh-CN"/>
              </w:rPr>
              <w:t>t/a</w:t>
            </w:r>
            <w:r>
              <w:rPr>
                <w:rFonts w:hint="eastAsia" w:cs="Times New Roman"/>
                <w:b w:val="0"/>
                <w:bCs/>
                <w:color w:val="auto"/>
                <w:sz w:val="24"/>
                <w:szCs w:val="24"/>
                <w:lang w:val="en-US" w:eastAsia="zh-CN"/>
              </w:rPr>
              <w:t>，6个</w:t>
            </w:r>
            <w:r>
              <w:rPr>
                <w:rFonts w:hint="eastAsia" w:ascii="Times New Roman" w:hAnsi="Times New Roman" w:eastAsia="宋体" w:cs="Times New Roman"/>
                <w:b w:val="0"/>
                <w:bCs/>
                <w:color w:val="auto"/>
                <w:kern w:val="2"/>
                <w:sz w:val="24"/>
                <w:szCs w:val="20"/>
                <w:highlight w:val="none"/>
                <w:lang w:val="en-US" w:eastAsia="zh-CN" w:bidi="ar-SA"/>
              </w:rPr>
              <w:t>清洗槽</w:t>
            </w:r>
            <w:r>
              <w:rPr>
                <w:rFonts w:hint="default" w:ascii="Times New Roman" w:hAnsi="Times New Roman" w:eastAsia="宋体" w:cs="Times New Roman"/>
                <w:b w:val="0"/>
                <w:bCs/>
                <w:color w:val="auto"/>
                <w:sz w:val="24"/>
                <w:szCs w:val="24"/>
                <w:lang w:val="en-US" w:eastAsia="zh-CN"/>
              </w:rPr>
              <w:t>蒸发损耗量为</w:t>
            </w:r>
            <w:r>
              <w:rPr>
                <w:rFonts w:hint="eastAsia" w:cs="Times New Roman"/>
                <w:b w:val="0"/>
                <w:bCs/>
                <w:color w:val="auto"/>
                <w:sz w:val="24"/>
                <w:szCs w:val="24"/>
                <w:lang w:val="en-US" w:eastAsia="zh-CN"/>
              </w:rPr>
              <w:t>73.73</w:t>
            </w:r>
            <w:r>
              <w:rPr>
                <w:rFonts w:hint="default" w:ascii="Times New Roman" w:hAnsi="Times New Roman" w:eastAsia="宋体" w:cs="Times New Roman"/>
                <w:b w:val="0"/>
                <w:bCs/>
                <w:color w:val="auto"/>
                <w:sz w:val="24"/>
                <w:szCs w:val="24"/>
                <w:lang w:val="en-US" w:eastAsia="zh-CN"/>
              </w:rPr>
              <w:t>t/a</w:t>
            </w:r>
            <w:r>
              <w:rPr>
                <w:rFonts w:hint="eastAsia" w:eastAsia="宋体" w:cs="Times New Roman"/>
                <w:b w:val="0"/>
                <w:bCs/>
                <w:color w:val="auto"/>
                <w:sz w:val="24"/>
                <w:szCs w:val="24"/>
                <w:lang w:val="en-US" w:eastAsia="zh-CN"/>
              </w:rPr>
              <w:t>。</w:t>
            </w:r>
          </w:p>
          <w:p w14:paraId="2E82CA11">
            <w:pPr>
              <w:pStyle w:val="4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cs="Times New Roman"/>
                <w:b w:val="0"/>
                <w:bCs/>
                <w:color w:val="auto"/>
                <w:sz w:val="24"/>
                <w:szCs w:val="24"/>
                <w:lang w:val="en-US" w:eastAsia="zh-CN"/>
              </w:rPr>
            </w:pPr>
            <w:r>
              <w:rPr>
                <w:rFonts w:hint="eastAsia" w:cs="Times New Roman"/>
                <w:b w:val="0"/>
                <w:bCs/>
                <w:color w:val="auto"/>
                <w:sz w:val="24"/>
                <w:szCs w:val="24"/>
                <w:lang w:val="en-US" w:eastAsia="zh-CN"/>
              </w:rPr>
              <w:t>清洗过程物料带走损耗以每清洗物料1t损耗水10kg计，项目需清洗的物料约1040t/a，则物料带走水分约10.4</w:t>
            </w:r>
            <w:r>
              <w:rPr>
                <w:rFonts w:hint="eastAsia" w:ascii="Times New Roman" w:hAnsi="Times New Roman" w:eastAsia="宋体" w:cs="Times New Roman"/>
                <w:b w:val="0"/>
                <w:bCs/>
                <w:color w:val="auto"/>
                <w:sz w:val="24"/>
                <w:szCs w:val="24"/>
                <w:lang w:val="en-US" w:eastAsia="zh-CN"/>
              </w:rPr>
              <w:t>t/a。</w:t>
            </w:r>
          </w:p>
          <w:p w14:paraId="7AB39501">
            <w:pPr>
              <w:pStyle w:val="4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color w:val="auto"/>
                <w:sz w:val="24"/>
                <w:szCs w:val="24"/>
                <w:lang w:val="en-US" w:eastAsia="zh-CN"/>
              </w:rPr>
            </w:pPr>
            <w:r>
              <w:rPr>
                <w:rFonts w:hint="eastAsia" w:cs="Times New Roman"/>
                <w:b w:val="0"/>
                <w:bCs/>
                <w:color w:val="auto"/>
                <w:sz w:val="24"/>
                <w:szCs w:val="24"/>
                <w:lang w:val="en-US" w:eastAsia="zh-CN"/>
              </w:rPr>
              <w:t>综上，项目</w:t>
            </w:r>
            <w:r>
              <w:rPr>
                <w:rFonts w:hint="eastAsia" w:ascii="Times New Roman" w:hAnsi="Times New Roman" w:eastAsia="宋体" w:cs="Times New Roman"/>
                <w:b w:val="0"/>
                <w:bCs/>
                <w:color w:val="auto"/>
                <w:sz w:val="24"/>
                <w:szCs w:val="24"/>
                <w:lang w:val="en-US" w:eastAsia="zh-CN"/>
              </w:rPr>
              <w:t>清洗水</w:t>
            </w:r>
            <w:r>
              <w:rPr>
                <w:rFonts w:hint="eastAsia" w:cs="Times New Roman"/>
                <w:b w:val="0"/>
                <w:bCs/>
                <w:color w:val="auto"/>
                <w:sz w:val="24"/>
                <w:szCs w:val="24"/>
                <w:lang w:val="en-US" w:eastAsia="zh-CN"/>
              </w:rPr>
              <w:t>补充量</w:t>
            </w:r>
            <w:r>
              <w:rPr>
                <w:rFonts w:hint="eastAsia" w:ascii="Times New Roman" w:hAnsi="Times New Roman" w:eastAsia="宋体" w:cs="Times New Roman"/>
                <w:b w:val="0"/>
                <w:bCs/>
                <w:color w:val="auto"/>
                <w:sz w:val="24"/>
                <w:szCs w:val="24"/>
                <w:lang w:val="en-US" w:eastAsia="zh-CN"/>
              </w:rPr>
              <w:t>为</w:t>
            </w:r>
            <w:r>
              <w:rPr>
                <w:rFonts w:hint="eastAsia" w:cs="Times New Roman"/>
                <w:b w:val="0"/>
                <w:bCs/>
                <w:color w:val="auto"/>
                <w:sz w:val="24"/>
                <w:szCs w:val="24"/>
                <w:lang w:val="en-US" w:eastAsia="zh-CN"/>
              </w:rPr>
              <w:t>92.07</w:t>
            </w:r>
            <w:r>
              <w:rPr>
                <w:rFonts w:hint="eastAsia" w:ascii="Times New Roman" w:hAnsi="Times New Roman" w:eastAsia="宋体" w:cs="Times New Roman"/>
                <w:b w:val="0"/>
                <w:bCs/>
                <w:color w:val="auto"/>
                <w:sz w:val="24"/>
                <w:szCs w:val="24"/>
                <w:lang w:val="en-US" w:eastAsia="zh-CN"/>
              </w:rPr>
              <w:t>t/a</w:t>
            </w:r>
            <w:r>
              <w:rPr>
                <w:rFonts w:hint="eastAsia" w:cs="Times New Roman"/>
                <w:b w:val="0"/>
                <w:bCs/>
                <w:color w:val="auto"/>
                <w:sz w:val="24"/>
                <w:szCs w:val="24"/>
                <w:lang w:val="en-US" w:eastAsia="zh-CN"/>
              </w:rPr>
              <w:t>，</w:t>
            </w:r>
            <w:r>
              <w:rPr>
                <w:rFonts w:hint="eastAsia" w:cs="Times New Roman"/>
                <w:b w:val="0"/>
                <w:bCs/>
                <w:color w:val="FF0000"/>
                <w:sz w:val="24"/>
                <w:szCs w:val="24"/>
                <w:lang w:val="en-US" w:eastAsia="zh-CN"/>
              </w:rPr>
              <w:t>其中回用水量约60</w:t>
            </w:r>
            <w:r>
              <w:rPr>
                <w:rFonts w:hint="eastAsia" w:ascii="Times New Roman" w:hAnsi="Times New Roman" w:eastAsia="宋体" w:cs="Times New Roman"/>
                <w:b w:val="0"/>
                <w:bCs/>
                <w:color w:val="FF0000"/>
                <w:kern w:val="2"/>
                <w:sz w:val="24"/>
                <w:szCs w:val="20"/>
                <w:highlight w:val="none"/>
                <w:lang w:val="en-US" w:eastAsia="zh-CN" w:bidi="ar-SA"/>
              </w:rPr>
              <w:t>t/a</w:t>
            </w:r>
            <w:r>
              <w:rPr>
                <w:rFonts w:hint="eastAsia" w:cs="Times New Roman"/>
                <w:b w:val="0"/>
                <w:bCs/>
                <w:color w:val="FF0000"/>
                <w:kern w:val="2"/>
                <w:sz w:val="24"/>
                <w:szCs w:val="20"/>
                <w:highlight w:val="none"/>
                <w:lang w:val="en-US" w:eastAsia="zh-CN" w:bidi="ar-SA"/>
              </w:rPr>
              <w:t>，新鲜水补充量约32.07</w:t>
            </w:r>
            <w:r>
              <w:rPr>
                <w:rFonts w:hint="eastAsia" w:ascii="Times New Roman" w:hAnsi="Times New Roman" w:eastAsia="宋体" w:cs="Times New Roman"/>
                <w:b w:val="0"/>
                <w:bCs/>
                <w:color w:val="FF0000"/>
                <w:sz w:val="24"/>
                <w:szCs w:val="24"/>
                <w:lang w:val="en-US" w:eastAsia="zh-CN"/>
              </w:rPr>
              <w:t>t/a。</w:t>
            </w:r>
          </w:p>
          <w:p w14:paraId="1F39B6B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kern w:val="2"/>
                <w:sz w:val="24"/>
                <w:szCs w:val="20"/>
                <w:highlight w:val="none"/>
                <w:lang w:val="en-US" w:eastAsia="zh-CN" w:bidi="ar-SA"/>
              </w:rPr>
            </w:pPr>
            <w:r>
              <w:rPr>
                <w:rFonts w:hint="eastAsia" w:ascii="Times New Roman" w:hAnsi="Times New Roman" w:eastAsia="宋体" w:cs="Times New Roman"/>
                <w:color w:val="auto"/>
                <w:kern w:val="2"/>
                <w:sz w:val="24"/>
                <w:szCs w:val="20"/>
                <w:highlight w:val="none"/>
                <w:lang w:val="en-US" w:eastAsia="zh-CN" w:bidi="ar-SA"/>
              </w:rPr>
              <w:t>（4）漂洗用水</w:t>
            </w:r>
          </w:p>
          <w:p w14:paraId="5560586B">
            <w:pPr>
              <w:pStyle w:val="9"/>
              <w:keepNext w:val="0"/>
              <w:keepLines w:val="0"/>
              <w:pageBreakBefore w:val="0"/>
              <w:widowControl w:val="0"/>
              <w:kinsoku/>
              <w:wordWrap/>
              <w:overflowPunct/>
              <w:topLinePunct w:val="0"/>
              <w:autoSpaceDE/>
              <w:autoSpaceDN/>
              <w:bidi w:val="0"/>
              <w:adjustRightInd w:val="0"/>
              <w:snapToGrid w:val="0"/>
              <w:spacing w:after="0" w:line="360" w:lineRule="auto"/>
              <w:ind w:left="0" w:leftChars="0" w:right="0" w:rightChars="0" w:firstLine="480" w:firstLineChars="200"/>
              <w:textAlignment w:val="auto"/>
              <w:rPr>
                <w:rFonts w:hint="eastAsia" w:cs="Times New Roman"/>
                <w:b w:val="0"/>
                <w:bCs/>
                <w:color w:val="auto"/>
                <w:kern w:val="2"/>
                <w:sz w:val="24"/>
                <w:szCs w:val="20"/>
                <w:highlight w:val="none"/>
                <w:lang w:val="en-US" w:eastAsia="zh-CN" w:bidi="ar-SA"/>
              </w:rPr>
            </w:pPr>
            <w:r>
              <w:rPr>
                <w:rFonts w:hint="eastAsia" w:ascii="Times New Roman" w:hAnsi="Times New Roman" w:cs="Times New Roman"/>
                <w:color w:val="auto"/>
                <w:sz w:val="24"/>
                <w:highlight w:val="none"/>
                <w:lang w:val="en-US" w:eastAsia="zh-CN"/>
              </w:rPr>
              <w:t>清洗后的工件进入清洗机漂洗槽逆流</w:t>
            </w:r>
            <w:r>
              <w:rPr>
                <w:rFonts w:hint="eastAsia" w:ascii="Times New Roman" w:hAnsi="Times New Roman" w:eastAsia="宋体" w:cs="Times New Roman"/>
                <w:color w:val="auto"/>
                <w:kern w:val="2"/>
                <w:sz w:val="24"/>
                <w:szCs w:val="20"/>
                <w:highlight w:val="none"/>
                <w:lang w:val="en-US" w:eastAsia="zh-CN" w:bidi="ar-SA"/>
              </w:rPr>
              <w:t>漂洗</w:t>
            </w:r>
            <w:r>
              <w:rPr>
                <w:rFonts w:hint="eastAsia" w:ascii="Times New Roman" w:hAnsi="Times New Roman" w:cs="Times New Roman"/>
                <w:color w:val="auto"/>
                <w:sz w:val="24"/>
                <w:highlight w:val="none"/>
                <w:lang w:val="en-US" w:eastAsia="zh-CN"/>
              </w:rPr>
              <w:t>，</w:t>
            </w:r>
            <w:r>
              <w:rPr>
                <w:rFonts w:hint="eastAsia" w:ascii="Times New Roman" w:hAnsi="Times New Roman" w:eastAsia="宋体" w:cs="Times New Roman"/>
                <w:color w:val="auto"/>
                <w:kern w:val="2"/>
                <w:sz w:val="24"/>
                <w:szCs w:val="20"/>
                <w:highlight w:val="none"/>
                <w:lang w:val="en-US" w:eastAsia="zh-CN" w:bidi="ar-SA"/>
              </w:rPr>
              <w:t>漂洗温度为常温</w:t>
            </w:r>
            <w:r>
              <w:rPr>
                <w:rFonts w:hint="eastAsia" w:ascii="Times New Roman" w:hAnsi="Times New Roman" w:cs="Times New Roman"/>
                <w:color w:val="auto"/>
                <w:kern w:val="2"/>
                <w:sz w:val="24"/>
                <w:szCs w:val="20"/>
                <w:highlight w:val="none"/>
                <w:lang w:val="en-US" w:eastAsia="zh-CN" w:bidi="ar-SA"/>
              </w:rPr>
              <w:t>。</w:t>
            </w:r>
            <w:r>
              <w:rPr>
                <w:rFonts w:hint="eastAsia" w:eastAsia="宋体" w:cs="Times New Roman"/>
                <w:b w:val="0"/>
                <w:bCs/>
                <w:color w:val="auto"/>
                <w:sz w:val="24"/>
                <w:szCs w:val="24"/>
                <w:lang w:val="en-US" w:eastAsia="zh-CN"/>
              </w:rPr>
              <w:t>本项目</w:t>
            </w:r>
            <w:r>
              <w:rPr>
                <w:rFonts w:hint="eastAsia" w:cs="Times New Roman"/>
                <w:b w:val="0"/>
                <w:bCs/>
                <w:color w:val="auto"/>
                <w:sz w:val="24"/>
                <w:szCs w:val="24"/>
                <w:lang w:val="en-US" w:eastAsia="zh-CN"/>
              </w:rPr>
              <w:t>单台</w:t>
            </w:r>
            <w:r>
              <w:rPr>
                <w:rFonts w:hint="eastAsia" w:ascii="Times New Roman" w:hAnsi="Times New Roman" w:cs="Times New Roman"/>
                <w:b w:val="0"/>
                <w:bCs/>
                <w:color w:val="auto"/>
                <w:sz w:val="24"/>
                <w:highlight w:val="none"/>
                <w:lang w:val="en-US" w:eastAsia="zh-CN"/>
              </w:rPr>
              <w:t>清洗机</w:t>
            </w:r>
            <w:r>
              <w:rPr>
                <w:rFonts w:hint="eastAsia" w:cs="Times New Roman"/>
                <w:b w:val="0"/>
                <w:bCs/>
                <w:color w:val="auto"/>
                <w:sz w:val="24"/>
                <w:highlight w:val="none"/>
                <w:lang w:val="en-US" w:eastAsia="zh-CN"/>
              </w:rPr>
              <w:t>设</w:t>
            </w:r>
            <w:r>
              <w:rPr>
                <w:rFonts w:hint="eastAsia" w:cs="Times New Roman"/>
                <w:b w:val="0"/>
                <w:bCs/>
                <w:color w:val="auto"/>
                <w:kern w:val="2"/>
                <w:sz w:val="24"/>
                <w:szCs w:val="20"/>
                <w:highlight w:val="none"/>
                <w:lang w:val="en-US" w:eastAsia="zh-CN" w:bidi="ar-SA"/>
              </w:rPr>
              <w:t>4个</w:t>
            </w:r>
            <w:r>
              <w:rPr>
                <w:rFonts w:hint="eastAsia" w:ascii="Times New Roman" w:hAnsi="Times New Roman" w:cs="Times New Roman"/>
                <w:b w:val="0"/>
                <w:bCs/>
                <w:color w:val="auto"/>
                <w:sz w:val="24"/>
                <w:highlight w:val="none"/>
                <w:lang w:val="en-US" w:eastAsia="zh-CN"/>
              </w:rPr>
              <w:t>漂洗</w:t>
            </w:r>
            <w:r>
              <w:rPr>
                <w:rFonts w:hint="eastAsia" w:cs="Times New Roman"/>
                <w:b w:val="0"/>
                <w:bCs/>
                <w:color w:val="auto"/>
                <w:kern w:val="2"/>
                <w:sz w:val="24"/>
                <w:szCs w:val="20"/>
                <w:highlight w:val="none"/>
                <w:lang w:val="en-US" w:eastAsia="zh-CN" w:bidi="ar-SA"/>
              </w:rPr>
              <w:t>槽（1#</w:t>
            </w:r>
            <w:r>
              <w:rPr>
                <w:rFonts w:hint="default" w:ascii="Times New Roman" w:hAnsi="Times New Roman" w:eastAsia="宋体" w:cs="Times New Roman"/>
                <w:b w:val="0"/>
                <w:bCs/>
                <w:color w:val="auto"/>
                <w:sz w:val="24"/>
                <w:szCs w:val="24"/>
                <w:lang w:val="en-US" w:eastAsia="zh-CN"/>
              </w:rPr>
              <w:t>漂洗槽</w:t>
            </w:r>
            <w:r>
              <w:rPr>
                <w:rFonts w:hint="eastAsia" w:cs="Times New Roman"/>
                <w:b w:val="0"/>
                <w:bCs/>
                <w:color w:val="auto"/>
                <w:sz w:val="24"/>
                <w:szCs w:val="24"/>
                <w:lang w:val="en-US" w:eastAsia="zh-CN"/>
              </w:rPr>
              <w:t>、</w:t>
            </w:r>
            <w:r>
              <w:rPr>
                <w:rFonts w:hint="eastAsia" w:cs="Times New Roman"/>
                <w:b w:val="0"/>
                <w:bCs/>
                <w:color w:val="auto"/>
                <w:kern w:val="2"/>
                <w:sz w:val="24"/>
                <w:szCs w:val="20"/>
                <w:highlight w:val="none"/>
                <w:lang w:val="en-US" w:eastAsia="zh-CN" w:bidi="ar-SA"/>
              </w:rPr>
              <w:t>2#</w:t>
            </w:r>
            <w:r>
              <w:rPr>
                <w:rFonts w:hint="default" w:ascii="Times New Roman" w:hAnsi="Times New Roman" w:eastAsia="宋体" w:cs="Times New Roman"/>
                <w:b w:val="0"/>
                <w:bCs/>
                <w:color w:val="auto"/>
                <w:sz w:val="24"/>
                <w:szCs w:val="24"/>
                <w:lang w:val="en-US" w:eastAsia="zh-CN"/>
              </w:rPr>
              <w:t>漂洗槽</w:t>
            </w:r>
            <w:r>
              <w:rPr>
                <w:rFonts w:hint="eastAsia" w:cs="Times New Roman"/>
                <w:b w:val="0"/>
                <w:bCs/>
                <w:color w:val="auto"/>
                <w:sz w:val="24"/>
                <w:szCs w:val="24"/>
                <w:lang w:val="en-US" w:eastAsia="zh-CN"/>
              </w:rPr>
              <w:t>、3#</w:t>
            </w:r>
            <w:r>
              <w:rPr>
                <w:rFonts w:hint="default" w:ascii="Times New Roman" w:hAnsi="Times New Roman" w:eastAsia="宋体" w:cs="Times New Roman"/>
                <w:b w:val="0"/>
                <w:bCs/>
                <w:color w:val="auto"/>
                <w:sz w:val="24"/>
                <w:szCs w:val="24"/>
                <w:lang w:val="en-US" w:eastAsia="zh-CN"/>
              </w:rPr>
              <w:t>漂洗槽</w:t>
            </w:r>
            <w:r>
              <w:rPr>
                <w:rFonts w:hint="eastAsia" w:cs="Times New Roman"/>
                <w:b w:val="0"/>
                <w:bCs/>
                <w:color w:val="auto"/>
                <w:sz w:val="24"/>
                <w:szCs w:val="24"/>
                <w:lang w:val="en-US" w:eastAsia="zh-CN"/>
              </w:rPr>
              <w:t>、4#</w:t>
            </w:r>
            <w:r>
              <w:rPr>
                <w:rFonts w:hint="default" w:ascii="Times New Roman" w:hAnsi="Times New Roman" w:eastAsia="宋体" w:cs="Times New Roman"/>
                <w:b w:val="0"/>
                <w:bCs/>
                <w:color w:val="auto"/>
                <w:sz w:val="24"/>
                <w:szCs w:val="24"/>
                <w:lang w:val="en-US" w:eastAsia="zh-CN"/>
              </w:rPr>
              <w:t>漂洗槽</w:t>
            </w:r>
            <w:r>
              <w:rPr>
                <w:rFonts w:hint="eastAsia" w:cs="Times New Roman"/>
                <w:b w:val="0"/>
                <w:bCs/>
                <w:color w:val="auto"/>
                <w:sz w:val="24"/>
                <w:szCs w:val="24"/>
                <w:lang w:val="en-US" w:eastAsia="zh-CN"/>
              </w:rPr>
              <w:t>，</w:t>
            </w:r>
            <w:r>
              <w:rPr>
                <w:rFonts w:hint="eastAsia" w:ascii="Times New Roman" w:hAnsi="Times New Roman" w:eastAsia="宋体" w:cs="Times New Roman"/>
                <w:color w:val="auto"/>
                <w:kern w:val="2"/>
                <w:sz w:val="24"/>
                <w:szCs w:val="20"/>
                <w:highlight w:val="none"/>
                <w:lang w:val="en-US" w:eastAsia="zh-CN" w:bidi="ar-SA"/>
              </w:rPr>
              <w:t>尺寸均为80cm*80cm*70cm</w:t>
            </w:r>
            <w:r>
              <w:rPr>
                <w:rFonts w:hint="eastAsia" w:cs="Times New Roman"/>
                <w:b w:val="0"/>
                <w:bCs/>
                <w:color w:val="auto"/>
                <w:kern w:val="2"/>
                <w:sz w:val="24"/>
                <w:szCs w:val="20"/>
                <w:highlight w:val="none"/>
                <w:lang w:val="en-US" w:eastAsia="zh-CN" w:bidi="ar-SA"/>
              </w:rPr>
              <w:t>），</w:t>
            </w:r>
            <w:r>
              <w:rPr>
                <w:rFonts w:hint="default" w:ascii="Times New Roman" w:hAnsi="Times New Roman" w:eastAsia="宋体" w:cs="Times New Roman"/>
                <w:b w:val="0"/>
                <w:bCs/>
                <w:color w:val="auto"/>
                <w:sz w:val="24"/>
                <w:szCs w:val="24"/>
                <w:lang w:val="en-US" w:eastAsia="zh-CN"/>
              </w:rPr>
              <w:t>单个漂洗槽表面约为</w:t>
            </w:r>
            <w:r>
              <w:rPr>
                <w:rFonts w:hint="eastAsia" w:cs="Times New Roman"/>
                <w:b w:val="0"/>
                <w:bCs/>
                <w:color w:val="auto"/>
                <w:sz w:val="24"/>
                <w:szCs w:val="24"/>
                <w:lang w:val="en-US" w:eastAsia="zh-CN"/>
              </w:rPr>
              <w:t>0.64</w:t>
            </w:r>
            <w:r>
              <w:rPr>
                <w:rFonts w:hint="default" w:ascii="Times New Roman" w:hAnsi="Times New Roman" w:eastAsia="宋体" w:cs="Times New Roman"/>
                <w:b w:val="0"/>
                <w:bCs/>
                <w:color w:val="auto"/>
                <w:sz w:val="24"/>
                <w:szCs w:val="24"/>
                <w:lang w:val="en-US" w:eastAsia="zh-CN"/>
              </w:rPr>
              <w:t>m</w:t>
            </w:r>
            <w:r>
              <w:rPr>
                <w:rFonts w:hint="default" w:ascii="Times New Roman" w:hAnsi="Times New Roman" w:eastAsia="宋体" w:cs="Times New Roman"/>
                <w:b w:val="0"/>
                <w:bCs/>
                <w:color w:val="auto"/>
                <w:sz w:val="24"/>
                <w:szCs w:val="24"/>
                <w:vertAlign w:val="superscript"/>
                <w:lang w:val="en-US" w:eastAsia="zh-CN"/>
              </w:rPr>
              <w:t>2</w:t>
            </w:r>
            <w:r>
              <w:rPr>
                <w:rFonts w:hint="default" w:ascii="Times New Roman" w:hAnsi="Times New Roman" w:eastAsia="宋体" w:cs="Times New Roman"/>
                <w:b w:val="0"/>
                <w:bCs/>
                <w:color w:val="auto"/>
                <w:sz w:val="24"/>
                <w:szCs w:val="24"/>
                <w:vertAlign w:val="baseline"/>
                <w:lang w:val="en-US" w:eastAsia="zh-CN"/>
              </w:rPr>
              <w:t>。因此</w:t>
            </w:r>
            <w:r>
              <w:rPr>
                <w:rFonts w:hint="default" w:ascii="Times New Roman" w:hAnsi="Times New Roman" w:eastAsia="宋体" w:cs="Times New Roman"/>
                <w:b w:val="0"/>
                <w:bCs/>
                <w:color w:val="auto"/>
                <w:sz w:val="24"/>
                <w:szCs w:val="24"/>
                <w:lang w:val="en-US" w:eastAsia="zh-CN"/>
              </w:rPr>
              <w:t>漂洗过程中</w:t>
            </w:r>
            <w:r>
              <w:rPr>
                <w:rFonts w:hint="eastAsia" w:ascii="Times New Roman" w:hAnsi="Times New Roman" w:cs="Times New Roman"/>
                <w:b w:val="0"/>
                <w:bCs/>
                <w:color w:val="auto"/>
                <w:sz w:val="24"/>
                <w:szCs w:val="24"/>
                <w:lang w:val="en-US" w:eastAsia="zh-CN"/>
              </w:rPr>
              <w:t>单个</w:t>
            </w:r>
            <w:r>
              <w:rPr>
                <w:rFonts w:hint="default" w:ascii="Times New Roman" w:hAnsi="Times New Roman" w:eastAsia="宋体" w:cs="Times New Roman"/>
                <w:b w:val="0"/>
                <w:bCs/>
                <w:color w:val="auto"/>
                <w:sz w:val="24"/>
                <w:szCs w:val="24"/>
                <w:lang w:val="en-US" w:eastAsia="zh-CN"/>
              </w:rPr>
              <w:t>漂洗槽蒸发损耗量为H*</w:t>
            </w:r>
            <w:r>
              <w:rPr>
                <w:rFonts w:hint="eastAsia" w:cs="Times New Roman"/>
                <w:b w:val="0"/>
                <w:bCs/>
                <w:color w:val="auto"/>
                <w:sz w:val="24"/>
                <w:szCs w:val="24"/>
                <w:lang w:val="en-US" w:eastAsia="zh-CN"/>
              </w:rPr>
              <w:t>0.64</w:t>
            </w:r>
            <w:r>
              <w:rPr>
                <w:rFonts w:hint="default" w:ascii="Times New Roman" w:hAnsi="Times New Roman" w:eastAsia="宋体" w:cs="Times New Roman"/>
                <w:b w:val="0"/>
                <w:bCs/>
                <w:color w:val="auto"/>
                <w:sz w:val="24"/>
                <w:szCs w:val="24"/>
                <w:lang w:val="en-US" w:eastAsia="zh-CN"/>
              </w:rPr>
              <w:t>*300/1000=</w:t>
            </w:r>
            <w:r>
              <w:rPr>
                <w:rFonts w:hint="eastAsia" w:cs="Times New Roman"/>
                <w:b w:val="0"/>
                <w:bCs/>
                <w:color w:val="auto"/>
                <w:sz w:val="24"/>
                <w:szCs w:val="24"/>
                <w:lang w:val="en-US" w:eastAsia="zh-CN"/>
              </w:rPr>
              <w:t>12.288</w:t>
            </w:r>
            <w:r>
              <w:rPr>
                <w:rFonts w:hint="default" w:ascii="Times New Roman" w:hAnsi="Times New Roman" w:eastAsia="宋体" w:cs="Times New Roman"/>
                <w:b w:val="0"/>
                <w:bCs/>
                <w:color w:val="auto"/>
                <w:sz w:val="24"/>
                <w:szCs w:val="24"/>
                <w:lang w:val="en-US" w:eastAsia="zh-CN"/>
              </w:rPr>
              <w:t>t/a</w:t>
            </w:r>
            <w:r>
              <w:rPr>
                <w:rFonts w:hint="eastAsia" w:cs="Times New Roman"/>
                <w:b w:val="0"/>
                <w:bCs/>
                <w:color w:val="auto"/>
                <w:sz w:val="24"/>
                <w:szCs w:val="24"/>
                <w:lang w:val="en-US" w:eastAsia="zh-CN"/>
              </w:rPr>
              <w:t>，3台</w:t>
            </w:r>
            <w:r>
              <w:rPr>
                <w:rFonts w:hint="eastAsia" w:cs="Times New Roman"/>
                <w:b w:val="0"/>
                <w:bCs/>
                <w:color w:val="auto"/>
                <w:sz w:val="24"/>
                <w:szCs w:val="24"/>
                <w:vertAlign w:val="baseline"/>
                <w:lang w:val="en-US" w:eastAsia="zh-CN"/>
              </w:rPr>
              <w:t>清洗机</w:t>
            </w:r>
            <w:r>
              <w:rPr>
                <w:rFonts w:hint="default" w:ascii="Times New Roman" w:hAnsi="Times New Roman" w:eastAsia="宋体" w:cs="Times New Roman"/>
                <w:b w:val="0"/>
                <w:bCs/>
                <w:color w:val="auto"/>
                <w:sz w:val="24"/>
                <w:szCs w:val="24"/>
                <w:vertAlign w:val="baseline"/>
                <w:lang w:val="en-US" w:eastAsia="zh-CN"/>
              </w:rPr>
              <w:t>漂洗槽</w:t>
            </w:r>
            <w:r>
              <w:rPr>
                <w:rFonts w:hint="default" w:ascii="Times New Roman" w:hAnsi="Times New Roman" w:eastAsia="宋体" w:cs="Times New Roman"/>
                <w:b w:val="0"/>
                <w:bCs/>
                <w:color w:val="auto"/>
                <w:sz w:val="24"/>
                <w:szCs w:val="24"/>
                <w:lang w:val="en-US" w:eastAsia="zh-CN"/>
              </w:rPr>
              <w:t>蒸发损耗量为</w:t>
            </w:r>
            <w:r>
              <w:rPr>
                <w:rFonts w:hint="eastAsia" w:cs="Times New Roman"/>
                <w:b w:val="0"/>
                <w:bCs/>
                <w:color w:val="auto"/>
                <w:sz w:val="24"/>
                <w:szCs w:val="24"/>
                <w:lang w:val="en-US" w:eastAsia="zh-CN"/>
              </w:rPr>
              <w:t>147.456</w:t>
            </w:r>
            <w:r>
              <w:rPr>
                <w:rFonts w:hint="default" w:ascii="Times New Roman" w:hAnsi="Times New Roman" w:eastAsia="宋体" w:cs="Times New Roman"/>
                <w:b w:val="0"/>
                <w:bCs/>
                <w:color w:val="auto"/>
                <w:sz w:val="24"/>
                <w:szCs w:val="24"/>
                <w:lang w:val="en-US" w:eastAsia="zh-CN"/>
              </w:rPr>
              <w:t>t/a</w:t>
            </w:r>
            <w:r>
              <w:rPr>
                <w:rFonts w:hint="eastAsia" w:eastAsia="宋体" w:cs="Times New Roman"/>
                <w:b w:val="0"/>
                <w:bCs/>
                <w:color w:val="auto"/>
                <w:sz w:val="24"/>
                <w:szCs w:val="24"/>
                <w:lang w:val="en-US" w:eastAsia="zh-CN"/>
              </w:rPr>
              <w:t>。</w:t>
            </w:r>
          </w:p>
          <w:p w14:paraId="26E30B46">
            <w:pPr>
              <w:pStyle w:val="4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eastAsia" w:cs="Times New Roman"/>
                <w:b w:val="0"/>
                <w:bCs/>
                <w:color w:val="auto"/>
                <w:sz w:val="24"/>
                <w:szCs w:val="24"/>
                <w:lang w:val="en-US" w:eastAsia="zh-CN"/>
              </w:rPr>
            </w:pPr>
            <w:r>
              <w:rPr>
                <w:rFonts w:hint="eastAsia" w:ascii="Times New Roman" w:hAnsi="Times New Roman" w:eastAsia="宋体" w:cs="Times New Roman"/>
                <w:b w:val="0"/>
                <w:bCs/>
                <w:color w:val="auto"/>
                <w:kern w:val="2"/>
                <w:sz w:val="24"/>
                <w:szCs w:val="20"/>
                <w:highlight w:val="none"/>
                <w:lang w:val="en-US" w:eastAsia="zh-CN" w:bidi="ar-SA"/>
              </w:rPr>
              <w:t>漂洗</w:t>
            </w:r>
            <w:r>
              <w:rPr>
                <w:rFonts w:hint="eastAsia" w:cs="Times New Roman"/>
                <w:b w:val="0"/>
                <w:bCs/>
                <w:color w:val="auto"/>
                <w:sz w:val="24"/>
                <w:szCs w:val="24"/>
                <w:lang w:val="en-US" w:eastAsia="zh-CN"/>
              </w:rPr>
              <w:t>过程物料带走损耗以每</w:t>
            </w:r>
            <w:r>
              <w:rPr>
                <w:rFonts w:hint="eastAsia" w:ascii="Times New Roman" w:hAnsi="Times New Roman" w:eastAsia="宋体" w:cs="Times New Roman"/>
                <w:b w:val="0"/>
                <w:bCs/>
                <w:color w:val="auto"/>
                <w:kern w:val="2"/>
                <w:sz w:val="24"/>
                <w:szCs w:val="20"/>
                <w:highlight w:val="none"/>
                <w:lang w:val="en-US" w:eastAsia="zh-CN" w:bidi="ar-SA"/>
              </w:rPr>
              <w:t>漂洗</w:t>
            </w:r>
            <w:r>
              <w:rPr>
                <w:rFonts w:hint="eastAsia" w:cs="Times New Roman"/>
                <w:b w:val="0"/>
                <w:bCs/>
                <w:color w:val="auto"/>
                <w:sz w:val="24"/>
                <w:szCs w:val="24"/>
                <w:lang w:val="en-US" w:eastAsia="zh-CN"/>
              </w:rPr>
              <w:t>物料1t损耗水20kg计，项目需</w:t>
            </w:r>
            <w:r>
              <w:rPr>
                <w:rFonts w:hint="eastAsia" w:ascii="Times New Roman" w:hAnsi="Times New Roman" w:eastAsia="宋体" w:cs="Times New Roman"/>
                <w:b w:val="0"/>
                <w:bCs/>
                <w:color w:val="auto"/>
                <w:kern w:val="2"/>
                <w:sz w:val="24"/>
                <w:szCs w:val="20"/>
                <w:highlight w:val="none"/>
                <w:lang w:val="en-US" w:eastAsia="zh-CN" w:bidi="ar-SA"/>
              </w:rPr>
              <w:t>漂洗</w:t>
            </w:r>
            <w:r>
              <w:rPr>
                <w:rFonts w:hint="eastAsia" w:cs="Times New Roman"/>
                <w:b w:val="0"/>
                <w:bCs/>
                <w:color w:val="auto"/>
                <w:sz w:val="24"/>
                <w:szCs w:val="24"/>
                <w:lang w:val="en-US" w:eastAsia="zh-CN"/>
              </w:rPr>
              <w:t>的物料约1040t/a，则物料带走水分约20.8</w:t>
            </w:r>
            <w:r>
              <w:rPr>
                <w:rFonts w:hint="eastAsia" w:ascii="Times New Roman" w:hAnsi="Times New Roman" w:eastAsia="宋体" w:cs="Times New Roman"/>
                <w:b w:val="0"/>
                <w:bCs/>
                <w:color w:val="auto"/>
                <w:sz w:val="24"/>
                <w:szCs w:val="24"/>
                <w:lang w:val="en-US" w:eastAsia="zh-CN"/>
              </w:rPr>
              <w:t>t/a。</w:t>
            </w:r>
          </w:p>
          <w:p w14:paraId="208FCDE8">
            <w:pPr>
              <w:pStyle w:val="4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color w:val="FF0000"/>
                <w:sz w:val="24"/>
                <w:szCs w:val="24"/>
                <w:lang w:val="en-US" w:eastAsia="zh-CN"/>
              </w:rPr>
            </w:pPr>
            <w:r>
              <w:rPr>
                <w:rFonts w:hint="eastAsia" w:cs="Times New Roman"/>
                <w:b w:val="0"/>
                <w:bCs/>
                <w:color w:val="auto"/>
                <w:sz w:val="24"/>
                <w:szCs w:val="24"/>
                <w:lang w:val="en-US" w:eastAsia="zh-CN"/>
              </w:rPr>
              <w:t>项目</w:t>
            </w:r>
            <w:r>
              <w:rPr>
                <w:rFonts w:hint="eastAsia" w:eastAsia="宋体" w:cs="Times New Roman"/>
                <w:b w:val="0"/>
                <w:bCs/>
                <w:color w:val="auto"/>
                <w:sz w:val="24"/>
                <w:szCs w:val="24"/>
                <w:lang w:val="en-US" w:eastAsia="zh-CN"/>
              </w:rPr>
              <w:t>采用逆流漂洗，</w:t>
            </w:r>
            <w:r>
              <w:rPr>
                <w:rFonts w:hint="eastAsia" w:cs="Times New Roman"/>
                <w:b w:val="0"/>
                <w:bCs/>
                <w:color w:val="auto"/>
                <w:sz w:val="24"/>
                <w:szCs w:val="24"/>
                <w:lang w:val="en-US" w:eastAsia="zh-CN"/>
              </w:rPr>
              <w:t>单台</w:t>
            </w:r>
            <w:r>
              <w:rPr>
                <w:rFonts w:hint="eastAsia" w:ascii="Times New Roman" w:hAnsi="Times New Roman" w:cs="Times New Roman"/>
                <w:b w:val="0"/>
                <w:bCs/>
                <w:color w:val="auto"/>
                <w:sz w:val="24"/>
                <w:highlight w:val="none"/>
                <w:lang w:val="en-US" w:eastAsia="zh-CN"/>
              </w:rPr>
              <w:t>清洗机</w:t>
            </w:r>
            <w:r>
              <w:rPr>
                <w:rFonts w:hint="eastAsia" w:cs="Times New Roman"/>
                <w:b w:val="0"/>
                <w:bCs/>
                <w:color w:val="auto"/>
                <w:kern w:val="2"/>
                <w:sz w:val="24"/>
                <w:szCs w:val="20"/>
                <w:highlight w:val="none"/>
                <w:lang w:val="en-US" w:eastAsia="zh-CN" w:bidi="ar-SA"/>
              </w:rPr>
              <w:t>1#</w:t>
            </w:r>
            <w:r>
              <w:rPr>
                <w:rFonts w:hint="default" w:ascii="Times New Roman" w:hAnsi="Times New Roman" w:eastAsia="宋体" w:cs="Times New Roman"/>
                <w:b w:val="0"/>
                <w:bCs/>
                <w:color w:val="auto"/>
                <w:sz w:val="24"/>
                <w:szCs w:val="24"/>
                <w:lang w:val="en-US" w:eastAsia="zh-CN"/>
              </w:rPr>
              <w:t>漂洗槽的水每</w:t>
            </w:r>
            <w:r>
              <w:rPr>
                <w:rFonts w:hint="eastAsia" w:cs="Times New Roman"/>
                <w:b w:val="0"/>
                <w:bCs/>
                <w:color w:val="auto"/>
                <w:sz w:val="24"/>
                <w:szCs w:val="24"/>
                <w:lang w:val="en-US" w:eastAsia="zh-CN"/>
              </w:rPr>
              <w:t>天</w:t>
            </w:r>
            <w:r>
              <w:rPr>
                <w:rFonts w:hint="default" w:ascii="Times New Roman" w:hAnsi="Times New Roman" w:eastAsia="宋体" w:cs="Times New Roman"/>
                <w:b w:val="0"/>
                <w:bCs/>
                <w:color w:val="auto"/>
                <w:sz w:val="24"/>
                <w:szCs w:val="24"/>
                <w:lang w:val="en-US" w:eastAsia="zh-CN"/>
              </w:rPr>
              <w:t>更换一次</w:t>
            </w:r>
            <w:r>
              <w:rPr>
                <w:rFonts w:hint="eastAsia" w:eastAsia="宋体" w:cs="Times New Roman"/>
                <w:b w:val="0"/>
                <w:bCs/>
                <w:color w:val="auto"/>
                <w:sz w:val="24"/>
                <w:szCs w:val="24"/>
                <w:lang w:val="en-US" w:eastAsia="zh-CN"/>
              </w:rPr>
              <w:t>，</w:t>
            </w:r>
            <w:r>
              <w:rPr>
                <w:rFonts w:hint="default" w:ascii="Times New Roman" w:hAnsi="Times New Roman" w:eastAsia="宋体" w:cs="Times New Roman"/>
                <w:b w:val="0"/>
                <w:bCs/>
                <w:color w:val="auto"/>
                <w:sz w:val="24"/>
                <w:szCs w:val="24"/>
                <w:lang w:val="en-US" w:eastAsia="zh-CN"/>
              </w:rPr>
              <w:t>单个漂洗槽有效容积为</w:t>
            </w:r>
            <w:r>
              <w:rPr>
                <w:rFonts w:hint="eastAsia" w:cs="Times New Roman"/>
                <w:b w:val="0"/>
                <w:bCs/>
                <w:color w:val="auto"/>
                <w:sz w:val="24"/>
                <w:szCs w:val="24"/>
                <w:lang w:val="en-US" w:eastAsia="zh-CN"/>
              </w:rPr>
              <w:t>0.27</w:t>
            </w:r>
            <w:r>
              <w:rPr>
                <w:rFonts w:hint="eastAsia" w:ascii="Times New Roman" w:hAnsi="Times New Roman" w:eastAsia="宋体" w:cs="Times New Roman"/>
                <w:b w:val="0"/>
                <w:bCs/>
                <w:color w:val="auto"/>
                <w:kern w:val="2"/>
                <w:sz w:val="24"/>
                <w:szCs w:val="20"/>
                <w:highlight w:val="none"/>
                <w:lang w:val="en-US" w:eastAsia="zh-CN" w:bidi="ar-SA"/>
              </w:rPr>
              <w:t>m</w:t>
            </w:r>
            <w:r>
              <w:rPr>
                <w:rFonts w:hint="eastAsia" w:ascii="Times New Roman" w:hAnsi="Times New Roman" w:eastAsia="宋体" w:cs="Times New Roman"/>
                <w:b w:val="0"/>
                <w:bCs/>
                <w:color w:val="auto"/>
                <w:kern w:val="2"/>
                <w:sz w:val="24"/>
                <w:szCs w:val="20"/>
                <w:highlight w:val="none"/>
                <w:vertAlign w:val="superscript"/>
                <w:lang w:val="en-US" w:eastAsia="zh-CN" w:bidi="ar-SA"/>
              </w:rPr>
              <w:t>3</w:t>
            </w:r>
            <w:r>
              <w:rPr>
                <w:rFonts w:hint="default" w:ascii="Times New Roman" w:hAnsi="Times New Roman" w:eastAsia="宋体" w:cs="Times New Roman"/>
                <w:b w:val="0"/>
                <w:bCs/>
                <w:color w:val="auto"/>
                <w:sz w:val="24"/>
                <w:szCs w:val="24"/>
                <w:lang w:val="en-US" w:eastAsia="zh-CN"/>
              </w:rPr>
              <w:t>，</w:t>
            </w:r>
            <w:r>
              <w:rPr>
                <w:rFonts w:hint="eastAsia" w:cs="Times New Roman"/>
                <w:b w:val="0"/>
                <w:bCs/>
                <w:color w:val="auto"/>
                <w:sz w:val="24"/>
                <w:szCs w:val="24"/>
                <w:lang w:val="en-US" w:eastAsia="zh-CN"/>
              </w:rPr>
              <w:t>故3台</w:t>
            </w:r>
            <w:r>
              <w:rPr>
                <w:rFonts w:hint="eastAsia" w:ascii="Times New Roman" w:hAnsi="Times New Roman" w:cs="Times New Roman"/>
                <w:b w:val="0"/>
                <w:bCs/>
                <w:color w:val="auto"/>
                <w:sz w:val="24"/>
                <w:highlight w:val="none"/>
                <w:lang w:val="en-US" w:eastAsia="zh-CN"/>
              </w:rPr>
              <w:t>清洗机</w:t>
            </w:r>
            <w:r>
              <w:rPr>
                <w:rFonts w:hint="default" w:ascii="Times New Roman" w:hAnsi="Times New Roman" w:eastAsia="宋体" w:cs="Times New Roman"/>
                <w:b w:val="0"/>
                <w:bCs/>
                <w:color w:val="auto"/>
                <w:sz w:val="24"/>
                <w:szCs w:val="24"/>
                <w:lang w:val="en-US" w:eastAsia="zh-CN"/>
              </w:rPr>
              <w:t>漂洗</w:t>
            </w:r>
            <w:r>
              <w:rPr>
                <w:rFonts w:hint="eastAsia" w:eastAsia="宋体" w:cs="Times New Roman"/>
                <w:b w:val="0"/>
                <w:bCs/>
                <w:color w:val="auto"/>
                <w:sz w:val="24"/>
                <w:szCs w:val="24"/>
                <w:lang w:val="en-US" w:eastAsia="zh-CN"/>
              </w:rPr>
              <w:t>水使用量</w:t>
            </w:r>
            <w:r>
              <w:rPr>
                <w:rFonts w:hint="default" w:ascii="Times New Roman" w:hAnsi="Times New Roman" w:eastAsia="宋体" w:cs="Times New Roman"/>
                <w:b w:val="0"/>
                <w:bCs/>
                <w:color w:val="auto"/>
                <w:sz w:val="24"/>
                <w:szCs w:val="24"/>
                <w:lang w:val="en-US" w:eastAsia="zh-CN"/>
              </w:rPr>
              <w:t>为</w:t>
            </w:r>
            <w:r>
              <w:rPr>
                <w:rFonts w:hint="eastAsia" w:cs="Times New Roman"/>
                <w:b w:val="0"/>
                <w:bCs/>
                <w:color w:val="auto"/>
                <w:sz w:val="24"/>
                <w:szCs w:val="24"/>
                <w:lang w:val="en-US" w:eastAsia="zh-CN"/>
              </w:rPr>
              <w:t>243</w:t>
            </w:r>
            <w:r>
              <w:rPr>
                <w:rFonts w:hint="eastAsia" w:ascii="Times New Roman" w:hAnsi="Times New Roman" w:eastAsia="宋体" w:cs="Times New Roman"/>
                <w:b w:val="0"/>
                <w:bCs/>
                <w:color w:val="auto"/>
                <w:kern w:val="2"/>
                <w:sz w:val="24"/>
                <w:szCs w:val="20"/>
                <w:highlight w:val="none"/>
                <w:lang w:val="en-US" w:eastAsia="zh-CN" w:bidi="ar-SA"/>
              </w:rPr>
              <w:t>t/a</w:t>
            </w:r>
            <w:r>
              <w:rPr>
                <w:rFonts w:hint="eastAsia" w:eastAsia="宋体" w:cs="Times New Roman"/>
                <w:b w:val="0"/>
                <w:bCs/>
                <w:color w:val="auto"/>
                <w:sz w:val="24"/>
                <w:szCs w:val="24"/>
                <w:lang w:val="en-US" w:eastAsia="zh-CN"/>
              </w:rPr>
              <w:t>，</w:t>
            </w:r>
            <w:r>
              <w:rPr>
                <w:rFonts w:hint="eastAsia" w:cs="Times New Roman"/>
                <w:b w:val="0"/>
                <w:bCs/>
                <w:color w:val="auto"/>
                <w:sz w:val="24"/>
                <w:szCs w:val="24"/>
                <w:lang w:val="en-US" w:eastAsia="zh-CN"/>
              </w:rPr>
              <w:t>产生的</w:t>
            </w:r>
            <w:r>
              <w:rPr>
                <w:rFonts w:hint="default" w:ascii="Times New Roman" w:hAnsi="Times New Roman" w:eastAsia="宋体" w:cs="Times New Roman"/>
                <w:b w:val="0"/>
                <w:bCs/>
                <w:color w:val="auto"/>
                <w:sz w:val="24"/>
                <w:szCs w:val="24"/>
                <w:lang w:val="en-US" w:eastAsia="zh-CN"/>
              </w:rPr>
              <w:t>漂洗</w:t>
            </w:r>
            <w:r>
              <w:rPr>
                <w:rFonts w:hint="eastAsia" w:eastAsia="宋体" w:cs="Times New Roman"/>
                <w:b w:val="0"/>
                <w:bCs/>
                <w:color w:val="auto"/>
                <w:sz w:val="24"/>
                <w:szCs w:val="24"/>
                <w:lang w:val="en-US" w:eastAsia="zh-CN"/>
              </w:rPr>
              <w:t>废水经污水处理站处理后回用</w:t>
            </w:r>
            <w:r>
              <w:rPr>
                <w:rFonts w:hint="eastAsia" w:cs="Times New Roman"/>
                <w:b w:val="0"/>
                <w:bCs/>
                <w:color w:val="auto"/>
                <w:sz w:val="24"/>
                <w:szCs w:val="24"/>
                <w:lang w:val="en-US" w:eastAsia="zh-CN"/>
              </w:rPr>
              <w:t>，</w:t>
            </w:r>
            <w:r>
              <w:rPr>
                <w:rFonts w:hint="eastAsia" w:cs="Times New Roman"/>
                <w:b w:val="0"/>
                <w:bCs/>
                <w:color w:val="FF0000"/>
                <w:sz w:val="24"/>
                <w:szCs w:val="24"/>
                <w:lang w:val="en-US" w:eastAsia="zh-CN"/>
              </w:rPr>
              <w:t>回用水量约182</w:t>
            </w:r>
            <w:r>
              <w:rPr>
                <w:rFonts w:hint="eastAsia" w:ascii="Times New Roman" w:hAnsi="Times New Roman" w:eastAsia="宋体" w:cs="Times New Roman"/>
                <w:b w:val="0"/>
                <w:bCs/>
                <w:color w:val="FF0000"/>
                <w:kern w:val="2"/>
                <w:sz w:val="24"/>
                <w:szCs w:val="20"/>
                <w:highlight w:val="none"/>
                <w:lang w:val="en-US" w:eastAsia="zh-CN" w:bidi="ar-SA"/>
              </w:rPr>
              <w:t>t/a</w:t>
            </w:r>
            <w:r>
              <w:rPr>
                <w:rFonts w:hint="default" w:ascii="Times New Roman" w:hAnsi="Times New Roman" w:eastAsia="宋体" w:cs="Times New Roman"/>
                <w:b w:val="0"/>
                <w:bCs/>
                <w:color w:val="FF0000"/>
                <w:sz w:val="24"/>
                <w:szCs w:val="24"/>
                <w:lang w:val="en-US" w:eastAsia="zh-CN"/>
              </w:rPr>
              <w:t>。</w:t>
            </w:r>
          </w:p>
          <w:p w14:paraId="7604B8F0">
            <w:pPr>
              <w:pStyle w:val="40"/>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b w:val="0"/>
                <w:bCs/>
                <w:color w:val="FF0000"/>
                <w:sz w:val="24"/>
                <w:szCs w:val="24"/>
                <w:lang w:val="en-US" w:eastAsia="zh-CN"/>
              </w:rPr>
            </w:pPr>
            <w:r>
              <w:rPr>
                <w:rFonts w:hint="eastAsia" w:cs="Times New Roman"/>
                <w:b w:val="0"/>
                <w:bCs/>
                <w:color w:val="FF0000"/>
                <w:sz w:val="24"/>
                <w:szCs w:val="24"/>
                <w:lang w:val="en-US" w:eastAsia="zh-CN"/>
              </w:rPr>
              <w:t>综上，项目</w:t>
            </w:r>
            <w:r>
              <w:rPr>
                <w:rFonts w:hint="eastAsia" w:ascii="Times New Roman" w:hAnsi="Times New Roman" w:eastAsia="宋体" w:cs="Times New Roman"/>
                <w:b w:val="0"/>
                <w:bCs/>
                <w:color w:val="FF0000"/>
                <w:kern w:val="2"/>
                <w:sz w:val="24"/>
                <w:szCs w:val="20"/>
                <w:highlight w:val="none"/>
                <w:lang w:val="en-US" w:eastAsia="zh-CN" w:bidi="ar-SA"/>
              </w:rPr>
              <w:t>漂洗用水</w:t>
            </w:r>
            <w:r>
              <w:rPr>
                <w:rFonts w:hint="eastAsia" w:cs="Times New Roman"/>
                <w:b w:val="0"/>
                <w:bCs/>
                <w:color w:val="FF0000"/>
                <w:sz w:val="24"/>
                <w:szCs w:val="24"/>
                <w:lang w:val="en-US" w:eastAsia="zh-CN"/>
              </w:rPr>
              <w:t>补充量为229.256</w:t>
            </w:r>
            <w:r>
              <w:rPr>
                <w:rFonts w:hint="default" w:ascii="Times New Roman" w:hAnsi="Times New Roman" w:eastAsia="宋体" w:cs="Times New Roman"/>
                <w:b w:val="0"/>
                <w:bCs/>
                <w:color w:val="FF0000"/>
                <w:sz w:val="24"/>
                <w:szCs w:val="24"/>
                <w:lang w:val="en-US" w:eastAsia="zh-CN"/>
              </w:rPr>
              <w:t>t/a。</w:t>
            </w:r>
          </w:p>
          <w:p w14:paraId="5F6C45D9">
            <w:pPr>
              <w:pStyle w:val="12"/>
              <w:keepNext w:val="0"/>
              <w:keepLines w:val="0"/>
              <w:pageBreakBefore w:val="0"/>
              <w:widowControl w:val="0"/>
              <w:kinsoku/>
              <w:wordWrap/>
              <w:overflowPunct/>
              <w:topLinePunct w:val="0"/>
              <w:autoSpaceDE/>
              <w:autoSpaceDN/>
              <w:bidi w:val="0"/>
              <w:adjustRightInd/>
              <w:snapToGrid/>
              <w:spacing w:after="0" w:line="360" w:lineRule="auto"/>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en-US" w:eastAsia="zh-CN"/>
              </w:rPr>
              <w:t>（5）MBR膜反冲洗用水</w:t>
            </w:r>
          </w:p>
          <w:p w14:paraId="0DC8CB00">
            <w:pPr>
              <w:pStyle w:val="1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color w:val="auto"/>
                <w:lang w:val="en-US" w:eastAsia="zh-CN"/>
              </w:rPr>
            </w:pPr>
            <w:r>
              <w:rPr>
                <w:rFonts w:hint="eastAsia" w:ascii="Times New Roman" w:hAnsi="Times New Roman" w:eastAsia="宋体" w:cs="Times New Roman"/>
                <w:bCs/>
                <w:color w:val="auto"/>
                <w:sz w:val="24"/>
                <w:szCs w:val="24"/>
                <w:highlight w:val="none"/>
                <w:lang w:val="en-US" w:eastAsia="zh-CN"/>
              </w:rPr>
              <w:t>项目污水站</w:t>
            </w: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color w:val="auto"/>
                <w:sz w:val="24"/>
                <w:szCs w:val="24"/>
                <w:highlight w:val="none"/>
                <w:lang w:val="en-US" w:eastAsia="zh-CN"/>
              </w:rPr>
              <w:instrText xml:space="preserve"> HYPERLINK "https://baike.baidu.com/item/%E8%86%9C%E7%94%9F%E7%89%A9%E5%8F%8D%E5%BA%94%E5%99%A8/10542132?fromModule=lemma_inlink" \t "https://baike.baidu.com/item/MBR%E6%B1%A1%E6%B0%B4%E5%A4%84%E7%90%86/_blank" </w:instrText>
            </w:r>
            <w:r>
              <w:rPr>
                <w:rFonts w:hint="default" w:ascii="Times New Roman" w:hAnsi="Times New Roman" w:eastAsia="宋体" w:cs="Times New Roman"/>
                <w:bCs/>
                <w:color w:val="auto"/>
                <w:sz w:val="24"/>
                <w:szCs w:val="24"/>
                <w:highlight w:val="none"/>
                <w:lang w:val="en-US" w:eastAsia="zh-CN"/>
              </w:rPr>
              <w:fldChar w:fldCharType="separate"/>
            </w:r>
            <w:r>
              <w:rPr>
                <w:rFonts w:hint="default" w:ascii="Times New Roman" w:hAnsi="Times New Roman" w:eastAsia="宋体" w:cs="Times New Roman"/>
                <w:bCs/>
                <w:color w:val="auto"/>
                <w:sz w:val="24"/>
                <w:szCs w:val="24"/>
                <w:highlight w:val="none"/>
                <w:lang w:val="en-US" w:eastAsia="zh-CN"/>
              </w:rPr>
              <w:t>膜生物反应器</w:t>
            </w:r>
            <w:r>
              <w:rPr>
                <w:rFonts w:hint="default" w:ascii="Times New Roman" w:hAnsi="Times New Roman" w:eastAsia="宋体" w:cs="Times New Roman"/>
                <w:bCs/>
                <w:color w:val="auto"/>
                <w:sz w:val="24"/>
                <w:szCs w:val="24"/>
                <w:highlight w:val="none"/>
                <w:lang w:val="en-US" w:eastAsia="zh-CN"/>
              </w:rPr>
              <w:fldChar w:fldCharType="end"/>
            </w:r>
            <w:r>
              <w:rPr>
                <w:rFonts w:hint="eastAsia" w:ascii="Times New Roman" w:hAnsi="Times New Roman" w:eastAsia="宋体" w:cs="Times New Roman"/>
                <w:bCs/>
                <w:color w:val="auto"/>
                <w:sz w:val="24"/>
                <w:szCs w:val="24"/>
                <w:highlight w:val="none"/>
                <w:lang w:val="en-US" w:eastAsia="zh-CN"/>
              </w:rPr>
              <w:t>定期使用回用水反冲洗，一个月冲洗一次，采取浸没式冲洗，每次冲洗水消耗约100kg，则项目MBR膜反冲洗用水量约1.2</w:t>
            </w:r>
            <w:r>
              <w:rPr>
                <w:rFonts w:hint="eastAsia" w:ascii="Times New Roman" w:hAnsi="Times New Roman" w:eastAsia="宋体" w:cs="Times New Roman"/>
                <w:b w:val="0"/>
                <w:bCs/>
                <w:color w:val="auto"/>
                <w:kern w:val="2"/>
                <w:sz w:val="24"/>
                <w:szCs w:val="20"/>
                <w:highlight w:val="none"/>
                <w:lang w:val="en-US" w:eastAsia="zh-CN" w:bidi="ar-SA"/>
              </w:rPr>
              <w:t>t/a</w:t>
            </w:r>
            <w:r>
              <w:rPr>
                <w:rFonts w:hint="default" w:ascii="Times New Roman" w:hAnsi="Times New Roman" w:eastAsia="宋体" w:cs="Times New Roman"/>
                <w:b w:val="0"/>
                <w:bCs/>
                <w:color w:val="auto"/>
                <w:sz w:val="24"/>
                <w:szCs w:val="24"/>
                <w:lang w:val="en-US" w:eastAsia="zh-CN"/>
              </w:rPr>
              <w:t>。</w:t>
            </w:r>
            <w:r>
              <w:rPr>
                <w:rFonts w:hint="eastAsia" w:ascii="Times New Roman" w:hAnsi="Times New Roman" w:eastAsia="宋体" w:cs="Times New Roman"/>
                <w:b w:val="0"/>
                <w:bCs/>
                <w:color w:val="auto"/>
                <w:sz w:val="24"/>
                <w:szCs w:val="24"/>
                <w:lang w:val="en-US" w:eastAsia="zh-CN"/>
              </w:rPr>
              <w:t>冲洗废水</w:t>
            </w:r>
            <w:r>
              <w:rPr>
                <w:rFonts w:hint="eastAsia" w:ascii="Times New Roman" w:hAnsi="Times New Roman" w:eastAsia="宋体" w:cs="Times New Roman"/>
                <w:bCs/>
                <w:color w:val="auto"/>
                <w:sz w:val="24"/>
                <w:szCs w:val="24"/>
                <w:highlight w:val="none"/>
                <w:lang w:val="en-US" w:eastAsia="zh-CN"/>
              </w:rPr>
              <w:t>进入污水站处理后回用</w:t>
            </w:r>
            <w:r>
              <w:rPr>
                <w:rFonts w:hint="eastAsia" w:cs="Times New Roman"/>
                <w:bCs/>
                <w:color w:val="auto"/>
                <w:sz w:val="24"/>
                <w:szCs w:val="24"/>
                <w:highlight w:val="none"/>
                <w:lang w:val="en-US" w:eastAsia="zh-CN"/>
              </w:rPr>
              <w:t>于</w:t>
            </w:r>
            <w:r>
              <w:rPr>
                <w:rFonts w:hint="eastAsia" w:ascii="Times New Roman" w:hAnsi="Times New Roman" w:eastAsia="宋体" w:cs="Times New Roman"/>
                <w:bCs/>
                <w:color w:val="auto"/>
                <w:sz w:val="24"/>
                <w:szCs w:val="24"/>
                <w:highlight w:val="none"/>
                <w:lang w:val="en-US" w:eastAsia="zh-CN"/>
              </w:rPr>
              <w:t>MBR膜反冲洗。</w:t>
            </w:r>
          </w:p>
          <w:p w14:paraId="5D0E591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color w:val="auto"/>
                <w:sz w:val="24"/>
                <w:szCs w:val="24"/>
              </w:rPr>
            </w:pPr>
            <w:r>
              <w:drawing>
                <wp:inline distT="0" distB="0" distL="114300" distR="114300">
                  <wp:extent cx="5303520" cy="5859780"/>
                  <wp:effectExtent l="0" t="0" r="0" b="762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
                          <a:stretch>
                            <a:fillRect/>
                          </a:stretch>
                        </pic:blipFill>
                        <pic:spPr>
                          <a:xfrm>
                            <a:off x="0" y="0"/>
                            <a:ext cx="5303520" cy="5859780"/>
                          </a:xfrm>
                          <a:prstGeom prst="rect">
                            <a:avLst/>
                          </a:prstGeom>
                          <a:noFill/>
                          <a:ln>
                            <a:noFill/>
                          </a:ln>
                        </pic:spPr>
                      </pic:pic>
                    </a:graphicData>
                  </a:graphic>
                </wp:inline>
              </w:drawing>
            </w:r>
          </w:p>
          <w:p w14:paraId="2765B177">
            <w:pPr>
              <w:pStyle w:val="6"/>
              <w:jc w:val="center"/>
              <w:rPr>
                <w:rFonts w:hint="default"/>
                <w:color w:val="FF0000"/>
              </w:rPr>
            </w:pPr>
            <w:r>
              <w:rPr>
                <w:rFonts w:hint="default" w:ascii="Times New Roman" w:hAnsi="Times New Roman" w:eastAsia="宋体" w:cs="Times New Roman"/>
                <w:b/>
                <w:bCs/>
                <w:color w:val="FF0000"/>
                <w:sz w:val="24"/>
              </w:rPr>
              <w:t>图2-</w:t>
            </w:r>
            <w:r>
              <w:rPr>
                <w:rFonts w:hint="default" w:ascii="Times New Roman" w:hAnsi="Times New Roman" w:eastAsia="宋体" w:cs="Times New Roman"/>
                <w:b/>
                <w:bCs/>
                <w:color w:val="FF0000"/>
                <w:sz w:val="24"/>
                <w:lang w:val="en-US" w:eastAsia="zh-CN"/>
              </w:rPr>
              <w:t>1</w:t>
            </w:r>
            <w:r>
              <w:rPr>
                <w:rFonts w:hint="default" w:ascii="Times New Roman" w:hAnsi="Times New Roman" w:eastAsia="宋体" w:cs="Times New Roman"/>
                <w:b/>
                <w:bCs/>
                <w:color w:val="FF0000"/>
                <w:sz w:val="24"/>
              </w:rPr>
              <w:t>本项目水平衡图（t/a）</w:t>
            </w:r>
          </w:p>
          <w:p w14:paraId="79CED2AB">
            <w:pPr>
              <w:pStyle w:val="7"/>
              <w:keepNext w:val="0"/>
              <w:keepLines w:val="0"/>
              <w:pageBreakBefore w:val="0"/>
              <w:numPr>
                <w:ilvl w:val="0"/>
                <w:numId w:val="0"/>
              </w:numPr>
              <w:kinsoku/>
              <w:wordWrap/>
              <w:overflowPunct/>
              <w:topLinePunct w:val="0"/>
              <w:autoSpaceDE/>
              <w:autoSpaceDN/>
              <w:bidi w:val="0"/>
              <w:spacing w:line="360" w:lineRule="auto"/>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2.1.</w:t>
            </w:r>
            <w:r>
              <w:rPr>
                <w:rFonts w:hint="eastAsia" w:cs="Times New Roman"/>
                <w:b/>
                <w:bCs/>
                <w:color w:val="auto"/>
                <w:sz w:val="24"/>
                <w:lang w:val="en-US" w:eastAsia="zh-CN"/>
              </w:rPr>
              <w:t>10</w:t>
            </w:r>
            <w:r>
              <w:rPr>
                <w:rFonts w:hint="default" w:ascii="Times New Roman" w:hAnsi="Times New Roman" w:eastAsia="宋体" w:cs="Times New Roman"/>
                <w:b/>
                <w:bCs/>
                <w:color w:val="auto"/>
                <w:sz w:val="24"/>
              </w:rPr>
              <w:t>劳动定员及工作制度</w:t>
            </w:r>
          </w:p>
          <w:p w14:paraId="5B72AB5A">
            <w:pPr>
              <w:pStyle w:val="7"/>
              <w:keepNext w:val="0"/>
              <w:keepLines w:val="0"/>
              <w:pageBreakBefore w:val="0"/>
              <w:numPr>
                <w:ilvl w:val="0"/>
                <w:numId w:val="0"/>
              </w:numPr>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职工人数：</w:t>
            </w:r>
            <w:r>
              <w:rPr>
                <w:rFonts w:hint="default" w:ascii="Times New Roman" w:hAnsi="Times New Roman" w:eastAsia="宋体" w:cs="Times New Roman"/>
                <w:color w:val="auto"/>
                <w:sz w:val="24"/>
                <w:lang w:val="en-US" w:eastAsia="zh-CN"/>
              </w:rPr>
              <w:t>本项目</w:t>
            </w:r>
            <w:r>
              <w:rPr>
                <w:rFonts w:hint="eastAsia" w:cs="Times New Roman"/>
                <w:color w:val="auto"/>
                <w:sz w:val="24"/>
                <w:lang w:val="en-US" w:eastAsia="zh-CN"/>
              </w:rPr>
              <w:t>劳动</w:t>
            </w:r>
            <w:r>
              <w:rPr>
                <w:rFonts w:hint="default" w:ascii="Times New Roman" w:hAnsi="Times New Roman" w:eastAsia="宋体" w:cs="Times New Roman"/>
                <w:color w:val="auto"/>
                <w:sz w:val="24"/>
                <w:lang w:val="en-US" w:eastAsia="zh-CN"/>
              </w:rPr>
              <w:t>定员</w:t>
            </w:r>
            <w:r>
              <w:rPr>
                <w:rFonts w:hint="eastAsia" w:cs="Times New Roman"/>
                <w:color w:val="auto"/>
                <w:sz w:val="24"/>
                <w:lang w:val="en-US" w:eastAsia="zh-CN"/>
              </w:rPr>
              <w:t>2</w:t>
            </w:r>
            <w:r>
              <w:rPr>
                <w:rFonts w:hint="default" w:ascii="Times New Roman" w:hAnsi="Times New Roman" w:eastAsia="宋体" w:cs="Times New Roman"/>
                <w:color w:val="auto"/>
                <w:sz w:val="24"/>
                <w:lang w:val="en-US" w:eastAsia="zh-CN"/>
              </w:rPr>
              <w:t>0</w:t>
            </w:r>
            <w:r>
              <w:rPr>
                <w:rFonts w:hint="default" w:ascii="Times New Roman" w:hAnsi="Times New Roman" w:eastAsia="宋体" w:cs="Times New Roman"/>
                <w:color w:val="auto"/>
                <w:sz w:val="24"/>
              </w:rPr>
              <w:t>人；</w:t>
            </w:r>
          </w:p>
          <w:p w14:paraId="16BF6951">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rPr>
              <w:t>生产方式：</w:t>
            </w:r>
            <w:r>
              <w:rPr>
                <w:rFonts w:hint="default" w:ascii="Times New Roman" w:hAnsi="Times New Roman" w:eastAsia="宋体" w:cs="Times New Roman"/>
                <w:color w:val="auto"/>
                <w:sz w:val="24"/>
                <w:highlight w:val="none"/>
                <w:lang w:val="en-US" w:eastAsia="zh-CN"/>
              </w:rPr>
              <w:t>项目工作制度为</w:t>
            </w:r>
            <w:r>
              <w:rPr>
                <w:rFonts w:hint="eastAsia" w:cs="Times New Roman"/>
                <w:color w:val="auto"/>
                <w:sz w:val="24"/>
                <w:highlight w:val="none"/>
                <w:lang w:val="en-US" w:eastAsia="zh-CN"/>
              </w:rPr>
              <w:t>3班制</w:t>
            </w:r>
            <w:r>
              <w:rPr>
                <w:rFonts w:hint="default" w:ascii="Times New Roman" w:hAnsi="Times New Roman" w:eastAsia="宋体" w:cs="Times New Roman"/>
                <w:color w:val="auto"/>
                <w:sz w:val="24"/>
                <w:highlight w:val="none"/>
                <w:lang w:val="en-US" w:eastAsia="zh-CN"/>
              </w:rPr>
              <w:t>，每天工作</w:t>
            </w:r>
            <w:r>
              <w:rPr>
                <w:rFonts w:hint="eastAsia" w:cs="Times New Roman"/>
                <w:color w:val="auto"/>
                <w:sz w:val="24"/>
                <w:highlight w:val="none"/>
                <w:lang w:val="en-US" w:eastAsia="zh-CN"/>
              </w:rPr>
              <w:t>24</w:t>
            </w:r>
            <w:r>
              <w:rPr>
                <w:rFonts w:hint="default" w:ascii="Times New Roman" w:hAnsi="Times New Roman" w:eastAsia="宋体" w:cs="Times New Roman"/>
                <w:color w:val="auto"/>
                <w:sz w:val="24"/>
                <w:highlight w:val="none"/>
                <w:lang w:val="en-US" w:eastAsia="zh-CN"/>
              </w:rPr>
              <w:t>小时，年工作</w:t>
            </w:r>
            <w:r>
              <w:rPr>
                <w:rFonts w:hint="eastAsia" w:cs="Times New Roman"/>
                <w:color w:val="auto"/>
                <w:sz w:val="24"/>
                <w:highlight w:val="none"/>
                <w:lang w:val="en-US" w:eastAsia="zh-CN"/>
              </w:rPr>
              <w:t>30</w:t>
            </w:r>
            <w:r>
              <w:rPr>
                <w:rFonts w:hint="default" w:ascii="Times New Roman" w:hAnsi="Times New Roman" w:eastAsia="宋体" w:cs="Times New Roman"/>
                <w:color w:val="auto"/>
                <w:sz w:val="24"/>
                <w:highlight w:val="none"/>
                <w:lang w:val="en-US" w:eastAsia="zh-CN"/>
              </w:rPr>
              <w:t>0天，年工作时数以</w:t>
            </w:r>
            <w:r>
              <w:rPr>
                <w:rFonts w:hint="eastAsia" w:cs="Times New Roman"/>
                <w:color w:val="auto"/>
                <w:sz w:val="24"/>
                <w:highlight w:val="none"/>
                <w:lang w:val="en-US" w:eastAsia="zh-CN"/>
              </w:rPr>
              <w:t>72</w:t>
            </w:r>
            <w:r>
              <w:rPr>
                <w:rFonts w:hint="default" w:ascii="Times New Roman" w:hAnsi="Times New Roman" w:eastAsia="宋体" w:cs="Times New Roman"/>
                <w:color w:val="auto"/>
                <w:sz w:val="24"/>
                <w:highlight w:val="none"/>
                <w:lang w:val="en-US" w:eastAsia="zh-CN"/>
              </w:rPr>
              <w:t>00h计。</w:t>
            </w:r>
          </w:p>
          <w:p w14:paraId="0CBFA374">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Cs/>
                <w:color w:val="auto"/>
                <w:szCs w:val="21"/>
                <w:highlight w:val="none"/>
                <w:lang w:val="en-US" w:eastAsia="zh-CN"/>
              </w:rPr>
            </w:pPr>
            <w:r>
              <w:rPr>
                <w:rFonts w:hint="default" w:ascii="Times New Roman" w:hAnsi="Times New Roman" w:eastAsia="宋体" w:cs="Times New Roman"/>
                <w:color w:val="auto"/>
                <w:sz w:val="24"/>
                <w:highlight w:val="none"/>
              </w:rPr>
              <w:t>生活设施：厂内不设食堂、宿舍和浴室等生活设施。</w:t>
            </w:r>
          </w:p>
          <w:p w14:paraId="27FDB19B">
            <w:pPr>
              <w:pStyle w:val="7"/>
              <w:keepNext w:val="0"/>
              <w:keepLines w:val="0"/>
              <w:pageBreakBefore w:val="0"/>
              <w:numPr>
                <w:ilvl w:val="0"/>
                <w:numId w:val="0"/>
              </w:numPr>
              <w:kinsoku/>
              <w:wordWrap/>
              <w:overflowPunct/>
              <w:topLinePunct w:val="0"/>
              <w:autoSpaceDE/>
              <w:autoSpaceDN/>
              <w:bidi w:val="0"/>
              <w:spacing w:line="360" w:lineRule="auto"/>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2.1.10</w:t>
            </w:r>
            <w:r>
              <w:rPr>
                <w:rFonts w:hint="default" w:ascii="Times New Roman" w:hAnsi="Times New Roman" w:eastAsia="宋体" w:cs="Times New Roman"/>
                <w:b/>
                <w:bCs/>
                <w:color w:val="auto"/>
                <w:sz w:val="24"/>
              </w:rPr>
              <w:t>厂区平面布置及周边环境情况</w:t>
            </w:r>
          </w:p>
          <w:p w14:paraId="1397CEAA">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（1）厂区平面布置：项目</w:t>
            </w:r>
            <w:r>
              <w:rPr>
                <w:rFonts w:hint="eastAsia" w:cs="Times New Roman"/>
                <w:color w:val="auto"/>
                <w:sz w:val="24"/>
                <w:lang w:val="en-US" w:eastAsia="zh-CN"/>
              </w:rPr>
              <w:t>租用常州武银新材料科技有限公司</w:t>
            </w:r>
            <w:r>
              <w:rPr>
                <w:rFonts w:hint="default" w:ascii="Times New Roman" w:hAnsi="Times New Roman" w:eastAsia="宋体" w:cs="Times New Roman"/>
                <w:color w:val="auto"/>
                <w:sz w:val="24"/>
              </w:rPr>
              <w:t>位于常州市</w:t>
            </w:r>
            <w:r>
              <w:rPr>
                <w:rFonts w:hint="eastAsia" w:ascii="Times New Roman" w:hAnsi="Times New Roman" w:eastAsia="宋体" w:cs="Times New Roman"/>
                <w:color w:val="auto"/>
                <w:sz w:val="24"/>
                <w:lang w:eastAsia="zh-CN"/>
              </w:rPr>
              <w:t>金坛区</w:t>
            </w:r>
            <w:r>
              <w:rPr>
                <w:rFonts w:hint="eastAsia" w:cs="Times New Roman"/>
                <w:color w:val="auto"/>
                <w:sz w:val="24"/>
                <w:lang w:eastAsia="zh-CN"/>
              </w:rPr>
              <w:t>直溪镇直东路6号的</w:t>
            </w:r>
            <w:r>
              <w:rPr>
                <w:rFonts w:hint="eastAsia" w:cs="Times New Roman"/>
                <w:color w:val="auto"/>
                <w:sz w:val="24"/>
                <w:lang w:val="en-US" w:eastAsia="zh-CN"/>
              </w:rPr>
              <w:t>厂房</w:t>
            </w:r>
            <w:r>
              <w:rPr>
                <w:rFonts w:hint="eastAsia" w:ascii="Times New Roman" w:hAnsi="Times New Roman" w:eastAsia="宋体" w:cs="Times New Roman"/>
                <w:color w:val="auto"/>
                <w:sz w:val="24"/>
                <w:lang w:val="en-US" w:eastAsia="zh-CN"/>
              </w:rPr>
              <w:t>生产</w:t>
            </w:r>
            <w:r>
              <w:rPr>
                <w:rFonts w:hint="default" w:ascii="Times New Roman" w:hAnsi="Times New Roman" w:eastAsia="宋体" w:cs="Times New Roman"/>
                <w:color w:val="auto"/>
                <w:sz w:val="24"/>
              </w:rPr>
              <w:t>，本次</w:t>
            </w:r>
            <w:r>
              <w:rPr>
                <w:rFonts w:hint="eastAsia" w:cs="Times New Roman"/>
                <w:color w:val="auto"/>
                <w:sz w:val="24"/>
                <w:lang w:val="en-US" w:eastAsia="zh-CN"/>
              </w:rPr>
              <w:t>租用2栋建筑物，一栋用于机加工生产，一栋用于原料及成品仓储。</w:t>
            </w:r>
            <w:r>
              <w:rPr>
                <w:rFonts w:hint="default" w:ascii="Times New Roman" w:hAnsi="Times New Roman" w:eastAsia="宋体" w:cs="Times New Roman"/>
                <w:color w:val="auto"/>
                <w:sz w:val="24"/>
              </w:rPr>
              <w:t>具体平面布置情况见附图</w:t>
            </w:r>
            <w:r>
              <w:rPr>
                <w:rFonts w:hint="eastAsia" w:cs="Times New Roman"/>
                <w:color w:val="auto"/>
                <w:sz w:val="24"/>
                <w:lang w:val="en-US" w:eastAsia="zh-CN"/>
              </w:rPr>
              <w:t>三</w:t>
            </w:r>
            <w:r>
              <w:rPr>
                <w:rFonts w:hint="default" w:ascii="Times New Roman" w:hAnsi="Times New Roman" w:eastAsia="宋体" w:cs="Times New Roman"/>
                <w:color w:val="auto"/>
                <w:sz w:val="24"/>
              </w:rPr>
              <w:t>。</w:t>
            </w:r>
          </w:p>
          <w:p w14:paraId="351CD888">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rPr>
              <w:t>（</w:t>
            </w:r>
            <w:r>
              <w:rPr>
                <w:rFonts w:hint="default" w:ascii="Times New Roman" w:hAnsi="Times New Roman" w:eastAsia="宋体" w:cs="Times New Roman"/>
                <w:color w:val="auto"/>
                <w:kern w:val="2"/>
                <w:sz w:val="24"/>
                <w:szCs w:val="24"/>
                <w:lang w:val="en-US" w:eastAsia="zh-CN" w:bidi="ar-SA"/>
              </w:rPr>
              <w:t>2）周边环境情况：</w:t>
            </w:r>
            <w:r>
              <w:rPr>
                <w:rFonts w:hint="default" w:ascii="Times New Roman" w:hAnsi="Times New Roman" w:eastAsia="宋体" w:cs="Times New Roman"/>
                <w:color w:val="auto"/>
                <w:sz w:val="24"/>
              </w:rPr>
              <w:t>项目</w:t>
            </w:r>
            <w:r>
              <w:rPr>
                <w:rFonts w:hint="eastAsia" w:cs="Times New Roman"/>
                <w:color w:val="auto"/>
                <w:sz w:val="24"/>
                <w:lang w:val="en-US" w:eastAsia="zh-CN"/>
              </w:rPr>
              <w:t>租用常州武银新材料科技有限公司</w:t>
            </w:r>
            <w:r>
              <w:rPr>
                <w:rFonts w:hint="default" w:ascii="Times New Roman" w:hAnsi="Times New Roman" w:eastAsia="宋体" w:cs="Times New Roman"/>
                <w:color w:val="auto"/>
                <w:sz w:val="24"/>
              </w:rPr>
              <w:t>位于常州市</w:t>
            </w:r>
            <w:r>
              <w:rPr>
                <w:rFonts w:hint="eastAsia" w:ascii="Times New Roman" w:hAnsi="Times New Roman" w:eastAsia="宋体" w:cs="Times New Roman"/>
                <w:color w:val="auto"/>
                <w:sz w:val="24"/>
                <w:lang w:eastAsia="zh-CN"/>
              </w:rPr>
              <w:t>金坛区</w:t>
            </w:r>
            <w:r>
              <w:rPr>
                <w:rFonts w:hint="eastAsia" w:cs="Times New Roman"/>
                <w:color w:val="auto"/>
                <w:sz w:val="24"/>
                <w:lang w:eastAsia="zh-CN"/>
              </w:rPr>
              <w:t>直溪镇直东路6号的</w:t>
            </w:r>
            <w:r>
              <w:rPr>
                <w:rFonts w:hint="eastAsia" w:cs="Times New Roman"/>
                <w:color w:val="auto"/>
                <w:sz w:val="24"/>
                <w:lang w:val="en-US" w:eastAsia="zh-CN"/>
              </w:rPr>
              <w:t>厂房</w:t>
            </w:r>
            <w:r>
              <w:rPr>
                <w:rFonts w:hint="eastAsia" w:ascii="Times New Roman" w:hAnsi="Times New Roman" w:eastAsia="宋体" w:cs="Times New Roman"/>
                <w:color w:val="auto"/>
                <w:sz w:val="24"/>
                <w:lang w:val="en-US" w:eastAsia="zh-CN"/>
              </w:rPr>
              <w:t>生产</w:t>
            </w:r>
            <w:r>
              <w:rPr>
                <w:rFonts w:hint="eastAsia" w:cs="Times New Roman"/>
                <w:color w:val="auto"/>
                <w:sz w:val="24"/>
                <w:lang w:val="en-US" w:eastAsia="zh-CN"/>
              </w:rPr>
              <w:t>。</w:t>
            </w:r>
            <w:r>
              <w:rPr>
                <w:rFonts w:hint="default" w:ascii="Times New Roman" w:hAnsi="Times New Roman" w:eastAsia="宋体" w:cs="Times New Roman"/>
                <w:color w:val="auto"/>
                <w:kern w:val="2"/>
                <w:sz w:val="24"/>
                <w:szCs w:val="24"/>
                <w:lang w:val="en-US" w:eastAsia="zh-CN" w:bidi="ar-SA"/>
              </w:rPr>
              <w:t>根据现场踏勘，</w:t>
            </w:r>
            <w:r>
              <w:rPr>
                <w:rFonts w:hint="eastAsia" w:cs="Times New Roman"/>
                <w:color w:val="auto"/>
                <w:sz w:val="24"/>
                <w:lang w:val="en-US" w:eastAsia="zh-CN"/>
              </w:rPr>
              <w:t>项目厂区</w:t>
            </w:r>
            <w:r>
              <w:rPr>
                <w:rFonts w:hint="default" w:ascii="Times New Roman" w:hAnsi="Times New Roman" w:eastAsia="宋体" w:cs="Times New Roman"/>
                <w:color w:val="auto"/>
                <w:kern w:val="2"/>
                <w:sz w:val="24"/>
                <w:szCs w:val="24"/>
                <w:lang w:val="en-US" w:eastAsia="zh-CN" w:bidi="ar-SA"/>
              </w:rPr>
              <w:t>东侧为</w:t>
            </w:r>
            <w:r>
              <w:rPr>
                <w:rFonts w:hint="eastAsia" w:cs="Times New Roman"/>
                <w:color w:val="auto"/>
                <w:kern w:val="2"/>
                <w:sz w:val="24"/>
                <w:szCs w:val="24"/>
                <w:lang w:val="en-US" w:eastAsia="zh-CN" w:bidi="ar-SA"/>
              </w:rPr>
              <w:t>出租方围墙，隔墙为</w:t>
            </w:r>
            <w:r>
              <w:rPr>
                <w:rFonts w:hint="default" w:ascii="Times New Roman" w:hAnsi="Times New Roman" w:eastAsia="宋体" w:cs="Times New Roman"/>
                <w:color w:val="auto"/>
                <w:kern w:val="2"/>
                <w:sz w:val="24"/>
                <w:szCs w:val="24"/>
                <w:lang w:val="en-US" w:eastAsia="zh-CN" w:bidi="ar-SA"/>
              </w:rPr>
              <w:t>泰明光伏股份有限公司</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南侧为</w:t>
            </w:r>
            <w:r>
              <w:rPr>
                <w:rFonts w:hint="eastAsia" w:cs="Times New Roman"/>
                <w:color w:val="auto"/>
                <w:kern w:val="2"/>
                <w:sz w:val="24"/>
                <w:szCs w:val="24"/>
                <w:lang w:val="en-US" w:eastAsia="zh-CN" w:bidi="ar-SA"/>
              </w:rPr>
              <w:t>出租方围墙，隔墙为常州米特汽车零部件有限公司；</w:t>
            </w:r>
            <w:r>
              <w:rPr>
                <w:rFonts w:hint="eastAsia" w:ascii="Times New Roman" w:hAnsi="Times New Roman" w:eastAsia="宋体" w:cs="Times New Roman"/>
                <w:color w:val="auto"/>
                <w:kern w:val="2"/>
                <w:sz w:val="24"/>
                <w:szCs w:val="24"/>
                <w:lang w:val="en-US" w:eastAsia="zh-CN" w:bidi="ar-SA"/>
              </w:rPr>
              <w:t>西侧为</w:t>
            </w:r>
            <w:r>
              <w:rPr>
                <w:rFonts w:hint="eastAsia" w:cs="Times New Roman"/>
                <w:color w:val="auto"/>
                <w:kern w:val="2"/>
                <w:sz w:val="24"/>
                <w:szCs w:val="24"/>
                <w:lang w:val="en-US" w:eastAsia="zh-CN" w:bidi="ar-SA"/>
              </w:rPr>
              <w:t>常州美高安防科技有限公司；</w:t>
            </w:r>
            <w:r>
              <w:rPr>
                <w:rFonts w:hint="default" w:ascii="Times New Roman" w:hAnsi="Times New Roman" w:eastAsia="宋体" w:cs="Times New Roman"/>
                <w:color w:val="auto"/>
                <w:kern w:val="2"/>
                <w:sz w:val="24"/>
                <w:szCs w:val="24"/>
                <w:lang w:val="en-US" w:eastAsia="zh-CN" w:bidi="ar-SA"/>
              </w:rPr>
              <w:t>北侧为</w:t>
            </w:r>
            <w:r>
              <w:rPr>
                <w:rFonts w:hint="eastAsia" w:cs="Times New Roman"/>
                <w:color w:val="auto"/>
                <w:sz w:val="24"/>
                <w:lang w:val="en-US" w:eastAsia="zh-CN"/>
              </w:rPr>
              <w:t>空地</w:t>
            </w:r>
            <w:r>
              <w:rPr>
                <w:rFonts w:hint="default" w:ascii="Times New Roman" w:hAnsi="Times New Roman" w:eastAsia="宋体" w:cs="Times New Roman"/>
                <w:color w:val="auto"/>
                <w:kern w:val="2"/>
                <w:sz w:val="24"/>
                <w:szCs w:val="24"/>
                <w:lang w:val="en-US" w:eastAsia="zh-CN" w:bidi="ar-SA"/>
              </w:rPr>
              <w:t>；具体周边环境情况见</w:t>
            </w:r>
            <w:r>
              <w:rPr>
                <w:rFonts w:hint="eastAsia" w:cs="Times New Roman"/>
                <w:color w:val="auto"/>
                <w:kern w:val="2"/>
                <w:sz w:val="24"/>
                <w:szCs w:val="24"/>
                <w:lang w:val="en-US" w:eastAsia="zh-CN" w:bidi="ar-SA"/>
              </w:rPr>
              <w:t>附图二</w:t>
            </w:r>
            <w:r>
              <w:rPr>
                <w:rFonts w:hint="default" w:ascii="Times New Roman" w:hAnsi="Times New Roman" w:eastAsia="宋体" w:cs="Times New Roman"/>
                <w:color w:val="auto"/>
                <w:kern w:val="2"/>
                <w:sz w:val="24"/>
                <w:szCs w:val="24"/>
                <w:lang w:val="en-US" w:eastAsia="zh-CN" w:bidi="ar-SA"/>
              </w:rPr>
              <w:t>。</w:t>
            </w:r>
          </w:p>
          <w:p w14:paraId="100DC6AB">
            <w:pPr>
              <w:keepNext w:val="0"/>
              <w:keepLines w:val="0"/>
              <w:pageBreakBefore w:val="0"/>
              <w:numPr>
                <w:ilvl w:val="0"/>
                <w:numId w:val="0"/>
              </w:numPr>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kern w:val="2"/>
                <w:sz w:val="24"/>
                <w:szCs w:val="24"/>
                <w:lang w:val="en-US" w:eastAsia="zh-CN" w:bidi="ar-SA"/>
              </w:rPr>
              <w:t>2.2</w:t>
            </w:r>
            <w:r>
              <w:rPr>
                <w:rFonts w:hint="default" w:ascii="Times New Roman" w:hAnsi="Times New Roman" w:eastAsia="宋体" w:cs="Times New Roman"/>
                <w:b/>
                <w:bCs w:val="0"/>
                <w:color w:val="auto"/>
                <w:sz w:val="24"/>
                <w:szCs w:val="24"/>
                <w:lang w:val="en-US" w:eastAsia="zh-CN"/>
              </w:rPr>
              <w:t>工艺流程和产排污环节</w:t>
            </w:r>
          </w:p>
          <w:p w14:paraId="2B959DC4">
            <w:pPr>
              <w:pStyle w:val="6"/>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2.2.1</w:t>
            </w:r>
            <w:r>
              <w:rPr>
                <w:rFonts w:hint="default" w:ascii="Times New Roman" w:hAnsi="Times New Roman" w:eastAsia="宋体" w:cs="Times New Roman"/>
                <w:b w:val="0"/>
                <w:bCs w:val="0"/>
                <w:color w:val="auto"/>
                <w:sz w:val="24"/>
                <w:szCs w:val="24"/>
                <w:lang w:val="en-US" w:eastAsia="zh-CN"/>
              </w:rPr>
              <w:t>本项目</w:t>
            </w:r>
            <w:r>
              <w:rPr>
                <w:rFonts w:hint="eastAsia" w:cs="Times New Roman"/>
                <w:b w:val="0"/>
                <w:bCs w:val="0"/>
                <w:color w:val="auto"/>
                <w:sz w:val="24"/>
                <w:szCs w:val="24"/>
                <w:lang w:val="en-US" w:eastAsia="zh-CN"/>
              </w:rPr>
              <w:t>主要生产结构件和紧固件，生产工艺基本一致</w:t>
            </w:r>
            <w:r>
              <w:rPr>
                <w:rFonts w:hint="default" w:ascii="Times New Roman" w:hAnsi="Times New Roman" w:eastAsia="宋体" w:cs="Times New Roman"/>
                <w:b w:val="0"/>
                <w:bCs w:val="0"/>
                <w:color w:val="auto"/>
                <w:kern w:val="2"/>
                <w:sz w:val="24"/>
                <w:szCs w:val="24"/>
                <w:lang w:val="en-US" w:eastAsia="zh-CN" w:bidi="ar-SA"/>
              </w:rPr>
              <w:t>，</w:t>
            </w:r>
            <w:r>
              <w:rPr>
                <w:rFonts w:hint="eastAsia" w:cs="Times New Roman"/>
                <w:b w:val="0"/>
                <w:bCs w:val="0"/>
                <w:color w:val="auto"/>
                <w:kern w:val="2"/>
                <w:sz w:val="24"/>
                <w:szCs w:val="24"/>
                <w:lang w:val="en-US" w:eastAsia="zh-CN" w:bidi="ar-SA"/>
              </w:rPr>
              <w:t>仅产品结构尺寸不同。</w:t>
            </w:r>
            <w:r>
              <w:rPr>
                <w:rFonts w:hint="default" w:ascii="Times New Roman" w:hAnsi="Times New Roman" w:eastAsia="宋体" w:cs="Times New Roman"/>
                <w:b w:val="0"/>
                <w:bCs w:val="0"/>
                <w:color w:val="auto"/>
                <w:sz w:val="24"/>
                <w:szCs w:val="24"/>
                <w:lang w:val="en-US" w:eastAsia="zh-CN"/>
              </w:rPr>
              <w:t>具体工艺见下图：</w:t>
            </w:r>
          </w:p>
          <w:p w14:paraId="57AE8D7A">
            <w:pPr>
              <w:adjustRightInd w:val="0"/>
              <w:snapToGrid w:val="0"/>
              <w:jc w:val="center"/>
              <w:rPr>
                <w:rFonts w:hint="default" w:ascii="Times New Roman" w:hAnsi="Times New Roman" w:eastAsia="宋体" w:cs="Times New Roman"/>
                <w:bCs/>
                <w:color w:val="auto"/>
                <w:szCs w:val="21"/>
              </w:rPr>
            </w:pPr>
            <w:r>
              <w:rPr>
                <w:color w:val="auto"/>
              </w:rPr>
              <w:drawing>
                <wp:inline distT="0" distB="0" distL="114300" distR="114300">
                  <wp:extent cx="3838575" cy="516255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838575" cy="5162550"/>
                          </a:xfrm>
                          <a:prstGeom prst="rect">
                            <a:avLst/>
                          </a:prstGeom>
                          <a:noFill/>
                          <a:ln>
                            <a:noFill/>
                          </a:ln>
                        </pic:spPr>
                      </pic:pic>
                    </a:graphicData>
                  </a:graphic>
                </wp:inline>
              </w:drawing>
            </w:r>
          </w:p>
          <w:p w14:paraId="55DB4D14">
            <w:pPr>
              <w:adjustRightInd w:val="0"/>
              <w:snapToGrid w:val="0"/>
              <w:jc w:val="center"/>
              <w:rPr>
                <w:rFonts w:hint="default" w:ascii="Times New Roman" w:hAnsi="Times New Roman" w:eastAsia="宋体" w:cs="Times New Roman"/>
                <w:bCs/>
                <w:color w:val="auto"/>
                <w:szCs w:val="21"/>
              </w:rPr>
            </w:pPr>
            <w:r>
              <w:rPr>
                <w:rFonts w:hint="default" w:ascii="Times New Roman" w:hAnsi="Times New Roman" w:eastAsia="宋体" w:cs="Times New Roman"/>
                <w:b/>
                <w:bCs/>
                <w:color w:val="auto"/>
                <w:sz w:val="24"/>
                <w:szCs w:val="24"/>
                <w:lang w:val="en-US" w:eastAsia="zh-CN"/>
              </w:rPr>
              <w:t>图2-</w:t>
            </w:r>
            <w:r>
              <w:rPr>
                <w:rFonts w:hint="eastAsia" w:cs="Times New Roman"/>
                <w:b/>
                <w:bCs/>
                <w:color w:val="auto"/>
                <w:sz w:val="24"/>
                <w:szCs w:val="24"/>
                <w:lang w:val="en-US" w:eastAsia="zh-CN"/>
              </w:rPr>
              <w:t>2 项目</w:t>
            </w:r>
            <w:r>
              <w:rPr>
                <w:rFonts w:hint="default" w:ascii="Times New Roman" w:hAnsi="Times New Roman" w:eastAsia="宋体" w:cs="Times New Roman"/>
                <w:b/>
                <w:bCs/>
                <w:color w:val="auto"/>
                <w:sz w:val="24"/>
                <w:szCs w:val="24"/>
                <w:lang w:val="en-US" w:eastAsia="zh-CN"/>
              </w:rPr>
              <w:t>生产工艺流程图</w:t>
            </w:r>
          </w:p>
          <w:p w14:paraId="16C8FCD0">
            <w:pPr>
              <w:adjustRightInd w:val="0"/>
              <w:snapToGrid w:val="0"/>
              <w:jc w:val="left"/>
              <w:rPr>
                <w:rFonts w:hint="default" w:ascii="Times New Roman" w:hAnsi="Times New Roman" w:eastAsia="宋体" w:cs="Times New Roman"/>
                <w:bCs/>
                <w:color w:val="auto"/>
                <w:szCs w:val="21"/>
              </w:rPr>
            </w:pPr>
          </w:p>
          <w:p w14:paraId="236BB0F1">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工艺流程简述</w:t>
            </w:r>
            <w:r>
              <w:rPr>
                <w:rFonts w:hint="eastAsia" w:cs="Times New Roman"/>
                <w:color w:val="auto"/>
                <w:sz w:val="24"/>
                <w:szCs w:val="24"/>
                <w:lang w:val="en-US" w:eastAsia="zh-CN"/>
              </w:rPr>
              <w:t>：</w:t>
            </w:r>
          </w:p>
          <w:p w14:paraId="7445BBA1">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kern w:val="2"/>
                <w:sz w:val="24"/>
                <w:szCs w:val="24"/>
                <w:lang w:val="en-US" w:eastAsia="zh-CN" w:bidi="ar-SA"/>
              </w:rPr>
            </w:pPr>
            <w:r>
              <w:rPr>
                <w:rFonts w:hint="eastAsia" w:cs="Times New Roman"/>
                <w:color w:val="auto"/>
                <w:kern w:val="2"/>
                <w:sz w:val="24"/>
                <w:szCs w:val="24"/>
                <w:lang w:val="en-US" w:eastAsia="zh-CN" w:bidi="ar-SA"/>
              </w:rPr>
              <w:t>下料</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外购的</w:t>
            </w:r>
            <w:r>
              <w:rPr>
                <w:rFonts w:hint="eastAsia" w:ascii="Times New Roman" w:hAnsi="Times New Roman" w:eastAsia="宋体" w:cs="Times New Roman"/>
                <w:color w:val="auto"/>
                <w:kern w:val="2"/>
                <w:sz w:val="24"/>
                <w:szCs w:val="24"/>
                <w:lang w:val="en-US" w:eastAsia="zh-CN" w:bidi="ar-SA"/>
              </w:rPr>
              <w:t>铝型材经切割机下料，采用湿式切割（采用</w:t>
            </w:r>
            <w:r>
              <w:rPr>
                <w:rFonts w:hint="eastAsia" w:cs="Times New Roman"/>
                <w:color w:val="auto"/>
                <w:kern w:val="2"/>
                <w:sz w:val="24"/>
                <w:szCs w:val="24"/>
                <w:lang w:val="en-US" w:eastAsia="zh-CN" w:bidi="ar-SA"/>
              </w:rPr>
              <w:t>切削液</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sz w:val="24"/>
                <w:szCs w:val="24"/>
              </w:rPr>
              <w:t>切削液由切削原液与水配置而成，配置比例为1:1</w:t>
            </w:r>
            <w:r>
              <w:rPr>
                <w:rFonts w:hint="eastAsia" w:eastAsia="宋体" w:cs="Times New Roman"/>
                <w:color w:val="auto"/>
                <w:sz w:val="24"/>
                <w:szCs w:val="24"/>
                <w:lang w:val="en-US" w:eastAsia="zh-CN"/>
              </w:rPr>
              <w:t>0</w:t>
            </w:r>
            <w:r>
              <w:rPr>
                <w:rFonts w:hint="eastAsia" w:ascii="Times New Roman" w:hAnsi="Times New Roman" w:eastAsia="宋体" w:cs="Times New Roman"/>
                <w:color w:val="auto"/>
                <w:sz w:val="24"/>
                <w:szCs w:val="24"/>
                <w:lang w:eastAsia="zh-CN"/>
              </w:rPr>
              <w:t>。</w:t>
            </w:r>
            <w:r>
              <w:rPr>
                <w:rFonts w:hint="eastAsia" w:cs="Times New Roman"/>
                <w:color w:val="auto"/>
                <w:kern w:val="2"/>
                <w:sz w:val="24"/>
                <w:szCs w:val="24"/>
                <w:lang w:val="en-US" w:eastAsia="zh-CN" w:bidi="ar-SA"/>
              </w:rPr>
              <w:t>切削液</w:t>
            </w:r>
            <w:r>
              <w:rPr>
                <w:rFonts w:hint="eastAsia" w:ascii="Times New Roman" w:hAnsi="Times New Roman" w:eastAsia="宋体" w:cs="Times New Roman"/>
                <w:color w:val="auto"/>
                <w:kern w:val="2"/>
                <w:sz w:val="24"/>
                <w:szCs w:val="24"/>
                <w:lang w:val="en-US" w:eastAsia="zh-CN" w:bidi="ar-SA"/>
              </w:rPr>
              <w:t>循环使用，定期</w:t>
            </w:r>
            <w:r>
              <w:rPr>
                <w:rFonts w:hint="eastAsia" w:cs="Times New Roman"/>
                <w:color w:val="auto"/>
                <w:kern w:val="2"/>
                <w:sz w:val="24"/>
                <w:szCs w:val="24"/>
                <w:lang w:val="en-US" w:eastAsia="zh-CN" w:bidi="ar-SA"/>
              </w:rPr>
              <w:t>更换</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该过程产生</w:t>
            </w:r>
            <w:r>
              <w:rPr>
                <w:rFonts w:hint="eastAsia" w:ascii="Times New Roman" w:hAnsi="Times New Roman" w:eastAsia="宋体" w:cs="Times New Roman"/>
                <w:color w:val="auto"/>
                <w:kern w:val="2"/>
                <w:sz w:val="24"/>
                <w:szCs w:val="24"/>
                <w:lang w:val="en-US" w:eastAsia="zh-CN" w:bidi="ar-SA"/>
              </w:rPr>
              <w:t>金属边角料(S1)</w:t>
            </w:r>
            <w:r>
              <w:rPr>
                <w:rFonts w:hint="eastAsia" w:cs="Times New Roman"/>
                <w:color w:val="auto"/>
                <w:kern w:val="2"/>
                <w:sz w:val="24"/>
                <w:szCs w:val="24"/>
                <w:lang w:val="en-US" w:eastAsia="zh-CN" w:bidi="ar-SA"/>
              </w:rPr>
              <w:t>、含切削液铝屑</w:t>
            </w:r>
            <w:r>
              <w:rPr>
                <w:rFonts w:hint="eastAsia" w:ascii="Times New Roman" w:hAnsi="Times New Roman" w:eastAsia="宋体" w:cs="Times New Roman"/>
                <w:color w:val="auto"/>
                <w:kern w:val="2"/>
                <w:sz w:val="24"/>
                <w:szCs w:val="24"/>
                <w:lang w:val="en-US" w:eastAsia="zh-CN" w:bidi="ar-SA"/>
              </w:rPr>
              <w:t>(S2)和废切削液（</w:t>
            </w:r>
            <w:r>
              <w:rPr>
                <w:rFonts w:hint="default" w:ascii="Times New Roman" w:hAnsi="Times New Roman" w:eastAsia="宋体" w:cs="Times New Roman"/>
                <w:color w:val="auto"/>
                <w:kern w:val="2"/>
                <w:sz w:val="24"/>
                <w:szCs w:val="24"/>
                <w:lang w:val="en-US" w:eastAsia="zh-CN" w:bidi="ar-SA"/>
              </w:rPr>
              <w:t>S</w:t>
            </w:r>
            <w:r>
              <w:rPr>
                <w:rFonts w:hint="eastAsia" w:cs="Times New Roman"/>
                <w:color w:val="auto"/>
                <w:kern w:val="2"/>
                <w:sz w:val="24"/>
                <w:szCs w:val="24"/>
                <w:lang w:val="en-US" w:eastAsia="zh-CN" w:bidi="ar-SA"/>
              </w:rPr>
              <w:t>3</w:t>
            </w:r>
            <w:r>
              <w:rPr>
                <w:rFonts w:hint="eastAsia" w:ascii="Times New Roman" w:hAnsi="Times New Roman" w:eastAsia="宋体" w:cs="Times New Roman"/>
                <w:color w:val="auto"/>
                <w:kern w:val="2"/>
                <w:sz w:val="24"/>
                <w:szCs w:val="24"/>
                <w:lang w:val="en-US" w:eastAsia="zh-CN" w:bidi="ar-SA"/>
              </w:rPr>
              <w:t>）。</w:t>
            </w:r>
          </w:p>
          <w:p w14:paraId="758435B6">
            <w:pPr>
              <w:pStyle w:val="45"/>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eastAsia="宋体" w:cs="Times New Roman"/>
                <w:color w:val="auto"/>
                <w:kern w:val="2"/>
                <w:sz w:val="24"/>
                <w:szCs w:val="24"/>
                <w:lang w:val="en-US" w:eastAsia="zh-CN" w:bidi="ar-SA"/>
              </w:rPr>
              <w:t>机加工</w:t>
            </w:r>
            <w:r>
              <w:rPr>
                <w:rFonts w:hint="eastAsia" w:ascii="Times New Roman" w:hAnsi="Times New Roman" w:eastAsia="宋体" w:cs="Times New Roman"/>
                <w:color w:val="auto"/>
                <w:kern w:val="2"/>
                <w:sz w:val="24"/>
                <w:szCs w:val="24"/>
                <w:lang w:val="en-US" w:eastAsia="zh-CN" w:bidi="ar-SA"/>
              </w:rPr>
              <w:t>：下料后的铝型材利用加工中心、数控车床加工成结构件或紧固件毛坯，加工中心、数控车床添加切削液润滑冷却刀头；</w:t>
            </w:r>
            <w:r>
              <w:rPr>
                <w:rFonts w:hint="default" w:ascii="Times New Roman" w:hAnsi="Times New Roman" w:eastAsia="宋体" w:cs="Times New Roman"/>
                <w:color w:val="auto"/>
                <w:sz w:val="24"/>
                <w:szCs w:val="24"/>
              </w:rPr>
              <w:t>切削液由切削原液与水配置而成，配置比例为1:1</w:t>
            </w:r>
            <w:r>
              <w:rPr>
                <w:rFonts w:hint="eastAsia" w:eastAsia="宋体" w:cs="Times New Roman"/>
                <w:color w:val="auto"/>
                <w:sz w:val="24"/>
                <w:szCs w:val="24"/>
                <w:lang w:val="en-US" w:eastAsia="zh-CN"/>
              </w:rPr>
              <w:t>0</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kern w:val="2"/>
                <w:sz w:val="24"/>
                <w:szCs w:val="24"/>
                <w:lang w:val="en-US" w:eastAsia="zh-CN" w:bidi="ar-SA"/>
              </w:rPr>
              <w:t>该工段产生金属边角料（</w:t>
            </w:r>
            <w:r>
              <w:rPr>
                <w:rFonts w:hint="default" w:ascii="Times New Roman" w:hAnsi="Times New Roman" w:eastAsia="宋体" w:cs="Times New Roman"/>
                <w:color w:val="auto"/>
                <w:kern w:val="2"/>
                <w:sz w:val="24"/>
                <w:szCs w:val="24"/>
                <w:lang w:val="en-US" w:eastAsia="zh-CN" w:bidi="ar-SA"/>
              </w:rPr>
              <w:t>S</w:t>
            </w:r>
            <w:r>
              <w:rPr>
                <w:rFonts w:hint="eastAsia" w:eastAsia="宋体" w:cs="Times New Roman"/>
                <w:color w:val="auto"/>
                <w:kern w:val="2"/>
                <w:sz w:val="24"/>
                <w:szCs w:val="24"/>
                <w:lang w:val="en-US" w:eastAsia="zh-CN" w:bidi="ar-SA"/>
              </w:rPr>
              <w:t>4</w:t>
            </w:r>
            <w:r>
              <w:rPr>
                <w:rFonts w:hint="eastAsia" w:ascii="Times New Roman" w:hAnsi="Times New Roman" w:eastAsia="宋体" w:cs="Times New Roman"/>
                <w:color w:val="auto"/>
                <w:kern w:val="2"/>
                <w:sz w:val="24"/>
                <w:szCs w:val="24"/>
                <w:lang w:val="en-US" w:eastAsia="zh-CN" w:bidi="ar-SA"/>
              </w:rPr>
              <w:t>）、</w:t>
            </w:r>
            <w:r>
              <w:rPr>
                <w:rFonts w:hint="eastAsia" w:eastAsia="宋体" w:cs="Times New Roman"/>
                <w:color w:val="auto"/>
                <w:kern w:val="2"/>
                <w:sz w:val="24"/>
                <w:szCs w:val="24"/>
                <w:lang w:val="en-US" w:eastAsia="zh-CN" w:bidi="ar-SA"/>
              </w:rPr>
              <w:t>含切削液铝屑</w:t>
            </w:r>
            <w:r>
              <w:rPr>
                <w:rFonts w:hint="eastAsia" w:ascii="Times New Roman" w:hAnsi="Times New Roman" w:eastAsia="宋体" w:cs="Times New Roman"/>
                <w:color w:val="auto"/>
                <w:kern w:val="2"/>
                <w:sz w:val="24"/>
                <w:szCs w:val="24"/>
                <w:lang w:val="en-US" w:eastAsia="zh-CN" w:bidi="ar-SA"/>
              </w:rPr>
              <w:t>(S</w:t>
            </w:r>
            <w:r>
              <w:rPr>
                <w:rFonts w:hint="eastAsia" w:eastAsia="宋体" w:cs="Times New Roman"/>
                <w:color w:val="auto"/>
                <w:kern w:val="2"/>
                <w:sz w:val="24"/>
                <w:szCs w:val="24"/>
                <w:lang w:val="en-US" w:eastAsia="zh-CN" w:bidi="ar-SA"/>
              </w:rPr>
              <w:t>5</w:t>
            </w:r>
            <w:r>
              <w:rPr>
                <w:rFonts w:hint="eastAsia" w:ascii="Times New Roman" w:hAnsi="Times New Roman" w:eastAsia="宋体" w:cs="Times New Roman"/>
                <w:color w:val="auto"/>
                <w:kern w:val="2"/>
                <w:sz w:val="24"/>
                <w:szCs w:val="24"/>
                <w:lang w:val="en-US" w:eastAsia="zh-CN" w:bidi="ar-SA"/>
              </w:rPr>
              <w:t>)和废切削液（</w:t>
            </w:r>
            <w:r>
              <w:rPr>
                <w:rFonts w:hint="default" w:ascii="Times New Roman" w:hAnsi="Times New Roman" w:eastAsia="宋体" w:cs="Times New Roman"/>
                <w:color w:val="auto"/>
                <w:kern w:val="2"/>
                <w:sz w:val="24"/>
                <w:szCs w:val="24"/>
                <w:lang w:val="en-US" w:eastAsia="zh-CN" w:bidi="ar-SA"/>
              </w:rPr>
              <w:t>S</w:t>
            </w:r>
            <w:r>
              <w:rPr>
                <w:rFonts w:hint="eastAsia" w:eastAsia="宋体" w:cs="Times New Roman"/>
                <w:color w:val="auto"/>
                <w:kern w:val="2"/>
                <w:sz w:val="24"/>
                <w:szCs w:val="24"/>
                <w:lang w:val="en-US" w:eastAsia="zh-CN" w:bidi="ar-SA"/>
              </w:rPr>
              <w:t>6</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w:t>
            </w:r>
          </w:p>
          <w:p w14:paraId="7EF418AC">
            <w:pPr>
              <w:pStyle w:val="45"/>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eastAsia="宋体" w:cs="Times New Roman"/>
                <w:color w:val="auto"/>
                <w:kern w:val="2"/>
                <w:sz w:val="24"/>
                <w:szCs w:val="24"/>
                <w:lang w:val="en-US" w:eastAsia="zh-CN" w:bidi="ar-SA"/>
              </w:rPr>
              <w:t>清洗</w:t>
            </w:r>
            <w:r>
              <w:rPr>
                <w:rFonts w:hint="eastAsia" w:ascii="Times New Roman" w:hAnsi="Times New Roman" w:eastAsia="宋体" w:cs="Times New Roman"/>
                <w:color w:val="auto"/>
                <w:kern w:val="2"/>
                <w:sz w:val="24"/>
                <w:szCs w:val="24"/>
                <w:lang w:val="en-US" w:eastAsia="zh-CN" w:bidi="ar-SA"/>
              </w:rPr>
              <w:t>：结构件或紧固件毛坯置入清洗机</w:t>
            </w:r>
            <w:r>
              <w:rPr>
                <w:rFonts w:hint="eastAsia" w:eastAsia="宋体" w:cs="Times New Roman"/>
                <w:color w:val="auto"/>
                <w:kern w:val="2"/>
                <w:sz w:val="24"/>
                <w:szCs w:val="24"/>
                <w:lang w:val="en-US" w:eastAsia="zh-CN" w:bidi="ar-SA"/>
              </w:rPr>
              <w:t>清洗槽清洗</w:t>
            </w:r>
            <w:r>
              <w:rPr>
                <w:rFonts w:hint="eastAsia" w:ascii="Times New Roman" w:hAnsi="Times New Roman" w:eastAsia="宋体" w:cs="Times New Roman"/>
                <w:color w:val="auto"/>
                <w:kern w:val="2"/>
                <w:sz w:val="24"/>
                <w:szCs w:val="24"/>
                <w:lang w:val="en-US" w:eastAsia="zh-CN" w:bidi="ar-SA"/>
              </w:rPr>
              <w:t>，清洗机共6</w:t>
            </w:r>
            <w:r>
              <w:rPr>
                <w:rFonts w:hint="eastAsia" w:eastAsia="宋体" w:cs="Times New Roman"/>
                <w:color w:val="auto"/>
                <w:kern w:val="2"/>
                <w:sz w:val="24"/>
                <w:szCs w:val="24"/>
                <w:lang w:val="en-US" w:eastAsia="zh-CN" w:bidi="ar-SA"/>
              </w:rPr>
              <w:t>个水</w:t>
            </w:r>
            <w:r>
              <w:rPr>
                <w:rFonts w:hint="eastAsia" w:ascii="Times New Roman" w:hAnsi="Times New Roman" w:eastAsia="宋体" w:cs="Times New Roman"/>
                <w:color w:val="auto"/>
                <w:kern w:val="2"/>
                <w:sz w:val="24"/>
                <w:szCs w:val="24"/>
                <w:lang w:val="en-US" w:eastAsia="zh-CN" w:bidi="ar-SA"/>
              </w:rPr>
              <w:t>槽（每个槽的尺寸均为</w:t>
            </w:r>
            <w:r>
              <w:rPr>
                <w:rFonts w:hint="default" w:ascii="Times New Roman" w:hAnsi="Times New Roman" w:eastAsia="宋体" w:cs="Times New Roman"/>
                <w:color w:val="auto"/>
                <w:kern w:val="2"/>
                <w:sz w:val="24"/>
                <w:szCs w:val="24"/>
                <w:lang w:val="en-US" w:eastAsia="zh-CN" w:bidi="ar-SA"/>
              </w:rPr>
              <w:t>80cm*80cm*70cm</w:t>
            </w:r>
            <w:r>
              <w:rPr>
                <w:rFonts w:hint="eastAsia" w:ascii="Times New Roman" w:hAnsi="Times New Roman" w:eastAsia="宋体" w:cs="Times New Roman"/>
                <w:color w:val="auto"/>
                <w:kern w:val="2"/>
                <w:sz w:val="24"/>
                <w:szCs w:val="24"/>
                <w:lang w:val="en-US" w:eastAsia="zh-CN" w:bidi="ar-SA"/>
              </w:rPr>
              <w:t>），前2个槽为清洗槽</w:t>
            </w:r>
            <w:r>
              <w:rPr>
                <w:rFonts w:hint="eastAsia"/>
                <w:color w:val="auto"/>
                <w:lang w:eastAsia="zh-CN"/>
              </w:rPr>
              <w:t>（</w:t>
            </w:r>
            <w:r>
              <w:rPr>
                <w:rFonts w:hint="eastAsia" w:ascii="Times New Roman" w:hAnsi="Times New Roman" w:eastAsia="宋体" w:cs="Times New Roman"/>
                <w:color w:val="auto"/>
                <w:kern w:val="2"/>
                <w:sz w:val="24"/>
                <w:szCs w:val="24"/>
                <w:lang w:val="en-US" w:eastAsia="zh-CN" w:bidi="ar-SA"/>
              </w:rPr>
              <w:t>工件依次进入1#清洗槽、2#清洗槽</w:t>
            </w:r>
            <w:r>
              <w:rPr>
                <w:rFonts w:hint="eastAsia" w:eastAsia="宋体" w:cs="Times New Roman"/>
                <w:color w:val="auto"/>
                <w:kern w:val="2"/>
                <w:sz w:val="24"/>
                <w:szCs w:val="24"/>
                <w:lang w:val="en-US" w:eastAsia="zh-CN" w:bidi="ar-SA"/>
              </w:rPr>
              <w:t>进行连续</w:t>
            </w:r>
            <w:r>
              <w:rPr>
                <w:rFonts w:hint="eastAsia" w:ascii="Times New Roman" w:hAnsi="Times New Roman" w:eastAsia="宋体" w:cs="Times New Roman"/>
                <w:color w:val="auto"/>
                <w:kern w:val="2"/>
                <w:sz w:val="24"/>
                <w:szCs w:val="24"/>
                <w:lang w:val="en-US" w:eastAsia="zh-CN" w:bidi="ar-SA"/>
              </w:rPr>
              <w:t>清洗</w:t>
            </w:r>
            <w:r>
              <w:rPr>
                <w:rFonts w:hint="eastAsia"/>
                <w:color w:val="auto"/>
                <w:lang w:eastAsia="zh-CN"/>
              </w:rPr>
              <w:t>）</w:t>
            </w:r>
            <w:r>
              <w:rPr>
                <w:rFonts w:hint="eastAsia" w:ascii="Times New Roman" w:hAnsi="Times New Roman" w:eastAsia="宋体" w:cs="Times New Roman"/>
                <w:color w:val="auto"/>
                <w:kern w:val="2"/>
                <w:sz w:val="24"/>
                <w:szCs w:val="24"/>
                <w:lang w:val="en-US" w:eastAsia="zh-CN" w:bidi="ar-SA"/>
              </w:rPr>
              <w:t>，添加清洗剂和水（清洗剂兑水比例为1:50）</w:t>
            </w:r>
            <w:r>
              <w:rPr>
                <w:rFonts w:hint="eastAsia" w:eastAsia="宋体" w:cs="Times New Roman"/>
                <w:color w:val="auto"/>
                <w:kern w:val="2"/>
                <w:sz w:val="24"/>
                <w:szCs w:val="24"/>
                <w:lang w:val="en-US" w:eastAsia="zh-CN" w:bidi="ar-SA"/>
              </w:rPr>
              <w:t>清洗工件（</w:t>
            </w:r>
            <w:r>
              <w:rPr>
                <w:rFonts w:hint="eastAsia" w:ascii="Times New Roman" w:hAnsi="Times New Roman" w:eastAsia="宋体" w:cs="Times New Roman"/>
                <w:color w:val="auto"/>
                <w:kern w:val="2"/>
                <w:sz w:val="24"/>
                <w:szCs w:val="24"/>
                <w:lang w:val="en-US" w:eastAsia="zh-CN" w:bidi="ar-SA"/>
              </w:rPr>
              <w:t>清洗液有效浓度在1-30%之间均能满足清洗要求）。清洗槽定期更换，产生清洗废液（S</w:t>
            </w:r>
            <w:r>
              <w:rPr>
                <w:rFonts w:hint="eastAsia" w:eastAsia="宋体" w:cs="Times New Roman"/>
                <w:color w:val="auto"/>
                <w:kern w:val="2"/>
                <w:sz w:val="24"/>
                <w:szCs w:val="24"/>
                <w:lang w:val="en-US" w:eastAsia="zh-CN" w:bidi="ar-SA"/>
              </w:rPr>
              <w:t>7</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w:t>
            </w:r>
          </w:p>
          <w:p w14:paraId="0D565965">
            <w:pPr>
              <w:pStyle w:val="45"/>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eastAsia="宋体" w:cs="Times New Roman"/>
                <w:color w:val="auto"/>
                <w:kern w:val="2"/>
                <w:sz w:val="24"/>
                <w:szCs w:val="24"/>
                <w:lang w:val="en-US" w:eastAsia="zh-CN" w:bidi="ar-SA"/>
              </w:rPr>
              <w:t>漂洗：清洗后的工件</w:t>
            </w:r>
            <w:r>
              <w:rPr>
                <w:rFonts w:hint="eastAsia" w:ascii="Times New Roman" w:hAnsi="Times New Roman" w:eastAsia="宋体" w:cs="Times New Roman"/>
                <w:color w:val="auto"/>
                <w:kern w:val="2"/>
                <w:sz w:val="24"/>
                <w:szCs w:val="24"/>
                <w:lang w:val="en-US" w:eastAsia="zh-CN" w:bidi="ar-SA"/>
              </w:rPr>
              <w:t>进入清洗机</w:t>
            </w:r>
            <w:r>
              <w:rPr>
                <w:rFonts w:hint="eastAsia" w:eastAsia="宋体" w:cs="Times New Roman"/>
                <w:color w:val="auto"/>
                <w:kern w:val="2"/>
                <w:sz w:val="24"/>
                <w:szCs w:val="24"/>
                <w:lang w:val="en-US" w:eastAsia="zh-CN" w:bidi="ar-SA"/>
              </w:rPr>
              <w:t>漂洗</w:t>
            </w:r>
            <w:r>
              <w:rPr>
                <w:rFonts w:hint="eastAsia" w:ascii="Times New Roman" w:hAnsi="Times New Roman" w:eastAsia="宋体" w:cs="Times New Roman"/>
                <w:color w:val="auto"/>
                <w:kern w:val="2"/>
                <w:sz w:val="24"/>
                <w:szCs w:val="24"/>
                <w:lang w:val="en-US" w:eastAsia="zh-CN" w:bidi="ar-SA"/>
              </w:rPr>
              <w:t>，</w:t>
            </w:r>
            <w:r>
              <w:rPr>
                <w:rFonts w:hint="eastAsia" w:eastAsia="宋体" w:cs="Times New Roman"/>
                <w:color w:val="auto"/>
                <w:kern w:val="2"/>
                <w:sz w:val="24"/>
                <w:szCs w:val="24"/>
                <w:lang w:val="en-US" w:eastAsia="zh-CN" w:bidi="ar-SA"/>
              </w:rPr>
              <w:t>每台</w:t>
            </w:r>
            <w:r>
              <w:rPr>
                <w:rFonts w:hint="eastAsia" w:ascii="Times New Roman" w:hAnsi="Times New Roman" w:eastAsia="宋体" w:cs="Times New Roman"/>
                <w:color w:val="auto"/>
                <w:kern w:val="2"/>
                <w:sz w:val="24"/>
                <w:szCs w:val="24"/>
                <w:lang w:val="en-US" w:eastAsia="zh-CN" w:bidi="ar-SA"/>
              </w:rPr>
              <w:t>清洗机</w:t>
            </w:r>
            <w:r>
              <w:rPr>
                <w:rFonts w:hint="eastAsia" w:eastAsia="宋体" w:cs="Times New Roman"/>
                <w:color w:val="auto"/>
                <w:kern w:val="2"/>
                <w:sz w:val="24"/>
                <w:szCs w:val="24"/>
                <w:lang w:val="en-US" w:eastAsia="zh-CN" w:bidi="ar-SA"/>
              </w:rPr>
              <w:t>均设置4</w:t>
            </w:r>
            <w:r>
              <w:rPr>
                <w:rFonts w:hint="eastAsia" w:ascii="Times New Roman" w:hAnsi="Times New Roman" w:eastAsia="宋体" w:cs="Times New Roman"/>
                <w:color w:val="auto"/>
                <w:kern w:val="2"/>
                <w:sz w:val="24"/>
                <w:szCs w:val="24"/>
                <w:lang w:val="en-US" w:eastAsia="zh-CN" w:bidi="ar-SA"/>
              </w:rPr>
              <w:t>个</w:t>
            </w:r>
            <w:r>
              <w:rPr>
                <w:rFonts w:hint="eastAsia" w:eastAsia="宋体" w:cs="Times New Roman"/>
                <w:color w:val="auto"/>
                <w:kern w:val="2"/>
                <w:sz w:val="24"/>
                <w:szCs w:val="24"/>
                <w:lang w:val="en-US" w:eastAsia="zh-CN" w:bidi="ar-SA"/>
              </w:rPr>
              <w:t>漂洗</w:t>
            </w:r>
            <w:r>
              <w:rPr>
                <w:rFonts w:hint="eastAsia" w:ascii="Times New Roman" w:hAnsi="Times New Roman" w:eastAsia="宋体" w:cs="Times New Roman"/>
                <w:color w:val="auto"/>
                <w:kern w:val="2"/>
                <w:sz w:val="24"/>
                <w:szCs w:val="24"/>
                <w:lang w:val="en-US" w:eastAsia="zh-CN" w:bidi="ar-SA"/>
              </w:rPr>
              <w:t>槽（</w:t>
            </w:r>
            <w:r>
              <w:rPr>
                <w:rFonts w:hint="eastAsia" w:eastAsia="宋体" w:cs="Times New Roman"/>
                <w:color w:val="auto"/>
                <w:kern w:val="2"/>
                <w:sz w:val="24"/>
                <w:szCs w:val="24"/>
                <w:lang w:val="en-US" w:eastAsia="zh-CN" w:bidi="ar-SA"/>
              </w:rPr>
              <w:t>1#</w:t>
            </w:r>
            <w:r>
              <w:rPr>
                <w:rFonts w:hint="eastAsia" w:ascii="Times New Roman" w:hAnsi="Times New Roman" w:eastAsia="宋体" w:cs="Times New Roman"/>
                <w:color w:val="auto"/>
                <w:kern w:val="2"/>
                <w:sz w:val="24"/>
                <w:szCs w:val="24"/>
                <w:lang w:val="en-US" w:eastAsia="zh-CN" w:bidi="ar-SA"/>
              </w:rPr>
              <w:t>漂洗槽</w:t>
            </w:r>
            <w:r>
              <w:rPr>
                <w:rFonts w:hint="eastAsia" w:eastAsia="宋体" w:cs="Times New Roman"/>
                <w:color w:val="auto"/>
                <w:kern w:val="2"/>
                <w:sz w:val="24"/>
                <w:szCs w:val="24"/>
                <w:lang w:val="en-US" w:eastAsia="zh-CN" w:bidi="ar-SA"/>
              </w:rPr>
              <w:t>-4#</w:t>
            </w:r>
            <w:r>
              <w:rPr>
                <w:rFonts w:hint="eastAsia" w:ascii="Times New Roman" w:hAnsi="Times New Roman" w:eastAsia="宋体" w:cs="Times New Roman"/>
                <w:color w:val="auto"/>
                <w:kern w:val="2"/>
                <w:sz w:val="24"/>
                <w:szCs w:val="24"/>
                <w:lang w:val="en-US" w:eastAsia="zh-CN" w:bidi="ar-SA"/>
              </w:rPr>
              <w:t>漂洗槽</w:t>
            </w:r>
            <w:r>
              <w:rPr>
                <w:rFonts w:hint="eastAsia"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每个槽的尺寸均为</w:t>
            </w:r>
            <w:r>
              <w:rPr>
                <w:rFonts w:hint="default" w:ascii="Times New Roman" w:hAnsi="Times New Roman" w:eastAsia="宋体" w:cs="Times New Roman"/>
                <w:color w:val="auto"/>
                <w:kern w:val="2"/>
                <w:sz w:val="24"/>
                <w:szCs w:val="24"/>
                <w:lang w:val="en-US" w:eastAsia="zh-CN" w:bidi="ar-SA"/>
              </w:rPr>
              <w:t>80cm*80cm*70cm</w:t>
            </w:r>
            <w:r>
              <w:rPr>
                <w:rFonts w:hint="eastAsia" w:ascii="Times New Roman" w:hAnsi="Times New Roman" w:eastAsia="宋体" w:cs="Times New Roman"/>
                <w:color w:val="auto"/>
                <w:kern w:val="2"/>
                <w:sz w:val="24"/>
                <w:szCs w:val="24"/>
                <w:lang w:val="en-US" w:eastAsia="zh-CN" w:bidi="ar-SA"/>
              </w:rPr>
              <w:t>），采用逆流</w:t>
            </w:r>
            <w:r>
              <w:rPr>
                <w:rFonts w:hint="eastAsia" w:eastAsia="宋体" w:cs="Times New Roman"/>
                <w:color w:val="auto"/>
                <w:kern w:val="2"/>
                <w:sz w:val="24"/>
                <w:szCs w:val="24"/>
                <w:lang w:val="en-US" w:eastAsia="zh-CN" w:bidi="ar-SA"/>
              </w:rPr>
              <w:t>清洗工艺</w:t>
            </w:r>
            <w:r>
              <w:rPr>
                <w:rFonts w:hint="eastAsia" w:ascii="Times New Roman" w:hAnsi="Times New Roman" w:eastAsia="宋体" w:cs="Times New Roman"/>
                <w:color w:val="auto"/>
                <w:kern w:val="2"/>
                <w:sz w:val="24"/>
                <w:szCs w:val="24"/>
                <w:lang w:val="en-US" w:eastAsia="zh-CN" w:bidi="ar-SA"/>
              </w:rPr>
              <w:t>。</w:t>
            </w:r>
            <w:r>
              <w:rPr>
                <w:rFonts w:hint="eastAsia" w:eastAsia="宋体" w:cs="Times New Roman"/>
                <w:color w:val="auto"/>
                <w:kern w:val="2"/>
                <w:sz w:val="24"/>
                <w:szCs w:val="24"/>
                <w:lang w:val="en-US" w:eastAsia="zh-CN" w:bidi="ar-SA"/>
              </w:rPr>
              <w:t>工件</w:t>
            </w:r>
            <w:r>
              <w:rPr>
                <w:rFonts w:hint="eastAsia" w:ascii="Times New Roman" w:hAnsi="Times New Roman" w:eastAsia="宋体" w:cs="Times New Roman"/>
                <w:color w:val="auto"/>
                <w:kern w:val="2"/>
                <w:sz w:val="24"/>
                <w:szCs w:val="24"/>
                <w:lang w:val="en-US" w:eastAsia="zh-CN" w:bidi="ar-SA"/>
              </w:rPr>
              <w:t>出</w:t>
            </w:r>
            <w:r>
              <w:rPr>
                <w:rFonts w:hint="eastAsia" w:eastAsia="宋体" w:cs="Times New Roman"/>
                <w:color w:val="auto"/>
                <w:kern w:val="2"/>
                <w:sz w:val="24"/>
                <w:szCs w:val="24"/>
                <w:lang w:val="en-US" w:eastAsia="zh-CN" w:bidi="ar-SA"/>
              </w:rPr>
              <w:t>清洗</w:t>
            </w:r>
            <w:r>
              <w:rPr>
                <w:rFonts w:hint="eastAsia" w:ascii="Times New Roman" w:hAnsi="Times New Roman" w:eastAsia="宋体" w:cs="Times New Roman"/>
                <w:color w:val="auto"/>
                <w:kern w:val="2"/>
                <w:sz w:val="24"/>
                <w:szCs w:val="24"/>
                <w:lang w:val="en-US" w:eastAsia="zh-CN" w:bidi="ar-SA"/>
              </w:rPr>
              <w:t>槽</w:t>
            </w:r>
            <w:r>
              <w:rPr>
                <w:rFonts w:hint="eastAsia" w:eastAsia="宋体" w:cs="Times New Roman"/>
                <w:color w:val="auto"/>
                <w:kern w:val="2"/>
                <w:sz w:val="24"/>
                <w:szCs w:val="24"/>
                <w:lang w:val="en-US" w:eastAsia="zh-CN" w:bidi="ar-SA"/>
              </w:rPr>
              <w:t>后</w:t>
            </w:r>
            <w:r>
              <w:rPr>
                <w:rFonts w:hint="eastAsia" w:ascii="Times New Roman" w:hAnsi="Times New Roman" w:eastAsia="宋体" w:cs="Times New Roman"/>
                <w:color w:val="auto"/>
                <w:kern w:val="2"/>
                <w:sz w:val="24"/>
                <w:szCs w:val="24"/>
                <w:lang w:val="en-US" w:eastAsia="zh-CN" w:bidi="ar-SA"/>
              </w:rPr>
              <w:t>依次</w:t>
            </w:r>
            <w:r>
              <w:rPr>
                <w:rFonts w:hint="eastAsia" w:eastAsia="宋体" w:cs="Times New Roman"/>
                <w:color w:val="auto"/>
                <w:kern w:val="2"/>
                <w:sz w:val="24"/>
                <w:szCs w:val="24"/>
                <w:lang w:val="en-US" w:eastAsia="zh-CN" w:bidi="ar-SA"/>
              </w:rPr>
              <w:t>进入1#</w:t>
            </w:r>
            <w:r>
              <w:rPr>
                <w:rFonts w:hint="eastAsia" w:ascii="Times New Roman" w:hAnsi="Times New Roman" w:eastAsia="宋体" w:cs="Times New Roman"/>
                <w:color w:val="auto"/>
                <w:kern w:val="2"/>
                <w:sz w:val="24"/>
                <w:szCs w:val="24"/>
                <w:lang w:val="en-US" w:eastAsia="zh-CN" w:bidi="ar-SA"/>
              </w:rPr>
              <w:t>漂洗槽</w:t>
            </w:r>
            <w:r>
              <w:rPr>
                <w:rFonts w:hint="eastAsia" w:eastAsia="宋体" w:cs="Times New Roman"/>
                <w:color w:val="auto"/>
                <w:kern w:val="2"/>
                <w:sz w:val="24"/>
                <w:szCs w:val="24"/>
                <w:lang w:val="en-US" w:eastAsia="zh-CN" w:bidi="ar-SA"/>
              </w:rPr>
              <w:t>-4#</w:t>
            </w:r>
            <w:r>
              <w:rPr>
                <w:rFonts w:hint="eastAsia" w:ascii="Times New Roman" w:hAnsi="Times New Roman" w:eastAsia="宋体" w:cs="Times New Roman"/>
                <w:color w:val="auto"/>
                <w:kern w:val="2"/>
                <w:sz w:val="24"/>
                <w:szCs w:val="24"/>
                <w:lang w:val="en-US" w:eastAsia="zh-CN" w:bidi="ar-SA"/>
              </w:rPr>
              <w:t>漂洗槽进行浸洗，新鲜水</w:t>
            </w:r>
            <w:r>
              <w:rPr>
                <w:rFonts w:hint="eastAsia" w:eastAsia="宋体" w:cs="Times New Roman"/>
                <w:color w:val="auto"/>
                <w:kern w:val="2"/>
                <w:sz w:val="24"/>
                <w:szCs w:val="24"/>
                <w:lang w:val="en-US" w:eastAsia="zh-CN" w:bidi="ar-SA"/>
              </w:rPr>
              <w:t>或回用水</w:t>
            </w:r>
            <w:r>
              <w:rPr>
                <w:rFonts w:hint="eastAsia" w:ascii="Times New Roman" w:hAnsi="Times New Roman" w:eastAsia="宋体" w:cs="Times New Roman"/>
                <w:color w:val="auto"/>
                <w:kern w:val="2"/>
                <w:sz w:val="24"/>
                <w:szCs w:val="24"/>
                <w:lang w:val="en-US" w:eastAsia="zh-CN" w:bidi="ar-SA"/>
              </w:rPr>
              <w:t>从最</w:t>
            </w:r>
            <w:r>
              <w:rPr>
                <w:rFonts w:hint="eastAsia" w:eastAsia="宋体" w:cs="Times New Roman"/>
                <w:color w:val="auto"/>
                <w:kern w:val="2"/>
                <w:sz w:val="24"/>
                <w:szCs w:val="24"/>
                <w:lang w:val="en-US" w:eastAsia="zh-CN" w:bidi="ar-SA"/>
              </w:rPr>
              <w:t>末端</w:t>
            </w:r>
            <w:r>
              <w:rPr>
                <w:rFonts w:hint="eastAsia" w:ascii="Times New Roman" w:hAnsi="Times New Roman" w:eastAsia="宋体" w:cs="Times New Roman"/>
                <w:color w:val="auto"/>
                <w:kern w:val="2"/>
                <w:sz w:val="24"/>
                <w:szCs w:val="24"/>
                <w:lang w:val="en-US" w:eastAsia="zh-CN" w:bidi="ar-SA"/>
              </w:rPr>
              <w:t>的</w:t>
            </w:r>
            <w:r>
              <w:rPr>
                <w:rFonts w:hint="eastAsia" w:eastAsia="宋体" w:cs="Times New Roman"/>
                <w:color w:val="auto"/>
                <w:kern w:val="2"/>
                <w:sz w:val="24"/>
                <w:szCs w:val="24"/>
                <w:lang w:val="en-US" w:eastAsia="zh-CN" w:bidi="ar-SA"/>
              </w:rPr>
              <w:t>4#</w:t>
            </w:r>
            <w:r>
              <w:rPr>
                <w:rFonts w:hint="eastAsia" w:ascii="Times New Roman" w:hAnsi="Times New Roman" w:eastAsia="宋体" w:cs="Times New Roman"/>
                <w:color w:val="auto"/>
                <w:kern w:val="2"/>
                <w:sz w:val="24"/>
                <w:szCs w:val="24"/>
                <w:lang w:val="en-US" w:eastAsia="zh-CN" w:bidi="ar-SA"/>
              </w:rPr>
              <w:t>漂洗槽加入，为保持各槽的水量平衡，必须逆着工件运动的方向由后向前，逐级通过溢流或泵提升逆流补给的方式向前流动，最终从</w:t>
            </w:r>
            <w:r>
              <w:rPr>
                <w:rFonts w:hint="eastAsia" w:eastAsia="宋体" w:cs="Times New Roman"/>
                <w:color w:val="auto"/>
                <w:kern w:val="2"/>
                <w:sz w:val="24"/>
                <w:szCs w:val="24"/>
                <w:lang w:val="en-US" w:eastAsia="zh-CN" w:bidi="ar-SA"/>
              </w:rPr>
              <w:t>1#</w:t>
            </w:r>
            <w:r>
              <w:rPr>
                <w:rFonts w:hint="eastAsia" w:ascii="Times New Roman" w:hAnsi="Times New Roman" w:eastAsia="宋体" w:cs="Times New Roman"/>
                <w:color w:val="auto"/>
                <w:kern w:val="2"/>
                <w:sz w:val="24"/>
                <w:szCs w:val="24"/>
                <w:lang w:val="en-US" w:eastAsia="zh-CN" w:bidi="ar-SA"/>
              </w:rPr>
              <w:t>漂洗槽流出</w:t>
            </w:r>
            <w:r>
              <w:rPr>
                <w:rFonts w:hint="eastAsia" w:eastAsia="宋体" w:cs="Times New Roman"/>
                <w:color w:val="auto"/>
                <w:kern w:val="2"/>
                <w:sz w:val="24"/>
                <w:szCs w:val="24"/>
                <w:lang w:val="en-US" w:eastAsia="zh-CN" w:bidi="ar-SA"/>
              </w:rPr>
              <w:t>。每台</w:t>
            </w:r>
            <w:r>
              <w:rPr>
                <w:rFonts w:hint="eastAsia" w:ascii="Times New Roman" w:hAnsi="Times New Roman" w:eastAsia="宋体" w:cs="Times New Roman"/>
                <w:color w:val="auto"/>
                <w:kern w:val="2"/>
                <w:sz w:val="24"/>
                <w:szCs w:val="24"/>
                <w:lang w:val="en-US" w:eastAsia="zh-CN" w:bidi="ar-SA"/>
              </w:rPr>
              <w:t>清洗机的</w:t>
            </w:r>
            <w:r>
              <w:rPr>
                <w:rFonts w:hint="eastAsia" w:eastAsia="宋体" w:cs="Times New Roman"/>
                <w:color w:val="auto"/>
                <w:kern w:val="2"/>
                <w:sz w:val="24"/>
                <w:szCs w:val="24"/>
                <w:lang w:val="en-US" w:eastAsia="zh-CN" w:bidi="ar-SA"/>
              </w:rPr>
              <w:t>1#</w:t>
            </w:r>
            <w:r>
              <w:rPr>
                <w:rFonts w:hint="eastAsia" w:ascii="Times New Roman" w:hAnsi="Times New Roman" w:eastAsia="宋体" w:cs="Times New Roman"/>
                <w:color w:val="auto"/>
                <w:kern w:val="2"/>
                <w:sz w:val="24"/>
                <w:szCs w:val="24"/>
                <w:lang w:val="en-US" w:eastAsia="zh-CN" w:bidi="ar-SA"/>
              </w:rPr>
              <w:t>漂洗槽产生的漂洗废水（W1）经厂区污水站处理后回用</w:t>
            </w:r>
            <w:r>
              <w:rPr>
                <w:rFonts w:hint="default" w:ascii="Times New Roman" w:hAnsi="Times New Roman" w:eastAsia="宋体" w:cs="Times New Roman"/>
                <w:color w:val="auto"/>
                <w:kern w:val="2"/>
                <w:sz w:val="24"/>
                <w:szCs w:val="24"/>
                <w:lang w:val="en-US" w:eastAsia="zh-CN" w:bidi="ar-SA"/>
              </w:rPr>
              <w:t>。</w:t>
            </w:r>
          </w:p>
          <w:p w14:paraId="48905D0F">
            <w:pPr>
              <w:pStyle w:val="45"/>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烘干：</w:t>
            </w:r>
            <w:r>
              <w:rPr>
                <w:rFonts w:hint="eastAsia" w:eastAsia="宋体" w:cs="Times New Roman"/>
                <w:color w:val="auto"/>
                <w:kern w:val="2"/>
                <w:sz w:val="24"/>
                <w:szCs w:val="24"/>
                <w:lang w:val="en-US" w:eastAsia="zh-CN" w:bidi="ar-SA"/>
              </w:rPr>
              <w:t>漂洗后</w:t>
            </w:r>
            <w:r>
              <w:rPr>
                <w:rFonts w:hint="eastAsia" w:ascii="Times New Roman" w:hAnsi="Times New Roman" w:eastAsia="宋体" w:cs="Times New Roman"/>
                <w:color w:val="auto"/>
                <w:kern w:val="2"/>
                <w:sz w:val="24"/>
                <w:szCs w:val="24"/>
                <w:lang w:val="en-US" w:eastAsia="zh-CN" w:bidi="ar-SA"/>
              </w:rPr>
              <w:t>的工件进入烘箱，电加热至70-80</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，烘干工件表面残留的水分。</w:t>
            </w:r>
          </w:p>
          <w:p w14:paraId="7F096D21">
            <w:pPr>
              <w:pStyle w:val="45"/>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检验：烘干后的工件利用千分尺、环刃检测仪等检验设备进行尺寸检测。检测过程有少量次品</w:t>
            </w:r>
            <w:r>
              <w:rPr>
                <w:rFonts w:hint="default" w:ascii="Times New Roman" w:hAnsi="Times New Roman" w:eastAsia="宋体" w:cs="Times New Roman"/>
                <w:color w:val="auto"/>
                <w:kern w:val="2"/>
                <w:sz w:val="24"/>
                <w:szCs w:val="24"/>
                <w:lang w:val="en-US" w:eastAsia="zh-CN" w:bidi="ar-SA"/>
              </w:rPr>
              <w:t>（S</w:t>
            </w:r>
            <w:r>
              <w:rPr>
                <w:rFonts w:hint="eastAsia" w:eastAsia="宋体" w:cs="Times New Roman"/>
                <w:color w:val="auto"/>
                <w:kern w:val="2"/>
                <w:sz w:val="24"/>
                <w:szCs w:val="24"/>
                <w:lang w:val="en-US" w:eastAsia="zh-CN" w:bidi="ar-SA"/>
              </w:rPr>
              <w:t>8</w:t>
            </w:r>
            <w:r>
              <w:rPr>
                <w:rFonts w:hint="default" w:ascii="Times New Roman" w:hAnsi="Times New Roman" w:eastAsia="宋体"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lang w:val="en-US" w:eastAsia="zh-CN" w:bidi="ar-SA"/>
              </w:rPr>
              <w:t>产生。</w:t>
            </w:r>
          </w:p>
          <w:p w14:paraId="21ABE751">
            <w:pPr>
              <w:keepNext w:val="0"/>
              <w:keepLines w:val="0"/>
              <w:pageBreakBefore w:val="0"/>
              <w:kinsoku/>
              <w:wordWrap/>
              <w:overflowPunct/>
              <w:topLinePunct w:val="0"/>
              <w:autoSpaceDE/>
              <w:autoSpaceDN/>
              <w:bidi w:val="0"/>
              <w:adjustRightInd w:val="0"/>
              <w:snapToGrid w:val="0"/>
              <w:spacing w:line="360" w:lineRule="auto"/>
              <w:ind w:firstLine="482" w:firstLineChars="200"/>
              <w:textAlignment w:val="auto"/>
              <w:rPr>
                <w:b/>
                <w:bCs/>
                <w:color w:val="auto"/>
                <w:sz w:val="24"/>
                <w:szCs w:val="24"/>
              </w:rPr>
            </w:pPr>
            <w:r>
              <w:rPr>
                <w:b/>
                <w:bCs/>
                <w:color w:val="auto"/>
                <w:sz w:val="24"/>
                <w:szCs w:val="24"/>
              </w:rPr>
              <w:t>其他产污工序：</w:t>
            </w:r>
          </w:p>
          <w:p w14:paraId="71F7EA92">
            <w:pPr>
              <w:keepNext w:val="0"/>
              <w:keepLines w:val="0"/>
              <w:pageBreakBefore w:val="0"/>
              <w:widowControl/>
              <w:suppressLineNumbers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（1）项目</w:t>
            </w:r>
            <w:r>
              <w:rPr>
                <w:rFonts w:hint="eastAsia" w:cs="Times New Roman"/>
                <w:color w:val="auto"/>
                <w:kern w:val="2"/>
                <w:sz w:val="24"/>
                <w:szCs w:val="24"/>
                <w:lang w:val="en-US" w:eastAsia="zh-CN" w:bidi="ar-SA"/>
              </w:rPr>
              <w:t>切削液</w:t>
            </w:r>
            <w:r>
              <w:rPr>
                <w:rFonts w:hint="eastAsia" w:ascii="Times New Roman" w:hAnsi="Times New Roman" w:eastAsia="宋体" w:cs="Times New Roman"/>
                <w:color w:val="auto"/>
                <w:kern w:val="2"/>
                <w:sz w:val="24"/>
                <w:szCs w:val="24"/>
                <w:lang w:val="en-US" w:eastAsia="zh-CN" w:bidi="ar-SA"/>
              </w:rPr>
              <w:t>使用完后有</w:t>
            </w:r>
            <w:r>
              <w:rPr>
                <w:rFonts w:hint="eastAsia" w:cs="Times New Roman"/>
                <w:color w:val="auto"/>
                <w:kern w:val="2"/>
                <w:sz w:val="24"/>
                <w:szCs w:val="24"/>
                <w:lang w:val="en-US" w:eastAsia="zh-CN" w:bidi="ar-SA"/>
              </w:rPr>
              <w:t>废切削液桶</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S</w:t>
            </w:r>
            <w:r>
              <w:rPr>
                <w:rFonts w:hint="eastAsia" w:cs="Times New Roman"/>
                <w:color w:val="auto"/>
                <w:kern w:val="2"/>
                <w:sz w:val="24"/>
                <w:szCs w:val="24"/>
                <w:lang w:val="en-US" w:eastAsia="zh-CN" w:bidi="ar-SA"/>
              </w:rPr>
              <w:t>9</w:t>
            </w:r>
            <w:r>
              <w:rPr>
                <w:rFonts w:hint="eastAsia" w:ascii="Times New Roman" w:hAnsi="Times New Roman" w:eastAsia="宋体" w:cs="Times New Roman"/>
                <w:color w:val="auto"/>
                <w:kern w:val="2"/>
                <w:sz w:val="24"/>
                <w:szCs w:val="24"/>
                <w:lang w:val="en-US" w:eastAsia="zh-CN" w:bidi="ar-SA"/>
              </w:rPr>
              <w:t>）产生。</w:t>
            </w:r>
          </w:p>
          <w:p w14:paraId="1494274E">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（2）项目</w:t>
            </w:r>
            <w:r>
              <w:rPr>
                <w:rFonts w:hint="eastAsia" w:cs="Times New Roman"/>
                <w:color w:val="auto"/>
                <w:kern w:val="2"/>
                <w:sz w:val="24"/>
                <w:szCs w:val="24"/>
                <w:lang w:val="en-US" w:eastAsia="zh-CN" w:bidi="ar-SA"/>
              </w:rPr>
              <w:t>清洗剂</w:t>
            </w:r>
            <w:r>
              <w:rPr>
                <w:rFonts w:hint="eastAsia" w:ascii="Times New Roman" w:hAnsi="Times New Roman" w:eastAsia="宋体" w:cs="Times New Roman"/>
                <w:color w:val="auto"/>
                <w:kern w:val="2"/>
                <w:sz w:val="24"/>
                <w:szCs w:val="24"/>
                <w:lang w:val="en-US" w:eastAsia="zh-CN" w:bidi="ar-SA"/>
              </w:rPr>
              <w:t>使用完后有</w:t>
            </w:r>
            <w:r>
              <w:rPr>
                <w:rFonts w:hint="eastAsia" w:cs="Times New Roman"/>
                <w:color w:val="auto"/>
                <w:kern w:val="2"/>
                <w:sz w:val="24"/>
                <w:szCs w:val="24"/>
                <w:lang w:val="en-US" w:eastAsia="zh-CN" w:bidi="ar-SA"/>
              </w:rPr>
              <w:t>废清洗剂桶</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S</w:t>
            </w:r>
            <w:r>
              <w:rPr>
                <w:rFonts w:hint="eastAsia" w:cs="Times New Roman"/>
                <w:color w:val="auto"/>
                <w:kern w:val="2"/>
                <w:sz w:val="24"/>
                <w:szCs w:val="24"/>
                <w:lang w:val="en-US" w:eastAsia="zh-CN" w:bidi="ar-SA"/>
              </w:rPr>
              <w:t>10</w:t>
            </w:r>
            <w:r>
              <w:rPr>
                <w:rFonts w:hint="eastAsia" w:ascii="Times New Roman" w:hAnsi="Times New Roman" w:eastAsia="宋体" w:cs="Times New Roman"/>
                <w:color w:val="auto"/>
                <w:kern w:val="2"/>
                <w:sz w:val="24"/>
                <w:szCs w:val="24"/>
                <w:lang w:val="en-US" w:eastAsia="zh-CN" w:bidi="ar-SA"/>
              </w:rPr>
              <w:t>）产生。</w:t>
            </w:r>
          </w:p>
          <w:p w14:paraId="3C6C7E44">
            <w:pPr>
              <w:pStyle w:val="5"/>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（3）</w:t>
            </w:r>
            <w:r>
              <w:rPr>
                <w:rFonts w:hint="eastAsia" w:cs="Times New Roman"/>
                <w:color w:val="auto"/>
                <w:kern w:val="2"/>
                <w:sz w:val="24"/>
                <w:szCs w:val="24"/>
                <w:lang w:val="en-US" w:eastAsia="zh-CN" w:bidi="ar-SA"/>
              </w:rPr>
              <w:t>项目</w:t>
            </w:r>
            <w:r>
              <w:rPr>
                <w:rFonts w:hint="default" w:ascii="Times New Roman" w:hAnsi="Times New Roman" w:eastAsia="宋体" w:cs="Times New Roman"/>
                <w:color w:val="auto"/>
                <w:kern w:val="2"/>
                <w:sz w:val="24"/>
                <w:szCs w:val="24"/>
                <w:lang w:val="en-US" w:eastAsia="zh-CN" w:bidi="ar-SA"/>
              </w:rPr>
              <w:t>生产设备维护拆装过程中产生一定量的</w:t>
            </w:r>
            <w:r>
              <w:rPr>
                <w:rFonts w:hint="eastAsia" w:cs="Times New Roman"/>
                <w:color w:val="auto"/>
                <w:kern w:val="2"/>
                <w:sz w:val="24"/>
                <w:szCs w:val="24"/>
                <w:lang w:val="en-US" w:eastAsia="zh-CN" w:bidi="ar-SA"/>
              </w:rPr>
              <w:t>废机油桶</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S</w:t>
            </w:r>
            <w:r>
              <w:rPr>
                <w:rFonts w:hint="eastAsia" w:cs="Times New Roman"/>
                <w:color w:val="auto"/>
                <w:kern w:val="2"/>
                <w:sz w:val="24"/>
                <w:szCs w:val="24"/>
                <w:lang w:val="en-US" w:eastAsia="zh-CN" w:bidi="ar-SA"/>
              </w:rPr>
              <w:t>11</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废机油</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S</w:t>
            </w:r>
            <w:r>
              <w:rPr>
                <w:rFonts w:hint="eastAsia" w:cs="Times New Roman"/>
                <w:color w:val="auto"/>
                <w:kern w:val="2"/>
                <w:sz w:val="24"/>
                <w:szCs w:val="24"/>
                <w:lang w:val="en-US" w:eastAsia="zh-CN" w:bidi="ar-SA"/>
              </w:rPr>
              <w:t>12</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和</w:t>
            </w:r>
            <w:r>
              <w:rPr>
                <w:rFonts w:hint="eastAsia" w:cs="Times New Roman"/>
                <w:color w:val="auto"/>
                <w:sz w:val="24"/>
                <w:szCs w:val="24"/>
                <w:highlight w:val="none"/>
                <w:lang w:val="en-US" w:eastAsia="zh-CN"/>
              </w:rPr>
              <w:t>含油废抹布手套</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S</w:t>
            </w:r>
            <w:r>
              <w:rPr>
                <w:rFonts w:hint="eastAsia" w:cs="Times New Roman"/>
                <w:color w:val="auto"/>
                <w:kern w:val="2"/>
                <w:sz w:val="24"/>
                <w:szCs w:val="24"/>
                <w:lang w:val="en-US" w:eastAsia="zh-CN" w:bidi="ar-SA"/>
              </w:rPr>
              <w:t>13</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w:t>
            </w:r>
          </w:p>
          <w:p w14:paraId="33DA0E12">
            <w:pPr>
              <w:pStyle w:val="5"/>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（4）</w:t>
            </w:r>
            <w:r>
              <w:rPr>
                <w:rFonts w:hint="eastAsia" w:cs="Times New Roman"/>
                <w:color w:val="auto"/>
                <w:kern w:val="2"/>
                <w:sz w:val="24"/>
                <w:szCs w:val="24"/>
                <w:lang w:val="en-US" w:eastAsia="zh-CN" w:bidi="ar-SA"/>
              </w:rPr>
              <w:t>项目</w:t>
            </w:r>
            <w:r>
              <w:rPr>
                <w:rFonts w:hint="eastAsia" w:ascii="Times New Roman" w:hAnsi="Times New Roman" w:eastAsia="宋体" w:cs="Times New Roman"/>
                <w:color w:val="auto"/>
                <w:kern w:val="2"/>
                <w:sz w:val="24"/>
                <w:szCs w:val="24"/>
                <w:lang w:val="en-US" w:eastAsia="zh-CN" w:bidi="ar-SA"/>
              </w:rPr>
              <w:t>污水站运行过程产生少量污泥（</w:t>
            </w:r>
            <w:r>
              <w:rPr>
                <w:rFonts w:hint="default" w:ascii="Times New Roman" w:hAnsi="Times New Roman" w:eastAsia="宋体" w:cs="Times New Roman"/>
                <w:color w:val="auto"/>
                <w:kern w:val="2"/>
                <w:sz w:val="24"/>
                <w:szCs w:val="24"/>
                <w:lang w:val="en-US" w:eastAsia="zh-CN" w:bidi="ar-SA"/>
              </w:rPr>
              <w:t>S</w:t>
            </w:r>
            <w:r>
              <w:rPr>
                <w:rFonts w:hint="eastAsia" w:cs="Times New Roman"/>
                <w:color w:val="auto"/>
                <w:kern w:val="2"/>
                <w:sz w:val="24"/>
                <w:szCs w:val="24"/>
                <w:lang w:val="en-US" w:eastAsia="zh-CN" w:bidi="ar-SA"/>
              </w:rPr>
              <w:t>14</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sz w:val="24"/>
                <w:szCs w:val="24"/>
                <w:lang w:val="en-US" w:eastAsia="zh-CN"/>
              </w:rPr>
              <w:t>废过滤介质</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S</w:t>
            </w:r>
            <w:r>
              <w:rPr>
                <w:rFonts w:hint="eastAsia" w:cs="Times New Roman"/>
                <w:color w:val="auto"/>
                <w:kern w:val="2"/>
                <w:sz w:val="24"/>
                <w:szCs w:val="24"/>
                <w:lang w:val="en-US" w:eastAsia="zh-CN" w:bidi="ar-SA"/>
              </w:rPr>
              <w:t>15</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2"/>
                <w:sz w:val="24"/>
                <w:szCs w:val="24"/>
                <w:highlight w:val="none"/>
                <w:lang w:val="en-US" w:eastAsia="zh-CN" w:bidi="ar-SA"/>
              </w:rPr>
              <w:t>废MBR膜</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S</w:t>
            </w:r>
            <w:r>
              <w:rPr>
                <w:rFonts w:hint="eastAsia" w:cs="Times New Roman"/>
                <w:color w:val="auto"/>
                <w:kern w:val="2"/>
                <w:sz w:val="24"/>
                <w:szCs w:val="24"/>
                <w:lang w:val="en-US" w:eastAsia="zh-CN" w:bidi="ar-SA"/>
              </w:rPr>
              <w:t>16</w:t>
            </w:r>
            <w:r>
              <w:rPr>
                <w:rFonts w:hint="eastAsia"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和少量</w:t>
            </w:r>
            <w:r>
              <w:rPr>
                <w:rFonts w:hint="eastAsia" w:ascii="Times New Roman" w:hAnsi="Times New Roman" w:eastAsia="宋体" w:cs="Times New Roman"/>
                <w:color w:val="auto"/>
                <w:kern w:val="2"/>
                <w:sz w:val="24"/>
                <w:szCs w:val="24"/>
                <w:highlight w:val="none"/>
                <w:lang w:val="en-US" w:eastAsia="zh-CN" w:bidi="ar-SA"/>
              </w:rPr>
              <w:t>MBR膜</w:t>
            </w:r>
            <w:r>
              <w:rPr>
                <w:rFonts w:hint="eastAsia" w:cs="Times New Roman"/>
                <w:color w:val="auto"/>
                <w:kern w:val="2"/>
                <w:sz w:val="24"/>
                <w:szCs w:val="24"/>
                <w:lang w:val="en-US" w:eastAsia="zh-CN" w:bidi="ar-SA"/>
              </w:rPr>
              <w:t>反冲洗废水</w:t>
            </w:r>
            <w:r>
              <w:rPr>
                <w:rFonts w:hint="default" w:ascii="Times New Roman" w:hAnsi="Times New Roman" w:eastAsia="宋体" w:cs="Times New Roman"/>
                <w:color w:val="auto"/>
                <w:kern w:val="2"/>
                <w:sz w:val="24"/>
                <w:szCs w:val="24"/>
                <w:lang w:val="en-US" w:eastAsia="zh-CN" w:bidi="ar-SA"/>
              </w:rPr>
              <w:t>。</w:t>
            </w:r>
          </w:p>
          <w:p w14:paraId="1D749EA2">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4"/>
                <w:szCs w:val="24"/>
                <w:lang w:val="en-US" w:eastAsia="zh-CN"/>
              </w:rPr>
              <w:t>2.2.2本项目污染物产生情况汇总见下表</w:t>
            </w:r>
            <w:r>
              <w:rPr>
                <w:rFonts w:hint="default" w:ascii="Times New Roman" w:hAnsi="Times New Roman" w:eastAsia="宋体" w:cs="Times New Roman"/>
                <w:color w:val="auto"/>
                <w:sz w:val="24"/>
                <w:szCs w:val="24"/>
                <w:lang w:val="en-US" w:eastAsia="zh-CN"/>
              </w:rPr>
              <w:t>。</w:t>
            </w:r>
          </w:p>
          <w:p w14:paraId="26815BE8">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表2-</w:t>
            </w:r>
            <w:r>
              <w:rPr>
                <w:rFonts w:hint="eastAsia" w:cs="Times New Roman"/>
                <w:b/>
                <w:bCs/>
                <w:color w:val="auto"/>
                <w:sz w:val="21"/>
                <w:szCs w:val="21"/>
                <w:lang w:val="en-US" w:eastAsia="zh-CN"/>
              </w:rPr>
              <w:t xml:space="preserve">7 </w:t>
            </w:r>
            <w:r>
              <w:rPr>
                <w:rFonts w:hint="default" w:ascii="Times New Roman" w:hAnsi="Times New Roman" w:eastAsia="宋体" w:cs="Times New Roman"/>
                <w:b/>
                <w:bCs/>
                <w:color w:val="auto"/>
                <w:sz w:val="21"/>
                <w:szCs w:val="21"/>
              </w:rPr>
              <w:t>本项目主要产</w:t>
            </w:r>
            <w:r>
              <w:rPr>
                <w:rFonts w:hint="default" w:ascii="Times New Roman" w:hAnsi="Times New Roman" w:eastAsia="宋体" w:cs="Times New Roman"/>
                <w:b/>
                <w:bCs/>
                <w:color w:val="auto"/>
                <w:sz w:val="21"/>
                <w:szCs w:val="21"/>
                <w:shd w:val="clear" w:fill="auto"/>
              </w:rPr>
              <w:t>污</w:t>
            </w:r>
            <w:r>
              <w:rPr>
                <w:rFonts w:hint="default" w:ascii="Times New Roman" w:hAnsi="Times New Roman" w:eastAsia="宋体" w:cs="Times New Roman"/>
                <w:b/>
                <w:bCs/>
                <w:color w:val="auto"/>
                <w:sz w:val="21"/>
                <w:szCs w:val="21"/>
              </w:rPr>
              <w:t>环节及污染因子一览表</w:t>
            </w:r>
          </w:p>
          <w:tbl>
            <w:tblPr>
              <w:tblStyle w:val="17"/>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1102"/>
              <w:gridCol w:w="1072"/>
              <w:gridCol w:w="1950"/>
              <w:gridCol w:w="1595"/>
              <w:gridCol w:w="2898"/>
            </w:tblGrid>
            <w:tr w14:paraId="3E49F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9" w:type="pct"/>
                  <w:noWrap w:val="0"/>
                  <w:vAlign w:val="center"/>
                </w:tcPr>
                <w:p w14:paraId="09549F07">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污染类型</w:t>
                  </w:r>
                </w:p>
              </w:tc>
              <w:tc>
                <w:tcPr>
                  <w:tcW w:w="621" w:type="pct"/>
                  <w:noWrap w:val="0"/>
                  <w:vAlign w:val="center"/>
                </w:tcPr>
                <w:p w14:paraId="21C55832">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产</w:t>
                  </w:r>
                  <w:r>
                    <w:rPr>
                      <w:rFonts w:hint="default" w:ascii="Times New Roman" w:hAnsi="Times New Roman" w:eastAsia="宋体" w:cs="Times New Roman"/>
                      <w:b/>
                      <w:bCs/>
                      <w:color w:val="auto"/>
                      <w:sz w:val="21"/>
                      <w:szCs w:val="21"/>
                      <w:shd w:val="clear" w:fill="auto"/>
                    </w:rPr>
                    <w:t>污</w:t>
                  </w:r>
                  <w:r>
                    <w:rPr>
                      <w:rFonts w:hint="default" w:ascii="Times New Roman" w:hAnsi="Times New Roman" w:eastAsia="宋体" w:cs="Times New Roman"/>
                      <w:b/>
                      <w:bCs/>
                      <w:color w:val="auto"/>
                      <w:sz w:val="21"/>
                      <w:szCs w:val="21"/>
                    </w:rPr>
                    <w:t>编号</w:t>
                  </w:r>
                </w:p>
              </w:tc>
              <w:tc>
                <w:tcPr>
                  <w:tcW w:w="1131" w:type="pct"/>
                  <w:noWrap w:val="0"/>
                  <w:vAlign w:val="center"/>
                </w:tcPr>
                <w:p w14:paraId="70B2A637">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名称</w:t>
                  </w:r>
                </w:p>
              </w:tc>
              <w:tc>
                <w:tcPr>
                  <w:tcW w:w="925" w:type="pct"/>
                  <w:noWrap w:val="0"/>
                  <w:vAlign w:val="center"/>
                </w:tcPr>
                <w:p w14:paraId="7489EBD3">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产污环节</w:t>
                  </w:r>
                </w:p>
              </w:tc>
              <w:tc>
                <w:tcPr>
                  <w:tcW w:w="1681" w:type="pct"/>
                  <w:noWrap w:val="0"/>
                  <w:vAlign w:val="center"/>
                </w:tcPr>
                <w:p w14:paraId="59E5572E">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主要污染物/因子</w:t>
                  </w:r>
                </w:p>
              </w:tc>
            </w:tr>
            <w:tr w14:paraId="13063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9" w:type="pct"/>
                  <w:noWrap w:val="0"/>
                  <w:vAlign w:val="center"/>
                </w:tcPr>
                <w:p w14:paraId="311965CF">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废气</w:t>
                  </w:r>
                </w:p>
              </w:tc>
              <w:tc>
                <w:tcPr>
                  <w:tcW w:w="621" w:type="pct"/>
                  <w:noWrap w:val="0"/>
                  <w:vAlign w:val="center"/>
                </w:tcPr>
                <w:p w14:paraId="0A3AFEA3">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31" w:type="pct"/>
                  <w:noWrap w:val="0"/>
                  <w:vAlign w:val="center"/>
                </w:tcPr>
                <w:p w14:paraId="2ABEB726">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25" w:type="pct"/>
                  <w:noWrap w:val="0"/>
                  <w:vAlign w:val="center"/>
                </w:tcPr>
                <w:p w14:paraId="7B0B105F">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681" w:type="pct"/>
                  <w:noWrap w:val="0"/>
                  <w:vAlign w:val="center"/>
                </w:tcPr>
                <w:p w14:paraId="0C1FB21F">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r w14:paraId="5D591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9" w:type="pct"/>
                  <w:vMerge w:val="restart"/>
                  <w:noWrap w:val="0"/>
                  <w:vAlign w:val="center"/>
                </w:tcPr>
                <w:p w14:paraId="6B848B0D">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废水</w:t>
                  </w:r>
                </w:p>
              </w:tc>
              <w:tc>
                <w:tcPr>
                  <w:tcW w:w="621" w:type="pct"/>
                  <w:noWrap w:val="0"/>
                  <w:vAlign w:val="center"/>
                </w:tcPr>
                <w:p w14:paraId="42240B08">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31" w:type="pct"/>
                  <w:noWrap w:val="0"/>
                  <w:vAlign w:val="center"/>
                </w:tcPr>
                <w:p w14:paraId="66D89DC8">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漂洗废水</w:t>
                  </w:r>
                </w:p>
              </w:tc>
              <w:tc>
                <w:tcPr>
                  <w:tcW w:w="925" w:type="pct"/>
                  <w:noWrap w:val="0"/>
                  <w:vAlign w:val="center"/>
                </w:tcPr>
                <w:p w14:paraId="1040832C">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漂洗</w:t>
                  </w:r>
                </w:p>
              </w:tc>
              <w:tc>
                <w:tcPr>
                  <w:tcW w:w="1681" w:type="pct"/>
                  <w:noWrap w:val="0"/>
                  <w:vAlign w:val="center"/>
                </w:tcPr>
                <w:p w14:paraId="1EEDCA06">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COD、SS、</w:t>
                  </w:r>
                  <w:r>
                    <w:rPr>
                      <w:rFonts w:hint="eastAsia" w:ascii="Times New Roman" w:hAnsi="Times New Roman" w:eastAsia="宋体" w:cs="Times New Roman"/>
                      <w:color w:val="auto"/>
                      <w:sz w:val="21"/>
                      <w:szCs w:val="21"/>
                      <w:lang w:val="en-US" w:eastAsia="zh-CN"/>
                    </w:rPr>
                    <w:t>石油类</w:t>
                  </w:r>
                </w:p>
              </w:tc>
            </w:tr>
            <w:tr w14:paraId="390B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9" w:type="pct"/>
                  <w:vMerge w:val="continue"/>
                  <w:noWrap w:val="0"/>
                  <w:vAlign w:val="center"/>
                </w:tcPr>
                <w:p w14:paraId="182A7F29">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p>
              </w:tc>
              <w:tc>
                <w:tcPr>
                  <w:tcW w:w="621" w:type="pct"/>
                  <w:noWrap w:val="0"/>
                  <w:vAlign w:val="center"/>
                </w:tcPr>
                <w:p w14:paraId="4DE5934F">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31" w:type="pct"/>
                  <w:noWrap w:val="0"/>
                  <w:vAlign w:val="center"/>
                </w:tcPr>
                <w:p w14:paraId="0D7CE435">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highlight w:val="none"/>
                      <w:lang w:val="en-US" w:eastAsia="zh-CN" w:bidi="ar-SA"/>
                    </w:rPr>
                    <w:t>MBR膜</w:t>
                  </w:r>
                  <w:r>
                    <w:rPr>
                      <w:rFonts w:hint="eastAsia" w:cs="Times New Roman"/>
                      <w:color w:val="auto"/>
                      <w:kern w:val="2"/>
                      <w:sz w:val="21"/>
                      <w:szCs w:val="21"/>
                      <w:highlight w:val="none"/>
                      <w:lang w:val="en-US" w:eastAsia="zh-CN" w:bidi="ar-SA"/>
                    </w:rPr>
                    <w:t>反冲洗废水</w:t>
                  </w:r>
                </w:p>
              </w:tc>
              <w:tc>
                <w:tcPr>
                  <w:tcW w:w="925" w:type="pct"/>
                  <w:noWrap w:val="0"/>
                  <w:vAlign w:val="center"/>
                </w:tcPr>
                <w:p w14:paraId="353A11CE">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highlight w:val="none"/>
                      <w:lang w:val="en-US" w:eastAsia="zh-CN" w:bidi="ar-SA"/>
                    </w:rPr>
                    <w:t>MBR膜</w:t>
                  </w:r>
                </w:p>
              </w:tc>
              <w:tc>
                <w:tcPr>
                  <w:tcW w:w="1681" w:type="pct"/>
                  <w:noWrap w:val="0"/>
                  <w:vAlign w:val="center"/>
                </w:tcPr>
                <w:p w14:paraId="692E0065">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COD、SS、</w:t>
                  </w:r>
                  <w:r>
                    <w:rPr>
                      <w:rFonts w:hint="eastAsia" w:ascii="Times New Roman" w:hAnsi="Times New Roman" w:eastAsia="宋体" w:cs="Times New Roman"/>
                      <w:color w:val="auto"/>
                      <w:sz w:val="21"/>
                      <w:szCs w:val="21"/>
                      <w:lang w:val="en-US" w:eastAsia="zh-CN"/>
                    </w:rPr>
                    <w:t>石油类</w:t>
                  </w:r>
                </w:p>
              </w:tc>
            </w:tr>
            <w:tr w14:paraId="70360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9" w:type="pct"/>
                  <w:vMerge w:val="continue"/>
                  <w:noWrap w:val="0"/>
                  <w:vAlign w:val="center"/>
                </w:tcPr>
                <w:p w14:paraId="763E2094">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p>
              </w:tc>
              <w:tc>
                <w:tcPr>
                  <w:tcW w:w="621" w:type="pct"/>
                  <w:noWrap w:val="0"/>
                  <w:vAlign w:val="center"/>
                </w:tcPr>
                <w:p w14:paraId="358DEBB7">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31" w:type="pct"/>
                  <w:noWrap w:val="0"/>
                  <w:vAlign w:val="center"/>
                </w:tcPr>
                <w:p w14:paraId="5E64CA77">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生活污水</w:t>
                  </w:r>
                </w:p>
              </w:tc>
              <w:tc>
                <w:tcPr>
                  <w:tcW w:w="925" w:type="pct"/>
                  <w:noWrap w:val="0"/>
                  <w:vAlign w:val="center"/>
                </w:tcPr>
                <w:p w14:paraId="2669AED4">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员工生活</w:t>
                  </w:r>
                </w:p>
              </w:tc>
              <w:tc>
                <w:tcPr>
                  <w:tcW w:w="1681" w:type="pct"/>
                  <w:noWrap w:val="0"/>
                  <w:vAlign w:val="center"/>
                </w:tcPr>
                <w:p w14:paraId="390E5336">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pH、COD、SS、NH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-N、TP、TN</w:t>
                  </w:r>
                </w:p>
              </w:tc>
            </w:tr>
            <w:tr w14:paraId="1C9D2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9" w:type="pct"/>
                  <w:vMerge w:val="restart"/>
                  <w:noWrap w:val="0"/>
                  <w:vAlign w:val="center"/>
                </w:tcPr>
                <w:p w14:paraId="07640D9B">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w:t>
                  </w:r>
                </w:p>
              </w:tc>
              <w:tc>
                <w:tcPr>
                  <w:tcW w:w="621" w:type="pct"/>
                  <w:noWrap w:val="0"/>
                  <w:vAlign w:val="center"/>
                </w:tcPr>
                <w:p w14:paraId="0E2D635E">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S1</w:t>
                  </w:r>
                </w:p>
              </w:tc>
              <w:tc>
                <w:tcPr>
                  <w:tcW w:w="1131" w:type="pct"/>
                  <w:noWrap w:val="0"/>
                  <w:vAlign w:val="center"/>
                </w:tcPr>
                <w:p w14:paraId="7CD8BC92">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边角料</w:t>
                  </w:r>
                </w:p>
              </w:tc>
              <w:tc>
                <w:tcPr>
                  <w:tcW w:w="925" w:type="pct"/>
                  <w:noWrap w:val="0"/>
                  <w:vAlign w:val="center"/>
                </w:tcPr>
                <w:p w14:paraId="678CD836">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下料</w:t>
                  </w:r>
                </w:p>
              </w:tc>
              <w:tc>
                <w:tcPr>
                  <w:tcW w:w="1681" w:type="pct"/>
                  <w:noWrap w:val="0"/>
                  <w:vAlign w:val="center"/>
                </w:tcPr>
                <w:p w14:paraId="65BCD9BA">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铝</w:t>
                  </w:r>
                </w:p>
              </w:tc>
            </w:tr>
            <w:tr w14:paraId="0B429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9" w:type="pct"/>
                  <w:vMerge w:val="continue"/>
                  <w:noWrap w:val="0"/>
                  <w:vAlign w:val="center"/>
                </w:tcPr>
                <w:p w14:paraId="09A1C20B">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rPr>
                  </w:pPr>
                </w:p>
              </w:tc>
              <w:tc>
                <w:tcPr>
                  <w:tcW w:w="621" w:type="pct"/>
                  <w:noWrap w:val="0"/>
                  <w:vAlign w:val="center"/>
                </w:tcPr>
                <w:p w14:paraId="2F861A00">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S2</w:t>
                  </w:r>
                </w:p>
              </w:tc>
              <w:tc>
                <w:tcPr>
                  <w:tcW w:w="1131" w:type="pct"/>
                  <w:noWrap w:val="0"/>
                  <w:vAlign w:val="center"/>
                </w:tcPr>
                <w:p w14:paraId="566EB955">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含切削液铝屑</w:t>
                  </w:r>
                </w:p>
              </w:tc>
              <w:tc>
                <w:tcPr>
                  <w:tcW w:w="925" w:type="pct"/>
                  <w:noWrap w:val="0"/>
                  <w:vAlign w:val="center"/>
                </w:tcPr>
                <w:p w14:paraId="2FA760B7">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下料</w:t>
                  </w:r>
                </w:p>
              </w:tc>
              <w:tc>
                <w:tcPr>
                  <w:tcW w:w="1681" w:type="pct"/>
                  <w:noWrap w:val="0"/>
                  <w:vAlign w:val="center"/>
                </w:tcPr>
                <w:p w14:paraId="670AF25E">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铝、矿物油</w:t>
                  </w:r>
                </w:p>
              </w:tc>
            </w:tr>
            <w:tr w14:paraId="541AA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9" w:type="pct"/>
                  <w:vMerge w:val="continue"/>
                  <w:noWrap w:val="0"/>
                  <w:vAlign w:val="center"/>
                </w:tcPr>
                <w:p w14:paraId="39313319">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rPr>
                  </w:pPr>
                </w:p>
              </w:tc>
              <w:tc>
                <w:tcPr>
                  <w:tcW w:w="1072" w:type="dxa"/>
                  <w:noWrap w:val="0"/>
                  <w:vAlign w:val="center"/>
                </w:tcPr>
                <w:p w14:paraId="5D45AB91">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S3</w:t>
                  </w:r>
                </w:p>
              </w:tc>
              <w:tc>
                <w:tcPr>
                  <w:tcW w:w="1131" w:type="pct"/>
                  <w:noWrap w:val="0"/>
                  <w:vAlign w:val="center"/>
                </w:tcPr>
                <w:p w14:paraId="544FB1FA">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eastAsia" w:cs="Times New Roman"/>
                      <w:color w:val="auto"/>
                      <w:sz w:val="21"/>
                      <w:szCs w:val="21"/>
                      <w:lang w:val="en-US" w:eastAsia="zh-CN"/>
                    </w:rPr>
                  </w:pPr>
                  <w:r>
                    <w:rPr>
                      <w:rFonts w:hint="eastAsia" w:ascii="Times New Roman" w:hAnsi="Times New Roman" w:eastAsia="宋体" w:cs="Times New Roman"/>
                      <w:color w:val="auto"/>
                      <w:kern w:val="2"/>
                      <w:sz w:val="21"/>
                      <w:szCs w:val="21"/>
                      <w:lang w:val="en-US" w:eastAsia="zh-CN" w:bidi="ar-SA"/>
                    </w:rPr>
                    <w:t>废切削液</w:t>
                  </w:r>
                </w:p>
              </w:tc>
              <w:tc>
                <w:tcPr>
                  <w:tcW w:w="925" w:type="pct"/>
                  <w:noWrap w:val="0"/>
                  <w:vAlign w:val="center"/>
                </w:tcPr>
                <w:p w14:paraId="0780ABBE">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下料</w:t>
                  </w:r>
                </w:p>
              </w:tc>
              <w:tc>
                <w:tcPr>
                  <w:tcW w:w="1681" w:type="pct"/>
                  <w:noWrap w:val="0"/>
                  <w:vAlign w:val="center"/>
                </w:tcPr>
                <w:p w14:paraId="0E2D0DC2">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矿物油、水</w:t>
                  </w:r>
                </w:p>
              </w:tc>
            </w:tr>
            <w:tr w14:paraId="61325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5" w:hRule="atLeast"/>
                <w:jc w:val="center"/>
              </w:trPr>
              <w:tc>
                <w:tcPr>
                  <w:tcW w:w="639" w:type="pct"/>
                  <w:vMerge w:val="continue"/>
                  <w:noWrap w:val="0"/>
                  <w:vAlign w:val="center"/>
                </w:tcPr>
                <w:p w14:paraId="043FA149">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rPr>
                  </w:pPr>
                </w:p>
              </w:tc>
              <w:tc>
                <w:tcPr>
                  <w:tcW w:w="1072" w:type="dxa"/>
                  <w:noWrap w:val="0"/>
                  <w:vAlign w:val="center"/>
                </w:tcPr>
                <w:p w14:paraId="215865EE">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r>
                    <w:rPr>
                      <w:rFonts w:hint="eastAsia" w:cs="Times New Roman"/>
                      <w:color w:val="auto"/>
                      <w:sz w:val="21"/>
                      <w:szCs w:val="21"/>
                      <w:lang w:val="en-US" w:eastAsia="zh-CN"/>
                    </w:rPr>
                    <w:t>4</w:t>
                  </w:r>
                </w:p>
              </w:tc>
              <w:tc>
                <w:tcPr>
                  <w:tcW w:w="1131" w:type="pct"/>
                  <w:noWrap w:val="0"/>
                  <w:vAlign w:val="center"/>
                </w:tcPr>
                <w:p w14:paraId="733D6710">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边角料</w:t>
                  </w:r>
                </w:p>
              </w:tc>
              <w:tc>
                <w:tcPr>
                  <w:tcW w:w="925" w:type="pct"/>
                  <w:noWrap w:val="0"/>
                  <w:vAlign w:val="center"/>
                </w:tcPr>
                <w:p w14:paraId="23E53C64">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机加工</w:t>
                  </w:r>
                </w:p>
              </w:tc>
              <w:tc>
                <w:tcPr>
                  <w:tcW w:w="1681" w:type="pct"/>
                  <w:noWrap w:val="0"/>
                  <w:vAlign w:val="center"/>
                </w:tcPr>
                <w:p w14:paraId="2C9F884E">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铝</w:t>
                  </w:r>
                </w:p>
              </w:tc>
            </w:tr>
            <w:tr w14:paraId="42B17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5" w:hRule="atLeast"/>
                <w:jc w:val="center"/>
              </w:trPr>
              <w:tc>
                <w:tcPr>
                  <w:tcW w:w="639" w:type="pct"/>
                  <w:vMerge w:val="continue"/>
                  <w:noWrap w:val="0"/>
                  <w:vAlign w:val="center"/>
                </w:tcPr>
                <w:p w14:paraId="0D5AD498">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rPr>
                  </w:pPr>
                </w:p>
              </w:tc>
              <w:tc>
                <w:tcPr>
                  <w:tcW w:w="1072" w:type="dxa"/>
                  <w:noWrap w:val="0"/>
                  <w:vAlign w:val="center"/>
                </w:tcPr>
                <w:p w14:paraId="06622D2D">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r>
                    <w:rPr>
                      <w:rFonts w:hint="eastAsia" w:cs="Times New Roman"/>
                      <w:color w:val="auto"/>
                      <w:sz w:val="21"/>
                      <w:szCs w:val="21"/>
                      <w:lang w:val="en-US" w:eastAsia="zh-CN"/>
                    </w:rPr>
                    <w:t>5</w:t>
                  </w:r>
                </w:p>
              </w:tc>
              <w:tc>
                <w:tcPr>
                  <w:tcW w:w="1950" w:type="dxa"/>
                  <w:noWrap w:val="0"/>
                  <w:vAlign w:val="center"/>
                </w:tcPr>
                <w:p w14:paraId="242C16B6">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含切削液铝屑</w:t>
                  </w:r>
                </w:p>
              </w:tc>
              <w:tc>
                <w:tcPr>
                  <w:tcW w:w="1595" w:type="dxa"/>
                  <w:noWrap w:val="0"/>
                  <w:vAlign w:val="center"/>
                </w:tcPr>
                <w:p w14:paraId="29530C63">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机加工</w:t>
                  </w:r>
                </w:p>
              </w:tc>
              <w:tc>
                <w:tcPr>
                  <w:tcW w:w="2898" w:type="dxa"/>
                  <w:noWrap w:val="0"/>
                  <w:vAlign w:val="center"/>
                </w:tcPr>
                <w:p w14:paraId="28BD9E0D">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铝、矿物油</w:t>
                  </w:r>
                </w:p>
              </w:tc>
            </w:tr>
            <w:tr w14:paraId="3888D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9" w:type="pct"/>
                  <w:vMerge w:val="continue"/>
                  <w:noWrap w:val="0"/>
                  <w:vAlign w:val="center"/>
                </w:tcPr>
                <w:p w14:paraId="1A358185">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rPr>
                  </w:pPr>
                </w:p>
              </w:tc>
              <w:tc>
                <w:tcPr>
                  <w:tcW w:w="1072" w:type="dxa"/>
                  <w:noWrap w:val="0"/>
                  <w:vAlign w:val="center"/>
                </w:tcPr>
                <w:p w14:paraId="4E763B4D">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r>
                    <w:rPr>
                      <w:rFonts w:hint="eastAsia" w:cs="Times New Roman"/>
                      <w:color w:val="auto"/>
                      <w:sz w:val="21"/>
                      <w:szCs w:val="21"/>
                      <w:lang w:val="en-US" w:eastAsia="zh-CN"/>
                    </w:rPr>
                    <w:t>6</w:t>
                  </w:r>
                </w:p>
              </w:tc>
              <w:tc>
                <w:tcPr>
                  <w:tcW w:w="1131" w:type="pct"/>
                  <w:noWrap w:val="0"/>
                  <w:vAlign w:val="center"/>
                </w:tcPr>
                <w:p w14:paraId="4EFF6259">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废切削液</w:t>
                  </w:r>
                </w:p>
              </w:tc>
              <w:tc>
                <w:tcPr>
                  <w:tcW w:w="925" w:type="pct"/>
                  <w:noWrap w:val="0"/>
                  <w:vAlign w:val="center"/>
                </w:tcPr>
                <w:p w14:paraId="20BDBC5C">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机加工</w:t>
                  </w:r>
                </w:p>
              </w:tc>
              <w:tc>
                <w:tcPr>
                  <w:tcW w:w="1681" w:type="pct"/>
                  <w:noWrap w:val="0"/>
                  <w:vAlign w:val="center"/>
                </w:tcPr>
                <w:p w14:paraId="1A30BC47">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p>
              </w:tc>
            </w:tr>
            <w:tr w14:paraId="30ACE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9" w:type="pct"/>
                  <w:vMerge w:val="continue"/>
                  <w:noWrap w:val="0"/>
                  <w:vAlign w:val="center"/>
                </w:tcPr>
                <w:p w14:paraId="58F50690">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rPr>
                  </w:pPr>
                </w:p>
              </w:tc>
              <w:tc>
                <w:tcPr>
                  <w:tcW w:w="1072" w:type="dxa"/>
                  <w:noWrap w:val="0"/>
                  <w:vAlign w:val="center"/>
                </w:tcPr>
                <w:p w14:paraId="03FEF8C6">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r>
                    <w:rPr>
                      <w:rFonts w:hint="eastAsia" w:cs="Times New Roman"/>
                      <w:color w:val="auto"/>
                      <w:sz w:val="21"/>
                      <w:szCs w:val="21"/>
                      <w:lang w:val="en-US" w:eastAsia="zh-CN"/>
                    </w:rPr>
                    <w:t>7</w:t>
                  </w:r>
                </w:p>
              </w:tc>
              <w:tc>
                <w:tcPr>
                  <w:tcW w:w="1950" w:type="dxa"/>
                  <w:noWrap w:val="0"/>
                  <w:vAlign w:val="center"/>
                </w:tcPr>
                <w:p w14:paraId="46788333">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清洗废液</w:t>
                  </w:r>
                </w:p>
              </w:tc>
              <w:tc>
                <w:tcPr>
                  <w:tcW w:w="1595" w:type="dxa"/>
                  <w:noWrap w:val="0"/>
                  <w:vAlign w:val="center"/>
                </w:tcPr>
                <w:p w14:paraId="767BBB08">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清洗</w:t>
                  </w:r>
                </w:p>
              </w:tc>
              <w:tc>
                <w:tcPr>
                  <w:tcW w:w="2898" w:type="dxa"/>
                  <w:noWrap w:val="0"/>
                  <w:vAlign w:val="center"/>
                </w:tcPr>
                <w:p w14:paraId="6892D61B">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COD、SS、</w:t>
                  </w:r>
                  <w:r>
                    <w:rPr>
                      <w:rFonts w:hint="eastAsia" w:ascii="Times New Roman" w:hAnsi="Times New Roman" w:eastAsia="宋体" w:cs="Times New Roman"/>
                      <w:color w:val="auto"/>
                      <w:sz w:val="21"/>
                      <w:szCs w:val="21"/>
                      <w:lang w:val="en-US" w:eastAsia="zh-CN"/>
                    </w:rPr>
                    <w:t>石油类</w:t>
                  </w:r>
                </w:p>
              </w:tc>
            </w:tr>
            <w:tr w14:paraId="31C45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9" w:type="pct"/>
                  <w:vMerge w:val="continue"/>
                  <w:noWrap w:val="0"/>
                  <w:vAlign w:val="center"/>
                </w:tcPr>
                <w:p w14:paraId="138D82E9">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rPr>
                  </w:pPr>
                </w:p>
              </w:tc>
              <w:tc>
                <w:tcPr>
                  <w:tcW w:w="1072" w:type="dxa"/>
                  <w:noWrap w:val="0"/>
                  <w:vAlign w:val="center"/>
                </w:tcPr>
                <w:p w14:paraId="5B04B30B">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r>
                    <w:rPr>
                      <w:rFonts w:hint="eastAsia" w:cs="Times New Roman"/>
                      <w:color w:val="auto"/>
                      <w:sz w:val="21"/>
                      <w:szCs w:val="21"/>
                      <w:lang w:val="en-US" w:eastAsia="zh-CN"/>
                    </w:rPr>
                    <w:t>8</w:t>
                  </w:r>
                </w:p>
              </w:tc>
              <w:tc>
                <w:tcPr>
                  <w:tcW w:w="1950" w:type="dxa"/>
                  <w:noWrap w:val="0"/>
                  <w:vAlign w:val="center"/>
                </w:tcPr>
                <w:p w14:paraId="4A987659">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次品</w:t>
                  </w:r>
                </w:p>
              </w:tc>
              <w:tc>
                <w:tcPr>
                  <w:tcW w:w="1595" w:type="dxa"/>
                  <w:noWrap w:val="0"/>
                  <w:vAlign w:val="center"/>
                </w:tcPr>
                <w:p w14:paraId="3B0339C6">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eastAsia" w:cs="Times New Roman"/>
                      <w:color w:val="auto"/>
                      <w:sz w:val="21"/>
                      <w:szCs w:val="21"/>
                      <w:lang w:val="en-US" w:eastAsia="zh-CN"/>
                    </w:rPr>
                  </w:pPr>
                  <w:r>
                    <w:rPr>
                      <w:rFonts w:hint="eastAsia" w:cs="Times New Roman"/>
                      <w:color w:val="auto"/>
                      <w:kern w:val="2"/>
                      <w:sz w:val="21"/>
                      <w:szCs w:val="21"/>
                      <w:lang w:val="en-US" w:eastAsia="zh-CN" w:bidi="ar-SA"/>
                    </w:rPr>
                    <w:t>检测</w:t>
                  </w:r>
                </w:p>
              </w:tc>
              <w:tc>
                <w:tcPr>
                  <w:tcW w:w="1681" w:type="pct"/>
                  <w:noWrap w:val="0"/>
                  <w:vAlign w:val="center"/>
                </w:tcPr>
                <w:p w14:paraId="775EFEC9">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铝</w:t>
                  </w:r>
                </w:p>
              </w:tc>
            </w:tr>
            <w:tr w14:paraId="558F7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9" w:type="pct"/>
                  <w:vMerge w:val="continue"/>
                  <w:noWrap w:val="0"/>
                  <w:vAlign w:val="center"/>
                </w:tcPr>
                <w:p w14:paraId="0380E612">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rPr>
                  </w:pPr>
                </w:p>
              </w:tc>
              <w:tc>
                <w:tcPr>
                  <w:tcW w:w="1072" w:type="dxa"/>
                  <w:noWrap w:val="0"/>
                  <w:vAlign w:val="center"/>
                </w:tcPr>
                <w:p w14:paraId="0F73673F">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r>
                    <w:rPr>
                      <w:rFonts w:hint="eastAsia" w:cs="Times New Roman"/>
                      <w:color w:val="auto"/>
                      <w:sz w:val="21"/>
                      <w:szCs w:val="21"/>
                      <w:lang w:val="en-US" w:eastAsia="zh-CN"/>
                    </w:rPr>
                    <w:t>9</w:t>
                  </w:r>
                </w:p>
              </w:tc>
              <w:tc>
                <w:tcPr>
                  <w:tcW w:w="1131" w:type="pct"/>
                  <w:noWrap w:val="0"/>
                  <w:vAlign w:val="center"/>
                </w:tcPr>
                <w:p w14:paraId="631260D4">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eastAsia" w:cs="Times New Roman"/>
                      <w:color w:val="auto"/>
                      <w:sz w:val="21"/>
                      <w:szCs w:val="21"/>
                      <w:highlight w:val="none"/>
                      <w:lang w:val="en-US" w:eastAsia="zh-CN"/>
                    </w:rPr>
                  </w:pPr>
                  <w:r>
                    <w:rPr>
                      <w:rFonts w:hint="eastAsia" w:cs="Times New Roman"/>
                      <w:color w:val="auto"/>
                      <w:kern w:val="2"/>
                      <w:sz w:val="21"/>
                      <w:szCs w:val="21"/>
                      <w:lang w:val="en-US" w:eastAsia="zh-CN" w:bidi="ar-SA"/>
                    </w:rPr>
                    <w:t>废机油桶</w:t>
                  </w:r>
                </w:p>
              </w:tc>
              <w:tc>
                <w:tcPr>
                  <w:tcW w:w="925" w:type="pct"/>
                  <w:noWrap w:val="0"/>
                  <w:vAlign w:val="center"/>
                </w:tcPr>
                <w:p w14:paraId="19179695">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eastAsia" w:cs="Times New Roman"/>
                      <w:color w:val="auto"/>
                      <w:sz w:val="21"/>
                      <w:szCs w:val="21"/>
                      <w:highlight w:val="none"/>
                      <w:lang w:val="en-US" w:eastAsia="zh-CN"/>
                    </w:rPr>
                  </w:pPr>
                  <w:r>
                    <w:rPr>
                      <w:rFonts w:hint="eastAsia" w:cs="Times New Roman"/>
                      <w:color w:val="auto"/>
                      <w:kern w:val="2"/>
                      <w:sz w:val="21"/>
                      <w:szCs w:val="21"/>
                      <w:lang w:val="en-US" w:eastAsia="zh-CN" w:bidi="ar-SA"/>
                    </w:rPr>
                    <w:t>油品包装</w:t>
                  </w:r>
                </w:p>
              </w:tc>
              <w:tc>
                <w:tcPr>
                  <w:tcW w:w="1681" w:type="pct"/>
                  <w:noWrap w:val="0"/>
                  <w:vAlign w:val="center"/>
                </w:tcPr>
                <w:p w14:paraId="3BFE9FC6">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铁、矿物油</w:t>
                  </w:r>
                </w:p>
              </w:tc>
            </w:tr>
            <w:tr w14:paraId="09F78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9" w:type="pct"/>
                  <w:vMerge w:val="continue"/>
                  <w:noWrap w:val="0"/>
                  <w:vAlign w:val="center"/>
                </w:tcPr>
                <w:p w14:paraId="16F2FC99">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rPr>
                  </w:pPr>
                </w:p>
              </w:tc>
              <w:tc>
                <w:tcPr>
                  <w:tcW w:w="1072" w:type="dxa"/>
                  <w:noWrap w:val="0"/>
                  <w:vAlign w:val="center"/>
                </w:tcPr>
                <w:p w14:paraId="1898B9C2">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r>
                    <w:rPr>
                      <w:rFonts w:hint="eastAsia" w:cs="Times New Roman"/>
                      <w:color w:val="auto"/>
                      <w:sz w:val="21"/>
                      <w:szCs w:val="21"/>
                      <w:lang w:val="en-US" w:eastAsia="zh-CN"/>
                    </w:rPr>
                    <w:t>10</w:t>
                  </w:r>
                </w:p>
              </w:tc>
              <w:tc>
                <w:tcPr>
                  <w:tcW w:w="1131" w:type="pct"/>
                  <w:noWrap w:val="0"/>
                  <w:vAlign w:val="center"/>
                </w:tcPr>
                <w:p w14:paraId="5413C335">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废清洗剂桶</w:t>
                  </w:r>
                </w:p>
              </w:tc>
              <w:tc>
                <w:tcPr>
                  <w:tcW w:w="925" w:type="pct"/>
                  <w:noWrap w:val="0"/>
                  <w:vAlign w:val="center"/>
                </w:tcPr>
                <w:p w14:paraId="348E2CE1">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cs="Times New Roman"/>
                      <w:color w:val="auto"/>
                      <w:sz w:val="21"/>
                      <w:szCs w:val="21"/>
                      <w:highlight w:val="none"/>
                      <w:lang w:val="en-US" w:eastAsia="zh-CN"/>
                    </w:rPr>
                  </w:pPr>
                  <w:r>
                    <w:rPr>
                      <w:rFonts w:hint="eastAsia" w:cs="Times New Roman"/>
                      <w:color w:val="auto"/>
                      <w:kern w:val="2"/>
                      <w:sz w:val="21"/>
                      <w:szCs w:val="21"/>
                      <w:lang w:val="en-US" w:eastAsia="zh-CN" w:bidi="ar-SA"/>
                    </w:rPr>
                    <w:t>清洗剂包装</w:t>
                  </w:r>
                </w:p>
              </w:tc>
              <w:tc>
                <w:tcPr>
                  <w:tcW w:w="1681" w:type="pct"/>
                  <w:noWrap w:val="0"/>
                  <w:vAlign w:val="center"/>
                </w:tcPr>
                <w:p w14:paraId="68764384">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铁、</w:t>
                  </w:r>
                  <w:r>
                    <w:rPr>
                      <w:rFonts w:hint="eastAsia" w:cs="Times New Roman"/>
                      <w:color w:val="auto"/>
                      <w:kern w:val="2"/>
                      <w:sz w:val="21"/>
                      <w:szCs w:val="21"/>
                      <w:lang w:val="en-US" w:eastAsia="zh-CN" w:bidi="ar-SA"/>
                    </w:rPr>
                    <w:t>清洗剂</w:t>
                  </w:r>
                </w:p>
              </w:tc>
            </w:tr>
            <w:tr w14:paraId="5D08B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9" w:type="pct"/>
                  <w:vMerge w:val="continue"/>
                  <w:noWrap w:val="0"/>
                  <w:vAlign w:val="center"/>
                </w:tcPr>
                <w:p w14:paraId="594785A9">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rPr>
                  </w:pPr>
                </w:p>
              </w:tc>
              <w:tc>
                <w:tcPr>
                  <w:tcW w:w="1072" w:type="dxa"/>
                  <w:noWrap w:val="0"/>
                  <w:vAlign w:val="center"/>
                </w:tcPr>
                <w:p w14:paraId="14C0800C">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r>
                    <w:rPr>
                      <w:rFonts w:hint="eastAsia" w:cs="Times New Roman"/>
                      <w:color w:val="auto"/>
                      <w:sz w:val="21"/>
                      <w:szCs w:val="21"/>
                      <w:lang w:val="en-US" w:eastAsia="zh-CN"/>
                    </w:rPr>
                    <w:t>11</w:t>
                  </w:r>
                </w:p>
              </w:tc>
              <w:tc>
                <w:tcPr>
                  <w:tcW w:w="1950" w:type="dxa"/>
                  <w:noWrap w:val="0"/>
                  <w:vAlign w:val="center"/>
                </w:tcPr>
                <w:p w14:paraId="7A4230C6">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废切削液桶</w:t>
                  </w:r>
                </w:p>
              </w:tc>
              <w:tc>
                <w:tcPr>
                  <w:tcW w:w="1595" w:type="dxa"/>
                  <w:noWrap w:val="0"/>
                  <w:vAlign w:val="center"/>
                </w:tcPr>
                <w:p w14:paraId="259B1122">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eastAsia" w:cs="Times New Roman"/>
                      <w:color w:val="auto"/>
                      <w:kern w:val="2"/>
                      <w:sz w:val="21"/>
                      <w:szCs w:val="21"/>
                      <w:lang w:val="en-US" w:eastAsia="zh-CN" w:bidi="ar-SA"/>
                    </w:rPr>
                  </w:pPr>
                  <w:r>
                    <w:rPr>
                      <w:rFonts w:hint="eastAsia" w:cs="Times New Roman"/>
                      <w:color w:val="auto"/>
                      <w:sz w:val="21"/>
                      <w:szCs w:val="21"/>
                      <w:highlight w:val="none"/>
                      <w:lang w:val="en-US" w:eastAsia="zh-CN"/>
                    </w:rPr>
                    <w:t>机油</w:t>
                  </w:r>
                  <w:r>
                    <w:rPr>
                      <w:rFonts w:hint="eastAsia" w:cs="Times New Roman"/>
                      <w:color w:val="auto"/>
                      <w:kern w:val="2"/>
                      <w:sz w:val="21"/>
                      <w:szCs w:val="21"/>
                      <w:lang w:val="en-US" w:eastAsia="zh-CN" w:bidi="ar-SA"/>
                    </w:rPr>
                    <w:t>包装</w:t>
                  </w:r>
                </w:p>
              </w:tc>
              <w:tc>
                <w:tcPr>
                  <w:tcW w:w="2898" w:type="dxa"/>
                  <w:noWrap w:val="0"/>
                  <w:vAlign w:val="center"/>
                </w:tcPr>
                <w:p w14:paraId="48D69BC2">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铁、矿物油</w:t>
                  </w:r>
                </w:p>
              </w:tc>
            </w:tr>
            <w:tr w14:paraId="0D561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9" w:type="pct"/>
                  <w:vMerge w:val="continue"/>
                  <w:noWrap w:val="0"/>
                  <w:vAlign w:val="center"/>
                </w:tcPr>
                <w:p w14:paraId="22799516">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rPr>
                  </w:pPr>
                </w:p>
              </w:tc>
              <w:tc>
                <w:tcPr>
                  <w:tcW w:w="1072" w:type="dxa"/>
                  <w:noWrap w:val="0"/>
                  <w:vAlign w:val="center"/>
                </w:tcPr>
                <w:p w14:paraId="6CD45F94">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r>
                    <w:rPr>
                      <w:rFonts w:hint="eastAsia" w:cs="Times New Roman"/>
                      <w:color w:val="auto"/>
                      <w:sz w:val="21"/>
                      <w:szCs w:val="21"/>
                      <w:lang w:val="en-US" w:eastAsia="zh-CN"/>
                    </w:rPr>
                    <w:t>12</w:t>
                  </w:r>
                </w:p>
              </w:tc>
              <w:tc>
                <w:tcPr>
                  <w:tcW w:w="1131" w:type="pct"/>
                  <w:noWrap w:val="0"/>
                  <w:vAlign w:val="center"/>
                </w:tcPr>
                <w:p w14:paraId="7B68005E">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废机油</w:t>
                  </w:r>
                </w:p>
              </w:tc>
              <w:tc>
                <w:tcPr>
                  <w:tcW w:w="925" w:type="pct"/>
                  <w:noWrap w:val="0"/>
                  <w:vAlign w:val="center"/>
                </w:tcPr>
                <w:p w14:paraId="5B74BD06">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eastAsia" w:cs="Times New Roman"/>
                      <w:color w:val="auto"/>
                      <w:sz w:val="21"/>
                      <w:szCs w:val="21"/>
                      <w:lang w:val="en-US" w:eastAsia="zh-CN"/>
                    </w:rPr>
                  </w:pPr>
                  <w:r>
                    <w:rPr>
                      <w:rFonts w:hint="eastAsia" w:cs="Times New Roman"/>
                      <w:color w:val="auto"/>
                      <w:sz w:val="21"/>
                      <w:szCs w:val="21"/>
                      <w:highlight w:val="none"/>
                      <w:lang w:val="en-US" w:eastAsia="zh-CN"/>
                    </w:rPr>
                    <w:t>设备保养</w:t>
                  </w:r>
                </w:p>
              </w:tc>
              <w:tc>
                <w:tcPr>
                  <w:tcW w:w="1681" w:type="pct"/>
                  <w:noWrap w:val="0"/>
                  <w:vAlign w:val="center"/>
                </w:tcPr>
                <w:p w14:paraId="6D0EE44F">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highlight w:val="none"/>
                      <w:lang w:val="en-US" w:eastAsia="zh-CN"/>
                    </w:rPr>
                    <w:t>矿物油</w:t>
                  </w:r>
                </w:p>
              </w:tc>
            </w:tr>
            <w:tr w14:paraId="00307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2" w:hRule="atLeast"/>
                <w:jc w:val="center"/>
              </w:trPr>
              <w:tc>
                <w:tcPr>
                  <w:tcW w:w="639" w:type="pct"/>
                  <w:vMerge w:val="continue"/>
                  <w:noWrap w:val="0"/>
                  <w:vAlign w:val="center"/>
                </w:tcPr>
                <w:p w14:paraId="0CDB6171">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rPr>
                  </w:pPr>
                </w:p>
              </w:tc>
              <w:tc>
                <w:tcPr>
                  <w:tcW w:w="1072" w:type="dxa"/>
                  <w:noWrap w:val="0"/>
                  <w:vAlign w:val="center"/>
                </w:tcPr>
                <w:p w14:paraId="0DB84FC6">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r>
                    <w:rPr>
                      <w:rFonts w:hint="eastAsia" w:ascii="Times New Roman" w:hAnsi="Times New Roman" w:eastAsia="宋体" w:cs="Times New Roman"/>
                      <w:color w:val="auto"/>
                      <w:sz w:val="21"/>
                      <w:szCs w:val="21"/>
                      <w:lang w:val="en-US" w:eastAsia="zh-CN"/>
                    </w:rPr>
                    <w:t>13</w:t>
                  </w:r>
                </w:p>
              </w:tc>
              <w:tc>
                <w:tcPr>
                  <w:tcW w:w="1131" w:type="pct"/>
                  <w:noWrap w:val="0"/>
                  <w:vAlign w:val="center"/>
                </w:tcPr>
                <w:p w14:paraId="46DB6DF8">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含油废抹布手套</w:t>
                  </w:r>
                </w:p>
              </w:tc>
              <w:tc>
                <w:tcPr>
                  <w:tcW w:w="925" w:type="pct"/>
                  <w:noWrap w:val="0"/>
                  <w:vAlign w:val="center"/>
                </w:tcPr>
                <w:p w14:paraId="06B53C74">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设备维护、擦拭</w:t>
                  </w:r>
                </w:p>
              </w:tc>
              <w:tc>
                <w:tcPr>
                  <w:tcW w:w="1681" w:type="pct"/>
                  <w:noWrap w:val="0"/>
                  <w:vAlign w:val="center"/>
                </w:tcPr>
                <w:p w14:paraId="1E9C4D6C">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有机物、纤维</w:t>
                  </w:r>
                </w:p>
              </w:tc>
            </w:tr>
            <w:tr w14:paraId="2EE91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9" w:type="pct"/>
                  <w:vMerge w:val="continue"/>
                  <w:noWrap w:val="0"/>
                  <w:vAlign w:val="center"/>
                </w:tcPr>
                <w:p w14:paraId="492DCAF6">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rPr>
                  </w:pPr>
                </w:p>
              </w:tc>
              <w:tc>
                <w:tcPr>
                  <w:tcW w:w="621" w:type="pct"/>
                  <w:noWrap w:val="0"/>
                  <w:vAlign w:val="center"/>
                </w:tcPr>
                <w:p w14:paraId="30176706">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4</w:t>
                  </w:r>
                </w:p>
              </w:tc>
              <w:tc>
                <w:tcPr>
                  <w:tcW w:w="1131" w:type="pct"/>
                  <w:noWrap w:val="0"/>
                  <w:vAlign w:val="center"/>
                </w:tcPr>
                <w:p w14:paraId="5AA73027">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污泥</w:t>
                  </w:r>
                </w:p>
              </w:tc>
              <w:tc>
                <w:tcPr>
                  <w:tcW w:w="925" w:type="pct"/>
                  <w:noWrap w:val="0"/>
                  <w:vAlign w:val="center"/>
                </w:tcPr>
                <w:p w14:paraId="5848E16A">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lang w:val="en-US" w:eastAsia="zh-CN" w:bidi="ar-SA"/>
                    </w:rPr>
                    <w:t>污水站</w:t>
                  </w:r>
                </w:p>
              </w:tc>
              <w:tc>
                <w:tcPr>
                  <w:tcW w:w="1681" w:type="pct"/>
                  <w:noWrap w:val="0"/>
                  <w:vAlign w:val="center"/>
                </w:tcPr>
                <w:p w14:paraId="442C2C61">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泥、水、矿物油</w:t>
                  </w:r>
                </w:p>
              </w:tc>
            </w:tr>
            <w:tr w14:paraId="5BEF3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9" w:type="pct"/>
                  <w:vMerge w:val="continue"/>
                  <w:noWrap w:val="0"/>
                  <w:vAlign w:val="center"/>
                </w:tcPr>
                <w:p w14:paraId="21DC83CD">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rPr>
                  </w:pPr>
                </w:p>
              </w:tc>
              <w:tc>
                <w:tcPr>
                  <w:tcW w:w="621" w:type="pct"/>
                  <w:noWrap w:val="0"/>
                  <w:vAlign w:val="center"/>
                </w:tcPr>
                <w:p w14:paraId="14832503">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5</w:t>
                  </w:r>
                </w:p>
              </w:tc>
              <w:tc>
                <w:tcPr>
                  <w:tcW w:w="1131" w:type="pct"/>
                  <w:noWrap w:val="0"/>
                  <w:vAlign w:val="center"/>
                </w:tcPr>
                <w:p w14:paraId="4F9E9851">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废过滤介质</w:t>
                  </w:r>
                </w:p>
              </w:tc>
              <w:tc>
                <w:tcPr>
                  <w:tcW w:w="925" w:type="pct"/>
                  <w:noWrap w:val="0"/>
                  <w:vAlign w:val="center"/>
                </w:tcPr>
                <w:p w14:paraId="7D037F53">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污水站</w:t>
                  </w:r>
                </w:p>
              </w:tc>
              <w:tc>
                <w:tcPr>
                  <w:tcW w:w="1681" w:type="pct"/>
                  <w:noWrap w:val="0"/>
                  <w:vAlign w:val="center"/>
                </w:tcPr>
                <w:p w14:paraId="1E0FD739">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b w:val="0"/>
                      <w:bCs/>
                      <w:color w:val="auto"/>
                      <w:kern w:val="2"/>
                      <w:sz w:val="21"/>
                      <w:szCs w:val="21"/>
                      <w:lang w:val="en-US" w:eastAsia="zh-CN" w:bidi="ar-SA"/>
                    </w:rPr>
                    <w:t>石英砂</w:t>
                  </w:r>
                  <w:r>
                    <w:rPr>
                      <w:rFonts w:hint="default" w:ascii="Times New Roman" w:hAnsi="Times New Roman" w:eastAsia="宋体" w:cs="Times New Roman"/>
                      <w:b w:val="0"/>
                      <w:color w:val="auto"/>
                      <w:kern w:val="0"/>
                      <w:sz w:val="21"/>
                      <w:szCs w:val="21"/>
                      <w:highlight w:val="none"/>
                      <w:lang w:val="en-US" w:eastAsia="zh-CN" w:bidi="ar-SA"/>
                    </w:rPr>
                    <w:t>、有机物</w:t>
                  </w:r>
                  <w:r>
                    <w:rPr>
                      <w:rFonts w:hint="eastAsia" w:cs="Times New Roman"/>
                      <w:b w:val="0"/>
                      <w:color w:val="auto"/>
                      <w:kern w:val="0"/>
                      <w:sz w:val="21"/>
                      <w:szCs w:val="21"/>
                      <w:highlight w:val="none"/>
                      <w:lang w:val="en-US" w:eastAsia="zh-CN" w:bidi="ar-SA"/>
                    </w:rPr>
                    <w:t>、</w:t>
                  </w:r>
                  <w:r>
                    <w:rPr>
                      <w:rFonts w:hint="eastAsia" w:cs="Times New Roman"/>
                      <w:color w:val="auto"/>
                      <w:sz w:val="21"/>
                      <w:szCs w:val="21"/>
                      <w:highlight w:val="none"/>
                      <w:lang w:val="en-US" w:eastAsia="zh-CN"/>
                    </w:rPr>
                    <w:t>矿物油</w:t>
                  </w:r>
                </w:p>
              </w:tc>
            </w:tr>
            <w:tr w14:paraId="32F1A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9" w:type="pct"/>
                  <w:vMerge w:val="continue"/>
                  <w:noWrap w:val="0"/>
                  <w:vAlign w:val="center"/>
                </w:tcPr>
                <w:p w14:paraId="50E5EBAB">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rPr>
                  </w:pPr>
                </w:p>
              </w:tc>
              <w:tc>
                <w:tcPr>
                  <w:tcW w:w="621" w:type="pct"/>
                  <w:noWrap w:val="0"/>
                  <w:vAlign w:val="center"/>
                </w:tcPr>
                <w:p w14:paraId="722CD7B4">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S</w:t>
                  </w:r>
                  <w:r>
                    <w:rPr>
                      <w:rFonts w:hint="eastAsia" w:ascii="Times New Roman" w:hAnsi="Times New Roman" w:eastAsia="宋体" w:cs="Times New Roman"/>
                      <w:color w:val="auto"/>
                      <w:sz w:val="21"/>
                      <w:szCs w:val="21"/>
                      <w:lang w:val="en-US" w:eastAsia="zh-CN"/>
                    </w:rPr>
                    <w:t>1</w:t>
                  </w:r>
                  <w:r>
                    <w:rPr>
                      <w:rFonts w:hint="eastAsia" w:cs="Times New Roman"/>
                      <w:color w:val="auto"/>
                      <w:sz w:val="21"/>
                      <w:szCs w:val="21"/>
                      <w:lang w:val="en-US" w:eastAsia="zh-CN"/>
                    </w:rPr>
                    <w:t>6</w:t>
                  </w:r>
                </w:p>
              </w:tc>
              <w:tc>
                <w:tcPr>
                  <w:tcW w:w="1131" w:type="pct"/>
                  <w:noWrap w:val="0"/>
                  <w:vAlign w:val="center"/>
                </w:tcPr>
                <w:p w14:paraId="0678DBBA">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kern w:val="2"/>
                      <w:sz w:val="21"/>
                      <w:szCs w:val="21"/>
                      <w:highlight w:val="none"/>
                      <w:lang w:val="en-US" w:eastAsia="zh-CN" w:bidi="ar-SA"/>
                    </w:rPr>
                    <w:t>废MBR膜</w:t>
                  </w:r>
                </w:p>
              </w:tc>
              <w:tc>
                <w:tcPr>
                  <w:tcW w:w="925" w:type="pct"/>
                  <w:noWrap w:val="0"/>
                  <w:vAlign w:val="center"/>
                </w:tcPr>
                <w:p w14:paraId="4BBE44DA">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污水站</w:t>
                  </w:r>
                </w:p>
              </w:tc>
              <w:tc>
                <w:tcPr>
                  <w:tcW w:w="1681" w:type="pct"/>
                  <w:noWrap w:val="0"/>
                  <w:vAlign w:val="center"/>
                </w:tcPr>
                <w:p w14:paraId="5B3F9EF0">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b w:val="0"/>
                      <w:bCs/>
                      <w:color w:val="auto"/>
                      <w:kern w:val="2"/>
                      <w:sz w:val="21"/>
                      <w:szCs w:val="21"/>
                      <w:lang w:val="en-US" w:eastAsia="zh-CN" w:bidi="ar-SA"/>
                    </w:rPr>
                  </w:pPr>
                  <w:r>
                    <w:rPr>
                      <w:rFonts w:hint="eastAsia" w:cs="Times New Roman"/>
                      <w:color w:val="auto"/>
                      <w:sz w:val="21"/>
                      <w:szCs w:val="21"/>
                      <w:highlight w:val="none"/>
                      <w:lang w:val="en-US" w:eastAsia="zh-CN"/>
                    </w:rPr>
                    <w:t>有机物、纤维</w:t>
                  </w:r>
                </w:p>
              </w:tc>
            </w:tr>
            <w:tr w14:paraId="54574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9" w:type="pct"/>
                  <w:vMerge w:val="continue"/>
                  <w:noWrap w:val="0"/>
                  <w:vAlign w:val="center"/>
                </w:tcPr>
                <w:p w14:paraId="5E03F09E">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rPr>
                  </w:pPr>
                </w:p>
              </w:tc>
              <w:tc>
                <w:tcPr>
                  <w:tcW w:w="621" w:type="pct"/>
                  <w:noWrap w:val="0"/>
                  <w:vAlign w:val="center"/>
                </w:tcPr>
                <w:p w14:paraId="414ED0F3">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1131" w:type="pct"/>
                  <w:noWrap w:val="0"/>
                  <w:vAlign w:val="center"/>
                </w:tcPr>
                <w:p w14:paraId="0F683733">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w:t>
                  </w:r>
                  <w:r>
                    <w:rPr>
                      <w:rFonts w:hint="default" w:ascii="Times New Roman" w:hAnsi="Times New Roman" w:eastAsia="宋体" w:cs="Times New Roman"/>
                      <w:color w:val="auto"/>
                      <w:sz w:val="21"/>
                      <w:szCs w:val="21"/>
                      <w:shd w:val="clear" w:fill="auto"/>
                      <w:lang w:val="en-US" w:eastAsia="zh-CN"/>
                    </w:rPr>
                    <w:t>垃圾</w:t>
                  </w:r>
                </w:p>
              </w:tc>
              <w:tc>
                <w:tcPr>
                  <w:tcW w:w="925" w:type="pct"/>
                  <w:noWrap w:val="0"/>
                  <w:vAlign w:val="center"/>
                </w:tcPr>
                <w:p w14:paraId="2EA66B3E">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员工生活</w:t>
                  </w:r>
                </w:p>
              </w:tc>
              <w:tc>
                <w:tcPr>
                  <w:tcW w:w="1681" w:type="pct"/>
                  <w:noWrap w:val="0"/>
                  <w:vAlign w:val="center"/>
                </w:tcPr>
                <w:p w14:paraId="004D6D17">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纸、塑料等</w:t>
                  </w:r>
                </w:p>
              </w:tc>
            </w:tr>
            <w:tr w14:paraId="3B3F5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639" w:type="pct"/>
                  <w:noWrap w:val="0"/>
                  <w:vAlign w:val="center"/>
                </w:tcPr>
                <w:p w14:paraId="327FCB24">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w:t>
                  </w:r>
                </w:p>
              </w:tc>
              <w:tc>
                <w:tcPr>
                  <w:tcW w:w="621" w:type="pct"/>
                  <w:noWrap w:val="0"/>
                  <w:vAlign w:val="center"/>
                </w:tcPr>
                <w:p w14:paraId="0F48AC00">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N</w:t>
                  </w:r>
                </w:p>
              </w:tc>
              <w:tc>
                <w:tcPr>
                  <w:tcW w:w="1131" w:type="pct"/>
                  <w:noWrap w:val="0"/>
                  <w:vAlign w:val="center"/>
                </w:tcPr>
                <w:p w14:paraId="20EAA021">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噪声</w:t>
                  </w:r>
                </w:p>
              </w:tc>
              <w:tc>
                <w:tcPr>
                  <w:tcW w:w="925" w:type="pct"/>
                  <w:noWrap w:val="0"/>
                  <w:vAlign w:val="center"/>
                </w:tcPr>
                <w:p w14:paraId="047C57C6">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设备运行</w:t>
                  </w:r>
                </w:p>
              </w:tc>
              <w:tc>
                <w:tcPr>
                  <w:tcW w:w="1681" w:type="pct"/>
                  <w:noWrap w:val="0"/>
                  <w:vAlign w:val="center"/>
                </w:tcPr>
                <w:p w14:paraId="75A61F7E">
                  <w:pPr>
                    <w:keepNext w:val="0"/>
                    <w:keepLines w:val="0"/>
                    <w:pageBreakBefore w:val="0"/>
                    <w:widowControl w:val="0"/>
                    <w:kinsoku/>
                    <w:wordWrap/>
                    <w:overflowPunct/>
                    <w:topLinePunct w:val="0"/>
                    <w:autoSpaceDE/>
                    <w:autoSpaceDN/>
                    <w:bidi w:val="0"/>
                    <w:adjustRightInd/>
                    <w:snapToGrid/>
                    <w:spacing w:line="192"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等效连续A</w:t>
                  </w:r>
                  <w:r>
                    <w:rPr>
                      <w:rFonts w:hint="default" w:ascii="Times New Roman" w:hAnsi="Times New Roman" w:eastAsia="宋体" w:cs="Times New Roman"/>
                      <w:color w:val="auto"/>
                      <w:sz w:val="21"/>
                      <w:szCs w:val="21"/>
                      <w:shd w:val="clear" w:fill="auto"/>
                    </w:rPr>
                    <w:t>声级</w:t>
                  </w:r>
                </w:p>
              </w:tc>
            </w:tr>
          </w:tbl>
          <w:p w14:paraId="3B00B2CE">
            <w:pPr>
              <w:rPr>
                <w:rFonts w:hint="default"/>
                <w:color w:val="auto"/>
                <w:vertAlign w:val="baseline"/>
              </w:rPr>
            </w:pPr>
          </w:p>
        </w:tc>
      </w:tr>
    </w:tbl>
    <w:p w14:paraId="3A02C8C4">
      <w:pPr>
        <w:pStyle w:val="3"/>
        <w:rPr>
          <w:rFonts w:hint="default"/>
          <w:color w:val="auto"/>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571"/>
      </w:tblGrid>
      <w:tr w14:paraId="34BB28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83" w:hRule="atLeast"/>
          <w:jc w:val="center"/>
        </w:trPr>
        <w:tc>
          <w:tcPr>
            <w:tcW w:w="413" w:type="dxa"/>
            <w:noWrap w:val="0"/>
            <w:vAlign w:val="center"/>
          </w:tcPr>
          <w:p w14:paraId="51BA6314">
            <w:pPr>
              <w:pStyle w:val="15"/>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kern w:val="2"/>
                <w:sz w:val="24"/>
                <w:szCs w:val="24"/>
              </w:rPr>
              <w:t>与项目有关的原有环境污染问题</w:t>
            </w:r>
          </w:p>
        </w:tc>
        <w:tc>
          <w:tcPr>
            <w:tcW w:w="8571" w:type="dxa"/>
            <w:noWrap w:val="0"/>
            <w:vAlign w:val="top"/>
          </w:tcPr>
          <w:p w14:paraId="1B9182E1">
            <w:pPr>
              <w:keepNext w:val="0"/>
              <w:keepLines w:val="0"/>
              <w:pageBreakBefore w:val="0"/>
              <w:widowControl/>
              <w:suppressLineNumbers w:val="0"/>
              <w:kinsoku/>
              <w:wordWrap/>
              <w:overflowPunct/>
              <w:topLinePunct w:val="0"/>
              <w:autoSpaceDE/>
              <w:autoSpaceDN/>
              <w:bidi w:val="0"/>
              <w:spacing w:line="360" w:lineRule="auto"/>
              <w:jc w:val="left"/>
              <w:textAlignment w:val="auto"/>
              <w:rPr>
                <w:color w:val="auto"/>
              </w:rPr>
            </w:pPr>
            <w:r>
              <w:rPr>
                <w:rFonts w:hint="default" w:ascii="Times New Roman" w:hAnsi="Times New Roman" w:eastAsia="宋体" w:cs="Times New Roman"/>
                <w:b/>
                <w:bCs/>
                <w:color w:val="auto"/>
                <w:kern w:val="2"/>
                <w:sz w:val="24"/>
                <w:szCs w:val="24"/>
                <w:lang w:val="en-US" w:eastAsia="zh-CN" w:bidi="ar-SA"/>
              </w:rPr>
              <w:t>2.3</w:t>
            </w:r>
            <w:r>
              <w:rPr>
                <w:rFonts w:hint="eastAsia" w:ascii="Times New Roman" w:hAnsi="Times New Roman" w:eastAsia="宋体" w:cs="Times New Roman"/>
                <w:b/>
                <w:bCs/>
                <w:color w:val="auto"/>
                <w:kern w:val="2"/>
                <w:sz w:val="24"/>
                <w:szCs w:val="24"/>
                <w:lang w:val="en-US" w:eastAsia="zh-CN" w:bidi="ar-SA"/>
              </w:rPr>
              <w:t>所租车间原有情况及环保责任主体情况</w:t>
            </w:r>
            <w:r>
              <w:rPr>
                <w:rFonts w:ascii="仿宋" w:hAnsi="仿宋" w:eastAsia="仿宋" w:cs="仿宋"/>
                <w:b/>
                <w:bCs/>
                <w:color w:val="auto"/>
                <w:kern w:val="0"/>
                <w:sz w:val="24"/>
                <w:szCs w:val="24"/>
                <w:lang w:val="en-US" w:eastAsia="zh-CN" w:bidi="ar"/>
              </w:rPr>
              <w:t xml:space="preserve"> </w:t>
            </w:r>
          </w:p>
          <w:p w14:paraId="37D49095">
            <w:pPr>
              <w:pStyle w:val="50"/>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sz w:val="24"/>
                <w:szCs w:val="24"/>
                <w:lang w:val="en-US" w:eastAsia="zh-CN"/>
              </w:rPr>
            </w:pPr>
            <w:r>
              <w:rPr>
                <w:rFonts w:hint="eastAsia" w:cs="Times New Roman"/>
                <w:b/>
                <w:bCs/>
                <w:color w:val="auto"/>
                <w:sz w:val="24"/>
                <w:szCs w:val="24"/>
                <w:lang w:val="en-US" w:eastAsia="zh-CN"/>
              </w:rPr>
              <w:t>1、</w:t>
            </w:r>
            <w:r>
              <w:rPr>
                <w:rFonts w:hint="eastAsia" w:ascii="Times New Roman" w:hAnsi="Times New Roman" w:eastAsia="宋体" w:cs="Times New Roman"/>
                <w:b/>
                <w:bCs/>
                <w:color w:val="auto"/>
                <w:sz w:val="24"/>
                <w:szCs w:val="24"/>
                <w:lang w:val="en-US" w:eastAsia="zh-CN"/>
              </w:rPr>
              <w:t xml:space="preserve">所租车间原有情况 </w:t>
            </w:r>
          </w:p>
          <w:p w14:paraId="1D800614">
            <w:pPr>
              <w:pStyle w:val="5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eastAsiaTheme="minorEastAsia" w:cstheme="minorEastAsia"/>
                <w:color w:val="auto"/>
                <w:kern w:val="2"/>
                <w:sz w:val="24"/>
                <w:szCs w:val="24"/>
                <w:lang w:val="en-US" w:eastAsia="zh-CN" w:bidi="ar-SA"/>
              </w:rPr>
              <w:t>常州天新汽车配件有限公司租赁常州武银新材料科技有限公司位于直溪镇直东路6号的闲置厂房进行生产，该厂房原为常州市丰登彩印包装有限公司厂房。常州市丰登彩印包装有限公司“新建年产30000万只包装袋印刷制品生产线项目”于2010年7月13日通过原常州市环境保护局批准同意建设（坛环审[2010]142号），于2017年12月通过“三同时”验收。由于经营不善，该企业于2022年将厂房整体转让给常州武银新材料科技有限公司，项目所在车间无原有污染源情况。</w:t>
            </w:r>
          </w:p>
          <w:p w14:paraId="4B659066">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eastAsia" w:ascii="Times New Roman" w:hAnsi="Times New Roman" w:eastAsia="宋体" w:cs="Times New Roman"/>
                <w:b/>
                <w:bCs/>
                <w:color w:val="auto"/>
                <w:kern w:val="2"/>
                <w:sz w:val="24"/>
                <w:szCs w:val="24"/>
                <w:lang w:val="en-US" w:eastAsia="zh-CN" w:bidi="ar-SA"/>
              </w:rPr>
            </w:pPr>
            <w:r>
              <w:rPr>
                <w:rFonts w:hint="eastAsia" w:eastAsia="仿宋"/>
                <w:b/>
                <w:bCs/>
                <w:color w:val="auto"/>
                <w:sz w:val="24"/>
                <w:lang w:val="en-US" w:eastAsia="zh-CN"/>
              </w:rPr>
              <w:t>2</w:t>
            </w:r>
            <w:r>
              <w:rPr>
                <w:rFonts w:hint="eastAsia" w:eastAsia="仿宋"/>
                <w:b/>
                <w:bCs/>
                <w:color w:val="auto"/>
                <w:sz w:val="24"/>
              </w:rPr>
              <w:t>、</w:t>
            </w:r>
            <w:r>
              <w:rPr>
                <w:rFonts w:hint="eastAsia" w:ascii="Times New Roman" w:hAnsi="Times New Roman" w:eastAsia="宋体" w:cs="Times New Roman"/>
                <w:b/>
                <w:bCs/>
                <w:color w:val="auto"/>
                <w:kern w:val="2"/>
                <w:sz w:val="24"/>
                <w:szCs w:val="24"/>
                <w:lang w:val="en-US" w:eastAsia="zh-CN" w:bidi="ar-SA"/>
              </w:rPr>
              <w:t>本项目与常州武银新材料科技有限公司依托关系</w:t>
            </w:r>
          </w:p>
          <w:p w14:paraId="7F33128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w:t>
            </w:r>
            <w:r>
              <w:rPr>
                <w:rFonts w:hint="eastAsia" w:asciiTheme="minorEastAsia" w:hAnsiTheme="minorEastAsia" w:eastAsiaTheme="minorEastAsia" w:cstheme="minorEastAsia"/>
                <w:color w:val="auto"/>
                <w:sz w:val="24"/>
                <w:lang w:eastAsia="zh-CN"/>
              </w:rPr>
              <w:t>常州武银新材料科技有限公司</w:t>
            </w:r>
            <w:r>
              <w:rPr>
                <w:rFonts w:hint="eastAsia" w:asciiTheme="minorEastAsia" w:hAnsiTheme="minorEastAsia" w:eastAsiaTheme="minorEastAsia" w:cstheme="minorEastAsia"/>
                <w:color w:val="auto"/>
                <w:sz w:val="24"/>
                <w:lang w:val="en-US" w:eastAsia="zh-CN"/>
              </w:rPr>
              <w:t>厂房</w:t>
            </w:r>
            <w:r>
              <w:rPr>
                <w:rFonts w:hint="eastAsia" w:asciiTheme="minorEastAsia" w:hAnsiTheme="minorEastAsia" w:eastAsiaTheme="minorEastAsia" w:cstheme="minorEastAsia"/>
                <w:color w:val="auto"/>
                <w:sz w:val="24"/>
              </w:rPr>
              <w:t>已按照“雨污分流”的原则进行了基础设施建设，建立了完善的供水、供电</w:t>
            </w:r>
            <w:r>
              <w:rPr>
                <w:rFonts w:hint="eastAsia" w:asciiTheme="minorEastAsia" w:hAnsiTheme="minorEastAsia" w:eastAsiaTheme="minorEastAsia" w:cstheme="minorEastAsia"/>
                <w:color w:val="auto"/>
                <w:sz w:val="24"/>
                <w:lang w:eastAsia="zh-CN"/>
              </w:rPr>
              <w:t>网络</w:t>
            </w:r>
            <w:r>
              <w:rPr>
                <w:rFonts w:hint="eastAsia" w:asciiTheme="minorEastAsia" w:hAnsiTheme="minorEastAsia" w:eastAsiaTheme="minorEastAsia" w:cstheme="minorEastAsia"/>
                <w:color w:val="auto"/>
                <w:sz w:val="24"/>
              </w:rPr>
              <w:t>，设置了一个生活污水接管口和一个雨</w:t>
            </w:r>
            <w:r>
              <w:rPr>
                <w:rFonts w:hint="eastAsia" w:asciiTheme="minorEastAsia" w:hAnsiTheme="minorEastAsia" w:eastAsiaTheme="minorEastAsia" w:cstheme="minorEastAsia"/>
                <w:color w:val="auto"/>
                <w:sz w:val="24"/>
                <w:lang w:val="zh-CN"/>
              </w:rPr>
              <w:t>水</w:t>
            </w:r>
            <w:r>
              <w:rPr>
                <w:rFonts w:hint="eastAsia" w:asciiTheme="minorEastAsia" w:hAnsiTheme="minorEastAsia" w:eastAsiaTheme="minorEastAsia" w:cstheme="minorEastAsia"/>
                <w:color w:val="auto"/>
                <w:sz w:val="24"/>
              </w:rPr>
              <w:t>排口。经与建设单位核实，本项目与其依托关系如下：</w:t>
            </w:r>
          </w:p>
          <w:p w14:paraId="4E0FD77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（1）</w:t>
            </w:r>
            <w:r>
              <w:rPr>
                <w:rFonts w:hint="eastAsia" w:asciiTheme="minorEastAsia" w:hAnsiTheme="minorEastAsia" w:eastAsiaTheme="minorEastAsia" w:cstheme="minorEastAsia"/>
                <w:color w:val="auto"/>
                <w:sz w:val="24"/>
                <w:lang w:val="zh-CN"/>
              </w:rPr>
              <w:t>故</w:t>
            </w:r>
            <w:r>
              <w:rPr>
                <w:rFonts w:hint="eastAsia" w:asciiTheme="minorEastAsia" w:hAnsiTheme="minorEastAsia" w:eastAsiaTheme="minorEastAsia" w:cstheme="minorEastAsia"/>
                <w:color w:val="auto"/>
                <w:sz w:val="24"/>
              </w:rPr>
              <w:t>本项目生活污水依托出租方现有的生活污水管网和排污口接入区域污水管网，不单独设置污水接管口</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lang w:val="en-US" w:eastAsia="zh-CN"/>
              </w:rPr>
              <w:t>接入出租方已</w:t>
            </w:r>
            <w:r>
              <w:rPr>
                <w:rFonts w:hint="eastAsia" w:asciiTheme="minorEastAsia" w:hAnsiTheme="minorEastAsia" w:eastAsiaTheme="minorEastAsia" w:cstheme="minorEastAsia"/>
                <w:color w:val="auto"/>
                <w:sz w:val="24"/>
                <w:szCs w:val="24"/>
                <w:lang w:val="en-US" w:eastAsia="zh-CN"/>
              </w:rPr>
              <w:t>有污水管网前设置</w:t>
            </w:r>
            <w:r>
              <w:rPr>
                <w:rFonts w:hint="default" w:ascii="Times New Roman" w:hAnsi="Times New Roman" w:eastAsia="宋体" w:cs="Times New Roman"/>
                <w:color w:val="auto"/>
                <w:sz w:val="24"/>
                <w:szCs w:val="24"/>
              </w:rPr>
              <w:t>流量计和采样口</w:t>
            </w:r>
            <w:r>
              <w:rPr>
                <w:rFonts w:hint="eastAsia" w:asciiTheme="minorEastAsia" w:hAnsiTheme="minorEastAsia" w:eastAsiaTheme="minorEastAsia" w:cstheme="minorEastAsia"/>
                <w:b w:val="0"/>
                <w:bCs w:val="0"/>
                <w:color w:val="auto"/>
                <w:kern w:val="2"/>
                <w:sz w:val="24"/>
                <w:szCs w:val="24"/>
                <w:lang w:val="en-US" w:eastAsia="zh-CN" w:bidi="ar-SA"/>
              </w:rPr>
              <w:t>。</w:t>
            </w:r>
          </w:p>
          <w:p w14:paraId="51AB9C7A">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（2）本项目不增设雨水管网及雨水排口，依托出租方现有雨水管网及雨水排口。</w:t>
            </w:r>
          </w:p>
          <w:p w14:paraId="313E35D5">
            <w:pPr>
              <w:pStyle w:val="5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auto"/>
                <w:sz w:val="24"/>
                <w:lang w:eastAsia="zh-CN"/>
              </w:rPr>
            </w:pPr>
            <w:r>
              <w:rPr>
                <w:rFonts w:hint="eastAsia" w:asciiTheme="minorEastAsia" w:hAnsiTheme="minorEastAsia" w:eastAsiaTheme="minorEastAsia" w:cstheme="minorEastAsia"/>
                <w:color w:val="auto"/>
                <w:sz w:val="24"/>
              </w:rPr>
              <w:t>（3）本项目生产过程中保持独立，且设置独立的环保工程（主要为</w:t>
            </w:r>
            <w:r>
              <w:rPr>
                <w:rFonts w:hint="eastAsia" w:asciiTheme="minorEastAsia" w:hAnsiTheme="minorEastAsia" w:eastAsiaTheme="minorEastAsia" w:cstheme="minorEastAsia"/>
                <w:color w:val="auto"/>
                <w:sz w:val="24"/>
                <w:lang w:val="en-US" w:eastAsia="zh-CN"/>
              </w:rPr>
              <w:t>污水</w:t>
            </w:r>
            <w:r>
              <w:rPr>
                <w:rFonts w:hint="eastAsia" w:asciiTheme="minorEastAsia" w:hAnsiTheme="minorEastAsia" w:eastAsiaTheme="minorEastAsia" w:cstheme="minorEastAsia"/>
                <w:color w:val="auto"/>
                <w:sz w:val="24"/>
              </w:rPr>
              <w:t>处理装置</w:t>
            </w:r>
            <w:r>
              <w:rPr>
                <w:rFonts w:hint="eastAsia" w:asciiTheme="minorEastAsia" w:hAnsiTheme="minorEastAsia" w:eastAsiaTheme="minorEastAsia" w:cstheme="minorEastAsia"/>
                <w:color w:val="auto"/>
                <w:sz w:val="24"/>
                <w:lang w:eastAsia="zh-CN"/>
              </w:rPr>
              <w:t>、</w:t>
            </w:r>
            <w:r>
              <w:rPr>
                <w:rFonts w:hint="eastAsia" w:asciiTheme="minorEastAsia" w:hAnsiTheme="minorEastAsia" w:eastAsiaTheme="minorEastAsia" w:cstheme="minorEastAsia"/>
                <w:color w:val="auto"/>
                <w:sz w:val="24"/>
                <w:lang w:val="en-US" w:eastAsia="zh-CN"/>
              </w:rPr>
              <w:t>危废仓库</w:t>
            </w:r>
            <w:r>
              <w:rPr>
                <w:rFonts w:hint="eastAsia" w:asciiTheme="minorEastAsia" w:hAnsiTheme="minorEastAsia" w:eastAsiaTheme="minorEastAsia" w:cstheme="minorEastAsia"/>
                <w:color w:val="auto"/>
                <w:sz w:val="24"/>
              </w:rPr>
              <w:t>）。</w:t>
            </w:r>
          </w:p>
          <w:p w14:paraId="2B956097">
            <w:pPr>
              <w:pStyle w:val="50"/>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rPr>
              <w:t xml:space="preserve"> 本次建设项目属于“厂中厂”，若发生环境污染事件应当按照“谁污染谁治理”的原则进行责任划分，并承担相应的法律责任。若厂区发生雨、污水超标排放事件，要求对</w:t>
            </w:r>
            <w:r>
              <w:rPr>
                <w:rFonts w:hint="eastAsia" w:asciiTheme="minorEastAsia" w:hAnsiTheme="minorEastAsia" w:eastAsiaTheme="minorEastAsia" w:cstheme="minorEastAsia"/>
                <w:color w:val="auto"/>
                <w:sz w:val="24"/>
                <w:szCs w:val="24"/>
                <w:lang w:val="en-US" w:eastAsia="zh-CN"/>
              </w:rPr>
              <w:t>常州天新汽车配件有限公司</w:t>
            </w:r>
            <w:r>
              <w:rPr>
                <w:rFonts w:hint="eastAsia" w:asciiTheme="minorEastAsia" w:hAnsiTheme="minorEastAsia" w:eastAsiaTheme="minorEastAsia" w:cstheme="minorEastAsia"/>
                <w:color w:val="auto"/>
                <w:sz w:val="24"/>
              </w:rPr>
              <w:t>的采样口进行复测，通过水质监测数据来确定事件的责任主体。</w:t>
            </w:r>
          </w:p>
          <w:p w14:paraId="1509DA24">
            <w:pPr>
              <w:pStyle w:val="5"/>
              <w:keepNext w:val="0"/>
              <w:keepLines w:val="0"/>
              <w:pageBreakBefore w:val="0"/>
              <w:widowControl w:val="0"/>
              <w:kinsoku/>
              <w:wordWrap/>
              <w:overflowPunct/>
              <w:topLinePunct w:val="0"/>
              <w:autoSpaceDE/>
              <w:autoSpaceDN/>
              <w:bidi w:val="0"/>
              <w:spacing w:line="336" w:lineRule="auto"/>
              <w:ind w:firstLine="480" w:firstLineChars="200"/>
              <w:textAlignment w:val="auto"/>
              <w:rPr>
                <w:rFonts w:hint="default" w:ascii="Times New Roman" w:hAnsi="Times New Roman" w:eastAsia="宋体" w:cs="Times New Roman"/>
                <w:bCs/>
                <w:color w:val="auto"/>
                <w:szCs w:val="21"/>
              </w:rPr>
            </w:pPr>
          </w:p>
        </w:tc>
      </w:tr>
    </w:tbl>
    <w:p w14:paraId="00704F64">
      <w:pPr>
        <w:rPr>
          <w:rFonts w:hint="default" w:ascii="Times New Roman" w:hAnsi="Times New Roman" w:eastAsia="宋体" w:cs="Times New Roman"/>
          <w:color w:val="auto"/>
        </w:rPr>
        <w:sectPr>
          <w:pgSz w:w="11906" w:h="16838"/>
          <w:pgMar w:top="1440" w:right="1800" w:bottom="1440" w:left="124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1894C50">
      <w:pPr>
        <w:pStyle w:val="1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bottom"/>
        <w:outlineLvl w:val="0"/>
        <w:rPr>
          <w:rFonts w:hint="default" w:ascii="Times New Roman" w:hAnsi="Times New Roman" w:eastAsia="宋体" w:cs="Times New Roman"/>
          <w:b/>
          <w:bCs/>
          <w:snapToGrid w:val="0"/>
          <w:color w:val="auto"/>
          <w:sz w:val="28"/>
          <w:szCs w:val="28"/>
        </w:rPr>
      </w:pPr>
      <w:r>
        <w:rPr>
          <w:rFonts w:hint="default" w:ascii="Times New Roman" w:hAnsi="Times New Roman" w:eastAsia="宋体" w:cs="Times New Roman"/>
          <w:b/>
          <w:bCs/>
          <w:snapToGrid w:val="0"/>
          <w:color w:val="auto"/>
          <w:sz w:val="28"/>
          <w:szCs w:val="28"/>
          <w:lang w:val="en-US" w:eastAsia="zh-CN"/>
        </w:rPr>
        <w:t>三、</w:t>
      </w:r>
      <w:r>
        <w:rPr>
          <w:rFonts w:hint="default" w:ascii="Times New Roman" w:hAnsi="Times New Roman" w:eastAsia="宋体" w:cs="Times New Roman"/>
          <w:b/>
          <w:bCs/>
          <w:snapToGrid w:val="0"/>
          <w:color w:val="auto"/>
          <w:sz w:val="28"/>
          <w:szCs w:val="28"/>
        </w:rPr>
        <w:t>区域环境质量现状、环境保护目标及评价标准</w:t>
      </w: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573"/>
      </w:tblGrid>
      <w:tr w14:paraId="11365F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54" w:hRule="atLeast"/>
          <w:jc w:val="center"/>
        </w:trPr>
        <w:tc>
          <w:tcPr>
            <w:tcW w:w="417" w:type="dxa"/>
            <w:noWrap w:val="0"/>
            <w:vAlign w:val="center"/>
          </w:tcPr>
          <w:p w14:paraId="55D151DE">
            <w:pPr>
              <w:keepNext w:val="0"/>
              <w:keepLines w:val="0"/>
              <w:pageBreakBefore w:val="0"/>
              <w:kinsoku/>
              <w:wordWrap/>
              <w:overflowPunct/>
              <w:topLinePunct w:val="0"/>
              <w:bidi w:val="0"/>
              <w:adjustRightInd w:val="0"/>
              <w:snapToGrid w:val="0"/>
              <w:ind w:left="0" w:right="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区域</w:t>
            </w:r>
          </w:p>
          <w:p w14:paraId="1640A6E4">
            <w:pPr>
              <w:keepNext w:val="0"/>
              <w:keepLines w:val="0"/>
              <w:pageBreakBefore w:val="0"/>
              <w:kinsoku/>
              <w:wordWrap/>
              <w:overflowPunct/>
              <w:topLinePunct w:val="0"/>
              <w:bidi w:val="0"/>
              <w:adjustRightInd w:val="0"/>
              <w:snapToGrid w:val="0"/>
              <w:ind w:left="0" w:right="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环境</w:t>
            </w:r>
          </w:p>
          <w:p w14:paraId="0A888640">
            <w:pPr>
              <w:keepNext w:val="0"/>
              <w:keepLines w:val="0"/>
              <w:pageBreakBefore w:val="0"/>
              <w:kinsoku/>
              <w:wordWrap/>
              <w:overflowPunct/>
              <w:topLinePunct w:val="0"/>
              <w:bidi w:val="0"/>
              <w:adjustRightInd w:val="0"/>
              <w:snapToGrid w:val="0"/>
              <w:ind w:left="0" w:right="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质量</w:t>
            </w:r>
          </w:p>
          <w:p w14:paraId="3667BC2A">
            <w:pPr>
              <w:keepNext w:val="0"/>
              <w:keepLines w:val="0"/>
              <w:pageBreakBefore w:val="0"/>
              <w:kinsoku/>
              <w:wordWrap/>
              <w:overflowPunct/>
              <w:topLinePunct w:val="0"/>
              <w:bidi w:val="0"/>
              <w:adjustRightInd w:val="0"/>
              <w:snapToGrid w:val="0"/>
              <w:ind w:left="0" w:right="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现状</w:t>
            </w:r>
          </w:p>
        </w:tc>
        <w:tc>
          <w:tcPr>
            <w:tcW w:w="8573" w:type="dxa"/>
            <w:noWrap w:val="0"/>
            <w:vAlign w:val="top"/>
          </w:tcPr>
          <w:p w14:paraId="5806C55C">
            <w:pPr>
              <w:keepNext w:val="0"/>
              <w:keepLines w:val="0"/>
              <w:pageBreakBefore w:val="0"/>
              <w:widowControl w:val="0"/>
              <w:kinsoku/>
              <w:wordWrap/>
              <w:overflowPunct/>
              <w:topLinePunct w:val="0"/>
              <w:autoSpaceDE/>
              <w:autoSpaceDN/>
              <w:bidi w:val="0"/>
              <w:spacing w:line="360" w:lineRule="auto"/>
              <w:ind w:left="0" w:right="0" w:firstLine="0" w:firstLineChars="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3.1</w:t>
            </w:r>
            <w:r>
              <w:rPr>
                <w:rFonts w:hint="default" w:ascii="Times New Roman" w:hAnsi="Times New Roman" w:eastAsia="宋体" w:cs="Times New Roman"/>
                <w:b/>
                <w:bCs/>
                <w:color w:val="auto"/>
                <w:sz w:val="24"/>
              </w:rPr>
              <w:t>区域环境质量现状</w:t>
            </w:r>
          </w:p>
          <w:p w14:paraId="52160F5E">
            <w:pPr>
              <w:keepNext w:val="0"/>
              <w:keepLines w:val="0"/>
              <w:pageBreakBefore w:val="0"/>
              <w:widowControl w:val="0"/>
              <w:kinsoku/>
              <w:wordWrap/>
              <w:overflowPunct/>
              <w:topLinePunct w:val="0"/>
              <w:autoSpaceDE/>
              <w:autoSpaceDN/>
              <w:bidi w:val="0"/>
              <w:spacing w:line="360" w:lineRule="auto"/>
              <w:ind w:right="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3.1.1</w:t>
            </w:r>
            <w:r>
              <w:rPr>
                <w:rFonts w:hint="default" w:ascii="Times New Roman" w:hAnsi="Times New Roman" w:eastAsia="宋体" w:cs="Times New Roman"/>
                <w:b/>
                <w:bCs/>
                <w:color w:val="auto"/>
                <w:sz w:val="24"/>
              </w:rPr>
              <w:t>大气环境</w:t>
            </w:r>
          </w:p>
          <w:p w14:paraId="18D27D20">
            <w:pPr>
              <w:adjustRightInd w:val="0"/>
              <w:snapToGrid w:val="0"/>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（1）</w:t>
            </w:r>
            <w:r>
              <w:rPr>
                <w:rFonts w:hint="default" w:ascii="Times New Roman" w:hAnsi="Times New Roman" w:eastAsia="宋体" w:cs="Times New Roman"/>
                <w:color w:val="auto"/>
                <w:kern w:val="0"/>
                <w:sz w:val="24"/>
                <w:szCs w:val="24"/>
              </w:rPr>
              <w:t>基本污染物环境质量现状</w:t>
            </w:r>
          </w:p>
          <w:p w14:paraId="3569DBE8">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根据《常州市环境空气质量功能区划分规定（2017）》，项目所在地空气质量功能区为二类区。S</w:t>
            </w:r>
            <w:r>
              <w:rPr>
                <w:rFonts w:hint="default" w:ascii="Times New Roman" w:hAnsi="Times New Roman" w:eastAsia="宋体" w:cs="Times New Roman"/>
                <w:color w:val="auto"/>
                <w:sz w:val="24"/>
                <w:highlight w:val="none"/>
              </w:rPr>
              <w:t>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rPr>
              <w:t>、N</w:t>
            </w:r>
            <w:r>
              <w:rPr>
                <w:rFonts w:hint="default" w:ascii="Times New Roman" w:hAnsi="Times New Roman" w:eastAsia="宋体" w:cs="Times New Roman"/>
                <w:color w:val="auto"/>
                <w:sz w:val="24"/>
                <w:highlight w:val="none"/>
              </w:rPr>
              <w:t>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rPr>
              <w:t>、CO、</w:t>
            </w:r>
            <w:r>
              <w:rPr>
                <w:rFonts w:hint="default" w:ascii="Times New Roman" w:hAnsi="Times New Roman" w:eastAsia="宋体" w:cs="Times New Roman"/>
                <w:color w:val="auto"/>
                <w:sz w:val="24"/>
                <w:highlight w:val="none"/>
              </w:rPr>
              <w:t>PM</w:t>
            </w:r>
            <w:r>
              <w:rPr>
                <w:rFonts w:hint="default" w:ascii="Times New Roman" w:hAnsi="Times New Roman" w:eastAsia="宋体" w:cs="Times New Roman"/>
                <w:color w:val="auto"/>
                <w:sz w:val="24"/>
                <w:highlight w:val="none"/>
                <w:vertAlign w:val="subscript"/>
              </w:rPr>
              <w:t>10</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highlight w:val="none"/>
              </w:rPr>
              <w:t>PM</w:t>
            </w:r>
            <w:r>
              <w:rPr>
                <w:rFonts w:hint="default" w:ascii="Times New Roman" w:hAnsi="Times New Roman" w:eastAsia="宋体" w:cs="Times New Roman"/>
                <w:color w:val="auto"/>
                <w:sz w:val="24"/>
                <w:highlight w:val="none"/>
                <w:vertAlign w:val="subscript"/>
              </w:rPr>
              <w:t>2.5</w:t>
            </w:r>
            <w:r>
              <w:rPr>
                <w:rFonts w:hint="default" w:ascii="Times New Roman" w:hAnsi="Times New Roman" w:eastAsia="宋体" w:cs="Times New Roman"/>
                <w:color w:val="auto"/>
                <w:sz w:val="24"/>
              </w:rPr>
              <w:t>、O</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color w:val="auto"/>
                <w:sz w:val="24"/>
              </w:rPr>
              <w:t>执行《环境空气质量标准》</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rPr>
              <w:t>GB3095-2012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rPr>
              <w:t>中二级标准，根据《环境影响评价技术导则大气环境》</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rPr>
              <w:t>HJ2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rPr>
              <w:t>2-2018</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rPr>
              <w:t>，项目所在区域达标情况判定优先采用</w:t>
            </w:r>
            <w:r>
              <w:rPr>
                <w:rFonts w:hint="default" w:ascii="Times New Roman" w:hAnsi="Times New Roman" w:eastAsia="宋体" w:cs="Times New Roman"/>
                <w:color w:val="auto"/>
                <w:sz w:val="24"/>
                <w:shd w:val="clear" w:fill="auto"/>
              </w:rPr>
              <w:t>国家</w:t>
            </w:r>
            <w:r>
              <w:rPr>
                <w:rFonts w:hint="default" w:ascii="Times New Roman" w:hAnsi="Times New Roman" w:eastAsia="宋体" w:cs="Times New Roman"/>
                <w:color w:val="auto"/>
                <w:sz w:val="24"/>
              </w:rPr>
              <w:t>或地方生态环境主管部门公开发布的环境质量报告或环境质量报告书中的数据或结论。本次评价选取202</w:t>
            </w:r>
            <w:r>
              <w:rPr>
                <w:rFonts w:hint="default" w:ascii="Times New Roman" w:hAnsi="Times New Roman" w:cs="Times New Roman"/>
                <w:color w:val="auto"/>
                <w:sz w:val="24"/>
                <w:lang w:val="en-US" w:eastAsia="zh-CN"/>
              </w:rPr>
              <w:t>3</w:t>
            </w:r>
            <w:r>
              <w:rPr>
                <w:rFonts w:hint="default" w:ascii="Times New Roman" w:hAnsi="Times New Roman" w:eastAsia="宋体" w:cs="Times New Roman"/>
                <w:color w:val="auto"/>
                <w:sz w:val="24"/>
              </w:rPr>
              <w:t>年作为评价基准年，根据《</w:t>
            </w:r>
            <w:r>
              <w:rPr>
                <w:rFonts w:hint="default" w:ascii="Times New Roman" w:hAnsi="Times New Roman" w:cs="Times New Roman"/>
                <w:color w:val="auto"/>
                <w:sz w:val="24"/>
                <w:lang w:eastAsia="zh-CN"/>
              </w:rPr>
              <w:t>2023年常州市生态环境状况公报</w:t>
            </w:r>
            <w:r>
              <w:rPr>
                <w:rFonts w:hint="default" w:ascii="Times New Roman" w:hAnsi="Times New Roman" w:eastAsia="宋体" w:cs="Times New Roman"/>
                <w:color w:val="auto"/>
                <w:sz w:val="24"/>
              </w:rPr>
              <w:t>》。项目所在区域环境空气质量汇总见下表。</w:t>
            </w:r>
          </w:p>
          <w:p w14:paraId="7AA1432A">
            <w:pPr>
              <w:pStyle w:val="36"/>
              <w:keepNext w:val="0"/>
              <w:keepLines w:val="0"/>
              <w:pageBreakBefore w:val="0"/>
              <w:kinsoku/>
              <w:wordWrap/>
              <w:overflowPunct/>
              <w:topLinePunct w:val="0"/>
              <w:bidi w:val="0"/>
              <w:ind w:left="0"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表3-1</w:t>
            </w:r>
            <w:r>
              <w:rPr>
                <w:rFonts w:hint="default" w:ascii="Times New Roman" w:hAnsi="Times New Roman" w:eastAsia="宋体" w:cs="Times New Roman"/>
                <w:color w:val="auto"/>
                <w:sz w:val="21"/>
                <w:szCs w:val="21"/>
                <w:lang w:val="en-US" w:eastAsia="zh-CN"/>
              </w:rPr>
              <w:t xml:space="preserve"> </w:t>
            </w:r>
            <w:r>
              <w:rPr>
                <w:rFonts w:hint="default" w:ascii="Times New Roman" w:hAnsi="Times New Roman" w:eastAsia="宋体" w:cs="Times New Roman"/>
                <w:color w:val="auto"/>
                <w:sz w:val="21"/>
                <w:szCs w:val="21"/>
              </w:rPr>
              <w:t>区域空气质量现状评价表</w:t>
            </w:r>
          </w:p>
          <w:tbl>
            <w:tblPr>
              <w:tblStyle w:val="17"/>
              <w:tblW w:w="4998"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1066"/>
              <w:gridCol w:w="2504"/>
              <w:gridCol w:w="1568"/>
              <w:gridCol w:w="1869"/>
              <w:gridCol w:w="1347"/>
            </w:tblGrid>
            <w:tr w14:paraId="0CBB4006">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38" w:type="pct"/>
                  <w:tcBorders>
                    <w:left w:val="single" w:color="auto" w:sz="0" w:space="0"/>
                    <w:tl2br w:val="nil"/>
                    <w:tr2bl w:val="nil"/>
                  </w:tcBorders>
                  <w:noWrap w:val="0"/>
                  <w:vAlign w:val="center"/>
                </w:tcPr>
                <w:p w14:paraId="56E7898F">
                  <w:pPr>
                    <w:adjustRightInd w:val="0"/>
                    <w:snapToGrid w:val="0"/>
                    <w:spacing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污染物</w:t>
                  </w:r>
                </w:p>
              </w:tc>
              <w:tc>
                <w:tcPr>
                  <w:tcW w:w="1498" w:type="pct"/>
                  <w:tcBorders>
                    <w:tl2br w:val="nil"/>
                    <w:tr2bl w:val="nil"/>
                  </w:tcBorders>
                  <w:noWrap w:val="0"/>
                  <w:vAlign w:val="center"/>
                </w:tcPr>
                <w:p w14:paraId="6B19CECB">
                  <w:pPr>
                    <w:adjustRightInd w:val="0"/>
                    <w:snapToGrid w:val="0"/>
                    <w:spacing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年平均指标</w:t>
                  </w:r>
                </w:p>
              </w:tc>
              <w:tc>
                <w:tcPr>
                  <w:tcW w:w="938" w:type="pct"/>
                  <w:tcBorders>
                    <w:tl2br w:val="nil"/>
                    <w:tr2bl w:val="nil"/>
                  </w:tcBorders>
                  <w:noWrap w:val="0"/>
                  <w:vAlign w:val="center"/>
                </w:tcPr>
                <w:p w14:paraId="6BA08FBD">
                  <w:pPr>
                    <w:adjustRightInd w:val="0"/>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现状浓度μg/m</w:t>
                  </w:r>
                  <w:r>
                    <w:rPr>
                      <w:rFonts w:hint="default" w:ascii="Times New Roman" w:hAnsi="Times New Roman" w:eastAsia="宋体" w:cs="Times New Roman"/>
                      <w:b/>
                      <w:color w:val="auto"/>
                      <w:sz w:val="21"/>
                      <w:szCs w:val="21"/>
                      <w:highlight w:val="none"/>
                      <w:vertAlign w:val="superscript"/>
                    </w:rPr>
                    <w:t>3</w:t>
                  </w:r>
                </w:p>
              </w:tc>
              <w:tc>
                <w:tcPr>
                  <w:tcW w:w="1118" w:type="pct"/>
                  <w:tcBorders>
                    <w:tl2br w:val="nil"/>
                    <w:tr2bl w:val="nil"/>
                  </w:tcBorders>
                  <w:noWrap w:val="0"/>
                  <w:vAlign w:val="center"/>
                </w:tcPr>
                <w:p w14:paraId="66359E80">
                  <w:pPr>
                    <w:adjustRightInd w:val="0"/>
                    <w:snapToGrid w:val="0"/>
                    <w:spacing w:line="240" w:lineRule="auto"/>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标准限值μg/m</w:t>
                  </w:r>
                  <w:r>
                    <w:rPr>
                      <w:rFonts w:hint="default" w:ascii="Times New Roman" w:hAnsi="Times New Roman" w:eastAsia="宋体" w:cs="Times New Roman"/>
                      <w:b/>
                      <w:color w:val="auto"/>
                      <w:sz w:val="21"/>
                      <w:szCs w:val="21"/>
                      <w:highlight w:val="none"/>
                      <w:vertAlign w:val="superscript"/>
                    </w:rPr>
                    <w:t>3</w:t>
                  </w:r>
                </w:p>
              </w:tc>
              <w:tc>
                <w:tcPr>
                  <w:tcW w:w="806" w:type="pct"/>
                  <w:tcBorders>
                    <w:right w:val="single" w:color="auto" w:sz="4" w:space="0"/>
                    <w:tl2br w:val="nil"/>
                    <w:tr2bl w:val="nil"/>
                  </w:tcBorders>
                  <w:noWrap w:val="0"/>
                  <w:vAlign w:val="center"/>
                </w:tcPr>
                <w:p w14:paraId="6EDE0BE7">
                  <w:pPr>
                    <w:adjustRightInd w:val="0"/>
                    <w:snapToGrid w:val="0"/>
                    <w:spacing w:line="240" w:lineRule="auto"/>
                    <w:jc w:val="center"/>
                    <w:rPr>
                      <w:rFonts w:hint="default" w:ascii="Times New Roman" w:hAnsi="Times New Roman" w:eastAsia="宋体" w:cs="Times New Roman"/>
                      <w:b/>
                      <w:color w:val="auto"/>
                      <w:kern w:val="0"/>
                      <w:sz w:val="21"/>
                      <w:szCs w:val="21"/>
                      <w:highlight w:val="none"/>
                    </w:rPr>
                  </w:pPr>
                  <w:r>
                    <w:rPr>
                      <w:rFonts w:hint="default" w:ascii="Times New Roman" w:hAnsi="Times New Roman" w:eastAsia="宋体" w:cs="Times New Roman"/>
                      <w:b/>
                      <w:color w:val="auto"/>
                      <w:kern w:val="0"/>
                      <w:sz w:val="21"/>
                      <w:szCs w:val="21"/>
                      <w:highlight w:val="none"/>
                    </w:rPr>
                    <w:t>达标情况</w:t>
                  </w:r>
                </w:p>
              </w:tc>
            </w:tr>
            <w:tr w14:paraId="1648AAE1">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38" w:type="pct"/>
                  <w:vMerge w:val="restart"/>
                  <w:tcBorders>
                    <w:left w:val="single" w:color="auto" w:sz="4" w:space="0"/>
                    <w:tl2br w:val="nil"/>
                    <w:tr2bl w:val="nil"/>
                  </w:tcBorders>
                  <w:noWrap w:val="0"/>
                  <w:vAlign w:val="center"/>
                </w:tcPr>
                <w:p w14:paraId="5A17EBFE">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2.5</w:t>
                  </w:r>
                </w:p>
              </w:tc>
              <w:tc>
                <w:tcPr>
                  <w:tcW w:w="1498" w:type="pct"/>
                  <w:tcBorders>
                    <w:tl2br w:val="nil"/>
                    <w:tr2bl w:val="nil"/>
                  </w:tcBorders>
                  <w:noWrap w:val="0"/>
                  <w:vAlign w:val="center"/>
                </w:tcPr>
                <w:p w14:paraId="62B97C9A">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938" w:type="pct"/>
                  <w:tcBorders>
                    <w:tl2br w:val="nil"/>
                    <w:tr2bl w:val="nil"/>
                  </w:tcBorders>
                  <w:noWrap w:val="0"/>
                  <w:vAlign w:val="center"/>
                </w:tcPr>
                <w:p w14:paraId="3B329321">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34</w:t>
                  </w:r>
                </w:p>
              </w:tc>
              <w:tc>
                <w:tcPr>
                  <w:tcW w:w="1118" w:type="pct"/>
                  <w:tcBorders>
                    <w:tl2br w:val="nil"/>
                    <w:tr2bl w:val="nil"/>
                  </w:tcBorders>
                  <w:noWrap w:val="0"/>
                  <w:vAlign w:val="center"/>
                </w:tcPr>
                <w:p w14:paraId="51EFE857">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35</w:t>
                  </w:r>
                </w:p>
              </w:tc>
              <w:tc>
                <w:tcPr>
                  <w:tcW w:w="806" w:type="pct"/>
                  <w:vMerge w:val="restart"/>
                  <w:tcBorders>
                    <w:right w:val="single" w:color="auto" w:sz="4" w:space="0"/>
                    <w:tl2br w:val="nil"/>
                    <w:tr2bl w:val="nil"/>
                  </w:tcBorders>
                  <w:noWrap w:val="0"/>
                  <w:vAlign w:val="center"/>
                </w:tcPr>
                <w:p w14:paraId="75509187">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lang w:val="en-US" w:eastAsia="zh-CN"/>
                    </w:rPr>
                    <w:t>不</w:t>
                  </w:r>
                  <w:r>
                    <w:rPr>
                      <w:rFonts w:hint="default" w:ascii="Times New Roman" w:hAnsi="Times New Roman" w:eastAsia="宋体" w:cs="Times New Roman"/>
                      <w:color w:val="auto"/>
                      <w:kern w:val="0"/>
                      <w:sz w:val="21"/>
                      <w:szCs w:val="21"/>
                      <w:highlight w:val="none"/>
                    </w:rPr>
                    <w:t>达标</w:t>
                  </w:r>
                </w:p>
              </w:tc>
            </w:tr>
            <w:tr w14:paraId="774A20BF">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38" w:type="pct"/>
                  <w:vMerge w:val="continue"/>
                  <w:tcBorders>
                    <w:left w:val="single" w:color="auto" w:sz="4" w:space="0"/>
                    <w:tl2br w:val="nil"/>
                    <w:tr2bl w:val="nil"/>
                  </w:tcBorders>
                  <w:noWrap w:val="0"/>
                  <w:vAlign w:val="center"/>
                </w:tcPr>
                <w:p w14:paraId="3825D9A3">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498" w:type="pct"/>
                  <w:tcBorders>
                    <w:tl2br w:val="nil"/>
                    <w:tr2bl w:val="nil"/>
                  </w:tcBorders>
                  <w:noWrap w:val="0"/>
                  <w:vAlign w:val="center"/>
                </w:tcPr>
                <w:p w14:paraId="6EBC6EB3">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938" w:type="pct"/>
                  <w:tcBorders>
                    <w:tl2br w:val="nil"/>
                    <w:tr2bl w:val="nil"/>
                  </w:tcBorders>
                  <w:noWrap w:val="0"/>
                  <w:vAlign w:val="center"/>
                </w:tcPr>
                <w:p w14:paraId="3EFDA8E7">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6-151</w:t>
                  </w:r>
                </w:p>
              </w:tc>
              <w:tc>
                <w:tcPr>
                  <w:tcW w:w="1118" w:type="pct"/>
                  <w:tcBorders>
                    <w:tl2br w:val="nil"/>
                    <w:tr2bl w:val="nil"/>
                  </w:tcBorders>
                  <w:noWrap w:val="0"/>
                  <w:vAlign w:val="center"/>
                </w:tcPr>
                <w:p w14:paraId="17FBA041">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75</w:t>
                  </w:r>
                </w:p>
              </w:tc>
              <w:tc>
                <w:tcPr>
                  <w:tcW w:w="806" w:type="pct"/>
                  <w:vMerge w:val="continue"/>
                  <w:tcBorders>
                    <w:right w:val="single" w:color="auto" w:sz="4" w:space="0"/>
                    <w:tl2br w:val="nil"/>
                    <w:tr2bl w:val="nil"/>
                  </w:tcBorders>
                  <w:noWrap w:val="0"/>
                  <w:vAlign w:val="center"/>
                </w:tcPr>
                <w:p w14:paraId="17AB9A04">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51C25BE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38" w:type="pct"/>
                  <w:vMerge w:val="restart"/>
                  <w:tcBorders>
                    <w:left w:val="single" w:color="auto" w:sz="4" w:space="0"/>
                    <w:tl2br w:val="nil"/>
                    <w:tr2bl w:val="nil"/>
                  </w:tcBorders>
                  <w:noWrap w:val="0"/>
                  <w:vAlign w:val="center"/>
                </w:tcPr>
                <w:p w14:paraId="12E055D9">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PM</w:t>
                  </w:r>
                  <w:r>
                    <w:rPr>
                      <w:rFonts w:hint="default" w:ascii="Times New Roman" w:hAnsi="Times New Roman" w:eastAsia="宋体" w:cs="Times New Roman"/>
                      <w:color w:val="auto"/>
                      <w:kern w:val="0"/>
                      <w:sz w:val="21"/>
                      <w:szCs w:val="21"/>
                      <w:highlight w:val="none"/>
                      <w:vertAlign w:val="subscript"/>
                    </w:rPr>
                    <w:t>10</w:t>
                  </w:r>
                </w:p>
              </w:tc>
              <w:tc>
                <w:tcPr>
                  <w:tcW w:w="1498" w:type="pct"/>
                  <w:tcBorders>
                    <w:tl2br w:val="nil"/>
                    <w:tr2bl w:val="nil"/>
                  </w:tcBorders>
                  <w:noWrap w:val="0"/>
                  <w:vAlign w:val="center"/>
                </w:tcPr>
                <w:p w14:paraId="35B396EC">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938" w:type="pct"/>
                  <w:tcBorders>
                    <w:tl2br w:val="nil"/>
                    <w:tr2bl w:val="nil"/>
                  </w:tcBorders>
                  <w:noWrap w:val="0"/>
                  <w:vAlign w:val="center"/>
                </w:tcPr>
                <w:p w14:paraId="5589AF28">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57</w:t>
                  </w:r>
                </w:p>
              </w:tc>
              <w:tc>
                <w:tcPr>
                  <w:tcW w:w="1118" w:type="pct"/>
                  <w:tcBorders>
                    <w:tl2br w:val="nil"/>
                    <w:tr2bl w:val="nil"/>
                  </w:tcBorders>
                  <w:noWrap w:val="0"/>
                  <w:vAlign w:val="center"/>
                </w:tcPr>
                <w:p w14:paraId="170DFE2F">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70</w:t>
                  </w:r>
                </w:p>
              </w:tc>
              <w:tc>
                <w:tcPr>
                  <w:tcW w:w="806" w:type="pct"/>
                  <w:vMerge w:val="restart"/>
                  <w:tcBorders>
                    <w:right w:val="single" w:color="auto" w:sz="4" w:space="0"/>
                    <w:tl2br w:val="nil"/>
                    <w:tr2bl w:val="nil"/>
                  </w:tcBorders>
                  <w:noWrap w:val="0"/>
                  <w:vAlign w:val="center"/>
                </w:tcPr>
                <w:p w14:paraId="2ED7F055">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55E349B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38" w:type="pct"/>
                  <w:vMerge w:val="continue"/>
                  <w:tcBorders>
                    <w:left w:val="single" w:color="auto" w:sz="4" w:space="0"/>
                    <w:tl2br w:val="nil"/>
                    <w:tr2bl w:val="nil"/>
                  </w:tcBorders>
                  <w:noWrap w:val="0"/>
                  <w:vAlign w:val="center"/>
                </w:tcPr>
                <w:p w14:paraId="7C2C18DE">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498" w:type="pct"/>
                  <w:tcBorders>
                    <w:tl2br w:val="nil"/>
                    <w:tr2bl w:val="nil"/>
                  </w:tcBorders>
                  <w:noWrap w:val="0"/>
                  <w:vAlign w:val="center"/>
                </w:tcPr>
                <w:p w14:paraId="39C2C445">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938" w:type="pct"/>
                  <w:tcBorders>
                    <w:tl2br w:val="nil"/>
                    <w:tr2bl w:val="nil"/>
                  </w:tcBorders>
                  <w:noWrap w:val="0"/>
                  <w:vAlign w:val="center"/>
                </w:tcPr>
                <w:p w14:paraId="1568FF4A">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12-188</w:t>
                  </w:r>
                </w:p>
              </w:tc>
              <w:tc>
                <w:tcPr>
                  <w:tcW w:w="1118" w:type="pct"/>
                  <w:tcBorders>
                    <w:tl2br w:val="nil"/>
                    <w:tr2bl w:val="nil"/>
                  </w:tcBorders>
                  <w:noWrap w:val="0"/>
                  <w:vAlign w:val="center"/>
                </w:tcPr>
                <w:p w14:paraId="3F1FA065">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150</w:t>
                  </w:r>
                </w:p>
              </w:tc>
              <w:tc>
                <w:tcPr>
                  <w:tcW w:w="806" w:type="pct"/>
                  <w:vMerge w:val="continue"/>
                  <w:tcBorders>
                    <w:right w:val="single" w:color="auto" w:sz="4" w:space="0"/>
                    <w:tl2br w:val="nil"/>
                    <w:tr2bl w:val="nil"/>
                  </w:tcBorders>
                  <w:noWrap w:val="0"/>
                  <w:vAlign w:val="center"/>
                </w:tcPr>
                <w:p w14:paraId="6FA44B53">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1DBA98C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38" w:type="pct"/>
                  <w:vMerge w:val="restart"/>
                  <w:tcBorders>
                    <w:left w:val="single" w:color="auto" w:sz="4" w:space="0"/>
                    <w:tl2br w:val="nil"/>
                    <w:tr2bl w:val="nil"/>
                  </w:tcBorders>
                  <w:noWrap w:val="0"/>
                  <w:vAlign w:val="center"/>
                </w:tcPr>
                <w:p w14:paraId="671D7038">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SO</w:t>
                  </w:r>
                  <w:r>
                    <w:rPr>
                      <w:rFonts w:hint="default" w:ascii="Times New Roman" w:hAnsi="Times New Roman" w:eastAsia="宋体" w:cs="Times New Roman"/>
                      <w:color w:val="auto"/>
                      <w:kern w:val="0"/>
                      <w:sz w:val="21"/>
                      <w:szCs w:val="21"/>
                      <w:highlight w:val="none"/>
                      <w:vertAlign w:val="subscript"/>
                    </w:rPr>
                    <w:t>2</w:t>
                  </w:r>
                </w:p>
              </w:tc>
              <w:tc>
                <w:tcPr>
                  <w:tcW w:w="1498" w:type="pct"/>
                  <w:tcBorders>
                    <w:tl2br w:val="nil"/>
                    <w:tr2bl w:val="nil"/>
                  </w:tcBorders>
                  <w:noWrap w:val="0"/>
                  <w:vAlign w:val="center"/>
                </w:tcPr>
                <w:p w14:paraId="125593C0">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938" w:type="pct"/>
                  <w:tcBorders>
                    <w:tl2br w:val="nil"/>
                    <w:tr2bl w:val="nil"/>
                  </w:tcBorders>
                  <w:noWrap w:val="0"/>
                  <w:vAlign w:val="center"/>
                </w:tcPr>
                <w:p w14:paraId="4FE1BD68">
                  <w:pPr>
                    <w:adjustRightInd w:val="0"/>
                    <w:snapToGrid w:val="0"/>
                    <w:spacing w:line="240" w:lineRule="auto"/>
                    <w:jc w:val="center"/>
                    <w:rPr>
                      <w:rFonts w:hint="default" w:ascii="Times New Roman" w:hAnsi="Times New Roman" w:eastAsia="宋体" w:cs="Times New Roman"/>
                      <w:color w:val="auto"/>
                      <w:kern w:val="0"/>
                      <w:sz w:val="21"/>
                      <w:szCs w:val="21"/>
                      <w:highlight w:val="none"/>
                      <w:lang w:eastAsia="zh-CN"/>
                    </w:rPr>
                  </w:pPr>
                  <w:r>
                    <w:rPr>
                      <w:rFonts w:hint="default" w:ascii="Times New Roman" w:hAnsi="Times New Roman" w:eastAsia="宋体" w:cs="Times New Roman"/>
                      <w:color w:val="auto"/>
                      <w:kern w:val="0"/>
                      <w:sz w:val="21"/>
                      <w:szCs w:val="21"/>
                      <w:highlight w:val="none"/>
                      <w:lang w:val="en-US" w:eastAsia="zh-CN"/>
                    </w:rPr>
                    <w:t>8</w:t>
                  </w:r>
                </w:p>
              </w:tc>
              <w:tc>
                <w:tcPr>
                  <w:tcW w:w="1118" w:type="pct"/>
                  <w:tcBorders>
                    <w:tl2br w:val="nil"/>
                    <w:tr2bl w:val="nil"/>
                  </w:tcBorders>
                  <w:noWrap w:val="0"/>
                  <w:vAlign w:val="center"/>
                </w:tcPr>
                <w:p w14:paraId="586783AB">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60</w:t>
                  </w:r>
                </w:p>
              </w:tc>
              <w:tc>
                <w:tcPr>
                  <w:tcW w:w="806" w:type="pct"/>
                  <w:vMerge w:val="restart"/>
                  <w:tcBorders>
                    <w:right w:val="single" w:color="auto" w:sz="4" w:space="0"/>
                    <w:tl2br w:val="nil"/>
                    <w:tr2bl w:val="nil"/>
                  </w:tcBorders>
                  <w:noWrap w:val="0"/>
                  <w:vAlign w:val="center"/>
                </w:tcPr>
                <w:p w14:paraId="2D016F8E">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082CF0F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38" w:type="pct"/>
                  <w:vMerge w:val="continue"/>
                  <w:tcBorders>
                    <w:left w:val="single" w:color="auto" w:sz="4" w:space="0"/>
                    <w:tl2br w:val="nil"/>
                    <w:tr2bl w:val="nil"/>
                  </w:tcBorders>
                  <w:noWrap w:val="0"/>
                  <w:vAlign w:val="center"/>
                </w:tcPr>
                <w:p w14:paraId="07BE226C">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498" w:type="pct"/>
                  <w:tcBorders>
                    <w:tl2br w:val="nil"/>
                    <w:tr2bl w:val="nil"/>
                  </w:tcBorders>
                  <w:noWrap w:val="0"/>
                  <w:vAlign w:val="center"/>
                </w:tcPr>
                <w:p w14:paraId="144E1EF1">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938" w:type="pct"/>
                  <w:tcBorders>
                    <w:tl2br w:val="nil"/>
                    <w:tr2bl w:val="nil"/>
                  </w:tcBorders>
                  <w:noWrap w:val="0"/>
                  <w:vAlign w:val="center"/>
                </w:tcPr>
                <w:p w14:paraId="32F1CC57">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4-17</w:t>
                  </w:r>
                </w:p>
              </w:tc>
              <w:tc>
                <w:tcPr>
                  <w:tcW w:w="1118" w:type="pct"/>
                  <w:tcBorders>
                    <w:tl2br w:val="nil"/>
                    <w:tr2bl w:val="nil"/>
                  </w:tcBorders>
                  <w:noWrap w:val="0"/>
                  <w:vAlign w:val="center"/>
                </w:tcPr>
                <w:p w14:paraId="43D0592C">
                  <w:pPr>
                    <w:keepNext w:val="0"/>
                    <w:keepLines w:val="0"/>
                    <w:suppressLineNumbers w:val="0"/>
                    <w:snapToGrid w:val="0"/>
                    <w:spacing w:before="0" w:beforeAutospacing="0" w:after="0" w:afterAutospacing="0" w:line="240" w:lineRule="auto"/>
                    <w:ind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150</w:t>
                  </w:r>
                </w:p>
              </w:tc>
              <w:tc>
                <w:tcPr>
                  <w:tcW w:w="806" w:type="pct"/>
                  <w:vMerge w:val="continue"/>
                  <w:tcBorders>
                    <w:right w:val="single" w:color="auto" w:sz="4" w:space="0"/>
                    <w:tl2br w:val="nil"/>
                    <w:tr2bl w:val="nil"/>
                  </w:tcBorders>
                  <w:noWrap w:val="0"/>
                  <w:vAlign w:val="center"/>
                </w:tcPr>
                <w:p w14:paraId="23778DE9">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05B8C5D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38" w:type="pct"/>
                  <w:vMerge w:val="restart"/>
                  <w:tcBorders>
                    <w:left w:val="single" w:color="auto" w:sz="4" w:space="0"/>
                    <w:tl2br w:val="nil"/>
                    <w:tr2bl w:val="nil"/>
                  </w:tcBorders>
                  <w:noWrap w:val="0"/>
                  <w:vAlign w:val="center"/>
                </w:tcPr>
                <w:p w14:paraId="2E6CAD7E">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NO</w:t>
                  </w:r>
                  <w:r>
                    <w:rPr>
                      <w:rFonts w:hint="default" w:ascii="Times New Roman" w:hAnsi="Times New Roman" w:eastAsia="宋体" w:cs="Times New Roman"/>
                      <w:color w:val="auto"/>
                      <w:kern w:val="0"/>
                      <w:sz w:val="21"/>
                      <w:szCs w:val="21"/>
                      <w:highlight w:val="none"/>
                      <w:vertAlign w:val="subscript"/>
                    </w:rPr>
                    <w:t>2</w:t>
                  </w:r>
                </w:p>
              </w:tc>
              <w:tc>
                <w:tcPr>
                  <w:tcW w:w="1498" w:type="pct"/>
                  <w:tcBorders>
                    <w:tl2br w:val="nil"/>
                    <w:tr2bl w:val="nil"/>
                  </w:tcBorders>
                  <w:noWrap w:val="0"/>
                  <w:vAlign w:val="center"/>
                </w:tcPr>
                <w:p w14:paraId="0F9A08E8">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年平均质量浓度</w:t>
                  </w:r>
                </w:p>
              </w:tc>
              <w:tc>
                <w:tcPr>
                  <w:tcW w:w="938" w:type="pct"/>
                  <w:tcBorders>
                    <w:tl2br w:val="nil"/>
                    <w:tr2bl w:val="nil"/>
                  </w:tcBorders>
                  <w:noWrap w:val="0"/>
                  <w:vAlign w:val="center"/>
                </w:tcPr>
                <w:p w14:paraId="4B4A2E63">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30</w:t>
                  </w:r>
                </w:p>
              </w:tc>
              <w:tc>
                <w:tcPr>
                  <w:tcW w:w="1118" w:type="pct"/>
                  <w:tcBorders>
                    <w:tl2br w:val="nil"/>
                    <w:tr2bl w:val="nil"/>
                  </w:tcBorders>
                  <w:noWrap w:val="0"/>
                  <w:vAlign w:val="center"/>
                </w:tcPr>
                <w:p w14:paraId="477AFAED">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w:t>
                  </w:r>
                </w:p>
              </w:tc>
              <w:tc>
                <w:tcPr>
                  <w:tcW w:w="806" w:type="pct"/>
                  <w:vMerge w:val="restart"/>
                  <w:tcBorders>
                    <w:right w:val="single" w:color="auto" w:sz="4" w:space="0"/>
                    <w:tl2br w:val="nil"/>
                    <w:tr2bl w:val="nil"/>
                  </w:tcBorders>
                  <w:noWrap w:val="0"/>
                  <w:vAlign w:val="center"/>
                </w:tcPr>
                <w:p w14:paraId="08C4E97E">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35AC583D">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38" w:type="pct"/>
                  <w:vMerge w:val="continue"/>
                  <w:tcBorders>
                    <w:left w:val="single" w:color="auto" w:sz="4" w:space="0"/>
                    <w:tl2br w:val="nil"/>
                    <w:tr2bl w:val="nil"/>
                  </w:tcBorders>
                  <w:noWrap w:val="0"/>
                  <w:vAlign w:val="center"/>
                </w:tcPr>
                <w:p w14:paraId="6ECF8470">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c>
                <w:tcPr>
                  <w:tcW w:w="1498" w:type="pct"/>
                  <w:tcBorders>
                    <w:tl2br w:val="nil"/>
                    <w:tr2bl w:val="nil"/>
                  </w:tcBorders>
                  <w:noWrap w:val="0"/>
                  <w:vAlign w:val="center"/>
                </w:tcPr>
                <w:p w14:paraId="5BF7BE52">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日平均浓度</w:t>
                  </w:r>
                </w:p>
              </w:tc>
              <w:tc>
                <w:tcPr>
                  <w:tcW w:w="938" w:type="pct"/>
                  <w:tcBorders>
                    <w:tl2br w:val="nil"/>
                    <w:tr2bl w:val="nil"/>
                  </w:tcBorders>
                  <w:noWrap w:val="0"/>
                  <w:vAlign w:val="center"/>
                </w:tcPr>
                <w:p w14:paraId="5505EBB4">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6-106</w:t>
                  </w:r>
                </w:p>
              </w:tc>
              <w:tc>
                <w:tcPr>
                  <w:tcW w:w="1118" w:type="pct"/>
                  <w:tcBorders>
                    <w:tl2br w:val="nil"/>
                    <w:tr2bl w:val="nil"/>
                  </w:tcBorders>
                  <w:noWrap w:val="0"/>
                  <w:vAlign w:val="center"/>
                </w:tcPr>
                <w:p w14:paraId="596AD2CF">
                  <w:pPr>
                    <w:keepNext w:val="0"/>
                    <w:keepLines w:val="0"/>
                    <w:suppressLineNumbers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rPr>
                    <w:t>80</w:t>
                  </w:r>
                </w:p>
              </w:tc>
              <w:tc>
                <w:tcPr>
                  <w:tcW w:w="806" w:type="pct"/>
                  <w:vMerge w:val="continue"/>
                  <w:tcBorders>
                    <w:right w:val="single" w:color="auto" w:sz="4" w:space="0"/>
                    <w:tl2br w:val="nil"/>
                    <w:tr2bl w:val="nil"/>
                  </w:tcBorders>
                  <w:noWrap w:val="0"/>
                  <w:vAlign w:val="center"/>
                </w:tcPr>
                <w:p w14:paraId="4C670F7B">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p>
              </w:tc>
            </w:tr>
            <w:tr w14:paraId="0BE8AC8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38" w:type="pct"/>
                  <w:tcBorders>
                    <w:left w:val="single" w:color="auto" w:sz="4" w:space="0"/>
                    <w:tl2br w:val="nil"/>
                    <w:tr2bl w:val="nil"/>
                  </w:tcBorders>
                  <w:noWrap w:val="0"/>
                  <w:vAlign w:val="center"/>
                </w:tcPr>
                <w:p w14:paraId="002F7478">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CO</w:t>
                  </w:r>
                </w:p>
              </w:tc>
              <w:tc>
                <w:tcPr>
                  <w:tcW w:w="1498" w:type="pct"/>
                  <w:tcBorders>
                    <w:tl2br w:val="nil"/>
                    <w:tr2bl w:val="nil"/>
                  </w:tcBorders>
                  <w:noWrap w:val="0"/>
                  <w:vAlign w:val="center"/>
                </w:tcPr>
                <w:p w14:paraId="238EF150">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日均值的第95百分位数</w:t>
                  </w:r>
                </w:p>
              </w:tc>
              <w:tc>
                <w:tcPr>
                  <w:tcW w:w="938" w:type="pct"/>
                  <w:tcBorders>
                    <w:tl2br w:val="nil"/>
                    <w:tr2bl w:val="nil"/>
                  </w:tcBorders>
                  <w:noWrap w:val="0"/>
                  <w:vAlign w:val="center"/>
                </w:tcPr>
                <w:p w14:paraId="14670A21">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1100</w:t>
                  </w:r>
                </w:p>
              </w:tc>
              <w:tc>
                <w:tcPr>
                  <w:tcW w:w="1118" w:type="pct"/>
                  <w:tcBorders>
                    <w:tl2br w:val="nil"/>
                    <w:tr2bl w:val="nil"/>
                  </w:tcBorders>
                  <w:noWrap w:val="0"/>
                  <w:vAlign w:val="center"/>
                </w:tcPr>
                <w:p w14:paraId="492F33E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4000</w:t>
                  </w:r>
                </w:p>
              </w:tc>
              <w:tc>
                <w:tcPr>
                  <w:tcW w:w="806" w:type="pct"/>
                  <w:tcBorders>
                    <w:right w:val="single" w:color="auto" w:sz="4" w:space="0"/>
                    <w:tl2br w:val="nil"/>
                    <w:tr2bl w:val="nil"/>
                  </w:tcBorders>
                  <w:noWrap w:val="0"/>
                  <w:vAlign w:val="center"/>
                </w:tcPr>
                <w:p w14:paraId="6028BDE4">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达标</w:t>
                  </w:r>
                </w:p>
              </w:tc>
            </w:tr>
            <w:tr w14:paraId="1ECC763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38" w:type="pct"/>
                  <w:tcBorders>
                    <w:left w:val="single" w:color="auto" w:sz="4" w:space="0"/>
                    <w:tl2br w:val="nil"/>
                    <w:tr2bl w:val="nil"/>
                  </w:tcBorders>
                  <w:noWrap w:val="0"/>
                  <w:vAlign w:val="center"/>
                </w:tcPr>
                <w:p w14:paraId="5ED86682">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O</w:t>
                  </w:r>
                  <w:r>
                    <w:rPr>
                      <w:rFonts w:hint="default" w:ascii="Times New Roman" w:hAnsi="Times New Roman" w:eastAsia="宋体" w:cs="Times New Roman"/>
                      <w:color w:val="auto"/>
                      <w:kern w:val="0"/>
                      <w:sz w:val="21"/>
                      <w:szCs w:val="21"/>
                      <w:highlight w:val="none"/>
                      <w:vertAlign w:val="subscript"/>
                    </w:rPr>
                    <w:t>3</w:t>
                  </w:r>
                </w:p>
              </w:tc>
              <w:tc>
                <w:tcPr>
                  <w:tcW w:w="1498" w:type="pct"/>
                  <w:tcBorders>
                    <w:tl2br w:val="nil"/>
                    <w:tr2bl w:val="nil"/>
                  </w:tcBorders>
                  <w:noWrap w:val="0"/>
                  <w:vAlign w:val="center"/>
                </w:tcPr>
                <w:p w14:paraId="55665670">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日最大8小时滑动平均值的第90百分位数</w:t>
                  </w:r>
                </w:p>
              </w:tc>
              <w:tc>
                <w:tcPr>
                  <w:tcW w:w="938" w:type="pct"/>
                  <w:tcBorders>
                    <w:tl2br w:val="nil"/>
                    <w:tr2bl w:val="nil"/>
                  </w:tcBorders>
                  <w:noWrap w:val="0"/>
                  <w:vAlign w:val="center"/>
                </w:tcPr>
                <w:p w14:paraId="1288EC68">
                  <w:pPr>
                    <w:adjustRightInd w:val="0"/>
                    <w:snapToGrid w:val="0"/>
                    <w:spacing w:line="240" w:lineRule="auto"/>
                    <w:jc w:val="center"/>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174</w:t>
                  </w:r>
                </w:p>
              </w:tc>
              <w:tc>
                <w:tcPr>
                  <w:tcW w:w="1118" w:type="pct"/>
                  <w:tcBorders>
                    <w:tl2br w:val="nil"/>
                    <w:tr2bl w:val="nil"/>
                  </w:tcBorders>
                  <w:noWrap w:val="0"/>
                  <w:vAlign w:val="center"/>
                </w:tcPr>
                <w:p w14:paraId="1FC727EE">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160</w:t>
                  </w:r>
                </w:p>
              </w:tc>
              <w:tc>
                <w:tcPr>
                  <w:tcW w:w="806" w:type="pct"/>
                  <w:tcBorders>
                    <w:right w:val="single" w:color="auto" w:sz="4" w:space="0"/>
                    <w:tl2br w:val="nil"/>
                    <w:tr2bl w:val="nil"/>
                  </w:tcBorders>
                  <w:noWrap w:val="0"/>
                  <w:vAlign w:val="center"/>
                </w:tcPr>
                <w:p w14:paraId="76A9249A">
                  <w:pPr>
                    <w:adjustRightInd w:val="0"/>
                    <w:snapToGrid w:val="0"/>
                    <w:spacing w:line="240" w:lineRule="auto"/>
                    <w:jc w:val="center"/>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不达标</w:t>
                  </w:r>
                </w:p>
              </w:tc>
            </w:tr>
          </w:tbl>
          <w:p w14:paraId="07A2C38A">
            <w:pPr>
              <w:keepNext w:val="0"/>
              <w:keepLines w:val="0"/>
              <w:pageBreakBefore w:val="0"/>
              <w:widowControl w:val="0"/>
              <w:kinsoku/>
              <w:wordWrap/>
              <w:overflowPunct/>
              <w:topLinePunct w:val="0"/>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依据</w:t>
            </w:r>
            <w:r>
              <w:rPr>
                <w:rFonts w:hint="default" w:ascii="Times New Roman" w:hAnsi="Times New Roman" w:eastAsia="宋体" w:cs="Times New Roman"/>
                <w:color w:val="auto"/>
                <w:sz w:val="24"/>
                <w:szCs w:val="24"/>
              </w:rPr>
              <w:t>《环境空气质量标准》</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GB3095-2012</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rPr>
              <w:t>《环境空气质量评价技术规范（试行）》</w:t>
            </w:r>
            <w:r>
              <w:rPr>
                <w:rFonts w:hint="default" w:ascii="Times New Roman" w:hAnsi="Times New Roman" w:eastAsia="宋体" w:cs="Times New Roman"/>
                <w:color w:val="auto"/>
                <w:sz w:val="24"/>
                <w:szCs w:val="24"/>
                <w:highlight w:val="none"/>
              </w:rPr>
              <w:t>（HJ663-2013）</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rPr>
              <w:t>202</w:t>
            </w:r>
            <w:r>
              <w:rPr>
                <w:rFonts w:hint="default" w:ascii="Times New Roman" w:hAnsi="Times New Roman" w:cs="Times New Roman"/>
                <w:color w:val="auto"/>
                <w:sz w:val="24"/>
                <w:szCs w:val="24"/>
                <w:lang w:val="en-US" w:eastAsia="zh-CN"/>
              </w:rPr>
              <w:t>3</w:t>
            </w:r>
            <w:r>
              <w:rPr>
                <w:rFonts w:hint="default" w:ascii="Times New Roman" w:hAnsi="Times New Roman" w:eastAsia="宋体" w:cs="Times New Roman"/>
                <w:color w:val="auto"/>
                <w:sz w:val="24"/>
                <w:szCs w:val="24"/>
              </w:rPr>
              <w:t>年常州市环境空气中S</w:t>
            </w:r>
            <w:r>
              <w:rPr>
                <w:rFonts w:hint="default" w:ascii="Times New Roman" w:hAnsi="Times New Roman" w:eastAsia="宋体" w:cs="Times New Roman"/>
                <w:color w:val="auto"/>
                <w:sz w:val="24"/>
                <w:szCs w:val="24"/>
                <w:highlight w:val="none"/>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rPr>
              <w:t>、N</w:t>
            </w:r>
            <w:r>
              <w:rPr>
                <w:rFonts w:hint="default" w:ascii="Times New Roman" w:hAnsi="Times New Roman" w:eastAsia="宋体" w:cs="Times New Roman"/>
                <w:color w:val="auto"/>
                <w:sz w:val="24"/>
                <w:szCs w:val="24"/>
                <w:highlight w:val="none"/>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rPr>
              <w:t>、CO、</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lang w:val="en-US" w:eastAsia="zh-CN"/>
              </w:rPr>
              <w:t>达标</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rPr>
              <w:t>、O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超标</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根据《环境空气质量评价技术规范（试行）》</w:t>
            </w:r>
            <w:r>
              <w:rPr>
                <w:rFonts w:hint="default" w:ascii="Times New Roman" w:hAnsi="Times New Roman" w:eastAsia="宋体" w:cs="Times New Roman"/>
                <w:color w:val="auto"/>
                <w:sz w:val="24"/>
                <w:szCs w:val="24"/>
                <w:highlight w:val="none"/>
              </w:rPr>
              <w:t>（HJ663-2013）</w:t>
            </w:r>
            <w:r>
              <w:rPr>
                <w:rFonts w:hint="default" w:ascii="Times New Roman" w:hAnsi="Times New Roman" w:eastAsia="宋体" w:cs="Times New Roman"/>
                <w:color w:val="auto"/>
                <w:sz w:val="24"/>
                <w:szCs w:val="24"/>
              </w:rPr>
              <w:t>，S</w:t>
            </w:r>
            <w:r>
              <w:rPr>
                <w:rFonts w:hint="default" w:ascii="Times New Roman" w:hAnsi="Times New Roman" w:eastAsia="宋体" w:cs="Times New Roman"/>
                <w:color w:val="auto"/>
                <w:sz w:val="24"/>
                <w:szCs w:val="24"/>
                <w:highlight w:val="none"/>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rPr>
              <w:t>、N</w:t>
            </w:r>
            <w:r>
              <w:rPr>
                <w:rFonts w:hint="default" w:ascii="Times New Roman" w:hAnsi="Times New Roman" w:eastAsia="宋体" w:cs="Times New Roman"/>
                <w:color w:val="auto"/>
                <w:sz w:val="24"/>
                <w:szCs w:val="24"/>
                <w:highlight w:val="none"/>
              </w:rPr>
              <w:t>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10</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rPr>
              <w:t>PM</w:t>
            </w:r>
            <w:r>
              <w:rPr>
                <w:rFonts w:hint="default" w:ascii="Times New Roman" w:hAnsi="Times New Roman" w:eastAsia="宋体" w:cs="Times New Roman"/>
                <w:color w:val="auto"/>
                <w:sz w:val="24"/>
                <w:szCs w:val="24"/>
                <w:highlight w:val="none"/>
                <w:vertAlign w:val="subscript"/>
              </w:rPr>
              <w:t>2.5</w:t>
            </w:r>
            <w:r>
              <w:rPr>
                <w:rFonts w:hint="default" w:ascii="Times New Roman" w:hAnsi="Times New Roman" w:eastAsia="宋体" w:cs="Times New Roman"/>
                <w:color w:val="auto"/>
                <w:sz w:val="24"/>
                <w:szCs w:val="24"/>
              </w:rPr>
              <w:t>、CO和O</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，6项污染物全部达标即为城市环境空气质量达标，故常州市目前属于环境空气质量不达标区。</w:t>
            </w:r>
          </w:p>
          <w:p w14:paraId="505C4953">
            <w:pPr>
              <w:spacing w:line="360" w:lineRule="auto"/>
              <w:ind w:firstLine="480" w:firstLineChars="200"/>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（2）大气环境质量限期达标规划</w:t>
            </w:r>
          </w:p>
          <w:p w14:paraId="5F145EB7">
            <w:pPr>
              <w:autoSpaceDE w:val="0"/>
              <w:autoSpaceDN w:val="0"/>
              <w:adjustRightIn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为加快改善环境空气质量，常州市人民政府发布了</w:t>
            </w:r>
            <w:r>
              <w:rPr>
                <w:rFonts w:hint="default" w:ascii="Times New Roman" w:hAnsi="Times New Roman" w:eastAsia="宋体" w:cs="Times New Roman"/>
                <w:b w:val="0"/>
                <w:bCs w:val="0"/>
                <w:color w:val="auto"/>
                <w:kern w:val="44"/>
                <w:sz w:val="24"/>
                <w:szCs w:val="24"/>
                <w:lang w:val="en-US" w:eastAsia="zh-CN" w:bidi="ar-SA"/>
              </w:rPr>
              <w:t>《常州市空气质量持续改善行动计划实施方案》（常政发〔2024〕51号）</w:t>
            </w:r>
            <w:r>
              <w:rPr>
                <w:rFonts w:hint="default" w:ascii="Times New Roman" w:hAnsi="Times New Roman" w:eastAsia="宋体" w:cs="Times New Roman"/>
                <w:color w:val="auto"/>
                <w:sz w:val="24"/>
                <w:szCs w:val="24"/>
              </w:rPr>
              <w:t>，进一步提出如下大气污染</w:t>
            </w:r>
            <w:r>
              <w:rPr>
                <w:rFonts w:hint="default" w:ascii="Times New Roman" w:hAnsi="Times New Roman" w:eastAsia="宋体" w:cs="Times New Roman"/>
                <w:color w:val="auto"/>
                <w:sz w:val="24"/>
                <w:szCs w:val="24"/>
                <w:shd w:val="clear" w:fill="auto"/>
              </w:rPr>
              <w:t>防治</w:t>
            </w:r>
            <w:r>
              <w:rPr>
                <w:rFonts w:hint="default" w:ascii="Times New Roman" w:hAnsi="Times New Roman" w:eastAsia="宋体" w:cs="Times New Roman"/>
                <w:color w:val="auto"/>
                <w:sz w:val="24"/>
                <w:szCs w:val="24"/>
              </w:rPr>
              <w:t>工作计划：</w:t>
            </w:r>
          </w:p>
          <w:p w14:paraId="289440FB">
            <w:pPr>
              <w:autoSpaceDE w:val="0"/>
              <w:autoSpaceDN w:val="0"/>
              <w:adjustRightInd w:val="0"/>
              <w:spacing w:line="360" w:lineRule="auto"/>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主要目标是：到2025年，全市PM</w:t>
            </w:r>
            <w:r>
              <w:rPr>
                <w:rFonts w:hint="default" w:ascii="Times New Roman" w:hAnsi="Times New Roman" w:eastAsia="宋体" w:cs="Times New Roman"/>
                <w:b w:val="0"/>
                <w:bCs w:val="0"/>
                <w:color w:val="auto"/>
                <w:kern w:val="44"/>
                <w:sz w:val="24"/>
                <w:szCs w:val="24"/>
                <w:vertAlign w:val="subscript"/>
                <w:lang w:val="en-US" w:eastAsia="zh-CN" w:bidi="ar-SA"/>
              </w:rPr>
              <w:t>2.5</w:t>
            </w:r>
            <w:r>
              <w:rPr>
                <w:rFonts w:hint="default" w:ascii="Times New Roman" w:hAnsi="Times New Roman" w:eastAsia="宋体" w:cs="Times New Roman"/>
                <w:b w:val="0"/>
                <w:bCs w:val="0"/>
                <w:color w:val="auto"/>
                <w:kern w:val="44"/>
                <w:sz w:val="24"/>
                <w:szCs w:val="24"/>
                <w:lang w:val="en-US" w:eastAsia="zh-CN" w:bidi="ar-SA"/>
              </w:rPr>
              <w:t>浓度总体达标，PM</w:t>
            </w:r>
            <w:r>
              <w:rPr>
                <w:rFonts w:hint="default" w:ascii="Times New Roman" w:hAnsi="Times New Roman" w:eastAsia="宋体" w:cs="Times New Roman"/>
                <w:b w:val="0"/>
                <w:bCs w:val="0"/>
                <w:color w:val="auto"/>
                <w:kern w:val="44"/>
                <w:sz w:val="24"/>
                <w:szCs w:val="24"/>
                <w:vertAlign w:val="subscript"/>
                <w:lang w:val="en-US" w:eastAsia="zh-CN" w:bidi="ar-SA"/>
              </w:rPr>
              <w:t>2.5</w:t>
            </w:r>
            <w:r>
              <w:rPr>
                <w:rFonts w:hint="default" w:ascii="Times New Roman" w:hAnsi="Times New Roman" w:eastAsia="宋体" w:cs="Times New Roman"/>
                <w:b w:val="0"/>
                <w:bCs w:val="0"/>
                <w:color w:val="auto"/>
                <w:kern w:val="44"/>
                <w:sz w:val="24"/>
                <w:szCs w:val="24"/>
                <w:lang w:val="en-US" w:eastAsia="zh-CN" w:bidi="ar-SA"/>
              </w:rPr>
              <w:t>浓度比2020年下降10%，基本消除重度及以上污染天气，空气质量持续改善；氮氧化物和VOCs排放总量比2020年分别下降10%以上，完成省下达的减排目标。</w:t>
            </w:r>
          </w:p>
          <w:p w14:paraId="046B0218">
            <w:pPr>
              <w:autoSpaceDE w:val="0"/>
              <w:autoSpaceDN w:val="0"/>
              <w:adjustRightInd w:val="0"/>
              <w:spacing w:line="360" w:lineRule="auto"/>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重点任务：</w:t>
            </w:r>
          </w:p>
          <w:p w14:paraId="19A0DD7C">
            <w:pPr>
              <w:autoSpaceDE w:val="0"/>
              <w:autoSpaceDN w:val="0"/>
              <w:adjustRightInd w:val="0"/>
              <w:spacing w:line="360" w:lineRule="auto"/>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一）坚决遏制“两高”项目盲目发展。按照江苏省“两高”项目分类管理工作要求，严格执行国家、省有关钢铁（炼钢、炼铁）、焦化、电解铝、水泥（熟料）、平板玻璃（不含光伏压延玻璃）和炼化（纳入国家产业规划除外）等行业产业政策标准。到2025年，短流程炼钢产能占比力争达20%以上。</w:t>
            </w:r>
          </w:p>
          <w:p w14:paraId="377221C7">
            <w:pPr>
              <w:autoSpaceDE w:val="0"/>
              <w:autoSpaceDN w:val="0"/>
              <w:adjustRightInd w:val="0"/>
              <w:spacing w:line="360" w:lineRule="auto"/>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（二）加快退出重点行业落后产能。落实《产业结构调整指导目录》，依法依规逐步退出限制类涉气行业工艺和装备、逐步淘汰步进式烧结机和球团竖炉以及半封闭式硅锰合金、镍铁、高碳铬铁、高碳锰铁电炉。</w:t>
            </w:r>
          </w:p>
          <w:p w14:paraId="187F5F60">
            <w:pPr>
              <w:autoSpaceDE w:val="0"/>
              <w:autoSpaceDN w:val="0"/>
              <w:adjustRightInd w:val="0"/>
              <w:spacing w:line="360" w:lineRule="auto"/>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三）推进产业集群、园区绿色转型升级。中小型传统制造企业集中的辖市（区）均要制定涉气产业集群发展规划，严格项目审批，严防污染下乡。针对现有产业集群制定专项整治方案，依法淘汰关停一批、搬迁入园一批、就地改造一批、做优做强一批。</w:t>
            </w:r>
          </w:p>
          <w:p w14:paraId="2582E35F">
            <w:pPr>
              <w:autoSpaceDE w:val="0"/>
              <w:autoSpaceDN w:val="0"/>
              <w:adjustRightInd w:val="0"/>
              <w:spacing w:line="360" w:lineRule="auto"/>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四）优化含VOCs原辅材料和产品结构。严格控制生产和使用高VOCs含量涂料、油墨、胶粘剂、清洗剂等建设项目。加大工业涂装、包装印刷和电子行业清洁原料替代力度。鼓励和推进汽车4S店、大型汽修厂实施水性涂料替代。</w:t>
            </w:r>
          </w:p>
          <w:p w14:paraId="747E85B0">
            <w:pPr>
              <w:autoSpaceDE w:val="0"/>
              <w:autoSpaceDN w:val="0"/>
              <w:adjustRightInd w:val="0"/>
              <w:spacing w:line="360" w:lineRule="auto"/>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五）大力发展新能源和清洁能源。加快推进光伏发电项目建设和公共机构光伏应用，提升全市公共机构光伏应用水平和示范表率功能，因地制宜发展风力发电，统筹发展生物质能，推广建设“光储充检换”一体化充电示范项目，通过光伏优先消纳、余量存入储能、充满之后上网以及储能夜充日放，实现存储就地消纳。到2025年，新能源发电装机规模达到430万千瓦，公共机构新建建筑可安装光伏屋顶面积力争实现光伏覆盖率达到50%。</w:t>
            </w:r>
          </w:p>
          <w:p w14:paraId="3615335E">
            <w:pPr>
              <w:autoSpaceDE w:val="0"/>
              <w:autoSpaceDN w:val="0"/>
              <w:adjustRightInd w:val="0"/>
              <w:spacing w:line="360" w:lineRule="auto"/>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六）严格合理控制煤炭消费总量。原则上不再新增自备燃煤机组，支持自备燃煤机组实施清洁能源替代。未达到能耗强度降低基本目标进度要求的地区，在节能审查等环节对高耗能项目缓批限批。在保障能源安全供应的前提下，继续实施煤炭消费总量控制，鼓励发电向高效、清洁机组倾斜，到2025年全市煤炭消费量较2020年下降5%左右。</w:t>
            </w:r>
          </w:p>
          <w:p w14:paraId="01851A67">
            <w:pPr>
              <w:autoSpaceDE w:val="0"/>
              <w:autoSpaceDN w:val="0"/>
              <w:adjustRightInd w:val="0"/>
              <w:spacing w:line="360" w:lineRule="auto"/>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七）推进燃煤锅炉关停整合和工业炉窑清洁能源替代。充分发挥30万千瓦及以上热电联产电厂的供热能力，对其供热半径30公里范围内的燃煤锅炉和落后燃煤小热电机组（含自备电厂）进行关停或整合。到2025年，淘汰35蒸吨/小时及以下燃煤锅炉，基本淘汰茶水炉、经营性炉灶、储粮烘干设备、农产品加工等燃煤设施。不再新增燃料类煤气发生炉，新改扩建加热炉、热处理炉、干燥炉、熔化炉原则上采用清洁低碳能源。</w:t>
            </w:r>
          </w:p>
          <w:p w14:paraId="4793690D">
            <w:pPr>
              <w:autoSpaceDE w:val="0"/>
              <w:autoSpaceDN w:val="0"/>
              <w:adjustRightInd w:val="0"/>
              <w:spacing w:line="360" w:lineRule="auto"/>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八）推进近零碳园区和近零碳工厂试点建设。重点选择绿色产业园区、外贸出口相对集中的园区、“危污乱散低”综合治理“绿岛”园区、科创产业园区等园区类型和市级及以上绿色工厂，推进近零碳园区、近零碳工厂试点。以近零碳园区为主阵地，同步开展近零碳工厂培育和新型智能微电网、虚拟电厂等新能源应用场景推广试点。鼓励企业参与绿电、绿证交易，打造高比例可再生能源消纳示范区，推广综合能源服务，推进能源梯级利用、余热余压回收、绿色供冷供热，推动园区内源网荷储深度融合。</w:t>
            </w:r>
          </w:p>
          <w:p w14:paraId="69E8AEF0">
            <w:pPr>
              <w:autoSpaceDE w:val="0"/>
              <w:autoSpaceDN w:val="0"/>
              <w:adjustRightInd w:val="0"/>
              <w:spacing w:line="360" w:lineRule="auto"/>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（九）持续优化货物运输结构。到2025年，水路、铁路货运量比2020年分别增长12%和10%左右，铁路集装箱多式联运量年均增长10%以上。全市采取公铁联运等“外集内配”物流方式。</w:t>
            </w:r>
          </w:p>
          <w:p w14:paraId="5AEE38C7">
            <w:pPr>
              <w:autoSpaceDE w:val="0"/>
              <w:autoSpaceDN w:val="0"/>
              <w:adjustRightInd w:val="0"/>
              <w:spacing w:line="360" w:lineRule="auto"/>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实施绿色车轮计划。公共领域新增或更新公交、出租、城市物流配送、轻型环卫等车辆中，新能源汽车或者清洁能源汽车比例不低于80%。加快提升新能源汽车配套基础设施服务保障能力，新建住宅小区停车位立足新能源汽车安全特性100%预留充换电设施接入条件，老旧小区改造应因地制宜同步进行充换电设施改造，积极探索私桩共享模式。制定新能源汽车停车收费优惠政策，落实住宅小区新能源汽车充电电价优惠政策，对新能源汽车实行停车、充电收费优惠。力争提前一年在2024年底前基本淘汰国三及以下排放标准柴油货车。</w:t>
            </w:r>
          </w:p>
          <w:p w14:paraId="13C47B20">
            <w:pPr>
              <w:autoSpaceDE w:val="0"/>
              <w:autoSpaceDN w:val="0"/>
              <w:adjustRightInd w:val="0"/>
              <w:spacing w:line="360" w:lineRule="auto"/>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一）强化非道路移动源综合治理。到2025年，基本淘汰第一阶段及以下排放标准的非道路移动机械，鼓励新增或更新的3吨以下叉车基本实现新能源化；民航机场桥电使用率达95%以上。大力提高岸电使用率，到2025年，主要港口和排放控制区内靠港船舶的岸电使用电量较2020年翻一番。</w:t>
            </w:r>
          </w:p>
          <w:p w14:paraId="0E1B4276">
            <w:pPr>
              <w:autoSpaceDE w:val="0"/>
              <w:autoSpaceDN w:val="0"/>
              <w:adjustRightInd w:val="0"/>
              <w:spacing w:line="360" w:lineRule="auto"/>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二）实施扬尘精细化治理。积极实施“清洁城市行动”。全面取消全市范围内四级道路，进一步提升一、二级道路的比重，重点区域周边道路全部提升为一级道路作业标准。对于部分无法用大型车辆进行作业的区域，要配备一定数量的小型机械化冲洗车、洗扫车，实行人机结合的保洁模式，做到“机械保面、人工保点”。推进5000平方米及以上建筑工地安装视频监控并接入监管平台。鼓励推广使用新能源渣土运输车辆。推广装配式施工，推进“全电工地”试点。</w:t>
            </w:r>
          </w:p>
          <w:p w14:paraId="23911342">
            <w:pPr>
              <w:autoSpaceDE w:val="0"/>
              <w:autoSpaceDN w:val="0"/>
              <w:adjustRightInd w:val="0"/>
              <w:spacing w:line="360" w:lineRule="auto"/>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（十三）推进矿山生态环境综合整治。新建矿山原则上要同步建设专用廊道或采用其他清洁运输方式。对限期整改仍不达标的矿山，根据安全生产、水土保持、生态环境等要求依法关闭或停止生产。</w:t>
            </w:r>
          </w:p>
          <w:p w14:paraId="30E4794B">
            <w:pPr>
              <w:autoSpaceDE w:val="0"/>
              <w:autoSpaceDN w:val="0"/>
              <w:adjustRightInd w:val="0"/>
              <w:spacing w:line="360" w:lineRule="auto"/>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（十四）加强秸秆禁烧和综合利用。到2025年，全市农作物秸秆综合利用率稳定达95%以上。禁止露天焚烧秸秆。综合运用卫星遥感、高清视频监控、无人机等手段，提高秸秆焚烧火点监测及巡查精准度。</w:t>
            </w:r>
          </w:p>
          <w:p w14:paraId="0B799E5E">
            <w:pPr>
              <w:autoSpaceDE w:val="0"/>
              <w:autoSpaceDN w:val="0"/>
              <w:adjustRightInd w:val="0"/>
              <w:spacing w:line="360" w:lineRule="auto"/>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五）强化VOCs全流程、全环节综合治理。鼓励储罐使用低泄漏的呼吸阀、紧急泄压阀，定期开展密封性检测。重点工业园区建立分环节、分物种管控清单，实施高排放关键活性物种“指纹化”监测监控和靶向治理。到2025年，重点工业园区VOCs浓度力争比2021年下降20%。</w:t>
            </w:r>
          </w:p>
          <w:p w14:paraId="48CA1BD9">
            <w:pPr>
              <w:autoSpaceDE w:val="0"/>
              <w:autoSpaceDN w:val="0"/>
              <w:adjustRightInd w:val="0"/>
              <w:spacing w:line="360" w:lineRule="auto"/>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六）实施重点行业超低排放与深度治理。有序推进铸造、垃圾焚烧发电、玻璃、有色、石灰、矿棉等行业深度治理。持续推进煤电机组深度脱硝改造，力争2024年底前完成单机10万千瓦及以上煤电机组深度脱硝改造任务。到2025年底，全市水泥企业基本完成超低排放改造。实施重点行业绩效等级提升行动。</w:t>
            </w:r>
          </w:p>
          <w:p w14:paraId="257A3A42">
            <w:pPr>
              <w:autoSpaceDE w:val="0"/>
              <w:autoSpaceDN w:val="0"/>
              <w:adjustRightInd w:val="0"/>
              <w:spacing w:line="360" w:lineRule="auto"/>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七）推进餐饮油烟、恶臭异味专项整治。加强部门联动，因地制宜解决人民群众反映集中的油烟和恶臭扰民问题。严格居民楼附近餐饮服务单位布局管理。拟开设餐饮服务单位的建筑应设计建设专用烟道。建立重点园区“嗅辨+监测”异味溯源机制。</w:t>
            </w:r>
          </w:p>
          <w:p w14:paraId="2527AE5C">
            <w:pPr>
              <w:autoSpaceDE w:val="0"/>
              <w:autoSpaceDN w:val="0"/>
              <w:adjustRightInd w:val="0"/>
              <w:spacing w:line="360" w:lineRule="auto"/>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八）推动大气氨污染防控。推广氮肥机械深施和低蛋白日粮技术。到2025年，全市主要农作物化肥施用量较2020年削减3%，畜禽粪污综合利用率稳定在95%左右。加强氮肥、纯碱等行业大气氨排放治理。强化工业源烟气脱硫脱硝氨逃逸防控。</w:t>
            </w:r>
          </w:p>
          <w:p w14:paraId="238C91F6">
            <w:pPr>
              <w:autoSpaceDE w:val="0"/>
              <w:autoSpaceDN w:val="0"/>
              <w:adjustRightInd w:val="0"/>
              <w:spacing w:line="360" w:lineRule="auto"/>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（十九）开展区域联防联控和城市空气质量达标管理。积极推进大气污染联防联控机制建设。空气质量未达标的地区编制实施大气环境质量限期达标规划，明确达标路线图及重点任务，并向社会公开。</w:t>
            </w:r>
          </w:p>
          <w:p w14:paraId="1702F54B">
            <w:pPr>
              <w:autoSpaceDE w:val="0"/>
              <w:autoSpaceDN w:val="0"/>
              <w:adjustRightInd w:val="0"/>
              <w:spacing w:line="360" w:lineRule="auto"/>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提升重污染天气应对能力。建立健全市、县两级重污染天气应急预案体系，进一步明确各级政府部门责任分工。结合排污许可制度，确保应急减排清单覆盖所有涉气企业。按照区域预警提示信息，依法依规与同一区域内的城市同步采取应急响应措施。</w:t>
            </w:r>
          </w:p>
          <w:p w14:paraId="3B8FCE32">
            <w:pPr>
              <w:autoSpaceDE w:val="0"/>
              <w:autoSpaceDN w:val="0"/>
              <w:adjustRightInd w:val="0"/>
              <w:spacing w:line="360" w:lineRule="auto"/>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一）强化大气监测和执法监管。加强机场、港口、铁路货场、物流园区、工业园区、产业集群、公路等大气环境监测。依法拓展非现场监管手段应用，探索超标识别、取证和执法的数字化监管模式，强化执法效能评估。</w:t>
            </w:r>
          </w:p>
          <w:p w14:paraId="5482C054">
            <w:pPr>
              <w:autoSpaceDE w:val="0"/>
              <w:autoSpaceDN w:val="0"/>
              <w:adjustRightInd w:val="0"/>
              <w:spacing w:line="360" w:lineRule="auto"/>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（二十二）加强决策科技支撑。持续开展PM2.5和臭氧协同控制科技攻关。推进致臭物质识别、恶臭污染评估和溯源技术方法研究。到2025年，完成排放清单编制并实现逐年更新。推进“一地一策”驻点跟踪研究。</w:t>
            </w:r>
          </w:p>
          <w:p w14:paraId="35017506">
            <w:pPr>
              <w:autoSpaceDE w:val="0"/>
              <w:autoSpaceDN w:val="0"/>
              <w:adjustRightInd w:val="0"/>
              <w:spacing w:line="360" w:lineRule="auto"/>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三）强化标准引领。推动落实大气污染物排放最新标准，重点行业逐步配套技术指南和工程技术规范，研究制定精细化治理方案。在生产、销售、进口、使用等环节严格执行VOCs含量限值标准。进口非道路移动机械和发动机应达到我国现行新生产设备排放标准。</w:t>
            </w:r>
          </w:p>
          <w:p w14:paraId="13699CCD">
            <w:pPr>
              <w:autoSpaceDE w:val="0"/>
              <w:autoSpaceDN w:val="0"/>
              <w:adjustRightInd w:val="0"/>
              <w:spacing w:line="360" w:lineRule="auto"/>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四）完善生态环境资金投入机制。综合运用经济、技术等手段推动老旧车辆退出。按照市场化方式加大传统产业及集群升级、工业污染治理、铁路专用线建设、新能源铁路装备推广等领域信贷融资支持力度。</w:t>
            </w:r>
          </w:p>
          <w:p w14:paraId="6FFEB0E5">
            <w:pPr>
              <w:autoSpaceDE w:val="0"/>
              <w:autoSpaceDN w:val="0"/>
              <w:adjustRightInd w:val="0"/>
              <w:spacing w:line="360" w:lineRule="auto"/>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五）加强组织领导。坚持和加强党对大气污染防治工作的全面领导。各级政府对本行政区域内空气质量负总责，组织制定本地实施方案。市各有关部门要协同配合落实任务分工，出台政策时统筹考虑空气质量持续改善需求。</w:t>
            </w:r>
          </w:p>
          <w:p w14:paraId="4B84BC08">
            <w:pPr>
              <w:autoSpaceDE w:val="0"/>
              <w:autoSpaceDN w:val="0"/>
              <w:adjustRightInd w:val="0"/>
              <w:spacing w:line="360" w:lineRule="auto"/>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六）严格监督考核。将空气质量改善目标完成情况作为深入打好污染防治攻坚战成效考核的重要内容。对超额完成目标的地区给予激励；对未完成目标的地区，从资金分配、项目审批、荣誉表彰、责任追究等方面实施惩戒；对问题突出的地区，视情组织开展约谈督查。</w:t>
            </w:r>
          </w:p>
          <w:p w14:paraId="428DF05E">
            <w:pPr>
              <w:autoSpaceDE w:val="0"/>
              <w:autoSpaceDN w:val="0"/>
              <w:adjustRightInd w:val="0"/>
              <w:spacing w:line="360" w:lineRule="auto"/>
              <w:ind w:firstLine="480" w:firstLineChars="200"/>
              <w:rPr>
                <w:rFonts w:hint="default" w:ascii="Times New Roman" w:hAnsi="Times New Roman" w:eastAsia="宋体" w:cs="Times New Roman"/>
                <w:b w:val="0"/>
                <w:bCs w:val="0"/>
                <w:color w:val="auto"/>
                <w:kern w:val="44"/>
                <w:sz w:val="24"/>
                <w:szCs w:val="24"/>
                <w:lang w:val="en-US" w:eastAsia="zh-CN" w:bidi="ar-SA"/>
              </w:rPr>
            </w:pPr>
            <w:r>
              <w:rPr>
                <w:rFonts w:hint="default" w:ascii="Times New Roman" w:hAnsi="Times New Roman" w:eastAsia="宋体" w:cs="Times New Roman"/>
                <w:b w:val="0"/>
                <w:bCs w:val="0"/>
                <w:color w:val="auto"/>
                <w:kern w:val="44"/>
                <w:sz w:val="24"/>
                <w:szCs w:val="24"/>
                <w:lang w:val="en-US" w:eastAsia="zh-CN" w:bidi="ar-SA"/>
              </w:rPr>
              <w:t>（二十七）推进全民行动。落实《江苏省生态文明教育促进办法》，加强舆论引导和监督，普及大气环境与健康知识。政府带头开展绿色采购，推进使用新能源车辆，全面使用低（无）VOCs含量产品。强化公民环境意识，推动形成简约适度、绿色低碳、文明健康的生活方式，共同改善空气质量。</w:t>
            </w:r>
          </w:p>
          <w:p w14:paraId="7DE5055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通过上述工作的不断推进实施，本项目所在</w:t>
            </w:r>
            <w:r>
              <w:rPr>
                <w:rFonts w:hint="default" w:ascii="Times New Roman" w:hAnsi="Times New Roman" w:eastAsia="宋体" w:cs="Times New Roman"/>
                <w:color w:val="auto"/>
                <w:sz w:val="24"/>
                <w:szCs w:val="24"/>
                <w:lang w:val="en-US" w:eastAsia="zh-CN"/>
              </w:rPr>
              <w:t>区域</w:t>
            </w:r>
            <w:r>
              <w:rPr>
                <w:rFonts w:hint="default" w:ascii="Times New Roman" w:hAnsi="Times New Roman" w:eastAsia="宋体" w:cs="Times New Roman"/>
                <w:color w:val="auto"/>
                <w:sz w:val="24"/>
                <w:szCs w:val="24"/>
              </w:rPr>
              <w:t>空气环境质量将得到持续改善。</w:t>
            </w:r>
          </w:p>
          <w:p w14:paraId="2735B9C5">
            <w:pPr>
              <w:pStyle w:val="25"/>
              <w:keepNext w:val="0"/>
              <w:keepLines w:val="0"/>
              <w:pageBreakBefore w:val="0"/>
              <w:widowControl w:val="0"/>
              <w:kinsoku/>
              <w:wordWrap/>
              <w:overflowPunct/>
              <w:topLinePunct w:val="0"/>
              <w:autoSpaceDE w:val="0"/>
              <w:autoSpaceDN w:val="0"/>
              <w:bidi w:val="0"/>
              <w:adjustRightInd w:val="0"/>
              <w:snapToGrid w:val="0"/>
              <w:spacing w:line="360" w:lineRule="auto"/>
              <w:ind w:right="0"/>
              <w:textAlignment w:val="auto"/>
              <w:rPr>
                <w:rFonts w:hint="default" w:ascii="Times New Roman" w:hAnsi="Times New Roman" w:eastAsia="宋体" w:cs="Times New Roman"/>
                <w:b/>
                <w:bCs w:val="0"/>
                <w:color w:val="auto"/>
                <w:kern w:val="0"/>
                <w:szCs w:val="21"/>
              </w:rPr>
            </w:pPr>
            <w:r>
              <w:rPr>
                <w:rFonts w:hint="default" w:ascii="Times New Roman" w:hAnsi="Times New Roman" w:eastAsia="宋体" w:cs="Times New Roman"/>
                <w:b/>
                <w:bCs w:val="0"/>
                <w:color w:val="auto"/>
                <w:kern w:val="0"/>
                <w:szCs w:val="21"/>
                <w:lang w:val="en-US" w:eastAsia="zh-CN"/>
              </w:rPr>
              <w:t>3.1.2</w:t>
            </w:r>
            <w:r>
              <w:rPr>
                <w:rFonts w:hint="default" w:ascii="Times New Roman" w:hAnsi="Times New Roman" w:eastAsia="宋体" w:cs="Times New Roman"/>
                <w:b/>
                <w:bCs w:val="0"/>
                <w:color w:val="auto"/>
                <w:kern w:val="0"/>
                <w:szCs w:val="21"/>
              </w:rPr>
              <w:t>地表水环境</w:t>
            </w:r>
          </w:p>
          <w:p w14:paraId="78F46E7D">
            <w:pPr>
              <w:pStyle w:val="25"/>
              <w:keepNext w:val="0"/>
              <w:keepLines w:val="0"/>
              <w:pageBreakBefore w:val="0"/>
              <w:widowControl w:val="0"/>
              <w:numPr>
                <w:ilvl w:val="0"/>
                <w:numId w:val="5"/>
              </w:numPr>
              <w:kinsoku/>
              <w:wordWrap/>
              <w:overflowPunct/>
              <w:topLinePunct w:val="0"/>
              <w:autoSpaceDE w:val="0"/>
              <w:autoSpaceDN w:val="0"/>
              <w:bidi w:val="0"/>
              <w:adjustRightInd w:val="0"/>
              <w:snapToGrid w:val="0"/>
              <w:spacing w:line="360" w:lineRule="auto"/>
              <w:ind w:left="0" w:right="0" w:firstLine="480" w:firstLineChars="200"/>
              <w:textAlignment w:val="auto"/>
              <w:rPr>
                <w:rFonts w:hint="default" w:ascii="Times New Roman" w:hAnsi="Times New Roman" w:eastAsia="宋体" w:cs="Times New Roman"/>
                <w:b w:val="0"/>
                <w:bCs/>
                <w:color w:val="auto"/>
                <w:kern w:val="0"/>
                <w:sz w:val="24"/>
                <w:szCs w:val="21"/>
                <w:lang w:val="en-US" w:eastAsia="zh-CN" w:bidi="ar-SA"/>
              </w:rPr>
            </w:pPr>
            <w:r>
              <w:rPr>
                <w:rFonts w:hint="default" w:ascii="Times New Roman" w:hAnsi="Times New Roman" w:eastAsia="宋体" w:cs="Times New Roman"/>
                <w:b w:val="0"/>
                <w:bCs/>
                <w:color w:val="auto"/>
                <w:kern w:val="0"/>
                <w:sz w:val="24"/>
                <w:szCs w:val="21"/>
                <w:lang w:val="en-US" w:eastAsia="zh-CN" w:bidi="ar-SA"/>
              </w:rPr>
              <w:t>区域地表水环境质量达标现状</w:t>
            </w:r>
          </w:p>
          <w:p w14:paraId="74499F18">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kern w:val="0"/>
                <w:sz w:val="24"/>
                <w:szCs w:val="21"/>
                <w:lang w:val="en-US" w:eastAsia="zh-CN" w:bidi="ar-SA"/>
              </w:rPr>
            </w:pPr>
            <w:r>
              <w:rPr>
                <w:rFonts w:hint="default" w:ascii="Times New Roman" w:hAnsi="Times New Roman" w:eastAsia="宋体" w:cs="Times New Roman"/>
                <w:b w:val="0"/>
                <w:bCs/>
                <w:color w:val="auto"/>
                <w:kern w:val="0"/>
                <w:sz w:val="24"/>
                <w:szCs w:val="21"/>
                <w:lang w:val="en-US" w:eastAsia="zh-CN" w:bidi="ar-SA"/>
              </w:rPr>
              <w:t>根据《2023年常州市生态环境状况公报》，</w:t>
            </w:r>
            <w:r>
              <w:rPr>
                <w:rFonts w:hint="default" w:ascii="Times New Roman" w:hAnsi="Times New Roman" w:eastAsia="宋体" w:cs="Times New Roman"/>
                <w:b w:val="0"/>
                <w:bCs/>
                <w:color w:val="auto"/>
                <w:kern w:val="0"/>
                <w:sz w:val="24"/>
                <w:szCs w:val="21"/>
                <w:lang w:val="zh-TW" w:eastAsia="zh-CN" w:bidi="ar-SA"/>
              </w:rPr>
              <w:t>国考、省考断面水质达到或好于</w:t>
            </w:r>
            <w:r>
              <w:rPr>
                <w:rFonts w:hint="default" w:ascii="Times New Roman" w:hAnsi="Times New Roman" w:eastAsia="宋体" w:cs="Times New Roman"/>
                <w:b w:val="0"/>
                <w:bCs/>
                <w:color w:val="auto"/>
                <w:kern w:val="0"/>
                <w:sz w:val="24"/>
                <w:szCs w:val="21"/>
                <w:lang w:val="en-US" w:eastAsia="zh-CN" w:bidi="ar-SA"/>
              </w:rPr>
              <w:t>Ⅲ</w:t>
            </w:r>
            <w:r>
              <w:rPr>
                <w:rFonts w:hint="default" w:ascii="Times New Roman" w:hAnsi="Times New Roman" w:eastAsia="宋体" w:cs="Times New Roman"/>
                <w:b w:val="0"/>
                <w:bCs/>
                <w:color w:val="auto"/>
                <w:kern w:val="0"/>
                <w:sz w:val="24"/>
                <w:szCs w:val="21"/>
                <w:lang w:val="zh-TW" w:eastAsia="zh-CN" w:bidi="ar-SA"/>
              </w:rPr>
              <w:t>类比例超额完成省定考核要求，太湖常州水域连续16年实现安全度夏。长江干流（常州段）水质连续6年稳定Ⅱ类水平，主要入湖河道、集中式饮用水源地水质达到省定考核目标</w:t>
            </w:r>
            <w:r>
              <w:rPr>
                <w:rFonts w:hint="default" w:ascii="Times New Roman" w:hAnsi="Times New Roman" w:eastAsia="宋体" w:cs="Times New Roman"/>
                <w:b w:val="0"/>
                <w:bCs/>
                <w:color w:val="auto"/>
                <w:kern w:val="0"/>
                <w:sz w:val="24"/>
                <w:szCs w:val="21"/>
                <w:lang w:val="en-US" w:eastAsia="zh-CN" w:bidi="ar-SA"/>
              </w:rPr>
              <w:t>。</w:t>
            </w:r>
          </w:p>
          <w:p w14:paraId="1682B5E2">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kern w:val="0"/>
                <w:sz w:val="24"/>
                <w:szCs w:val="21"/>
                <w:lang w:val="en-US" w:eastAsia="zh-CN" w:bidi="ar-SA"/>
              </w:rPr>
            </w:pPr>
            <w:r>
              <w:rPr>
                <w:rFonts w:hint="default" w:ascii="Times New Roman" w:hAnsi="Times New Roman" w:eastAsia="宋体" w:cs="Times New Roman"/>
                <w:b w:val="0"/>
                <w:bCs/>
                <w:color w:val="auto"/>
                <w:kern w:val="0"/>
                <w:sz w:val="24"/>
                <w:szCs w:val="21"/>
                <w:lang w:val="en-US" w:eastAsia="zh-CN" w:bidi="ar-SA"/>
              </w:rPr>
              <w:t>饮用水水源地水质：常州市城市饮用水以集中供水为主，根据《江苏省2023年水生态环境保护工作计划》(苏水治办(202311号)，2023年全市5个县级及以上城市集中式饮用水水源地(含备用)，取水总量为5.11亿吨,全年各次监测均达标。</w:t>
            </w:r>
          </w:p>
          <w:p w14:paraId="344E3D38">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kern w:val="0"/>
                <w:sz w:val="24"/>
                <w:szCs w:val="21"/>
                <w:lang w:val="en-US" w:eastAsia="zh-CN" w:bidi="ar-SA"/>
              </w:rPr>
            </w:pPr>
            <w:r>
              <w:rPr>
                <w:rFonts w:hint="default" w:ascii="Times New Roman" w:hAnsi="Times New Roman" w:eastAsia="宋体" w:cs="Times New Roman"/>
                <w:b w:val="0"/>
                <w:bCs/>
                <w:color w:val="auto"/>
                <w:kern w:val="0"/>
                <w:sz w:val="24"/>
                <w:szCs w:val="21"/>
                <w:lang w:val="en-US" w:eastAsia="zh-CN" w:bidi="ar-SA"/>
              </w:rPr>
              <w:t>国省考断面：2023年，常州市纳入“十四五”国家地表水环境质量考核的20个断面中，年均水质达到或好于《地表水环境质量标准》(GB3838-2002)Ⅲ类标准的断面比例为85%，无劣V类断面。纳入江苏省“十四五”水环境质量目标考核51个断面，年均水质达到或好于Ⅲ类的比例为94.1%，无劣V类断面。</w:t>
            </w:r>
          </w:p>
          <w:p w14:paraId="51357FBB">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kern w:val="0"/>
                <w:sz w:val="24"/>
                <w:szCs w:val="21"/>
                <w:lang w:val="en-US" w:eastAsia="zh-CN" w:bidi="ar-SA"/>
              </w:rPr>
            </w:pPr>
            <w:r>
              <w:rPr>
                <w:rFonts w:hint="default" w:ascii="Times New Roman" w:hAnsi="Times New Roman" w:eastAsia="宋体" w:cs="Times New Roman"/>
                <w:b w:val="0"/>
                <w:bCs/>
                <w:color w:val="auto"/>
                <w:kern w:val="0"/>
                <w:sz w:val="24"/>
                <w:szCs w:val="21"/>
                <w:lang w:val="en-US" w:eastAsia="zh-CN" w:bidi="ar-SA"/>
              </w:rPr>
              <w:t>太湖及入太河流：2023年，我市太湖湖心区断面自太湖治理以来首次达到地表水湖库Ⅲ类标准，其中总磷0.05mg/L，同比下降21.9%，高锰酸盐指数和氨氮分别达到</w:t>
            </w:r>
            <w:r>
              <w:rPr>
                <w:rFonts w:hint="default" w:ascii="Times New Roman" w:hAnsi="Times New Roman" w:eastAsia="宋体" w:cs="Times New Roman"/>
                <w:b w:val="0"/>
                <w:bCs/>
                <w:color w:val="auto"/>
                <w:kern w:val="0"/>
                <w:sz w:val="24"/>
                <w:szCs w:val="21"/>
                <w:lang w:val="zh-TW" w:eastAsia="zh-CN" w:bidi="ar-SA"/>
              </w:rPr>
              <w:t>Ⅱ</w:t>
            </w:r>
            <w:r>
              <w:rPr>
                <w:rFonts w:hint="default" w:ascii="Times New Roman" w:hAnsi="Times New Roman" w:eastAsia="宋体" w:cs="Times New Roman"/>
                <w:b w:val="0"/>
                <w:bCs/>
                <w:color w:val="auto"/>
                <w:kern w:val="0"/>
                <w:sz w:val="24"/>
                <w:szCs w:val="21"/>
                <w:lang w:val="en-US" w:eastAsia="zh-CN" w:bidi="ar-SA"/>
              </w:rPr>
              <w:t>类和Ⅰ类标准。太湖西部区断面总磷0.074mg/L，同比下降16.9%，高锰酸盐指数和氨氮分别达到</w:t>
            </w:r>
            <w:r>
              <w:rPr>
                <w:rFonts w:hint="default" w:ascii="Times New Roman" w:hAnsi="Times New Roman" w:eastAsia="宋体" w:cs="Times New Roman"/>
                <w:b w:val="0"/>
                <w:bCs/>
                <w:color w:val="auto"/>
                <w:kern w:val="0"/>
                <w:sz w:val="24"/>
                <w:szCs w:val="21"/>
                <w:lang w:val="zh-TW" w:eastAsia="zh-CN" w:bidi="ar-SA"/>
              </w:rPr>
              <w:t>Ⅱ</w:t>
            </w:r>
            <w:r>
              <w:rPr>
                <w:rFonts w:hint="default" w:ascii="Times New Roman" w:hAnsi="Times New Roman" w:eastAsia="宋体" w:cs="Times New Roman"/>
                <w:b w:val="0"/>
                <w:bCs/>
                <w:color w:val="auto"/>
                <w:kern w:val="0"/>
                <w:sz w:val="24"/>
                <w:szCs w:val="21"/>
                <w:lang w:val="en-US" w:eastAsia="zh-CN" w:bidi="ar-SA"/>
              </w:rPr>
              <w:t>类和Ⅰ类标准。武进港、漕桥河、太滆运河等3条主要入湖河道氮磷达到省定约束性考核目标。</w:t>
            </w:r>
          </w:p>
          <w:p w14:paraId="0F755E05">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kern w:val="0"/>
                <w:sz w:val="24"/>
                <w:szCs w:val="21"/>
                <w:lang w:val="en-US" w:eastAsia="zh-CN" w:bidi="ar-SA"/>
              </w:rPr>
            </w:pPr>
            <w:r>
              <w:rPr>
                <w:rFonts w:hint="default" w:ascii="Times New Roman" w:hAnsi="Times New Roman" w:eastAsia="宋体" w:cs="Times New Roman"/>
                <w:b w:val="0"/>
                <w:bCs/>
                <w:color w:val="auto"/>
                <w:kern w:val="0"/>
                <w:sz w:val="24"/>
                <w:szCs w:val="21"/>
                <w:lang w:val="en-US" w:eastAsia="zh-CN" w:bidi="ar-SA"/>
              </w:rPr>
              <w:t>长江干流(常州段)及主要通江支流：2023年，长江干流魏村(右岸)断面水质连续六年达到Ⅲ类；新孟河、德胜河、澡港河等3条主要通江支流上5个国省考断面年均水质均达到或优于Ⅲ类。</w:t>
            </w:r>
          </w:p>
          <w:p w14:paraId="3406661A">
            <w:pPr>
              <w:keepNext w:val="0"/>
              <w:keepLines w:val="0"/>
              <w:pageBreakBefore w:val="0"/>
              <w:widowControl w:val="0"/>
              <w:numPr>
                <w:ilvl w:val="0"/>
                <w:numId w:val="5"/>
              </w:numPr>
              <w:kinsoku/>
              <w:wordWrap/>
              <w:overflowPunct/>
              <w:topLinePunct w:val="0"/>
              <w:bidi w:val="0"/>
              <w:adjustRightInd w:val="0"/>
              <w:snapToGrid w:val="0"/>
              <w:spacing w:line="360" w:lineRule="auto"/>
              <w:ind w:left="0" w:leftChars="0" w:firstLine="480" w:firstLineChars="200"/>
              <w:textAlignment w:val="auto"/>
              <w:rPr>
                <w:rFonts w:hint="default" w:ascii="Times New Roman" w:hAnsi="Times New Roman" w:eastAsia="宋体" w:cs="Times New Roman"/>
                <w:b w:val="0"/>
                <w:bCs/>
                <w:color w:val="auto"/>
                <w:kern w:val="0"/>
                <w:sz w:val="24"/>
                <w:szCs w:val="21"/>
                <w:lang w:val="en-US" w:eastAsia="zh-CN" w:bidi="ar-SA"/>
              </w:rPr>
            </w:pPr>
            <w:r>
              <w:rPr>
                <w:rFonts w:hint="default" w:ascii="Times New Roman" w:hAnsi="Times New Roman" w:eastAsia="宋体" w:cs="Times New Roman"/>
                <w:b w:val="0"/>
                <w:bCs/>
                <w:color w:val="auto"/>
                <w:kern w:val="0"/>
                <w:sz w:val="24"/>
                <w:szCs w:val="21"/>
                <w:lang w:val="en-US" w:eastAsia="zh-CN" w:bidi="ar-SA"/>
              </w:rPr>
              <w:t>补充监测</w:t>
            </w:r>
          </w:p>
          <w:p w14:paraId="24C3D981">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 w:val="0"/>
                <w:bCs/>
                <w:color w:val="auto"/>
                <w:kern w:val="0"/>
                <w:sz w:val="24"/>
                <w:szCs w:val="21"/>
                <w:lang w:val="en-US" w:eastAsia="zh-CN" w:bidi="ar-SA"/>
              </w:rPr>
            </w:pPr>
            <w:r>
              <w:rPr>
                <w:rFonts w:hint="default" w:ascii="Times New Roman" w:hAnsi="Times New Roman" w:eastAsia="宋体" w:cs="Times New Roman"/>
                <w:b w:val="0"/>
                <w:bCs/>
                <w:color w:val="auto"/>
                <w:kern w:val="0"/>
                <w:sz w:val="24"/>
                <w:szCs w:val="21"/>
                <w:lang w:val="en-US" w:eastAsia="zh-CN" w:bidi="ar-SA"/>
              </w:rPr>
              <w:t>项目纳污水体通济河水环境质量现状引用《</w:t>
            </w:r>
            <w:r>
              <w:rPr>
                <w:rFonts w:hint="default" w:ascii="Times New Roman" w:hAnsi="Times New Roman" w:cs="Times New Roman"/>
                <w:b w:val="0"/>
                <w:bCs/>
                <w:color w:val="auto"/>
                <w:kern w:val="0"/>
                <w:sz w:val="24"/>
                <w:szCs w:val="24"/>
                <w:lang w:val="en-US" w:eastAsia="zh-CN" w:bidi="ar-SA"/>
              </w:rPr>
              <w:t>常州斯威克光伏新材料有限公司</w:t>
            </w:r>
            <w:r>
              <w:rPr>
                <w:rFonts w:hint="default" w:ascii="Times New Roman" w:hAnsi="Times New Roman" w:eastAsia="宋体" w:cs="Times New Roman"/>
                <w:b w:val="0"/>
                <w:bCs/>
                <w:color w:val="auto"/>
                <w:kern w:val="0"/>
                <w:sz w:val="24"/>
                <w:szCs w:val="24"/>
                <w:lang w:val="en-US" w:eastAsia="zh-CN" w:bidi="ar-SA"/>
              </w:rPr>
              <w:t>项目环境影响报告</w:t>
            </w:r>
            <w:r>
              <w:rPr>
                <w:rFonts w:hint="default" w:ascii="Times New Roman" w:hAnsi="Times New Roman" w:eastAsia="宋体" w:cs="Times New Roman"/>
                <w:b w:val="0"/>
                <w:bCs/>
                <w:color w:val="auto"/>
                <w:kern w:val="0"/>
                <w:sz w:val="24"/>
                <w:szCs w:val="21"/>
                <w:lang w:val="en-US" w:eastAsia="zh-CN" w:bidi="ar-SA"/>
              </w:rPr>
              <w:t>》中通济河水环境检测数据（报告编号为：JCH20220102），监测断面为溪城污水</w:t>
            </w:r>
            <w:r>
              <w:rPr>
                <w:rFonts w:hint="default" w:ascii="Times New Roman" w:hAnsi="Times New Roman" w:cs="Times New Roman"/>
                <w:b w:val="0"/>
                <w:bCs/>
                <w:color w:val="auto"/>
                <w:kern w:val="0"/>
                <w:sz w:val="24"/>
                <w:szCs w:val="21"/>
                <w:lang w:val="en-US" w:eastAsia="zh-CN" w:bidi="ar-SA"/>
              </w:rPr>
              <w:t>处理有限公司</w:t>
            </w:r>
            <w:r>
              <w:rPr>
                <w:rFonts w:hint="default" w:ascii="Times New Roman" w:hAnsi="Times New Roman" w:eastAsia="宋体" w:cs="Times New Roman"/>
                <w:b w:val="0"/>
                <w:bCs/>
                <w:color w:val="auto"/>
                <w:kern w:val="0"/>
                <w:sz w:val="24"/>
                <w:szCs w:val="21"/>
                <w:lang w:val="en-US" w:eastAsia="zh-CN" w:bidi="ar-SA"/>
              </w:rPr>
              <w:t>排污口上游500米及下游1500米处。检测断面布置和检测统计结果详见表3-</w:t>
            </w:r>
            <w:r>
              <w:rPr>
                <w:rFonts w:hint="default" w:ascii="Times New Roman" w:hAnsi="Times New Roman" w:cs="Times New Roman"/>
                <w:b w:val="0"/>
                <w:bCs/>
                <w:color w:val="auto"/>
                <w:kern w:val="0"/>
                <w:sz w:val="24"/>
                <w:szCs w:val="21"/>
                <w:lang w:val="en-US" w:eastAsia="zh-CN" w:bidi="ar-SA"/>
              </w:rPr>
              <w:t>2</w:t>
            </w:r>
            <w:r>
              <w:rPr>
                <w:rFonts w:hint="default" w:ascii="Times New Roman" w:hAnsi="Times New Roman" w:eastAsia="宋体" w:cs="Times New Roman"/>
                <w:b w:val="0"/>
                <w:bCs/>
                <w:color w:val="auto"/>
                <w:kern w:val="0"/>
                <w:sz w:val="24"/>
                <w:szCs w:val="21"/>
                <w:lang w:val="en-US" w:eastAsia="zh-CN" w:bidi="ar-SA"/>
              </w:rPr>
              <w:t>、3-</w:t>
            </w:r>
            <w:r>
              <w:rPr>
                <w:rFonts w:hint="default" w:ascii="Times New Roman" w:hAnsi="Times New Roman" w:cs="Times New Roman"/>
                <w:b w:val="0"/>
                <w:bCs/>
                <w:color w:val="auto"/>
                <w:kern w:val="0"/>
                <w:sz w:val="24"/>
                <w:szCs w:val="21"/>
                <w:lang w:val="en-US" w:eastAsia="zh-CN" w:bidi="ar-SA"/>
              </w:rPr>
              <w:t>3</w:t>
            </w:r>
            <w:r>
              <w:rPr>
                <w:rFonts w:hint="default" w:ascii="Times New Roman" w:hAnsi="Times New Roman" w:eastAsia="宋体" w:cs="Times New Roman"/>
                <w:b w:val="0"/>
                <w:bCs/>
                <w:color w:val="auto"/>
                <w:kern w:val="0"/>
                <w:sz w:val="24"/>
                <w:szCs w:val="21"/>
                <w:lang w:val="en-US" w:eastAsia="zh-CN" w:bidi="ar-SA"/>
              </w:rPr>
              <w:t>。</w:t>
            </w:r>
          </w:p>
          <w:p w14:paraId="07399164">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表3-</w:t>
            </w:r>
            <w:r>
              <w:rPr>
                <w:rFonts w:hint="default" w:ascii="Times New Roman" w:hAnsi="Times New Roman" w:cs="Times New Roman"/>
                <w:b/>
                <w:bCs/>
                <w:color w:val="auto"/>
                <w:szCs w:val="21"/>
                <w:lang w:val="en-US" w:eastAsia="zh-CN"/>
              </w:rPr>
              <w:t>2</w:t>
            </w:r>
            <w:r>
              <w:rPr>
                <w:rFonts w:hint="default" w:ascii="Times New Roman" w:hAnsi="Times New Roman" w:eastAsia="宋体" w:cs="Times New Roman"/>
                <w:b/>
                <w:bCs/>
                <w:color w:val="auto"/>
                <w:szCs w:val="21"/>
              </w:rPr>
              <w:t xml:space="preserve"> 水质</w:t>
            </w:r>
            <w:r>
              <w:rPr>
                <w:rFonts w:hint="default" w:ascii="Times New Roman" w:hAnsi="Times New Roman" w:cs="Times New Roman"/>
                <w:b/>
                <w:bCs/>
                <w:color w:val="auto"/>
                <w:szCs w:val="21"/>
                <w:lang w:eastAsia="zh-CN"/>
              </w:rPr>
              <w:t>监测</w:t>
            </w:r>
            <w:r>
              <w:rPr>
                <w:rFonts w:hint="default" w:ascii="Times New Roman" w:hAnsi="Times New Roman" w:eastAsia="宋体" w:cs="Times New Roman"/>
                <w:b/>
                <w:bCs/>
                <w:color w:val="auto"/>
                <w:szCs w:val="21"/>
              </w:rPr>
              <w:t>断面布置</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70"/>
              <w:gridCol w:w="980"/>
              <w:gridCol w:w="3919"/>
              <w:gridCol w:w="2375"/>
            </w:tblGrid>
            <w:tr w14:paraId="439DB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pct"/>
                  <w:noWrap w:val="0"/>
                  <w:vAlign w:val="center"/>
                </w:tcPr>
                <w:p w14:paraId="17961CC4">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河流名称</w:t>
                  </w:r>
                </w:p>
              </w:tc>
              <w:tc>
                <w:tcPr>
                  <w:tcW w:w="587" w:type="pct"/>
                  <w:noWrap w:val="0"/>
                  <w:vAlign w:val="center"/>
                </w:tcPr>
                <w:p w14:paraId="53FAC869">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断面名称</w:t>
                  </w:r>
                </w:p>
              </w:tc>
              <w:tc>
                <w:tcPr>
                  <w:tcW w:w="2348" w:type="pct"/>
                  <w:noWrap w:val="0"/>
                  <w:vAlign w:val="center"/>
                </w:tcPr>
                <w:p w14:paraId="095058A0">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位置</w:t>
                  </w:r>
                </w:p>
              </w:tc>
              <w:tc>
                <w:tcPr>
                  <w:tcW w:w="1423" w:type="pct"/>
                  <w:noWrap w:val="0"/>
                  <w:vAlign w:val="center"/>
                </w:tcPr>
                <w:p w14:paraId="4F67DCAA">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检测项目</w:t>
                  </w:r>
                </w:p>
              </w:tc>
            </w:tr>
            <w:tr w14:paraId="73727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pct"/>
                  <w:vMerge w:val="restart"/>
                  <w:noWrap w:val="0"/>
                  <w:vAlign w:val="center"/>
                </w:tcPr>
                <w:p w14:paraId="5BF68389">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通济河</w:t>
                  </w:r>
                </w:p>
              </w:tc>
              <w:tc>
                <w:tcPr>
                  <w:tcW w:w="587" w:type="pct"/>
                  <w:noWrap w:val="0"/>
                  <w:vAlign w:val="center"/>
                </w:tcPr>
                <w:p w14:paraId="1664022B">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W1</w:t>
                  </w:r>
                </w:p>
              </w:tc>
              <w:tc>
                <w:tcPr>
                  <w:tcW w:w="2348" w:type="pct"/>
                  <w:noWrap w:val="0"/>
                  <w:vAlign w:val="center"/>
                </w:tcPr>
                <w:p w14:paraId="5B7B048C">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kern w:val="0"/>
                      <w:sz w:val="21"/>
                      <w:szCs w:val="21"/>
                      <w:lang w:val="en-US" w:eastAsia="zh-CN" w:bidi="ar-SA"/>
                    </w:rPr>
                    <w:t>溪城污水</w:t>
                  </w:r>
                  <w:r>
                    <w:rPr>
                      <w:rFonts w:hint="default" w:ascii="Times New Roman" w:hAnsi="Times New Roman" w:cs="Times New Roman"/>
                      <w:b w:val="0"/>
                      <w:bCs/>
                      <w:color w:val="auto"/>
                      <w:kern w:val="0"/>
                      <w:sz w:val="21"/>
                      <w:szCs w:val="21"/>
                      <w:lang w:val="en-US" w:eastAsia="zh-CN" w:bidi="ar-SA"/>
                    </w:rPr>
                    <w:t>处理有限公司</w:t>
                  </w:r>
                  <w:r>
                    <w:rPr>
                      <w:rFonts w:hint="default" w:ascii="Times New Roman" w:hAnsi="Times New Roman" w:eastAsia="宋体" w:cs="Times New Roman"/>
                      <w:color w:val="auto"/>
                      <w:sz w:val="21"/>
                      <w:szCs w:val="21"/>
                    </w:rPr>
                    <w:t>排污口上游500米</w:t>
                  </w:r>
                </w:p>
              </w:tc>
              <w:tc>
                <w:tcPr>
                  <w:tcW w:w="1423" w:type="pct"/>
                  <w:vMerge w:val="restart"/>
                  <w:noWrap w:val="0"/>
                  <w:vAlign w:val="center"/>
                </w:tcPr>
                <w:p w14:paraId="536E4B2E">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pH、COD、NH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-N、TP</w:t>
                  </w:r>
                </w:p>
              </w:tc>
            </w:tr>
            <w:tr w14:paraId="3DD8E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641" w:type="pct"/>
                  <w:vMerge w:val="continue"/>
                  <w:noWrap w:val="0"/>
                  <w:vAlign w:val="center"/>
                </w:tcPr>
                <w:p w14:paraId="6C7290A5">
                  <w:pPr>
                    <w:jc w:val="center"/>
                    <w:rPr>
                      <w:rFonts w:hint="default" w:ascii="Times New Roman" w:hAnsi="Times New Roman" w:eastAsia="宋体" w:cs="Times New Roman"/>
                      <w:color w:val="auto"/>
                      <w:sz w:val="21"/>
                      <w:szCs w:val="21"/>
                    </w:rPr>
                  </w:pPr>
                </w:p>
              </w:tc>
              <w:tc>
                <w:tcPr>
                  <w:tcW w:w="587" w:type="pct"/>
                  <w:noWrap w:val="0"/>
                  <w:vAlign w:val="center"/>
                </w:tcPr>
                <w:p w14:paraId="000D55CD">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W2</w:t>
                  </w:r>
                </w:p>
              </w:tc>
              <w:tc>
                <w:tcPr>
                  <w:tcW w:w="2348" w:type="pct"/>
                  <w:noWrap w:val="0"/>
                  <w:vAlign w:val="center"/>
                </w:tcPr>
                <w:p w14:paraId="4E34BBE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kern w:val="0"/>
                      <w:sz w:val="21"/>
                      <w:szCs w:val="21"/>
                      <w:lang w:val="en-US" w:eastAsia="zh-CN" w:bidi="ar-SA"/>
                    </w:rPr>
                    <w:t>溪城污水</w:t>
                  </w:r>
                  <w:r>
                    <w:rPr>
                      <w:rFonts w:hint="default" w:ascii="Times New Roman" w:hAnsi="Times New Roman" w:cs="Times New Roman"/>
                      <w:b w:val="0"/>
                      <w:bCs/>
                      <w:color w:val="auto"/>
                      <w:kern w:val="0"/>
                      <w:sz w:val="21"/>
                      <w:szCs w:val="21"/>
                      <w:lang w:val="en-US" w:eastAsia="zh-CN" w:bidi="ar-SA"/>
                    </w:rPr>
                    <w:t>处理有限公司</w:t>
                  </w:r>
                  <w:r>
                    <w:rPr>
                      <w:rFonts w:hint="default" w:ascii="Times New Roman" w:hAnsi="Times New Roman" w:eastAsia="宋体" w:cs="Times New Roman"/>
                      <w:color w:val="auto"/>
                      <w:sz w:val="21"/>
                      <w:szCs w:val="21"/>
                    </w:rPr>
                    <w:t>排污口下游</w:t>
                  </w:r>
                  <w:r>
                    <w:rPr>
                      <w:rFonts w:hint="default" w:ascii="Times New Roman" w:hAnsi="Times New Roman" w:eastAsia="宋体" w:cs="Times New Roman"/>
                      <w:color w:val="auto"/>
                      <w:sz w:val="21"/>
                      <w:szCs w:val="21"/>
                      <w:lang w:val="en-US" w:eastAsia="zh-CN"/>
                    </w:rPr>
                    <w:t>15</w:t>
                  </w:r>
                  <w:r>
                    <w:rPr>
                      <w:rFonts w:hint="default" w:ascii="Times New Roman" w:hAnsi="Times New Roman" w:eastAsia="宋体" w:cs="Times New Roman"/>
                      <w:color w:val="auto"/>
                      <w:sz w:val="21"/>
                      <w:szCs w:val="21"/>
                    </w:rPr>
                    <w:t>00米</w:t>
                  </w:r>
                </w:p>
              </w:tc>
              <w:tc>
                <w:tcPr>
                  <w:tcW w:w="1423" w:type="pct"/>
                  <w:vMerge w:val="continue"/>
                  <w:noWrap w:val="0"/>
                  <w:vAlign w:val="center"/>
                </w:tcPr>
                <w:p w14:paraId="75AA6652">
                  <w:pPr>
                    <w:jc w:val="center"/>
                    <w:rPr>
                      <w:rFonts w:hint="default" w:ascii="Times New Roman" w:hAnsi="Times New Roman" w:eastAsia="宋体" w:cs="Times New Roman"/>
                      <w:color w:val="auto"/>
                      <w:sz w:val="21"/>
                      <w:szCs w:val="21"/>
                    </w:rPr>
                  </w:pPr>
                </w:p>
              </w:tc>
            </w:tr>
          </w:tbl>
          <w:p w14:paraId="1AACA787">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highlight w:val="none"/>
                <w:lang w:val="zh-CN"/>
              </w:rPr>
              <w:t>引用数据有效性分析：</w:t>
            </w:r>
            <w:r>
              <w:rPr>
                <w:rFonts w:hint="default" w:ascii="Times New Roman" w:hAnsi="Times New Roman" w:eastAsia="宋体" w:cs="Times New Roman"/>
                <w:color w:val="auto"/>
                <w:sz w:val="24"/>
                <w:highlight w:val="none"/>
                <w:lang w:eastAsia="ja-JP"/>
              </w:rPr>
              <w:t>①</w:t>
            </w:r>
            <w:r>
              <w:rPr>
                <w:rFonts w:hint="default" w:ascii="Times New Roman" w:hAnsi="Times New Roman" w:eastAsia="宋体" w:cs="Times New Roman"/>
                <w:color w:val="auto"/>
                <w:sz w:val="24"/>
                <w:highlight w:val="none"/>
              </w:rPr>
              <w:t>本项目引用数</w:t>
            </w:r>
            <w:r>
              <w:rPr>
                <w:rFonts w:hint="default" w:ascii="Times New Roman" w:hAnsi="Times New Roman" w:eastAsia="宋体" w:cs="Times New Roman"/>
                <w:color w:val="auto"/>
                <w:sz w:val="24"/>
                <w:szCs w:val="24"/>
                <w:highlight w:val="none"/>
              </w:rPr>
              <w:t>据</w:t>
            </w:r>
            <w:r>
              <w:rPr>
                <w:rFonts w:hint="default" w:ascii="Times New Roman" w:hAnsi="Times New Roman" w:cs="Times New Roman"/>
                <w:color w:val="auto"/>
                <w:sz w:val="24"/>
                <w:szCs w:val="24"/>
                <w:highlight w:val="none"/>
                <w:lang w:eastAsia="zh-CN"/>
              </w:rPr>
              <w:t>为</w:t>
            </w:r>
            <w:r>
              <w:rPr>
                <w:rFonts w:hint="default" w:ascii="Times New Roman" w:hAnsi="Times New Roman" w:eastAsia="宋体" w:cs="Times New Roman"/>
                <w:bCs/>
                <w:color w:val="auto"/>
                <w:sz w:val="24"/>
                <w:szCs w:val="24"/>
                <w:lang w:val="en-US" w:eastAsia="zh-CN"/>
              </w:rPr>
              <w:t>2022年2月26日~2月28日</w:t>
            </w:r>
            <w:r>
              <w:rPr>
                <w:rFonts w:hint="default" w:ascii="Times New Roman" w:hAnsi="Times New Roman" w:eastAsia="宋体" w:cs="Times New Roman"/>
                <w:color w:val="auto"/>
                <w:sz w:val="24"/>
                <w:szCs w:val="24"/>
                <w:highlight w:val="none"/>
              </w:rPr>
              <w:t>地表水质量现状的监测数据，引用时间不超过3年，则地表水引用时间有效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ja-JP"/>
              </w:rPr>
              <w:t>②</w:t>
            </w:r>
            <w:r>
              <w:rPr>
                <w:rFonts w:hint="default" w:ascii="Times New Roman" w:hAnsi="Times New Roman" w:eastAsia="宋体" w:cs="Times New Roman"/>
                <w:color w:val="auto"/>
                <w:sz w:val="24"/>
                <w:szCs w:val="24"/>
                <w:highlight w:val="none"/>
              </w:rPr>
              <w:t>项目所在区域内污染源未发生重大变化，则地表水引用数据有效</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eastAsia="ja-JP"/>
              </w:rPr>
              <w:t>③</w:t>
            </w:r>
            <w:r>
              <w:rPr>
                <w:rFonts w:hint="default" w:ascii="Times New Roman" w:hAnsi="Times New Roman" w:eastAsia="宋体" w:cs="Times New Roman"/>
                <w:color w:val="auto"/>
                <w:sz w:val="24"/>
                <w:szCs w:val="24"/>
                <w:highlight w:val="none"/>
              </w:rPr>
              <w:t>引用点位在项目相关评价范围内，则地表水引用点位有效。</w:t>
            </w:r>
          </w:p>
          <w:p w14:paraId="4ED7BA30">
            <w:pPr>
              <w:pStyle w:val="25"/>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ascii="Times New Roman" w:hAnsi="Times New Roman" w:eastAsia="宋体" w:cs="Times New Roman"/>
                <w:b/>
                <w:bCs w:val="0"/>
                <w:color w:val="auto"/>
                <w:kern w:val="0"/>
                <w:sz w:val="21"/>
                <w:szCs w:val="18"/>
              </w:rPr>
            </w:pPr>
            <w:r>
              <w:rPr>
                <w:rFonts w:hint="default" w:ascii="Times New Roman" w:hAnsi="Times New Roman" w:eastAsia="宋体" w:cs="Times New Roman"/>
                <w:b/>
                <w:bCs w:val="0"/>
                <w:color w:val="auto"/>
                <w:kern w:val="0"/>
                <w:sz w:val="21"/>
                <w:szCs w:val="18"/>
              </w:rPr>
              <w:t>表3-</w:t>
            </w:r>
            <w:r>
              <w:rPr>
                <w:rFonts w:hint="default" w:ascii="Times New Roman" w:hAnsi="Times New Roman" w:cs="Times New Roman"/>
                <w:b/>
                <w:bCs w:val="0"/>
                <w:color w:val="auto"/>
                <w:kern w:val="0"/>
                <w:sz w:val="21"/>
                <w:szCs w:val="18"/>
                <w:lang w:val="en-US" w:eastAsia="zh-CN"/>
              </w:rPr>
              <w:t>3</w:t>
            </w:r>
            <w:r>
              <w:rPr>
                <w:rFonts w:hint="default" w:ascii="Times New Roman" w:hAnsi="Times New Roman" w:eastAsia="宋体" w:cs="Times New Roman"/>
                <w:b/>
                <w:bCs w:val="0"/>
                <w:color w:val="auto"/>
                <w:kern w:val="0"/>
                <w:sz w:val="21"/>
                <w:szCs w:val="18"/>
                <w:lang w:val="en-US" w:eastAsia="zh-CN"/>
              </w:rPr>
              <w:t xml:space="preserve"> </w:t>
            </w:r>
            <w:r>
              <w:rPr>
                <w:rFonts w:hint="default" w:ascii="Times New Roman" w:hAnsi="Times New Roman" w:eastAsia="宋体" w:cs="Times New Roman"/>
                <w:b/>
                <w:bCs w:val="0"/>
                <w:color w:val="auto"/>
                <w:kern w:val="0"/>
                <w:sz w:val="21"/>
                <w:szCs w:val="18"/>
              </w:rPr>
              <w:t>地表水环境质量现状监测结果及评价结果单位：mg/L</w:t>
            </w:r>
            <w:r>
              <w:rPr>
                <w:rFonts w:hint="default" w:ascii="Times New Roman" w:hAnsi="Times New Roman" w:eastAsia="宋体" w:cs="Times New Roman"/>
                <w:b/>
                <w:bCs w:val="0"/>
                <w:color w:val="auto"/>
                <w:kern w:val="0"/>
                <w:sz w:val="21"/>
                <w:szCs w:val="18"/>
                <w:shd w:val="clear" w:fill="auto"/>
              </w:rPr>
              <w:t>，</w:t>
            </w:r>
            <w:r>
              <w:rPr>
                <w:rFonts w:hint="default" w:ascii="Times New Roman" w:hAnsi="Times New Roman" w:eastAsia="宋体" w:cs="Times New Roman"/>
                <w:b/>
                <w:bCs w:val="0"/>
                <w:color w:val="auto"/>
                <w:kern w:val="0"/>
                <w:sz w:val="21"/>
                <w:szCs w:val="18"/>
              </w:rPr>
              <w:t>pH除外</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99"/>
              <w:gridCol w:w="731"/>
              <w:gridCol w:w="1244"/>
              <w:gridCol w:w="1514"/>
              <w:gridCol w:w="1319"/>
              <w:gridCol w:w="1417"/>
              <w:gridCol w:w="1418"/>
            </w:tblGrid>
            <w:tr w14:paraId="51415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419" w:type="pct"/>
                  <w:noWrap w:val="0"/>
                  <w:vAlign w:val="center"/>
                </w:tcPr>
                <w:p w14:paraId="347AFAA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河流</w:t>
                  </w:r>
                </w:p>
                <w:p w14:paraId="1B021F0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名称</w:t>
                  </w:r>
                </w:p>
              </w:tc>
              <w:tc>
                <w:tcPr>
                  <w:tcW w:w="438" w:type="pct"/>
                  <w:noWrap w:val="0"/>
                  <w:vAlign w:val="center"/>
                </w:tcPr>
                <w:p w14:paraId="31A00A2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断面</w:t>
                  </w:r>
                </w:p>
              </w:tc>
              <w:tc>
                <w:tcPr>
                  <w:tcW w:w="745" w:type="pct"/>
                  <w:noWrap w:val="0"/>
                  <w:vAlign w:val="center"/>
                </w:tcPr>
                <w:p w14:paraId="2D7A5CB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检测项目</w:t>
                  </w:r>
                </w:p>
              </w:tc>
              <w:tc>
                <w:tcPr>
                  <w:tcW w:w="907" w:type="pct"/>
                  <w:noWrap w:val="0"/>
                  <w:vAlign w:val="center"/>
                </w:tcPr>
                <w:p w14:paraId="7D75190D">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pH（无量纲）</w:t>
                  </w:r>
                </w:p>
              </w:tc>
              <w:tc>
                <w:tcPr>
                  <w:tcW w:w="790" w:type="pct"/>
                  <w:noWrap w:val="0"/>
                  <w:vAlign w:val="center"/>
                </w:tcPr>
                <w:p w14:paraId="32B9256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w:t>
                  </w:r>
                </w:p>
              </w:tc>
              <w:tc>
                <w:tcPr>
                  <w:tcW w:w="849" w:type="pct"/>
                  <w:noWrap w:val="0"/>
                  <w:vAlign w:val="center"/>
                </w:tcPr>
                <w:p w14:paraId="20BBAE0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w:t>
                  </w:r>
                </w:p>
              </w:tc>
              <w:tc>
                <w:tcPr>
                  <w:tcW w:w="849" w:type="pct"/>
                  <w:noWrap w:val="0"/>
                  <w:vAlign w:val="center"/>
                </w:tcPr>
                <w:p w14:paraId="12BEA8C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TP</w:t>
                  </w:r>
                </w:p>
              </w:tc>
            </w:tr>
            <w:tr w14:paraId="4D64B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restart"/>
                  <w:noWrap w:val="0"/>
                  <w:vAlign w:val="center"/>
                </w:tcPr>
                <w:p w14:paraId="2265AAF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通济河</w:t>
                  </w:r>
                </w:p>
              </w:tc>
              <w:tc>
                <w:tcPr>
                  <w:tcW w:w="438" w:type="pct"/>
                  <w:vMerge w:val="restart"/>
                  <w:noWrap w:val="0"/>
                  <w:vAlign w:val="center"/>
                </w:tcPr>
                <w:p w14:paraId="51B2EA9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W1</w:t>
                  </w:r>
                </w:p>
              </w:tc>
              <w:tc>
                <w:tcPr>
                  <w:tcW w:w="745" w:type="pct"/>
                  <w:noWrap w:val="0"/>
                  <w:vAlign w:val="center"/>
                </w:tcPr>
                <w:p w14:paraId="0867FD5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最大值</w:t>
                  </w:r>
                </w:p>
              </w:tc>
              <w:tc>
                <w:tcPr>
                  <w:tcW w:w="907" w:type="pct"/>
                  <w:noWrap w:val="0"/>
                  <w:vAlign w:val="center"/>
                </w:tcPr>
                <w:p w14:paraId="22E5B7B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7.2</w:t>
                  </w:r>
                </w:p>
              </w:tc>
              <w:tc>
                <w:tcPr>
                  <w:tcW w:w="790" w:type="pct"/>
                  <w:noWrap w:val="0"/>
                  <w:vAlign w:val="center"/>
                </w:tcPr>
                <w:p w14:paraId="2327012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23</w:t>
                  </w:r>
                </w:p>
              </w:tc>
              <w:tc>
                <w:tcPr>
                  <w:tcW w:w="849" w:type="pct"/>
                  <w:noWrap w:val="0"/>
                  <w:vAlign w:val="center"/>
                </w:tcPr>
                <w:p w14:paraId="4CB94C4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0.992</w:t>
                  </w:r>
                </w:p>
              </w:tc>
              <w:tc>
                <w:tcPr>
                  <w:tcW w:w="849" w:type="pct"/>
                  <w:noWrap w:val="0"/>
                  <w:vAlign w:val="center"/>
                </w:tcPr>
                <w:p w14:paraId="4A0DC1D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0.11</w:t>
                  </w:r>
                </w:p>
              </w:tc>
            </w:tr>
            <w:tr w14:paraId="2E096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continue"/>
                  <w:noWrap w:val="0"/>
                  <w:vAlign w:val="center"/>
                </w:tcPr>
                <w:p w14:paraId="0B5A7883">
                  <w:pPr>
                    <w:jc w:val="center"/>
                    <w:rPr>
                      <w:rFonts w:hint="default" w:ascii="Times New Roman" w:hAnsi="Times New Roman" w:eastAsia="宋体" w:cs="Times New Roman"/>
                      <w:color w:val="auto"/>
                      <w:szCs w:val="21"/>
                    </w:rPr>
                  </w:pPr>
                </w:p>
              </w:tc>
              <w:tc>
                <w:tcPr>
                  <w:tcW w:w="438" w:type="pct"/>
                  <w:vMerge w:val="continue"/>
                  <w:noWrap w:val="0"/>
                  <w:vAlign w:val="center"/>
                </w:tcPr>
                <w:p w14:paraId="01DB5840">
                  <w:pPr>
                    <w:jc w:val="center"/>
                    <w:rPr>
                      <w:rFonts w:hint="default" w:ascii="Times New Roman" w:hAnsi="Times New Roman" w:eastAsia="宋体" w:cs="Times New Roman"/>
                      <w:color w:val="auto"/>
                      <w:szCs w:val="21"/>
                    </w:rPr>
                  </w:pPr>
                </w:p>
              </w:tc>
              <w:tc>
                <w:tcPr>
                  <w:tcW w:w="745" w:type="pct"/>
                  <w:noWrap w:val="0"/>
                  <w:vAlign w:val="center"/>
                </w:tcPr>
                <w:p w14:paraId="0057BAA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最小值</w:t>
                  </w:r>
                </w:p>
              </w:tc>
              <w:tc>
                <w:tcPr>
                  <w:tcW w:w="907" w:type="pct"/>
                  <w:noWrap w:val="0"/>
                  <w:vAlign w:val="center"/>
                </w:tcPr>
                <w:p w14:paraId="5CBC948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7.1</w:t>
                  </w:r>
                </w:p>
              </w:tc>
              <w:tc>
                <w:tcPr>
                  <w:tcW w:w="790" w:type="pct"/>
                  <w:noWrap w:val="0"/>
                  <w:vAlign w:val="center"/>
                </w:tcPr>
                <w:p w14:paraId="57187A2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20</w:t>
                  </w:r>
                </w:p>
              </w:tc>
              <w:tc>
                <w:tcPr>
                  <w:tcW w:w="849" w:type="pct"/>
                  <w:noWrap w:val="0"/>
                  <w:vAlign w:val="center"/>
                </w:tcPr>
                <w:p w14:paraId="08EF7FF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0.824</w:t>
                  </w:r>
                </w:p>
              </w:tc>
              <w:tc>
                <w:tcPr>
                  <w:tcW w:w="849" w:type="pct"/>
                  <w:noWrap w:val="0"/>
                  <w:vAlign w:val="center"/>
                </w:tcPr>
                <w:p w14:paraId="4E4B9B8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0.07</w:t>
                  </w:r>
                </w:p>
              </w:tc>
            </w:tr>
            <w:tr w14:paraId="7AB2C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continue"/>
                  <w:noWrap w:val="0"/>
                  <w:vAlign w:val="center"/>
                </w:tcPr>
                <w:p w14:paraId="3094C986">
                  <w:pPr>
                    <w:jc w:val="center"/>
                    <w:rPr>
                      <w:rFonts w:hint="default" w:ascii="Times New Roman" w:hAnsi="Times New Roman" w:eastAsia="宋体" w:cs="Times New Roman"/>
                      <w:color w:val="auto"/>
                      <w:szCs w:val="21"/>
                    </w:rPr>
                  </w:pPr>
                </w:p>
              </w:tc>
              <w:tc>
                <w:tcPr>
                  <w:tcW w:w="438" w:type="pct"/>
                  <w:vMerge w:val="continue"/>
                  <w:noWrap w:val="0"/>
                  <w:vAlign w:val="center"/>
                </w:tcPr>
                <w:p w14:paraId="0F128B14">
                  <w:pPr>
                    <w:jc w:val="center"/>
                    <w:rPr>
                      <w:rFonts w:hint="default" w:ascii="Times New Roman" w:hAnsi="Times New Roman" w:eastAsia="宋体" w:cs="Times New Roman"/>
                      <w:color w:val="auto"/>
                      <w:szCs w:val="21"/>
                    </w:rPr>
                  </w:pPr>
                </w:p>
              </w:tc>
              <w:tc>
                <w:tcPr>
                  <w:tcW w:w="745" w:type="pct"/>
                  <w:noWrap w:val="0"/>
                  <w:vAlign w:val="center"/>
                </w:tcPr>
                <w:p w14:paraId="11FF8EDD">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超标率</w:t>
                  </w:r>
                </w:p>
              </w:tc>
              <w:tc>
                <w:tcPr>
                  <w:tcW w:w="907" w:type="pct"/>
                  <w:noWrap w:val="0"/>
                  <w:vAlign w:val="center"/>
                </w:tcPr>
                <w:p w14:paraId="06FEB39A">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790" w:type="pct"/>
                  <w:noWrap w:val="0"/>
                  <w:vAlign w:val="center"/>
                </w:tcPr>
                <w:p w14:paraId="7B435591">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49" w:type="pct"/>
                  <w:noWrap w:val="0"/>
                  <w:vAlign w:val="center"/>
                </w:tcPr>
                <w:p w14:paraId="009F91D5">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49" w:type="pct"/>
                  <w:noWrap w:val="0"/>
                  <w:vAlign w:val="center"/>
                </w:tcPr>
                <w:p w14:paraId="0C9DC48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28AB0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continue"/>
                  <w:noWrap w:val="0"/>
                  <w:vAlign w:val="center"/>
                </w:tcPr>
                <w:p w14:paraId="247171BA">
                  <w:pPr>
                    <w:jc w:val="center"/>
                    <w:rPr>
                      <w:rFonts w:hint="default" w:ascii="Times New Roman" w:hAnsi="Times New Roman" w:eastAsia="宋体" w:cs="Times New Roman"/>
                      <w:color w:val="auto"/>
                      <w:szCs w:val="21"/>
                    </w:rPr>
                  </w:pPr>
                </w:p>
              </w:tc>
              <w:tc>
                <w:tcPr>
                  <w:tcW w:w="438" w:type="pct"/>
                  <w:vMerge w:val="restart"/>
                  <w:noWrap w:val="0"/>
                  <w:vAlign w:val="center"/>
                </w:tcPr>
                <w:p w14:paraId="0636E71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W2</w:t>
                  </w:r>
                </w:p>
              </w:tc>
              <w:tc>
                <w:tcPr>
                  <w:tcW w:w="745" w:type="pct"/>
                  <w:noWrap w:val="0"/>
                  <w:vAlign w:val="center"/>
                </w:tcPr>
                <w:p w14:paraId="3269D55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最大值</w:t>
                  </w:r>
                </w:p>
              </w:tc>
              <w:tc>
                <w:tcPr>
                  <w:tcW w:w="1486" w:type="dxa"/>
                  <w:noWrap w:val="0"/>
                  <w:vAlign w:val="center"/>
                </w:tcPr>
                <w:p w14:paraId="267E0E4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7.2</w:t>
                  </w:r>
                </w:p>
              </w:tc>
              <w:tc>
                <w:tcPr>
                  <w:tcW w:w="1294" w:type="dxa"/>
                  <w:noWrap w:val="0"/>
                  <w:vAlign w:val="center"/>
                </w:tcPr>
                <w:p w14:paraId="7BB2E3C9">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26</w:t>
                  </w:r>
                </w:p>
              </w:tc>
              <w:tc>
                <w:tcPr>
                  <w:tcW w:w="849" w:type="pct"/>
                  <w:noWrap w:val="0"/>
                  <w:vAlign w:val="center"/>
                </w:tcPr>
                <w:p w14:paraId="0DC7686C">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1.12</w:t>
                  </w:r>
                </w:p>
              </w:tc>
              <w:tc>
                <w:tcPr>
                  <w:tcW w:w="1391" w:type="dxa"/>
                  <w:noWrap w:val="0"/>
                  <w:vAlign w:val="center"/>
                </w:tcPr>
                <w:p w14:paraId="63C709CD">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0.14</w:t>
                  </w:r>
                </w:p>
              </w:tc>
            </w:tr>
            <w:tr w14:paraId="4DA00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continue"/>
                  <w:noWrap w:val="0"/>
                  <w:vAlign w:val="center"/>
                </w:tcPr>
                <w:p w14:paraId="18763544">
                  <w:pPr>
                    <w:jc w:val="center"/>
                    <w:rPr>
                      <w:rFonts w:hint="default" w:ascii="Times New Roman" w:hAnsi="Times New Roman" w:eastAsia="宋体" w:cs="Times New Roman"/>
                      <w:color w:val="auto"/>
                      <w:szCs w:val="21"/>
                    </w:rPr>
                  </w:pPr>
                </w:p>
              </w:tc>
              <w:tc>
                <w:tcPr>
                  <w:tcW w:w="438" w:type="pct"/>
                  <w:vMerge w:val="continue"/>
                  <w:noWrap w:val="0"/>
                  <w:vAlign w:val="center"/>
                </w:tcPr>
                <w:p w14:paraId="3EE71EE2">
                  <w:pPr>
                    <w:jc w:val="center"/>
                    <w:rPr>
                      <w:rFonts w:hint="default" w:ascii="Times New Roman" w:hAnsi="Times New Roman" w:eastAsia="宋体" w:cs="Times New Roman"/>
                      <w:color w:val="auto"/>
                      <w:szCs w:val="21"/>
                    </w:rPr>
                  </w:pPr>
                </w:p>
              </w:tc>
              <w:tc>
                <w:tcPr>
                  <w:tcW w:w="745" w:type="pct"/>
                  <w:noWrap w:val="0"/>
                  <w:vAlign w:val="center"/>
                </w:tcPr>
                <w:p w14:paraId="247E33CE">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最小值</w:t>
                  </w:r>
                </w:p>
              </w:tc>
              <w:tc>
                <w:tcPr>
                  <w:tcW w:w="1486" w:type="dxa"/>
                  <w:noWrap w:val="0"/>
                  <w:vAlign w:val="center"/>
                </w:tcPr>
                <w:p w14:paraId="55B1328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7.1</w:t>
                  </w:r>
                </w:p>
              </w:tc>
              <w:tc>
                <w:tcPr>
                  <w:tcW w:w="1294" w:type="dxa"/>
                  <w:noWrap w:val="0"/>
                  <w:vAlign w:val="center"/>
                </w:tcPr>
                <w:p w14:paraId="3D9F9FE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23</w:t>
                  </w:r>
                </w:p>
              </w:tc>
              <w:tc>
                <w:tcPr>
                  <w:tcW w:w="849" w:type="pct"/>
                  <w:noWrap w:val="0"/>
                  <w:vAlign w:val="center"/>
                </w:tcPr>
                <w:p w14:paraId="16EA039D">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0.96</w:t>
                  </w:r>
                </w:p>
              </w:tc>
              <w:tc>
                <w:tcPr>
                  <w:tcW w:w="1391" w:type="dxa"/>
                  <w:noWrap w:val="0"/>
                  <w:vAlign w:val="center"/>
                </w:tcPr>
                <w:p w14:paraId="466C8982">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0.08</w:t>
                  </w:r>
                </w:p>
              </w:tc>
            </w:tr>
            <w:tr w14:paraId="29421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419" w:type="pct"/>
                  <w:vMerge w:val="continue"/>
                  <w:noWrap w:val="0"/>
                  <w:vAlign w:val="center"/>
                </w:tcPr>
                <w:p w14:paraId="6BCB3D4A">
                  <w:pPr>
                    <w:jc w:val="center"/>
                    <w:rPr>
                      <w:rFonts w:hint="default" w:ascii="Times New Roman" w:hAnsi="Times New Roman" w:eastAsia="宋体" w:cs="Times New Roman"/>
                      <w:color w:val="auto"/>
                      <w:szCs w:val="21"/>
                    </w:rPr>
                  </w:pPr>
                </w:p>
              </w:tc>
              <w:tc>
                <w:tcPr>
                  <w:tcW w:w="438" w:type="pct"/>
                  <w:vMerge w:val="continue"/>
                  <w:noWrap w:val="0"/>
                  <w:vAlign w:val="center"/>
                </w:tcPr>
                <w:p w14:paraId="2D646566">
                  <w:pPr>
                    <w:jc w:val="center"/>
                    <w:rPr>
                      <w:rFonts w:hint="default" w:ascii="Times New Roman" w:hAnsi="Times New Roman" w:eastAsia="宋体" w:cs="Times New Roman"/>
                      <w:color w:val="auto"/>
                      <w:szCs w:val="21"/>
                    </w:rPr>
                  </w:pPr>
                </w:p>
              </w:tc>
              <w:tc>
                <w:tcPr>
                  <w:tcW w:w="745" w:type="pct"/>
                  <w:noWrap w:val="0"/>
                  <w:vAlign w:val="center"/>
                </w:tcPr>
                <w:p w14:paraId="44CA4700">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超标率</w:t>
                  </w:r>
                </w:p>
              </w:tc>
              <w:tc>
                <w:tcPr>
                  <w:tcW w:w="907" w:type="pct"/>
                  <w:noWrap w:val="0"/>
                  <w:vAlign w:val="center"/>
                </w:tcPr>
                <w:p w14:paraId="65CAC09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790" w:type="pct"/>
                  <w:noWrap w:val="0"/>
                  <w:vAlign w:val="center"/>
                </w:tcPr>
                <w:p w14:paraId="7720FA87">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49" w:type="pct"/>
                  <w:noWrap w:val="0"/>
                  <w:vAlign w:val="center"/>
                </w:tcPr>
                <w:p w14:paraId="7398E2EF">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c>
                <w:tcPr>
                  <w:tcW w:w="849" w:type="pct"/>
                  <w:noWrap w:val="0"/>
                  <w:vAlign w:val="center"/>
                </w:tcPr>
                <w:p w14:paraId="59354D64">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w:t>
                  </w:r>
                </w:p>
              </w:tc>
            </w:tr>
            <w:tr w14:paraId="20114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602" w:type="pct"/>
                  <w:gridSpan w:val="3"/>
                  <w:noWrap w:val="0"/>
                  <w:vAlign w:val="center"/>
                </w:tcPr>
                <w:p w14:paraId="210E7C0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Ⅳ类标准</w:t>
                  </w:r>
                </w:p>
              </w:tc>
              <w:tc>
                <w:tcPr>
                  <w:tcW w:w="907" w:type="pct"/>
                  <w:noWrap w:val="0"/>
                  <w:vAlign w:val="center"/>
                </w:tcPr>
                <w:p w14:paraId="6673F633">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6～9</w:t>
                  </w:r>
                </w:p>
              </w:tc>
              <w:tc>
                <w:tcPr>
                  <w:tcW w:w="790" w:type="pct"/>
                  <w:noWrap w:val="0"/>
                  <w:vAlign w:val="center"/>
                </w:tcPr>
                <w:p w14:paraId="2D9FA758">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≤30</w:t>
                  </w:r>
                </w:p>
              </w:tc>
              <w:tc>
                <w:tcPr>
                  <w:tcW w:w="849" w:type="pct"/>
                  <w:noWrap w:val="0"/>
                  <w:vAlign w:val="center"/>
                </w:tcPr>
                <w:p w14:paraId="1C74F27B">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w:t>
                  </w:r>
                </w:p>
              </w:tc>
              <w:tc>
                <w:tcPr>
                  <w:tcW w:w="849" w:type="pct"/>
                  <w:noWrap w:val="0"/>
                  <w:vAlign w:val="center"/>
                </w:tcPr>
                <w:p w14:paraId="35ABF66D">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≤0.3</w:t>
                  </w:r>
                </w:p>
              </w:tc>
            </w:tr>
          </w:tbl>
          <w:p w14:paraId="71ECA895">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highlight w:val="none"/>
              </w:rPr>
              <w:t>根据</w:t>
            </w:r>
            <w:r>
              <w:rPr>
                <w:rFonts w:hint="default" w:ascii="Times New Roman" w:hAnsi="Times New Roman" w:eastAsia="宋体" w:cs="Times New Roman"/>
                <w:color w:val="auto"/>
                <w:sz w:val="24"/>
                <w:highlight w:val="none"/>
                <w:lang w:eastAsia="zh-CN"/>
              </w:rPr>
              <w:t>检测</w:t>
            </w:r>
            <w:r>
              <w:rPr>
                <w:rFonts w:hint="default" w:ascii="Times New Roman" w:hAnsi="Times New Roman" w:eastAsia="宋体" w:cs="Times New Roman"/>
                <w:color w:val="auto"/>
                <w:sz w:val="24"/>
                <w:highlight w:val="none"/>
              </w:rPr>
              <w:t>结果，</w:t>
            </w:r>
            <w:r>
              <w:rPr>
                <w:rFonts w:hint="default" w:ascii="Times New Roman" w:hAnsi="Times New Roman" w:eastAsia="宋体" w:cs="Times New Roman"/>
                <w:color w:val="auto"/>
                <w:sz w:val="24"/>
                <w:highlight w:val="none"/>
                <w:lang w:val="en-US" w:eastAsia="zh-CN"/>
              </w:rPr>
              <w:t>通济河</w:t>
            </w:r>
            <w:r>
              <w:rPr>
                <w:rFonts w:hint="default" w:ascii="Times New Roman" w:hAnsi="Times New Roman" w:eastAsia="宋体" w:cs="Times New Roman"/>
                <w:color w:val="auto"/>
                <w:sz w:val="24"/>
                <w:highlight w:val="none"/>
              </w:rPr>
              <w:t>各项监测因子均能达到《地表水环境质量标准》</w:t>
            </w:r>
            <w:r>
              <w:rPr>
                <w:rFonts w:hint="default" w:ascii="Times New Roman" w:hAnsi="Times New Roman" w:eastAsia="宋体" w:cs="Times New Roman"/>
                <w:color w:val="auto"/>
                <w:sz w:val="24"/>
                <w:highlight w:val="none"/>
                <w:shd w:val="clear" w:fill="auto"/>
              </w:rPr>
              <w:t>(</w:t>
            </w:r>
            <w:r>
              <w:rPr>
                <w:rFonts w:hint="default" w:ascii="Times New Roman" w:hAnsi="Times New Roman" w:eastAsia="宋体" w:cs="Times New Roman"/>
                <w:color w:val="auto"/>
                <w:sz w:val="24"/>
                <w:highlight w:val="none"/>
              </w:rPr>
              <w:t>GB 3838-2002</w:t>
            </w:r>
            <w:r>
              <w:rPr>
                <w:rFonts w:hint="default" w:ascii="Times New Roman" w:hAnsi="Times New Roman" w:eastAsia="宋体" w:cs="Times New Roman"/>
                <w:color w:val="auto"/>
                <w:sz w:val="24"/>
                <w:highlight w:val="none"/>
                <w:shd w:val="clear" w:fill="auto"/>
              </w:rPr>
              <w:t>)</w:t>
            </w:r>
            <w:r>
              <w:rPr>
                <w:rFonts w:hint="default" w:ascii="Times New Roman" w:hAnsi="Times New Roman" w:eastAsia="宋体" w:cs="Times New Roman"/>
                <w:color w:val="auto"/>
                <w:szCs w:val="21"/>
              </w:rPr>
              <w:t>Ⅳ</w:t>
            </w:r>
            <w:r>
              <w:rPr>
                <w:rFonts w:hint="default" w:ascii="Times New Roman" w:hAnsi="Times New Roman" w:eastAsia="宋体" w:cs="Times New Roman"/>
                <w:color w:val="auto"/>
                <w:sz w:val="24"/>
                <w:highlight w:val="none"/>
              </w:rPr>
              <w:t>类标准要求，水环境质</w:t>
            </w:r>
            <w:r>
              <w:rPr>
                <w:rFonts w:hint="default" w:ascii="Times New Roman" w:hAnsi="Times New Roman" w:eastAsia="宋体" w:cs="Times New Roman"/>
                <w:color w:val="auto"/>
                <w:sz w:val="24"/>
              </w:rPr>
              <w:t>量良好</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尚有一定的纳污能力。</w:t>
            </w:r>
          </w:p>
          <w:p w14:paraId="242F7D95">
            <w:pPr>
              <w:pStyle w:val="25"/>
              <w:keepNext w:val="0"/>
              <w:keepLines w:val="0"/>
              <w:pageBreakBefore w:val="0"/>
              <w:widowControl w:val="0"/>
              <w:kinsoku/>
              <w:wordWrap/>
              <w:overflowPunct/>
              <w:topLinePunct w:val="0"/>
              <w:autoSpaceDE w:val="0"/>
              <w:autoSpaceDN w:val="0"/>
              <w:bidi w:val="0"/>
              <w:adjustRightInd w:val="0"/>
              <w:snapToGrid/>
              <w:spacing w:line="360" w:lineRule="auto"/>
              <w:ind w:right="0"/>
              <w:textAlignment w:val="auto"/>
              <w:rPr>
                <w:rFonts w:hint="default" w:ascii="Times New Roman" w:hAnsi="Times New Roman" w:eastAsia="宋体" w:cs="Times New Roman"/>
                <w:b/>
                <w:bCs w:val="0"/>
                <w:color w:val="auto"/>
                <w:kern w:val="0"/>
                <w:szCs w:val="21"/>
                <w:lang w:val="en-US" w:eastAsia="zh-CN"/>
              </w:rPr>
            </w:pPr>
            <w:r>
              <w:rPr>
                <w:rFonts w:hint="default" w:ascii="Times New Roman" w:hAnsi="Times New Roman" w:eastAsia="宋体" w:cs="Times New Roman"/>
                <w:b/>
                <w:bCs w:val="0"/>
                <w:color w:val="auto"/>
                <w:kern w:val="0"/>
                <w:szCs w:val="21"/>
                <w:lang w:val="en-US" w:eastAsia="zh-CN"/>
              </w:rPr>
              <w:t>3.1.3声环境</w:t>
            </w:r>
          </w:p>
          <w:p w14:paraId="25763581">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right="0" w:rightChars="0" w:firstLine="480" w:firstLineChars="200"/>
              <w:textAlignment w:val="auto"/>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厂界外50米范围内无声环境保护目标</w:t>
            </w:r>
            <w:r>
              <w:rPr>
                <w:rFonts w:hint="default" w:ascii="Times New Roman" w:hAnsi="Times New Roman" w:eastAsia="宋体" w:cs="Times New Roman"/>
                <w:b w:val="0"/>
                <w:bCs/>
                <w:color w:val="auto"/>
                <w:kern w:val="0"/>
                <w:szCs w:val="21"/>
                <w:lang w:eastAsia="zh-CN"/>
              </w:rPr>
              <w:t>，</w:t>
            </w:r>
            <w:r>
              <w:rPr>
                <w:rFonts w:hint="default" w:ascii="Times New Roman" w:hAnsi="Times New Roman" w:eastAsia="宋体" w:cs="Times New Roman"/>
                <w:b w:val="0"/>
                <w:bCs/>
                <w:color w:val="auto"/>
                <w:kern w:val="0"/>
                <w:szCs w:val="21"/>
              </w:rPr>
              <w:t>无需进行</w:t>
            </w:r>
            <w:r>
              <w:rPr>
                <w:rFonts w:hint="default" w:ascii="Times New Roman" w:hAnsi="Times New Roman" w:cs="Times New Roman"/>
                <w:b w:val="0"/>
                <w:bCs/>
                <w:color w:val="auto"/>
                <w:kern w:val="0"/>
                <w:szCs w:val="21"/>
                <w:lang w:val="en-US" w:eastAsia="zh-CN"/>
              </w:rPr>
              <w:t>声环境</w:t>
            </w:r>
            <w:r>
              <w:rPr>
                <w:rFonts w:hint="default" w:ascii="Times New Roman" w:hAnsi="Times New Roman" w:eastAsia="宋体" w:cs="Times New Roman"/>
                <w:b w:val="0"/>
                <w:bCs/>
                <w:color w:val="auto"/>
                <w:kern w:val="0"/>
                <w:szCs w:val="21"/>
              </w:rPr>
              <w:t>现状调查。</w:t>
            </w:r>
          </w:p>
          <w:p w14:paraId="1B19FAA0">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right="0" w:rightChars="0"/>
              <w:textAlignment w:val="auto"/>
              <w:rPr>
                <w:rFonts w:hint="default" w:ascii="Times New Roman" w:hAnsi="Times New Roman" w:eastAsia="宋体" w:cs="Times New Roman"/>
                <w:b/>
                <w:bCs w:val="0"/>
                <w:color w:val="auto"/>
                <w:kern w:val="0"/>
                <w:szCs w:val="21"/>
              </w:rPr>
            </w:pPr>
            <w:r>
              <w:rPr>
                <w:rFonts w:hint="default" w:ascii="Times New Roman" w:hAnsi="Times New Roman" w:eastAsia="宋体" w:cs="Times New Roman"/>
                <w:b/>
                <w:bCs w:val="0"/>
                <w:color w:val="auto"/>
                <w:kern w:val="0"/>
                <w:szCs w:val="21"/>
                <w:lang w:val="en-US" w:eastAsia="zh-CN"/>
              </w:rPr>
              <w:t>3.1.4</w:t>
            </w:r>
            <w:r>
              <w:rPr>
                <w:rFonts w:hint="default" w:ascii="Times New Roman" w:hAnsi="Times New Roman" w:eastAsia="宋体" w:cs="Times New Roman"/>
                <w:b/>
                <w:bCs w:val="0"/>
                <w:color w:val="auto"/>
                <w:kern w:val="0"/>
                <w:szCs w:val="21"/>
              </w:rPr>
              <w:t>生态环境</w:t>
            </w:r>
          </w:p>
          <w:p w14:paraId="42678154">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right="0" w:rightChars="0" w:firstLine="480" w:firstLineChars="200"/>
              <w:textAlignment w:val="auto"/>
              <w:rPr>
                <w:rFonts w:hint="default" w:ascii="Times New Roman" w:hAnsi="Times New Roman" w:eastAsia="宋体" w:cs="Times New Roman"/>
                <w:b w:val="0"/>
                <w:bCs/>
                <w:color w:val="auto"/>
                <w:kern w:val="0"/>
                <w:szCs w:val="21"/>
              </w:rPr>
            </w:pPr>
            <w:r>
              <w:rPr>
                <w:rFonts w:hint="default" w:ascii="Times New Roman" w:hAnsi="Times New Roman" w:eastAsia="宋体" w:cs="Times New Roman"/>
                <w:b w:val="0"/>
                <w:bCs/>
                <w:color w:val="auto"/>
                <w:kern w:val="0"/>
                <w:szCs w:val="21"/>
              </w:rPr>
              <w:t>本项目不涉及新增用地，且用地范围内不含生态环境保护目标，因此无需进行生态现状调查。</w:t>
            </w:r>
          </w:p>
          <w:p w14:paraId="42BBEBF9">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right="0" w:rightChars="0"/>
              <w:textAlignment w:val="auto"/>
              <w:rPr>
                <w:rFonts w:hint="default" w:ascii="Times New Roman" w:hAnsi="Times New Roman" w:eastAsia="宋体" w:cs="Times New Roman"/>
                <w:b/>
                <w:bCs w:val="0"/>
                <w:color w:val="auto"/>
                <w:kern w:val="0"/>
                <w:szCs w:val="21"/>
              </w:rPr>
            </w:pPr>
            <w:r>
              <w:rPr>
                <w:rFonts w:hint="default" w:ascii="Times New Roman" w:hAnsi="Times New Roman" w:eastAsia="宋体" w:cs="Times New Roman"/>
                <w:b/>
                <w:bCs w:val="0"/>
                <w:color w:val="auto"/>
                <w:kern w:val="0"/>
                <w:szCs w:val="21"/>
                <w:lang w:val="en-US" w:eastAsia="zh-CN"/>
              </w:rPr>
              <w:t>3.1.5</w:t>
            </w:r>
            <w:r>
              <w:rPr>
                <w:rFonts w:hint="default" w:ascii="Times New Roman" w:hAnsi="Times New Roman" w:eastAsia="宋体" w:cs="Times New Roman"/>
                <w:b/>
                <w:bCs w:val="0"/>
                <w:color w:val="auto"/>
                <w:kern w:val="0"/>
                <w:szCs w:val="21"/>
              </w:rPr>
              <w:t>电磁辐射</w:t>
            </w:r>
          </w:p>
          <w:p w14:paraId="76CA9112">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200" w:right="0" w:rightChars="0"/>
              <w:textAlignment w:val="auto"/>
              <w:rPr>
                <w:rFonts w:hint="default" w:ascii="Times New Roman" w:hAnsi="Times New Roman" w:eastAsia="宋体" w:cs="Times New Roman"/>
                <w:b/>
                <w:bCs w:val="0"/>
                <w:color w:val="auto"/>
                <w:kern w:val="0"/>
                <w:szCs w:val="21"/>
              </w:rPr>
            </w:pPr>
            <w:r>
              <w:rPr>
                <w:rFonts w:hint="default" w:ascii="Times New Roman" w:hAnsi="Times New Roman" w:eastAsia="宋体" w:cs="Times New Roman"/>
                <w:b w:val="0"/>
                <w:bCs/>
                <w:color w:val="auto"/>
                <w:kern w:val="0"/>
                <w:szCs w:val="21"/>
              </w:rPr>
              <w:t>本项目不涉及电磁辐射。</w:t>
            </w:r>
          </w:p>
          <w:p w14:paraId="603193B0">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right="0" w:rightChars="0"/>
              <w:textAlignment w:val="auto"/>
              <w:rPr>
                <w:rFonts w:hint="default" w:ascii="Times New Roman" w:hAnsi="Times New Roman" w:eastAsia="宋体" w:cs="Times New Roman"/>
                <w:b/>
                <w:bCs w:val="0"/>
                <w:color w:val="auto"/>
                <w:kern w:val="0"/>
                <w:szCs w:val="21"/>
              </w:rPr>
            </w:pPr>
            <w:r>
              <w:rPr>
                <w:rFonts w:hint="default" w:ascii="Times New Roman" w:hAnsi="Times New Roman" w:eastAsia="宋体" w:cs="Times New Roman"/>
                <w:b/>
                <w:bCs w:val="0"/>
                <w:color w:val="auto"/>
                <w:kern w:val="0"/>
                <w:szCs w:val="21"/>
                <w:lang w:val="en-US" w:eastAsia="zh-CN"/>
              </w:rPr>
              <w:t>3.1.6地下水、土壤环境</w:t>
            </w:r>
          </w:p>
          <w:p w14:paraId="763EDB5E">
            <w:pPr>
              <w:pStyle w:val="5"/>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b w:val="0"/>
                <w:bCs/>
                <w:color w:val="auto"/>
                <w:kern w:val="0"/>
                <w:sz w:val="24"/>
                <w:szCs w:val="21"/>
                <w:lang w:val="en-US" w:eastAsia="zh-CN" w:bidi="ar-SA"/>
              </w:rPr>
              <w:t>对照《建设项目环境影响报告表编制技术指南（污染影响类）（试行）》，</w:t>
            </w:r>
            <w:r>
              <w:rPr>
                <w:rFonts w:hint="default" w:ascii="Times New Roman" w:hAnsi="Times New Roman" w:eastAsia="宋体" w:cs="Times New Roman"/>
                <w:b w:val="0"/>
                <w:bCs/>
                <w:color w:val="auto"/>
                <w:kern w:val="0"/>
                <w:szCs w:val="21"/>
                <w:highlight w:val="none"/>
              </w:rPr>
              <w:t>原则上不开展土壤、地下水环境质量现状调查。建设单位在落实分区防控的情况下，可阻断土壤、地下水环境污染途径，故不开展土壤、地下水环境质量现状调查</w:t>
            </w:r>
            <w:r>
              <w:rPr>
                <w:rFonts w:hint="default" w:ascii="Times New Roman" w:hAnsi="Times New Roman" w:eastAsia="宋体" w:cs="Times New Roman"/>
                <w:b w:val="0"/>
                <w:bCs/>
                <w:color w:val="auto"/>
                <w:kern w:val="0"/>
                <w:sz w:val="24"/>
                <w:szCs w:val="21"/>
                <w:lang w:val="en-US" w:eastAsia="zh-CN" w:bidi="ar-SA"/>
              </w:rPr>
              <w:t>。</w:t>
            </w:r>
          </w:p>
        </w:tc>
      </w:tr>
    </w:tbl>
    <w:p w14:paraId="3EA42AB1">
      <w:pPr>
        <w:rPr>
          <w:rFonts w:hint="default" w:ascii="Times New Roman" w:hAnsi="Times New Roman" w:eastAsia="宋体" w:cs="Times New Roman"/>
          <w:color w:val="auto"/>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066"/>
      </w:tblGrid>
      <w:tr w14:paraId="6B912C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90" w:hRule="atLeast"/>
          <w:jc w:val="center"/>
        </w:trPr>
        <w:tc>
          <w:tcPr>
            <w:tcW w:w="417" w:type="dxa"/>
            <w:noWrap w:val="0"/>
            <w:vAlign w:val="center"/>
          </w:tcPr>
          <w:p w14:paraId="175B1B60">
            <w:pPr>
              <w:keepNext w:val="0"/>
              <w:keepLines w:val="0"/>
              <w:pageBreakBefore w:val="0"/>
              <w:kinsoku/>
              <w:wordWrap/>
              <w:overflowPunct/>
              <w:topLinePunct w:val="0"/>
              <w:bidi w:val="0"/>
              <w:adjustRightInd w:val="0"/>
              <w:snapToGrid w:val="0"/>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环境</w:t>
            </w:r>
          </w:p>
          <w:p w14:paraId="5EF59BA3">
            <w:pPr>
              <w:keepNext w:val="0"/>
              <w:keepLines w:val="0"/>
              <w:pageBreakBefore w:val="0"/>
              <w:kinsoku/>
              <w:wordWrap/>
              <w:overflowPunct/>
              <w:topLinePunct w:val="0"/>
              <w:bidi w:val="0"/>
              <w:adjustRightInd w:val="0"/>
              <w:snapToGrid w:val="0"/>
              <w:ind w:left="0" w:right="0"/>
              <w:jc w:val="center"/>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保护</w:t>
            </w:r>
          </w:p>
          <w:p w14:paraId="3FDE16AF">
            <w:pPr>
              <w:keepNext w:val="0"/>
              <w:keepLines w:val="0"/>
              <w:pageBreakBefore w:val="0"/>
              <w:kinsoku/>
              <w:wordWrap/>
              <w:overflowPunct/>
              <w:topLinePunct w:val="0"/>
              <w:bidi w:val="0"/>
              <w:adjustRightInd w:val="0"/>
              <w:snapToGrid w:val="0"/>
              <w:ind w:left="0" w:right="0"/>
              <w:jc w:val="center"/>
              <w:textAlignment w:val="auto"/>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4"/>
                <w:szCs w:val="24"/>
              </w:rPr>
              <w:t>目标</w:t>
            </w:r>
          </w:p>
        </w:tc>
        <w:tc>
          <w:tcPr>
            <w:tcW w:w="8573" w:type="dxa"/>
            <w:noWrap w:val="0"/>
            <w:vAlign w:val="top"/>
          </w:tcPr>
          <w:p w14:paraId="1E57808D">
            <w:pPr>
              <w:keepNext w:val="0"/>
              <w:keepLines w:val="0"/>
              <w:pageBreakBefore w:val="0"/>
              <w:kinsoku/>
              <w:wordWrap/>
              <w:overflowPunct/>
              <w:topLinePunct w:val="0"/>
              <w:autoSpaceDE/>
              <w:autoSpaceDN/>
              <w:bidi w:val="0"/>
              <w:adjustRightInd w:val="0"/>
              <w:snapToGrid w:val="0"/>
              <w:spacing w:line="360" w:lineRule="auto"/>
              <w:ind w:left="0" w:right="0"/>
              <w:jc w:val="both"/>
              <w:textAlignment w:val="auto"/>
              <w:rPr>
                <w:rFonts w:hint="default" w:ascii="Times New Roman" w:hAnsi="Times New Roman" w:eastAsia="宋体" w:cs="Times New Roman"/>
                <w:b/>
                <w:bCs/>
                <w:color w:val="auto"/>
                <w:kern w:val="0"/>
                <w:sz w:val="28"/>
                <w:szCs w:val="28"/>
                <w:lang w:val="en-US" w:eastAsia="zh-CN"/>
              </w:rPr>
            </w:pPr>
            <w:r>
              <w:rPr>
                <w:rFonts w:hint="default" w:ascii="Times New Roman" w:hAnsi="Times New Roman" w:eastAsia="宋体" w:cs="Times New Roman"/>
                <w:b/>
                <w:bCs/>
                <w:color w:val="auto"/>
                <w:kern w:val="0"/>
                <w:sz w:val="28"/>
                <w:szCs w:val="28"/>
                <w:lang w:val="en-US" w:eastAsia="zh-CN"/>
              </w:rPr>
              <w:t>3.2环境保护目标</w:t>
            </w:r>
          </w:p>
          <w:p w14:paraId="73823CE1">
            <w:pPr>
              <w:keepNext w:val="0"/>
              <w:keepLines w:val="0"/>
              <w:pageBreakBefore w:val="0"/>
              <w:kinsoku/>
              <w:wordWrap/>
              <w:overflowPunct/>
              <w:topLinePunct w:val="0"/>
              <w:autoSpaceDE/>
              <w:autoSpaceDN/>
              <w:bidi w:val="0"/>
              <w:adjustRightInd w:val="0"/>
              <w:snapToGrid w:val="0"/>
              <w:spacing w:line="360" w:lineRule="auto"/>
              <w:ind w:left="0" w:right="0"/>
              <w:jc w:val="both"/>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3.2.1大气环境</w:t>
            </w:r>
          </w:p>
          <w:p w14:paraId="6C698AD5">
            <w:pPr>
              <w:pStyle w:val="6"/>
              <w:keepNext w:val="0"/>
              <w:keepLines w:val="0"/>
              <w:pageBreakBefore w:val="0"/>
              <w:widowControl/>
              <w:kinsoku/>
              <w:wordWrap/>
              <w:overflowPunct/>
              <w:topLinePunct w:val="0"/>
              <w:autoSpaceDE/>
              <w:autoSpaceDN/>
              <w:bidi w:val="0"/>
              <w:adjustRightInd/>
              <w:snapToGrid w:val="0"/>
              <w:spacing w:before="0" w:after="0" w:line="360" w:lineRule="auto"/>
              <w:ind w:left="0" w:right="0" w:firstLine="48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rPr>
              <w:t>大气环境500米内保护目标见下表</w:t>
            </w:r>
          </w:p>
          <w:p w14:paraId="26907112">
            <w:pPr>
              <w:pStyle w:val="7"/>
              <w:keepNext w:val="0"/>
              <w:keepLines w:val="0"/>
              <w:pageBreakBefore w:val="0"/>
              <w:numPr>
                <w:ilvl w:val="0"/>
                <w:numId w:val="0"/>
              </w:numPr>
              <w:tabs>
                <w:tab w:val="clear" w:pos="2040"/>
              </w:tabs>
              <w:kinsoku/>
              <w:wordWrap/>
              <w:overflowPunct/>
              <w:topLinePunct w:val="0"/>
              <w:bidi w:val="0"/>
              <w:spacing w:line="240" w:lineRule="exact"/>
              <w:ind w:left="0" w:right="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rPr>
              <w:t>表3-</w:t>
            </w:r>
            <w:r>
              <w:rPr>
                <w:rFonts w:hint="eastAsia" w:cs="Times New Roman"/>
                <w:b/>
                <w:bCs/>
                <w:color w:val="auto"/>
                <w:sz w:val="21"/>
                <w:szCs w:val="21"/>
                <w:lang w:val="en-US" w:eastAsia="zh-CN"/>
              </w:rPr>
              <w:t xml:space="preserve">4 </w:t>
            </w:r>
            <w:r>
              <w:rPr>
                <w:rFonts w:hint="default" w:ascii="Times New Roman" w:hAnsi="Times New Roman" w:eastAsia="宋体" w:cs="Times New Roman"/>
                <w:b/>
                <w:bCs/>
                <w:color w:val="auto"/>
                <w:sz w:val="21"/>
                <w:szCs w:val="21"/>
              </w:rPr>
              <w:t>环境空气保护目标</w:t>
            </w:r>
          </w:p>
          <w:tbl>
            <w:tblPr>
              <w:tblStyle w:val="17"/>
              <w:tblW w:w="4998" w:type="pct"/>
              <w:tblInd w:w="-5"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0" w:type="dxa"/>
                <w:bottom w:w="0" w:type="dxa"/>
                <w:right w:w="0" w:type="dxa"/>
              </w:tblCellMar>
            </w:tblPr>
            <w:tblGrid>
              <w:gridCol w:w="955"/>
              <w:gridCol w:w="996"/>
              <w:gridCol w:w="1228"/>
              <w:gridCol w:w="1256"/>
              <w:gridCol w:w="747"/>
              <w:gridCol w:w="1382"/>
              <w:gridCol w:w="629"/>
              <w:gridCol w:w="644"/>
            </w:tblGrid>
            <w:tr w14:paraId="2DA0F2D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609" w:type="pct"/>
                  <w:vMerge w:val="restart"/>
                  <w:noWrap w:val="0"/>
                  <w:vAlign w:val="center"/>
                </w:tcPr>
                <w:p w14:paraId="700BFF13">
                  <w:pPr>
                    <w:keepNext w:val="0"/>
                    <w:keepLines w:val="0"/>
                    <w:pageBreakBefore w:val="0"/>
                    <w:widowControl w:val="0"/>
                    <w:tabs>
                      <w:tab w:val="left" w:pos="5698"/>
                    </w:tabs>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名称</w:t>
                  </w:r>
                </w:p>
              </w:tc>
              <w:tc>
                <w:tcPr>
                  <w:tcW w:w="1418" w:type="pct"/>
                  <w:gridSpan w:val="2"/>
                  <w:noWrap w:val="0"/>
                  <w:vAlign w:val="center"/>
                </w:tcPr>
                <w:p w14:paraId="7C50FC18">
                  <w:pPr>
                    <w:keepNext w:val="0"/>
                    <w:keepLines w:val="0"/>
                    <w:pageBreakBefore w:val="0"/>
                    <w:widowControl w:val="0"/>
                    <w:tabs>
                      <w:tab w:val="left" w:pos="5698"/>
                    </w:tabs>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坐标</w:t>
                  </w:r>
                </w:p>
              </w:tc>
              <w:tc>
                <w:tcPr>
                  <w:tcW w:w="801" w:type="pct"/>
                  <w:vMerge w:val="restart"/>
                  <w:noWrap w:val="0"/>
                  <w:vAlign w:val="center"/>
                </w:tcPr>
                <w:p w14:paraId="0468CA17">
                  <w:pPr>
                    <w:keepNext w:val="0"/>
                    <w:keepLines w:val="0"/>
                    <w:pageBreakBefore w:val="0"/>
                    <w:widowControl w:val="0"/>
                    <w:tabs>
                      <w:tab w:val="left" w:pos="5698"/>
                    </w:tabs>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保护</w:t>
                  </w:r>
                </w:p>
                <w:p w14:paraId="51CE0C46">
                  <w:pPr>
                    <w:keepNext w:val="0"/>
                    <w:keepLines w:val="0"/>
                    <w:pageBreakBefore w:val="0"/>
                    <w:widowControl w:val="0"/>
                    <w:tabs>
                      <w:tab w:val="left" w:pos="5698"/>
                    </w:tabs>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对象</w:t>
                  </w:r>
                </w:p>
              </w:tc>
              <w:tc>
                <w:tcPr>
                  <w:tcW w:w="476" w:type="pct"/>
                  <w:vMerge w:val="restart"/>
                  <w:noWrap w:val="0"/>
                  <w:vAlign w:val="center"/>
                </w:tcPr>
                <w:p w14:paraId="5C594CAA">
                  <w:pPr>
                    <w:keepNext w:val="0"/>
                    <w:keepLines w:val="0"/>
                    <w:pageBreakBefore w:val="0"/>
                    <w:widowControl w:val="0"/>
                    <w:tabs>
                      <w:tab w:val="left" w:pos="5698"/>
                    </w:tabs>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保护内容</w:t>
                  </w:r>
                </w:p>
              </w:tc>
              <w:tc>
                <w:tcPr>
                  <w:tcW w:w="881" w:type="pct"/>
                  <w:vMerge w:val="restart"/>
                  <w:noWrap w:val="0"/>
                  <w:vAlign w:val="center"/>
                </w:tcPr>
                <w:p w14:paraId="0B8889DB">
                  <w:pPr>
                    <w:keepNext w:val="0"/>
                    <w:keepLines w:val="0"/>
                    <w:pageBreakBefore w:val="0"/>
                    <w:widowControl w:val="0"/>
                    <w:tabs>
                      <w:tab w:val="left" w:pos="5698"/>
                    </w:tabs>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环境功能区</w:t>
                  </w:r>
                </w:p>
              </w:tc>
              <w:tc>
                <w:tcPr>
                  <w:tcW w:w="401" w:type="pct"/>
                  <w:vMerge w:val="restart"/>
                  <w:noWrap w:val="0"/>
                  <w:vAlign w:val="center"/>
                </w:tcPr>
                <w:p w14:paraId="55775FB9">
                  <w:pPr>
                    <w:keepNext w:val="0"/>
                    <w:keepLines w:val="0"/>
                    <w:pageBreakBefore w:val="0"/>
                    <w:widowControl w:val="0"/>
                    <w:tabs>
                      <w:tab w:val="left" w:pos="5698"/>
                    </w:tabs>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相对厂址方位</w:t>
                  </w:r>
                </w:p>
              </w:tc>
              <w:tc>
                <w:tcPr>
                  <w:tcW w:w="410" w:type="pct"/>
                  <w:vMerge w:val="restart"/>
                  <w:noWrap w:val="0"/>
                  <w:vAlign w:val="center"/>
                </w:tcPr>
                <w:p w14:paraId="7AB6B19B">
                  <w:pPr>
                    <w:keepNext w:val="0"/>
                    <w:keepLines w:val="0"/>
                    <w:pageBreakBefore w:val="0"/>
                    <w:widowControl w:val="0"/>
                    <w:tabs>
                      <w:tab w:val="left" w:pos="5698"/>
                    </w:tabs>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相对厂界距离（</w:t>
                  </w:r>
                  <w:r>
                    <w:rPr>
                      <w:rFonts w:hint="default" w:ascii="Times New Roman" w:hAnsi="Times New Roman" w:cs="Times New Roman" w:eastAsiaTheme="minorEastAsia"/>
                      <w:b/>
                      <w:bCs/>
                      <w:color w:val="auto"/>
                      <w:szCs w:val="21"/>
                      <w:lang w:eastAsia="zh-CN"/>
                    </w:rPr>
                    <w:t>m</w:t>
                  </w:r>
                  <w:r>
                    <w:rPr>
                      <w:rFonts w:hint="default" w:ascii="Times New Roman" w:hAnsi="Times New Roman" w:cs="Times New Roman" w:eastAsiaTheme="minorEastAsia"/>
                      <w:b/>
                      <w:bCs/>
                      <w:color w:val="auto"/>
                      <w:szCs w:val="21"/>
                    </w:rPr>
                    <w:t>）</w:t>
                  </w:r>
                </w:p>
              </w:tc>
            </w:tr>
            <w:tr w14:paraId="666C525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609" w:type="pct"/>
                  <w:vMerge w:val="continue"/>
                  <w:noWrap w:val="0"/>
                  <w:vAlign w:val="center"/>
                </w:tcPr>
                <w:p w14:paraId="3B59E017">
                  <w:pPr>
                    <w:keepNext w:val="0"/>
                    <w:keepLines w:val="0"/>
                    <w:pageBreakBefore w:val="0"/>
                    <w:widowControl w:val="0"/>
                    <w:tabs>
                      <w:tab w:val="left" w:pos="5698"/>
                    </w:tabs>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color w:val="auto"/>
                      <w:szCs w:val="21"/>
                    </w:rPr>
                  </w:pPr>
                </w:p>
              </w:tc>
              <w:tc>
                <w:tcPr>
                  <w:tcW w:w="635" w:type="pct"/>
                  <w:noWrap w:val="0"/>
                  <w:vAlign w:val="center"/>
                </w:tcPr>
                <w:p w14:paraId="2FD24445">
                  <w:pPr>
                    <w:keepNext w:val="0"/>
                    <w:keepLines w:val="0"/>
                    <w:pageBreakBefore w:val="0"/>
                    <w:widowControl w:val="0"/>
                    <w:tabs>
                      <w:tab w:val="left" w:pos="5698"/>
                    </w:tabs>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经度</w:t>
                  </w:r>
                </w:p>
              </w:tc>
              <w:tc>
                <w:tcPr>
                  <w:tcW w:w="783" w:type="pct"/>
                  <w:noWrap w:val="0"/>
                  <w:vAlign w:val="center"/>
                </w:tcPr>
                <w:p w14:paraId="62321CCE">
                  <w:pPr>
                    <w:keepNext w:val="0"/>
                    <w:keepLines w:val="0"/>
                    <w:pageBreakBefore w:val="0"/>
                    <w:widowControl w:val="0"/>
                    <w:tabs>
                      <w:tab w:val="left" w:pos="5698"/>
                    </w:tabs>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纬度</w:t>
                  </w:r>
                </w:p>
              </w:tc>
              <w:tc>
                <w:tcPr>
                  <w:tcW w:w="801" w:type="pct"/>
                  <w:vMerge w:val="continue"/>
                  <w:noWrap w:val="0"/>
                  <w:vAlign w:val="center"/>
                </w:tcPr>
                <w:p w14:paraId="2FE80DD3">
                  <w:pPr>
                    <w:keepNext w:val="0"/>
                    <w:keepLines w:val="0"/>
                    <w:pageBreakBefore w:val="0"/>
                    <w:widowControl w:val="0"/>
                    <w:tabs>
                      <w:tab w:val="left" w:pos="5698"/>
                    </w:tabs>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color w:val="auto"/>
                      <w:szCs w:val="21"/>
                    </w:rPr>
                  </w:pPr>
                </w:p>
              </w:tc>
              <w:tc>
                <w:tcPr>
                  <w:tcW w:w="476" w:type="pct"/>
                  <w:vMerge w:val="continue"/>
                  <w:noWrap w:val="0"/>
                  <w:vAlign w:val="center"/>
                </w:tcPr>
                <w:p w14:paraId="79A4F65D">
                  <w:pPr>
                    <w:keepNext w:val="0"/>
                    <w:keepLines w:val="0"/>
                    <w:pageBreakBefore w:val="0"/>
                    <w:widowControl w:val="0"/>
                    <w:tabs>
                      <w:tab w:val="left" w:pos="5698"/>
                    </w:tabs>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color w:val="auto"/>
                      <w:szCs w:val="21"/>
                    </w:rPr>
                  </w:pPr>
                </w:p>
              </w:tc>
              <w:tc>
                <w:tcPr>
                  <w:tcW w:w="881" w:type="pct"/>
                  <w:vMerge w:val="continue"/>
                  <w:noWrap w:val="0"/>
                  <w:vAlign w:val="center"/>
                </w:tcPr>
                <w:p w14:paraId="12BABA5A">
                  <w:pPr>
                    <w:keepNext w:val="0"/>
                    <w:keepLines w:val="0"/>
                    <w:pageBreakBefore w:val="0"/>
                    <w:widowControl w:val="0"/>
                    <w:tabs>
                      <w:tab w:val="left" w:pos="5698"/>
                    </w:tabs>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color w:val="auto"/>
                      <w:szCs w:val="21"/>
                    </w:rPr>
                  </w:pPr>
                </w:p>
              </w:tc>
              <w:tc>
                <w:tcPr>
                  <w:tcW w:w="401" w:type="pct"/>
                  <w:vMerge w:val="continue"/>
                  <w:noWrap w:val="0"/>
                  <w:vAlign w:val="center"/>
                </w:tcPr>
                <w:p w14:paraId="08F3B44B">
                  <w:pPr>
                    <w:keepNext w:val="0"/>
                    <w:keepLines w:val="0"/>
                    <w:pageBreakBefore w:val="0"/>
                    <w:widowControl w:val="0"/>
                    <w:tabs>
                      <w:tab w:val="left" w:pos="5698"/>
                    </w:tabs>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color w:val="auto"/>
                      <w:szCs w:val="21"/>
                    </w:rPr>
                  </w:pPr>
                </w:p>
              </w:tc>
              <w:tc>
                <w:tcPr>
                  <w:tcW w:w="410" w:type="pct"/>
                  <w:vMerge w:val="continue"/>
                  <w:noWrap w:val="0"/>
                  <w:vAlign w:val="center"/>
                </w:tcPr>
                <w:p w14:paraId="0931F03C">
                  <w:pPr>
                    <w:keepNext w:val="0"/>
                    <w:keepLines w:val="0"/>
                    <w:pageBreakBefore w:val="0"/>
                    <w:widowControl w:val="0"/>
                    <w:tabs>
                      <w:tab w:val="left" w:pos="5698"/>
                    </w:tabs>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color w:val="auto"/>
                      <w:szCs w:val="21"/>
                    </w:rPr>
                  </w:pPr>
                </w:p>
              </w:tc>
            </w:tr>
            <w:tr w14:paraId="191D18D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609" w:type="pct"/>
                  <w:noWrap w:val="0"/>
                  <w:vAlign w:val="center"/>
                </w:tcPr>
                <w:p w14:paraId="613FC846">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水北村</w:t>
                  </w:r>
                </w:p>
              </w:tc>
              <w:tc>
                <w:tcPr>
                  <w:tcW w:w="635" w:type="pct"/>
                  <w:noWrap w:val="0"/>
                  <w:vAlign w:val="center"/>
                </w:tcPr>
                <w:p w14:paraId="0D36CA2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31.79</w:t>
                  </w:r>
                  <w:r>
                    <w:rPr>
                      <w:rFonts w:hint="eastAsia" w:ascii="Times New Roman" w:hAnsi="Times New Roman" w:cs="Times New Roman" w:eastAsiaTheme="minorEastAsia"/>
                      <w:color w:val="auto"/>
                      <w:szCs w:val="21"/>
                      <w:lang w:val="en-US" w:eastAsia="zh-CN"/>
                    </w:rPr>
                    <w:t>2219</w:t>
                  </w:r>
                </w:p>
              </w:tc>
              <w:tc>
                <w:tcPr>
                  <w:tcW w:w="783" w:type="pct"/>
                  <w:noWrap w:val="0"/>
                  <w:vAlign w:val="center"/>
                </w:tcPr>
                <w:p w14:paraId="77999DF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119</w:t>
                  </w:r>
                  <w:r>
                    <w:rPr>
                      <w:rFonts w:hint="eastAsia" w:ascii="Times New Roman" w:hAnsi="Times New Roman" w:cs="Times New Roman" w:eastAsiaTheme="minorEastAsia"/>
                      <w:color w:val="auto"/>
                      <w:szCs w:val="21"/>
                      <w:lang w:val="en-US" w:eastAsia="zh-CN"/>
                    </w:rPr>
                    <w:t>.458669</w:t>
                  </w:r>
                </w:p>
              </w:tc>
              <w:tc>
                <w:tcPr>
                  <w:tcW w:w="801" w:type="pct"/>
                  <w:noWrap w:val="0"/>
                  <w:vAlign w:val="center"/>
                </w:tcPr>
                <w:p w14:paraId="2BA21E66">
                  <w:pPr>
                    <w:pStyle w:val="14"/>
                    <w:keepNext w:val="0"/>
                    <w:keepLines w:val="0"/>
                    <w:pageBreakBefore w:val="0"/>
                    <w:widowControl w:val="0"/>
                    <w:tabs>
                      <w:tab w:val="left" w:pos="3456"/>
                    </w:tabs>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color w:val="auto"/>
                      <w:sz w:val="21"/>
                      <w:szCs w:val="21"/>
                    </w:rPr>
                    <w:t>居民区</w:t>
                  </w:r>
                </w:p>
              </w:tc>
              <w:tc>
                <w:tcPr>
                  <w:tcW w:w="476" w:type="pct"/>
                  <w:noWrap w:val="0"/>
                  <w:vAlign w:val="center"/>
                </w:tcPr>
                <w:p w14:paraId="633B184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人群</w:t>
                  </w:r>
                </w:p>
              </w:tc>
              <w:tc>
                <w:tcPr>
                  <w:tcW w:w="881" w:type="pct"/>
                  <w:noWrap w:val="0"/>
                  <w:vAlign w:val="center"/>
                </w:tcPr>
                <w:p w14:paraId="2CCBFA57">
                  <w:pPr>
                    <w:pStyle w:val="14"/>
                    <w:keepNext w:val="0"/>
                    <w:keepLines w:val="0"/>
                    <w:pageBreakBefore w:val="0"/>
                    <w:widowControl w:val="0"/>
                    <w:tabs>
                      <w:tab w:val="left" w:pos="3456"/>
                    </w:tabs>
                    <w:kinsoku/>
                    <w:wordWrap/>
                    <w:overflowPunct/>
                    <w:topLinePunct w:val="0"/>
                    <w:autoSpaceDE/>
                    <w:autoSpaceDN/>
                    <w:bidi w:val="0"/>
                    <w:adjustRightInd/>
                    <w:snapToGrid w:val="0"/>
                    <w:spacing w:after="0"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b w:val="0"/>
                      <w:bCs w:val="0"/>
                      <w:color w:val="auto"/>
                      <w:sz w:val="21"/>
                      <w:szCs w:val="21"/>
                    </w:rPr>
                    <w:t>GB3095-2012中二类标准</w:t>
                  </w:r>
                </w:p>
              </w:tc>
              <w:tc>
                <w:tcPr>
                  <w:tcW w:w="401" w:type="pct"/>
                  <w:noWrap w:val="0"/>
                  <w:vAlign w:val="center"/>
                </w:tcPr>
                <w:p w14:paraId="72D47992">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 w:val="21"/>
                      <w:szCs w:val="21"/>
                      <w:lang w:val="en-US" w:eastAsia="zh-CN"/>
                    </w:rPr>
                    <w:t>N</w:t>
                  </w:r>
                  <w:r>
                    <w:rPr>
                      <w:rFonts w:hint="eastAsia" w:cs="Times New Roman" w:eastAsiaTheme="minorEastAsia"/>
                      <w:color w:val="auto"/>
                      <w:sz w:val="21"/>
                      <w:szCs w:val="21"/>
                      <w:lang w:val="en-US" w:eastAsia="zh-CN"/>
                    </w:rPr>
                    <w:t>NE</w:t>
                  </w:r>
                </w:p>
              </w:tc>
              <w:tc>
                <w:tcPr>
                  <w:tcW w:w="410" w:type="pct"/>
                  <w:noWrap w:val="0"/>
                  <w:vAlign w:val="center"/>
                </w:tcPr>
                <w:p w14:paraId="7CB0ABA1">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420</w:t>
                  </w:r>
                </w:p>
              </w:tc>
            </w:tr>
          </w:tbl>
          <w:p w14:paraId="4AB2E980">
            <w:pPr>
              <w:pStyle w:val="7"/>
              <w:keepNext w:val="0"/>
              <w:keepLines w:val="0"/>
              <w:pageBreakBefore w:val="0"/>
              <w:numPr>
                <w:ilvl w:val="0"/>
                <w:numId w:val="0"/>
              </w:numPr>
              <w:tabs>
                <w:tab w:val="clear" w:pos="2040"/>
              </w:tabs>
              <w:kinsoku/>
              <w:wordWrap/>
              <w:overflowPunct/>
              <w:topLinePunct w:val="0"/>
              <w:bidi w:val="0"/>
              <w:spacing w:line="360" w:lineRule="auto"/>
              <w:ind w:left="0" w:right="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b/>
                <w:bCs/>
                <w:color w:val="auto"/>
                <w:sz w:val="24"/>
                <w:lang w:val="en-US" w:eastAsia="zh-CN"/>
              </w:rPr>
              <w:t>3.2.2</w:t>
            </w:r>
            <w:r>
              <w:rPr>
                <w:rFonts w:hint="default" w:ascii="Times New Roman" w:hAnsi="Times New Roman" w:eastAsia="宋体" w:cs="Times New Roman"/>
                <w:b/>
                <w:bCs/>
                <w:color w:val="auto"/>
                <w:sz w:val="24"/>
              </w:rPr>
              <w:t>声环境</w:t>
            </w:r>
          </w:p>
          <w:p w14:paraId="75B3F02E">
            <w:pPr>
              <w:pStyle w:val="7"/>
              <w:keepNext w:val="0"/>
              <w:keepLines w:val="0"/>
              <w:pageBreakBefore w:val="0"/>
              <w:numPr>
                <w:ilvl w:val="0"/>
                <w:numId w:val="0"/>
              </w:numPr>
              <w:tabs>
                <w:tab w:val="clear" w:pos="2040"/>
              </w:tabs>
              <w:kinsoku/>
              <w:wordWrap/>
              <w:overflowPunct/>
              <w:topLinePunct w:val="0"/>
              <w:bidi w:val="0"/>
              <w:spacing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厂界外50米范围内无声环境保护目标</w:t>
            </w:r>
          </w:p>
          <w:p w14:paraId="49676B72">
            <w:pPr>
              <w:pStyle w:val="7"/>
              <w:keepNext w:val="0"/>
              <w:keepLines w:val="0"/>
              <w:pageBreakBefore w:val="0"/>
              <w:numPr>
                <w:ilvl w:val="0"/>
                <w:numId w:val="0"/>
              </w:numPr>
              <w:tabs>
                <w:tab w:val="clear" w:pos="2040"/>
              </w:tabs>
              <w:kinsoku/>
              <w:wordWrap/>
              <w:overflowPunct/>
              <w:topLinePunct w:val="0"/>
              <w:bidi w:val="0"/>
              <w:spacing w:line="360" w:lineRule="auto"/>
              <w:ind w:left="0" w:right="0"/>
              <w:textAlignment w:val="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3.2.3</w:t>
            </w:r>
            <w:r>
              <w:rPr>
                <w:rFonts w:hint="default" w:ascii="Times New Roman" w:hAnsi="Times New Roman" w:eastAsia="宋体" w:cs="Times New Roman"/>
                <w:b/>
                <w:bCs/>
                <w:color w:val="auto"/>
                <w:sz w:val="24"/>
              </w:rPr>
              <w:t>地下水环境</w:t>
            </w:r>
          </w:p>
          <w:p w14:paraId="5900B2B6">
            <w:pPr>
              <w:pStyle w:val="7"/>
              <w:keepNext w:val="0"/>
              <w:keepLines w:val="0"/>
              <w:pageBreakBefore w:val="0"/>
              <w:numPr>
                <w:ilvl w:val="0"/>
                <w:numId w:val="0"/>
              </w:numPr>
              <w:tabs>
                <w:tab w:val="clear" w:pos="2040"/>
              </w:tabs>
              <w:kinsoku/>
              <w:wordWrap/>
              <w:overflowPunct/>
              <w:topLinePunct w:val="0"/>
              <w:bidi w:val="0"/>
              <w:spacing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厂界外500米范围内无地下水集中式饮用水水源和热水、矿泉水、温泉等特殊地下水资源。</w:t>
            </w:r>
          </w:p>
          <w:p w14:paraId="08B3367D">
            <w:pPr>
              <w:pStyle w:val="7"/>
              <w:keepNext w:val="0"/>
              <w:keepLines w:val="0"/>
              <w:pageBreakBefore w:val="0"/>
              <w:numPr>
                <w:ilvl w:val="0"/>
                <w:numId w:val="0"/>
              </w:numPr>
              <w:tabs>
                <w:tab w:val="clear" w:pos="2040"/>
              </w:tabs>
              <w:kinsoku/>
              <w:wordWrap/>
              <w:overflowPunct/>
              <w:topLinePunct w:val="0"/>
              <w:bidi w:val="0"/>
              <w:spacing w:line="360" w:lineRule="auto"/>
              <w:ind w:left="0" w:right="0"/>
              <w:textAlignment w:val="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3.2.4</w:t>
            </w:r>
            <w:r>
              <w:rPr>
                <w:rFonts w:hint="default" w:ascii="Times New Roman" w:hAnsi="Times New Roman" w:eastAsia="宋体" w:cs="Times New Roman"/>
                <w:b/>
                <w:bCs/>
                <w:color w:val="auto"/>
                <w:sz w:val="24"/>
              </w:rPr>
              <w:t>生态环境</w:t>
            </w:r>
          </w:p>
          <w:p w14:paraId="4A9E69B4">
            <w:pPr>
              <w:pStyle w:val="7"/>
              <w:keepNext w:val="0"/>
              <w:keepLines w:val="0"/>
              <w:pageBreakBefore w:val="0"/>
              <w:numPr>
                <w:ilvl w:val="0"/>
                <w:numId w:val="0"/>
              </w:numPr>
              <w:tabs>
                <w:tab w:val="clear" w:pos="2040"/>
              </w:tabs>
              <w:kinsoku/>
              <w:wordWrap/>
              <w:overflowPunct/>
              <w:topLinePunct w:val="0"/>
              <w:bidi w:val="0"/>
              <w:spacing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w:t>
            </w:r>
            <w:r>
              <w:rPr>
                <w:rFonts w:hint="default" w:ascii="Times New Roman" w:hAnsi="Times New Roman" w:eastAsia="宋体" w:cs="Times New Roman"/>
                <w:color w:val="auto"/>
                <w:sz w:val="24"/>
                <w:shd w:val="clear" w:fill="auto"/>
              </w:rPr>
              <w:t>不</w:t>
            </w:r>
            <w:r>
              <w:rPr>
                <w:rFonts w:hint="default" w:ascii="Times New Roman" w:hAnsi="Times New Roman" w:eastAsia="宋体" w:cs="Times New Roman"/>
                <w:color w:val="auto"/>
                <w:sz w:val="24"/>
              </w:rPr>
              <w:t>新增用地；用地范围内无生态环境保护目标。</w:t>
            </w:r>
          </w:p>
          <w:p w14:paraId="1448CF53">
            <w:pPr>
              <w:pStyle w:val="7"/>
              <w:keepNext w:val="0"/>
              <w:keepLines w:val="0"/>
              <w:pageBreakBefore w:val="0"/>
              <w:numPr>
                <w:ilvl w:val="0"/>
                <w:numId w:val="0"/>
              </w:numPr>
              <w:tabs>
                <w:tab w:val="clear" w:pos="2040"/>
              </w:tabs>
              <w:kinsoku/>
              <w:wordWrap/>
              <w:overflowPunct/>
              <w:topLinePunct w:val="0"/>
              <w:bidi w:val="0"/>
              <w:spacing w:line="360" w:lineRule="auto"/>
              <w:ind w:right="0"/>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3.2.5其他保护目标</w:t>
            </w:r>
          </w:p>
          <w:p w14:paraId="05D1B8E4">
            <w:pPr>
              <w:pStyle w:val="6"/>
              <w:adjustRightInd w:val="0"/>
              <w:spacing w:before="0" w:after="0" w:line="240" w:lineRule="auto"/>
              <w:ind w:right="0"/>
              <w:jc w:val="center"/>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rPr>
              <w:t>表3-</w:t>
            </w:r>
            <w:r>
              <w:rPr>
                <w:rFonts w:hint="eastAsia" w:cs="Times New Roman"/>
                <w:b/>
                <w:color w:val="auto"/>
                <w:sz w:val="21"/>
                <w:szCs w:val="21"/>
                <w:lang w:val="en-US" w:eastAsia="zh-CN"/>
              </w:rPr>
              <w:t>5</w:t>
            </w:r>
            <w:r>
              <w:rPr>
                <w:rFonts w:hint="default" w:ascii="Times New Roman" w:hAnsi="Times New Roman" w:eastAsia="宋体" w:cs="Times New Roman"/>
                <w:b/>
                <w:color w:val="auto"/>
                <w:sz w:val="21"/>
                <w:szCs w:val="21"/>
              </w:rPr>
              <w:t xml:space="preserve"> </w:t>
            </w:r>
            <w:r>
              <w:rPr>
                <w:rFonts w:hint="default" w:ascii="Times New Roman" w:hAnsi="Times New Roman" w:eastAsia="宋体" w:cs="Times New Roman"/>
                <w:b/>
                <w:color w:val="auto"/>
                <w:sz w:val="21"/>
                <w:szCs w:val="21"/>
                <w:lang w:val="en-US" w:eastAsia="zh-CN"/>
              </w:rPr>
              <w:t>其他环境保护目标</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34"/>
              <w:gridCol w:w="855"/>
              <w:gridCol w:w="419"/>
              <w:gridCol w:w="594"/>
              <w:gridCol w:w="419"/>
              <w:gridCol w:w="4442"/>
              <w:gridCol w:w="474"/>
            </w:tblGrid>
            <w:tr w14:paraId="3BB2A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0" w:hRule="atLeast"/>
                <w:jc w:val="center"/>
              </w:trPr>
              <w:tc>
                <w:tcPr>
                  <w:tcW w:w="420" w:type="pct"/>
                  <w:tcBorders>
                    <w:tl2br w:val="nil"/>
                    <w:tr2bl w:val="nil"/>
                  </w:tcBorders>
                  <w:vAlign w:val="center"/>
                </w:tcPr>
                <w:p w14:paraId="26073525">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w:t>
                  </w:r>
                </w:p>
                <w:p w14:paraId="0F615DE9">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要素</w:t>
                  </w:r>
                </w:p>
              </w:tc>
              <w:tc>
                <w:tcPr>
                  <w:tcW w:w="561" w:type="pct"/>
                  <w:tcBorders>
                    <w:tl2br w:val="nil"/>
                    <w:tr2bl w:val="nil"/>
                  </w:tcBorders>
                  <w:vAlign w:val="center"/>
                </w:tcPr>
                <w:p w14:paraId="65DF33D2">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保护对象</w:t>
                  </w:r>
                </w:p>
              </w:tc>
              <w:tc>
                <w:tcPr>
                  <w:tcW w:w="283" w:type="pct"/>
                  <w:tcBorders>
                    <w:tl2br w:val="nil"/>
                    <w:tr2bl w:val="nil"/>
                  </w:tcBorders>
                  <w:vAlign w:val="center"/>
                </w:tcPr>
                <w:p w14:paraId="5400B944">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方位</w:t>
                  </w:r>
                </w:p>
              </w:tc>
              <w:tc>
                <w:tcPr>
                  <w:tcW w:w="283" w:type="pct"/>
                  <w:tcBorders>
                    <w:tl2br w:val="nil"/>
                    <w:tr2bl w:val="nil"/>
                  </w:tcBorders>
                  <w:vAlign w:val="center"/>
                </w:tcPr>
                <w:p w14:paraId="0F2E5AA1">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距离</w:t>
                  </w:r>
                </w:p>
              </w:tc>
              <w:tc>
                <w:tcPr>
                  <w:tcW w:w="283" w:type="pct"/>
                  <w:tcBorders>
                    <w:tl2br w:val="nil"/>
                    <w:tr2bl w:val="nil"/>
                  </w:tcBorders>
                  <w:vAlign w:val="center"/>
                </w:tcPr>
                <w:p w14:paraId="2E261B1C">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规模</w:t>
                  </w:r>
                </w:p>
              </w:tc>
              <w:tc>
                <w:tcPr>
                  <w:tcW w:w="3166" w:type="pct"/>
                  <w:gridSpan w:val="2"/>
                  <w:tcBorders>
                    <w:tl2br w:val="nil"/>
                    <w:tr2bl w:val="nil"/>
                  </w:tcBorders>
                  <w:vAlign w:val="center"/>
                </w:tcPr>
                <w:p w14:paraId="3CDA2D56">
                  <w:pPr>
                    <w:adjustRightInd w:val="0"/>
                    <w:snapToGrid w:val="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环境功能区划</w:t>
                  </w:r>
                </w:p>
              </w:tc>
            </w:tr>
            <w:tr w14:paraId="0785F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70" w:hRule="atLeast"/>
                <w:jc w:val="center"/>
              </w:trPr>
              <w:tc>
                <w:tcPr>
                  <w:tcW w:w="420" w:type="pct"/>
                  <w:tcBorders>
                    <w:tl2br w:val="nil"/>
                    <w:tr2bl w:val="nil"/>
                  </w:tcBorders>
                  <w:vAlign w:val="center"/>
                </w:tcPr>
                <w:p w14:paraId="057C9C7E">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地表水</w:t>
                  </w:r>
                </w:p>
              </w:tc>
              <w:tc>
                <w:tcPr>
                  <w:tcW w:w="561" w:type="pct"/>
                  <w:tcBorders>
                    <w:tl2br w:val="nil"/>
                    <w:tr2bl w:val="nil"/>
                  </w:tcBorders>
                  <w:vAlign w:val="center"/>
                </w:tcPr>
                <w:p w14:paraId="2386C5EC">
                  <w:pPr>
                    <w:pStyle w:val="14"/>
                    <w:tabs>
                      <w:tab w:val="left" w:pos="3456"/>
                    </w:tabs>
                    <w:adjustRightInd w:val="0"/>
                    <w:snapToGrid w:val="0"/>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通济</w:t>
                  </w:r>
                  <w:r>
                    <w:rPr>
                      <w:rFonts w:hint="eastAsia" w:ascii="Times New Roman" w:hAnsi="Times New Roman" w:eastAsia="宋体" w:cs="Times New Roman"/>
                      <w:color w:val="auto"/>
                      <w:kern w:val="2"/>
                      <w:sz w:val="21"/>
                      <w:szCs w:val="21"/>
                      <w:highlight w:val="none"/>
                      <w:lang w:val="en-US" w:eastAsia="zh-CN" w:bidi="ar-SA"/>
                    </w:rPr>
                    <w:t>河</w:t>
                  </w:r>
                </w:p>
              </w:tc>
              <w:tc>
                <w:tcPr>
                  <w:tcW w:w="283" w:type="pct"/>
                  <w:tcBorders>
                    <w:tl2br w:val="nil"/>
                    <w:tr2bl w:val="nil"/>
                  </w:tcBorders>
                  <w:vAlign w:val="center"/>
                </w:tcPr>
                <w:p w14:paraId="3B7528CA">
                  <w:pPr>
                    <w:pStyle w:val="14"/>
                    <w:tabs>
                      <w:tab w:val="left" w:pos="3456"/>
                    </w:tabs>
                    <w:adjustRightInd w:val="0"/>
                    <w:snapToGrid w:val="0"/>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N</w:t>
                  </w:r>
                  <w:r>
                    <w:rPr>
                      <w:rFonts w:hint="eastAsia" w:ascii="Times New Roman" w:hAnsi="Times New Roman" w:eastAsia="宋体" w:cs="Times New Roman"/>
                      <w:color w:val="auto"/>
                      <w:kern w:val="2"/>
                      <w:sz w:val="21"/>
                      <w:szCs w:val="21"/>
                      <w:highlight w:val="none"/>
                      <w:lang w:val="en-US" w:eastAsia="zh-CN" w:bidi="ar-SA"/>
                    </w:rPr>
                    <w:t>E</w:t>
                  </w:r>
                </w:p>
              </w:tc>
              <w:tc>
                <w:tcPr>
                  <w:tcW w:w="283" w:type="pct"/>
                  <w:tcBorders>
                    <w:tl2br w:val="nil"/>
                    <w:tr2bl w:val="nil"/>
                  </w:tcBorders>
                  <w:vAlign w:val="center"/>
                </w:tcPr>
                <w:p w14:paraId="60F7335B">
                  <w:pPr>
                    <w:adjustRightInd w:val="0"/>
                    <w:snapToGrid w:val="0"/>
                    <w:jc w:val="center"/>
                    <w:rPr>
                      <w:rFonts w:hint="default"/>
                      <w:color w:val="auto"/>
                      <w:sz w:val="21"/>
                      <w:szCs w:val="21"/>
                      <w:lang w:val="en-US" w:eastAsia="zh-CN"/>
                    </w:rPr>
                  </w:pPr>
                  <w:r>
                    <w:rPr>
                      <w:rFonts w:hint="eastAsia"/>
                      <w:color w:val="auto"/>
                      <w:sz w:val="21"/>
                      <w:szCs w:val="21"/>
                      <w:lang w:val="en-US" w:eastAsia="zh-CN"/>
                    </w:rPr>
                    <w:t>1800</w:t>
                  </w:r>
                  <w:r>
                    <w:rPr>
                      <w:rFonts w:hint="default" w:ascii="Times New Roman" w:hAnsi="Times New Roman" w:eastAsia="宋体" w:cs="Times New Roman"/>
                      <w:color w:val="auto"/>
                      <w:sz w:val="21"/>
                      <w:szCs w:val="21"/>
                      <w:highlight w:val="none"/>
                      <w:lang w:val="en-US" w:eastAsia="zh-CN"/>
                    </w:rPr>
                    <w:t>m</w:t>
                  </w:r>
                </w:p>
              </w:tc>
              <w:tc>
                <w:tcPr>
                  <w:tcW w:w="283" w:type="pct"/>
                  <w:tcBorders>
                    <w:tl2br w:val="nil"/>
                    <w:tr2bl w:val="nil"/>
                  </w:tcBorders>
                  <w:vAlign w:val="center"/>
                </w:tcPr>
                <w:p w14:paraId="33834E17">
                  <w:pPr>
                    <w:pStyle w:val="14"/>
                    <w:tabs>
                      <w:tab w:val="left" w:pos="3456"/>
                    </w:tabs>
                    <w:adjustRightInd w:val="0"/>
                    <w:snapToGrid w:val="0"/>
                    <w:spacing w:after="0"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2848" w:type="pct"/>
                  <w:tcBorders>
                    <w:tl2br w:val="nil"/>
                    <w:tr2bl w:val="nil"/>
                  </w:tcBorders>
                  <w:vAlign w:val="center"/>
                </w:tcPr>
                <w:p w14:paraId="39A33057">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江苏地表水（环境）功能区划（2021-2030年）</w:t>
                  </w:r>
                </w:p>
              </w:tc>
              <w:tc>
                <w:tcPr>
                  <w:tcW w:w="317" w:type="pct"/>
                  <w:tcBorders>
                    <w:tl2br w:val="nil"/>
                    <w:tr2bl w:val="nil"/>
                  </w:tcBorders>
                  <w:vAlign w:val="center"/>
                </w:tcPr>
                <w:p w14:paraId="70E4300B">
                  <w:pPr>
                    <w:adjustRightInd w:val="0"/>
                    <w:snapToGrid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fldChar w:fldCharType="begin"/>
                  </w:r>
                  <w:r>
                    <w:rPr>
                      <w:rFonts w:hint="default" w:ascii="Times New Roman" w:hAnsi="Times New Roman" w:eastAsia="宋体" w:cs="Times New Roman"/>
                      <w:bCs/>
                      <w:color w:val="auto"/>
                      <w:sz w:val="21"/>
                      <w:szCs w:val="21"/>
                      <w:highlight w:val="none"/>
                    </w:rPr>
                    <w:instrText xml:space="preserve"> = 3 \* ROMAN </w:instrText>
                  </w:r>
                  <w:r>
                    <w:rPr>
                      <w:rFonts w:hint="default" w:ascii="Times New Roman" w:hAnsi="Times New Roman" w:eastAsia="宋体" w:cs="Times New Roman"/>
                      <w:bCs/>
                      <w:color w:val="auto"/>
                      <w:sz w:val="21"/>
                      <w:szCs w:val="21"/>
                      <w:highlight w:val="none"/>
                    </w:rPr>
                    <w:fldChar w:fldCharType="separate"/>
                  </w:r>
                  <w:r>
                    <w:rPr>
                      <w:rFonts w:hint="default" w:ascii="Times New Roman" w:hAnsi="Times New Roman" w:eastAsia="宋体" w:cs="Times New Roman"/>
                      <w:color w:val="auto"/>
                      <w:szCs w:val="21"/>
                    </w:rPr>
                    <w:t>Ⅳ</w:t>
                  </w:r>
                  <w:r>
                    <w:rPr>
                      <w:rFonts w:hint="default" w:ascii="Times New Roman" w:hAnsi="Times New Roman" w:eastAsia="宋体" w:cs="Times New Roman"/>
                      <w:bCs/>
                      <w:color w:val="auto"/>
                      <w:sz w:val="21"/>
                      <w:szCs w:val="21"/>
                      <w:highlight w:val="none"/>
                    </w:rPr>
                    <w:fldChar w:fldCharType="end"/>
                  </w:r>
                  <w:r>
                    <w:rPr>
                      <w:rFonts w:hint="default" w:ascii="Times New Roman" w:hAnsi="Times New Roman" w:eastAsia="宋体" w:cs="Times New Roman"/>
                      <w:bCs/>
                      <w:color w:val="auto"/>
                      <w:sz w:val="21"/>
                      <w:szCs w:val="21"/>
                      <w:highlight w:val="none"/>
                    </w:rPr>
                    <w:t>类</w:t>
                  </w:r>
                </w:p>
              </w:tc>
            </w:tr>
          </w:tbl>
          <w:p w14:paraId="484B5473">
            <w:pPr>
              <w:pStyle w:val="7"/>
              <w:keepNext w:val="0"/>
              <w:keepLines w:val="0"/>
              <w:pageBreakBefore w:val="0"/>
              <w:numPr>
                <w:ilvl w:val="0"/>
                <w:numId w:val="0"/>
              </w:numPr>
              <w:tabs>
                <w:tab w:val="clear" w:pos="2040"/>
              </w:tabs>
              <w:kinsoku/>
              <w:wordWrap/>
              <w:overflowPunct/>
              <w:topLinePunct w:val="0"/>
              <w:bidi w:val="0"/>
              <w:spacing w:line="360" w:lineRule="auto"/>
              <w:ind w:right="0"/>
              <w:textAlignment w:val="auto"/>
              <w:rPr>
                <w:rFonts w:hint="default" w:ascii="Times New Roman" w:hAnsi="Times New Roman" w:eastAsia="宋体" w:cs="Times New Roman"/>
                <w:b/>
                <w:bCs/>
                <w:color w:val="auto"/>
                <w:sz w:val="24"/>
                <w:lang w:val="en-US" w:eastAsia="zh-CN"/>
              </w:rPr>
            </w:pPr>
          </w:p>
          <w:p w14:paraId="626F04DC">
            <w:pPr>
              <w:pStyle w:val="7"/>
              <w:keepNext w:val="0"/>
              <w:keepLines w:val="0"/>
              <w:pageBreakBefore w:val="0"/>
              <w:numPr>
                <w:ilvl w:val="0"/>
                <w:numId w:val="0"/>
              </w:numPr>
              <w:tabs>
                <w:tab w:val="clear" w:pos="2040"/>
              </w:tabs>
              <w:kinsoku/>
              <w:wordWrap/>
              <w:overflowPunct/>
              <w:topLinePunct w:val="0"/>
              <w:bidi w:val="0"/>
              <w:spacing w:line="360" w:lineRule="auto"/>
              <w:ind w:right="0"/>
              <w:textAlignment w:val="auto"/>
              <w:rPr>
                <w:rFonts w:hint="default" w:ascii="Times New Roman" w:hAnsi="Times New Roman" w:eastAsia="宋体" w:cs="Times New Roman"/>
                <w:b/>
                <w:bCs/>
                <w:color w:val="auto"/>
                <w:sz w:val="24"/>
                <w:lang w:val="en-US" w:eastAsia="zh-CN"/>
              </w:rPr>
            </w:pPr>
          </w:p>
        </w:tc>
      </w:tr>
    </w:tbl>
    <w:p w14:paraId="7B35FAA9">
      <w:pPr>
        <w:rPr>
          <w:rFonts w:hint="default" w:ascii="Times New Roman" w:hAnsi="Times New Roman" w:eastAsia="宋体"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7"/>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26"/>
        <w:gridCol w:w="8664"/>
      </w:tblGrid>
      <w:tr w14:paraId="6108F8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90" w:hRule="atLeast"/>
          <w:jc w:val="center"/>
        </w:trPr>
        <w:tc>
          <w:tcPr>
            <w:tcW w:w="359" w:type="dxa"/>
            <w:noWrap w:val="0"/>
            <w:tcMar>
              <w:left w:w="28" w:type="dxa"/>
              <w:right w:w="28" w:type="dxa"/>
            </w:tcMar>
            <w:vAlign w:val="center"/>
          </w:tcPr>
          <w:p w14:paraId="559DD1CF">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污染</w:t>
            </w:r>
          </w:p>
          <w:p w14:paraId="520F775D">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物排</w:t>
            </w:r>
          </w:p>
          <w:p w14:paraId="6412ECA4">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放控</w:t>
            </w:r>
          </w:p>
          <w:p w14:paraId="7B51C3B8">
            <w:pPr>
              <w:adjustRightInd w:val="0"/>
              <w:snapToGrid w:val="0"/>
              <w:jc w:val="center"/>
              <w:rPr>
                <w:rFonts w:hint="default" w:ascii="Times New Roman" w:hAnsi="Times New Roman" w:eastAsia="宋体" w:cs="Times New Roman"/>
                <w:color w:val="auto"/>
                <w:kern w:val="0"/>
                <w:sz w:val="24"/>
                <w:szCs w:val="24"/>
              </w:rPr>
            </w:pPr>
            <w:r>
              <w:rPr>
                <w:rFonts w:hint="default" w:ascii="Times New Roman" w:hAnsi="Times New Roman" w:eastAsia="宋体" w:cs="Times New Roman"/>
                <w:color w:val="auto"/>
                <w:kern w:val="0"/>
                <w:sz w:val="24"/>
                <w:szCs w:val="24"/>
              </w:rPr>
              <w:t>制标</w:t>
            </w:r>
          </w:p>
          <w:p w14:paraId="1C9D165D">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 w:val="24"/>
                <w:szCs w:val="24"/>
              </w:rPr>
              <w:t>准</w:t>
            </w:r>
          </w:p>
        </w:tc>
        <w:tc>
          <w:tcPr>
            <w:tcW w:w="8631" w:type="dxa"/>
            <w:noWrap w:val="0"/>
            <w:vAlign w:val="top"/>
          </w:tcPr>
          <w:p w14:paraId="51D49C7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3.3污染物排放控制标准</w:t>
            </w:r>
          </w:p>
          <w:p w14:paraId="56B9B64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color w:val="auto"/>
                <w:kern w:val="0"/>
                <w:sz w:val="24"/>
                <w:szCs w:val="24"/>
                <w:lang w:val="en-US" w:eastAsia="zh-CN"/>
              </w:rPr>
            </w:pPr>
            <w:r>
              <w:rPr>
                <w:rFonts w:hint="default" w:ascii="Times New Roman" w:hAnsi="Times New Roman" w:eastAsia="宋体" w:cs="Times New Roman"/>
                <w:b/>
                <w:bCs/>
                <w:color w:val="auto"/>
                <w:kern w:val="0"/>
                <w:sz w:val="24"/>
                <w:szCs w:val="24"/>
                <w:lang w:val="en-US" w:eastAsia="zh-CN"/>
              </w:rPr>
              <w:t>3.3.1废气排放标准</w:t>
            </w:r>
          </w:p>
          <w:p w14:paraId="41556E38">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szCs w:val="24"/>
                <w:lang w:val="en-US" w:eastAsia="zh-CN"/>
              </w:rPr>
              <w:t>项目</w:t>
            </w:r>
            <w:r>
              <w:rPr>
                <w:rFonts w:hint="eastAsia" w:ascii="Times New Roman" w:hAnsi="Times New Roman" w:eastAsia="宋体" w:cs="Times New Roman"/>
                <w:color w:val="auto"/>
                <w:sz w:val="24"/>
                <w:szCs w:val="24"/>
                <w:lang w:val="en-US" w:eastAsia="zh-CN"/>
              </w:rPr>
              <w:t>污水处理站产生的氨、硫化氢和臭气浓度</w:t>
            </w:r>
            <w:r>
              <w:rPr>
                <w:rFonts w:hint="default" w:ascii="Times New Roman" w:hAnsi="Times New Roman" w:eastAsia="宋体" w:cs="Times New Roman"/>
                <w:color w:val="auto"/>
                <w:sz w:val="24"/>
                <w:szCs w:val="24"/>
                <w:lang w:val="en-US" w:eastAsia="zh-CN"/>
              </w:rPr>
              <w:t>执行《恶臭污染物排放标准》（GB14554-93）</w:t>
            </w:r>
            <w:r>
              <w:rPr>
                <w:rFonts w:hint="default" w:ascii="Times New Roman" w:hAnsi="Times New Roman" w:eastAsia="宋体" w:cs="Times New Roman"/>
                <w:color w:val="auto"/>
                <w:sz w:val="24"/>
                <w:szCs w:val="24"/>
              </w:rPr>
              <w:t>表</w:t>
            </w: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rPr>
              <w:t>标准。具体标准值见</w:t>
            </w:r>
            <w:r>
              <w:rPr>
                <w:rFonts w:hint="default" w:ascii="Times New Roman" w:hAnsi="Times New Roman" w:eastAsia="宋体" w:cs="Times New Roman"/>
                <w:color w:val="auto"/>
                <w:sz w:val="24"/>
                <w:szCs w:val="24"/>
                <w:lang w:val="en-US" w:eastAsia="zh-CN"/>
              </w:rPr>
              <w:t>下表</w:t>
            </w:r>
            <w:r>
              <w:rPr>
                <w:rFonts w:hint="default" w:ascii="Times New Roman" w:hAnsi="Times New Roman" w:eastAsia="宋体" w:cs="Times New Roman"/>
                <w:color w:val="auto"/>
                <w:sz w:val="24"/>
                <w:szCs w:val="24"/>
              </w:rPr>
              <w:t>。</w:t>
            </w:r>
          </w:p>
          <w:p w14:paraId="209F784A">
            <w:pPr>
              <w:pStyle w:val="6"/>
              <w:keepNext w:val="0"/>
              <w:keepLines w:val="0"/>
              <w:pageBreakBefore w:val="0"/>
              <w:widowControl/>
              <w:numPr>
                <w:ilvl w:val="0"/>
                <w:numId w:val="0"/>
              </w:numPr>
              <w:kinsoku/>
              <w:wordWrap/>
              <w:overflowPunct/>
              <w:topLinePunct w:val="0"/>
              <w:autoSpaceDE/>
              <w:autoSpaceDN/>
              <w:bidi w:val="0"/>
              <w:adjustRightInd/>
              <w:snapToGrid w:val="0"/>
              <w:spacing w:before="95" w:beforeLines="30" w:after="0" w:line="240" w:lineRule="auto"/>
              <w:ind w:right="0" w:rightChars="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rPr>
              <w:t>表3-</w:t>
            </w:r>
            <w:r>
              <w:rPr>
                <w:rFonts w:hint="eastAsia" w:cs="Times New Roman"/>
                <w:b/>
                <w:bCs w:val="0"/>
                <w:color w:val="auto"/>
                <w:sz w:val="21"/>
                <w:szCs w:val="21"/>
                <w:lang w:val="en-US" w:eastAsia="zh-CN"/>
              </w:rPr>
              <w:t>6</w:t>
            </w:r>
            <w:r>
              <w:rPr>
                <w:rFonts w:hint="default" w:ascii="Times New Roman" w:hAnsi="Times New Roman" w:eastAsia="宋体" w:cs="Times New Roman"/>
                <w:b/>
                <w:bCs w:val="0"/>
                <w:color w:val="auto"/>
                <w:sz w:val="21"/>
                <w:szCs w:val="21"/>
                <w:lang w:val="en-US" w:eastAsia="zh-CN"/>
              </w:rPr>
              <w:t xml:space="preserve"> </w:t>
            </w:r>
            <w:r>
              <w:rPr>
                <w:rFonts w:hint="default" w:ascii="Times New Roman" w:hAnsi="Times New Roman" w:eastAsia="宋体" w:cs="Times New Roman"/>
                <w:b/>
                <w:bCs w:val="0"/>
                <w:color w:val="auto"/>
                <w:sz w:val="21"/>
                <w:szCs w:val="21"/>
              </w:rPr>
              <w:t>本项目无组织废气排放</w:t>
            </w:r>
            <w:r>
              <w:rPr>
                <w:rFonts w:hint="default" w:ascii="Times New Roman" w:hAnsi="Times New Roman" w:eastAsia="宋体" w:cs="Times New Roman"/>
                <w:b/>
                <w:bCs w:val="0"/>
                <w:color w:val="auto"/>
                <w:sz w:val="21"/>
                <w:szCs w:val="21"/>
                <w:highlight w:val="none"/>
                <w:shd w:val="clear" w:fill="auto"/>
              </w:rPr>
              <w:t>限值</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5"/>
              <w:gridCol w:w="1915"/>
              <w:gridCol w:w="4375"/>
            </w:tblGrid>
            <w:tr w14:paraId="14DDC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271" w:type="pct"/>
                  <w:noWrap w:val="0"/>
                  <w:vAlign w:val="center"/>
                </w:tcPr>
                <w:p w14:paraId="10038F20">
                  <w:pPr>
                    <w:pStyle w:val="36"/>
                    <w:snapToGrid w:val="0"/>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污染物名称/因子</w:t>
                  </w:r>
                </w:p>
              </w:tc>
              <w:tc>
                <w:tcPr>
                  <w:tcW w:w="1135" w:type="pct"/>
                  <w:noWrap w:val="0"/>
                  <w:vAlign w:val="center"/>
                </w:tcPr>
                <w:p w14:paraId="544D5659">
                  <w:pPr>
                    <w:pStyle w:val="36"/>
                    <w:snapToGrid w:val="0"/>
                    <w:rPr>
                      <w:rFonts w:hint="default" w:ascii="Times New Roman" w:hAnsi="Times New Roman" w:eastAsia="宋体" w:cs="Times New Roman"/>
                      <w:b/>
                      <w:bCs/>
                      <w:color w:val="auto"/>
                      <w:sz w:val="21"/>
                      <w:szCs w:val="21"/>
                    </w:rPr>
                  </w:pPr>
                  <w:r>
                    <w:rPr>
                      <w:color w:val="auto"/>
                    </w:rPr>
                    <w:t>无组织排放浓度限值</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color w:val="auto"/>
                      <w:sz w:val="21"/>
                      <w:szCs w:val="21"/>
                    </w:rPr>
                    <w:t>mg/</w:t>
                  </w:r>
                  <w:r>
                    <w:rPr>
                      <w:rFonts w:hint="default" w:ascii="Times New Roman" w:hAnsi="Times New Roman" w:eastAsia="宋体" w:cs="Times New Roman"/>
                      <w:b/>
                      <w:bCs/>
                      <w:color w:val="auto"/>
                      <w:sz w:val="21"/>
                      <w:szCs w:val="21"/>
                      <w:highlight w:val="none"/>
                    </w:rPr>
                    <w:t>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2593" w:type="pct"/>
                  <w:noWrap w:val="0"/>
                  <w:vAlign w:val="center"/>
                </w:tcPr>
                <w:p w14:paraId="0935D745">
                  <w:pPr>
                    <w:pStyle w:val="36"/>
                    <w:snapToGrid w:val="0"/>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执行标准</w:t>
                  </w:r>
                </w:p>
              </w:tc>
            </w:tr>
            <w:tr w14:paraId="17A3B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271" w:type="pct"/>
                  <w:noWrap w:val="0"/>
                  <w:vAlign w:val="center"/>
                </w:tcPr>
                <w:p w14:paraId="5DCBAD5A">
                  <w:pPr>
                    <w:pStyle w:val="30"/>
                    <w:bidi w:val="0"/>
                    <w:ind w:firstLine="0" w:firstLineChars="0"/>
                    <w:rPr>
                      <w:rFonts w:hint="default" w:ascii="Times New Roman" w:hAnsi="Times New Roman" w:eastAsia="宋体" w:cs="Times New Roman"/>
                      <w:b w:val="0"/>
                      <w:color w:val="auto"/>
                      <w:sz w:val="21"/>
                      <w:szCs w:val="21"/>
                    </w:rPr>
                  </w:pPr>
                  <w:r>
                    <w:rPr>
                      <w:rFonts w:hint="eastAsia"/>
                      <w:color w:val="auto"/>
                    </w:rPr>
                    <w:t>氨气</w:t>
                  </w:r>
                </w:p>
              </w:tc>
              <w:tc>
                <w:tcPr>
                  <w:tcW w:w="1135" w:type="pct"/>
                  <w:noWrap w:val="0"/>
                  <w:vAlign w:val="center"/>
                </w:tcPr>
                <w:p w14:paraId="6A2671BF">
                  <w:pPr>
                    <w:pStyle w:val="30"/>
                    <w:bidi w:val="0"/>
                    <w:ind w:firstLine="0" w:firstLineChars="0"/>
                    <w:rPr>
                      <w:rFonts w:hint="default" w:ascii="Times New Roman" w:hAnsi="Times New Roman" w:eastAsia="宋体" w:cs="Times New Roman"/>
                      <w:b w:val="0"/>
                      <w:color w:val="auto"/>
                      <w:sz w:val="21"/>
                      <w:szCs w:val="21"/>
                    </w:rPr>
                  </w:pPr>
                  <w:r>
                    <w:rPr>
                      <w:rFonts w:hint="eastAsia"/>
                      <w:color w:val="auto"/>
                    </w:rPr>
                    <w:t>1.5</w:t>
                  </w:r>
                </w:p>
              </w:tc>
              <w:tc>
                <w:tcPr>
                  <w:tcW w:w="2593" w:type="pct"/>
                  <w:vMerge w:val="restart"/>
                  <w:noWrap w:val="0"/>
                  <w:vAlign w:val="center"/>
                </w:tcPr>
                <w:p w14:paraId="62B2A13B">
                  <w:pPr>
                    <w:pStyle w:val="36"/>
                    <w:snapToGrid w:val="0"/>
                    <w:rPr>
                      <w:rFonts w:hint="default" w:ascii="Times New Roman" w:hAnsi="Times New Roman" w:eastAsia="宋体" w:cs="Times New Roman"/>
                      <w:b w:val="0"/>
                      <w:bCs/>
                      <w:color w:val="auto"/>
                      <w:kern w:val="2"/>
                      <w:sz w:val="21"/>
                      <w:szCs w:val="21"/>
                      <w:highlight w:val="none"/>
                      <w:lang w:eastAsia="zh-CN"/>
                    </w:rPr>
                  </w:pPr>
                  <w:r>
                    <w:rPr>
                      <w:rFonts w:hint="default" w:ascii="Times New Roman" w:hAnsi="Times New Roman" w:eastAsia="宋体" w:cs="Times New Roman"/>
                      <w:b w:val="0"/>
                      <w:bCs/>
                      <w:color w:val="auto"/>
                      <w:kern w:val="2"/>
                      <w:sz w:val="21"/>
                      <w:szCs w:val="21"/>
                      <w:lang w:val="en-US" w:eastAsia="zh-CN"/>
                    </w:rPr>
                    <w:t>GB14554-93</w:t>
                  </w:r>
                </w:p>
              </w:tc>
            </w:tr>
            <w:tr w14:paraId="72885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271" w:type="pct"/>
                  <w:noWrap w:val="0"/>
                  <w:vAlign w:val="center"/>
                </w:tcPr>
                <w:p w14:paraId="048B8D26">
                  <w:pPr>
                    <w:pStyle w:val="30"/>
                    <w:bidi w:val="0"/>
                    <w:ind w:firstLine="0" w:firstLineChars="0"/>
                    <w:rPr>
                      <w:rFonts w:hint="default" w:ascii="Times New Roman" w:hAnsi="Times New Roman" w:eastAsia="宋体" w:cs="Times New Roman"/>
                      <w:b w:val="0"/>
                      <w:color w:val="auto"/>
                      <w:sz w:val="21"/>
                      <w:szCs w:val="21"/>
                    </w:rPr>
                  </w:pPr>
                  <w:r>
                    <w:rPr>
                      <w:rFonts w:hint="eastAsia"/>
                      <w:color w:val="auto"/>
                    </w:rPr>
                    <w:t>硫化氢</w:t>
                  </w:r>
                </w:p>
              </w:tc>
              <w:tc>
                <w:tcPr>
                  <w:tcW w:w="1135" w:type="pct"/>
                  <w:noWrap w:val="0"/>
                  <w:vAlign w:val="center"/>
                </w:tcPr>
                <w:p w14:paraId="0180F4EB">
                  <w:pPr>
                    <w:pStyle w:val="30"/>
                    <w:bidi w:val="0"/>
                    <w:ind w:firstLine="0" w:firstLineChars="0"/>
                    <w:rPr>
                      <w:rFonts w:hint="default" w:ascii="Times New Roman" w:hAnsi="Times New Roman" w:eastAsia="宋体" w:cs="Times New Roman"/>
                      <w:b w:val="0"/>
                      <w:color w:val="auto"/>
                      <w:sz w:val="21"/>
                      <w:szCs w:val="21"/>
                    </w:rPr>
                  </w:pPr>
                  <w:r>
                    <w:rPr>
                      <w:rFonts w:hint="eastAsia"/>
                      <w:color w:val="auto"/>
                    </w:rPr>
                    <w:t>0.06</w:t>
                  </w:r>
                </w:p>
              </w:tc>
              <w:tc>
                <w:tcPr>
                  <w:tcW w:w="2593" w:type="pct"/>
                  <w:vMerge w:val="continue"/>
                  <w:noWrap w:val="0"/>
                  <w:vAlign w:val="center"/>
                </w:tcPr>
                <w:p w14:paraId="3053BCA5">
                  <w:pPr>
                    <w:pStyle w:val="36"/>
                    <w:snapToGrid w:val="0"/>
                    <w:rPr>
                      <w:rFonts w:hint="default" w:ascii="Times New Roman" w:hAnsi="Times New Roman" w:eastAsia="宋体" w:cs="Times New Roman"/>
                      <w:b w:val="0"/>
                      <w:bCs/>
                      <w:color w:val="auto"/>
                      <w:kern w:val="2"/>
                      <w:sz w:val="21"/>
                      <w:szCs w:val="21"/>
                      <w:highlight w:val="none"/>
                      <w:lang w:eastAsia="zh-CN"/>
                    </w:rPr>
                  </w:pPr>
                </w:p>
              </w:tc>
            </w:tr>
            <w:tr w14:paraId="5DAE2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1271" w:type="pct"/>
                  <w:noWrap w:val="0"/>
                  <w:vAlign w:val="center"/>
                </w:tcPr>
                <w:p w14:paraId="61BD4F2E">
                  <w:pPr>
                    <w:pStyle w:val="30"/>
                    <w:bidi w:val="0"/>
                    <w:ind w:firstLine="0" w:firstLineChars="0"/>
                    <w:rPr>
                      <w:rFonts w:hint="default" w:ascii="Times New Roman" w:hAnsi="Times New Roman" w:eastAsia="宋体" w:cs="Times New Roman"/>
                      <w:b w:val="0"/>
                      <w:color w:val="auto"/>
                      <w:sz w:val="21"/>
                      <w:szCs w:val="21"/>
                    </w:rPr>
                  </w:pPr>
                  <w:r>
                    <w:rPr>
                      <w:rFonts w:hint="eastAsia"/>
                      <w:color w:val="auto"/>
                    </w:rPr>
                    <w:t>臭气浓度</w:t>
                  </w:r>
                </w:p>
              </w:tc>
              <w:tc>
                <w:tcPr>
                  <w:tcW w:w="1135" w:type="pct"/>
                  <w:noWrap w:val="0"/>
                  <w:vAlign w:val="center"/>
                </w:tcPr>
                <w:p w14:paraId="55EEC0A3">
                  <w:pPr>
                    <w:pStyle w:val="30"/>
                    <w:bidi w:val="0"/>
                    <w:ind w:firstLine="0" w:firstLineChars="0"/>
                    <w:rPr>
                      <w:rFonts w:hint="default" w:ascii="Times New Roman" w:hAnsi="Times New Roman" w:eastAsia="宋体" w:cs="Times New Roman"/>
                      <w:b w:val="0"/>
                      <w:color w:val="auto"/>
                      <w:sz w:val="21"/>
                      <w:szCs w:val="21"/>
                    </w:rPr>
                  </w:pPr>
                  <w:r>
                    <w:rPr>
                      <w:rFonts w:hint="eastAsia"/>
                      <w:color w:val="auto"/>
                    </w:rPr>
                    <w:t>20（无量纲）</w:t>
                  </w:r>
                </w:p>
              </w:tc>
              <w:tc>
                <w:tcPr>
                  <w:tcW w:w="2593" w:type="pct"/>
                  <w:vMerge w:val="continue"/>
                  <w:noWrap w:val="0"/>
                  <w:vAlign w:val="center"/>
                </w:tcPr>
                <w:p w14:paraId="783D48EF">
                  <w:pPr>
                    <w:pStyle w:val="36"/>
                    <w:snapToGrid w:val="0"/>
                    <w:rPr>
                      <w:rFonts w:hint="default" w:ascii="Times New Roman" w:hAnsi="Times New Roman" w:eastAsia="宋体" w:cs="Times New Roman"/>
                      <w:b w:val="0"/>
                      <w:bCs/>
                      <w:color w:val="auto"/>
                      <w:kern w:val="2"/>
                      <w:sz w:val="21"/>
                      <w:szCs w:val="21"/>
                      <w:highlight w:val="none"/>
                      <w:lang w:eastAsia="zh-CN"/>
                    </w:rPr>
                  </w:pPr>
                </w:p>
              </w:tc>
            </w:tr>
          </w:tbl>
          <w:p w14:paraId="42E1AD65">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3.3.2废水排放标准</w:t>
            </w:r>
          </w:p>
          <w:p w14:paraId="5DB0E582">
            <w:pPr>
              <w:pStyle w:val="2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Cs w:val="24"/>
              </w:rPr>
            </w:pPr>
            <w:r>
              <w:rPr>
                <w:rFonts w:hint="default" w:ascii="Times New Roman" w:hAnsi="Times New Roman" w:eastAsia="宋体" w:cs="Times New Roman"/>
                <w:color w:val="auto"/>
                <w:szCs w:val="24"/>
              </w:rPr>
              <w:t>本项目生活污水</w:t>
            </w:r>
            <w:r>
              <w:rPr>
                <w:rFonts w:hint="eastAsia" w:cs="Times New Roman"/>
                <w:color w:val="auto"/>
                <w:szCs w:val="24"/>
                <w:lang w:val="en-US" w:eastAsia="zh-CN"/>
              </w:rPr>
              <w:t>接管至</w:t>
            </w:r>
            <w:r>
              <w:rPr>
                <w:rFonts w:hint="default" w:ascii="Times New Roman" w:hAnsi="Times New Roman" w:eastAsia="宋体" w:cs="Times New Roman"/>
                <w:color w:val="auto"/>
                <w:szCs w:val="24"/>
                <w:highlight w:val="none"/>
              </w:rPr>
              <w:t>常州</w:t>
            </w:r>
            <w:r>
              <w:rPr>
                <w:rFonts w:hint="eastAsia" w:cs="Times New Roman"/>
                <w:color w:val="auto"/>
                <w:szCs w:val="24"/>
                <w:highlight w:val="none"/>
                <w:lang w:val="en-US" w:eastAsia="zh-CN"/>
              </w:rPr>
              <w:t>金坛溪城污水处理有限公司</w:t>
            </w:r>
            <w:r>
              <w:rPr>
                <w:rFonts w:hint="default" w:ascii="Times New Roman" w:hAnsi="Times New Roman" w:eastAsia="宋体" w:cs="Times New Roman"/>
                <w:color w:val="auto"/>
                <w:szCs w:val="24"/>
                <w:highlight w:val="none"/>
              </w:rPr>
              <w:t>集中处理，处理达标后尾水排入</w:t>
            </w:r>
            <w:r>
              <w:rPr>
                <w:rFonts w:hint="eastAsia" w:cs="Times New Roman"/>
                <w:color w:val="auto"/>
                <w:szCs w:val="24"/>
                <w:highlight w:val="none"/>
                <w:lang w:val="en-US" w:eastAsia="zh-CN"/>
              </w:rPr>
              <w:t>通济河</w:t>
            </w:r>
            <w:r>
              <w:rPr>
                <w:rFonts w:hint="eastAsia" w:cs="Times New Roman"/>
                <w:color w:val="auto"/>
                <w:szCs w:val="24"/>
                <w:highlight w:val="none"/>
                <w:lang w:eastAsia="zh-CN"/>
              </w:rPr>
              <w:t>，</w:t>
            </w:r>
            <w:r>
              <w:rPr>
                <w:rFonts w:hint="eastAsia" w:cs="Times New Roman"/>
                <w:color w:val="auto"/>
                <w:szCs w:val="24"/>
                <w:highlight w:val="none"/>
                <w:lang w:val="en-US" w:eastAsia="zh-CN"/>
              </w:rPr>
              <w:t>污水</w:t>
            </w:r>
            <w:r>
              <w:rPr>
                <w:rFonts w:hint="default" w:ascii="Times New Roman" w:hAnsi="Times New Roman" w:eastAsia="宋体" w:cs="Times New Roman"/>
                <w:color w:val="auto"/>
                <w:szCs w:val="24"/>
                <w:highlight w:val="none"/>
              </w:rPr>
              <w:t>接</w:t>
            </w:r>
            <w:r>
              <w:rPr>
                <w:rFonts w:hint="default" w:ascii="Times New Roman" w:hAnsi="Times New Roman" w:eastAsia="宋体" w:cs="Times New Roman"/>
                <w:color w:val="auto"/>
                <w:szCs w:val="24"/>
              </w:rPr>
              <w:t>管标准执行常州</w:t>
            </w:r>
            <w:r>
              <w:rPr>
                <w:rFonts w:hint="eastAsia" w:cs="Times New Roman"/>
                <w:color w:val="auto"/>
                <w:szCs w:val="24"/>
                <w:lang w:val="en-US" w:eastAsia="zh-CN"/>
              </w:rPr>
              <w:t>金坛溪城污水处理有限公司</w:t>
            </w:r>
            <w:r>
              <w:rPr>
                <w:rFonts w:hint="default" w:ascii="Times New Roman" w:hAnsi="Times New Roman" w:eastAsia="宋体" w:cs="Times New Roman"/>
                <w:color w:val="auto"/>
                <w:szCs w:val="24"/>
              </w:rPr>
              <w:t>接管标准。</w:t>
            </w:r>
          </w:p>
          <w:p w14:paraId="68DCE2A9">
            <w:pPr>
              <w:pStyle w:val="28"/>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bCs/>
                <w:color w:val="auto"/>
                <w:sz w:val="24"/>
              </w:rPr>
            </w:pPr>
            <w:r>
              <w:rPr>
                <w:rFonts w:hint="default" w:ascii="Times New Roman" w:hAnsi="Times New Roman" w:eastAsia="宋体" w:cs="Times New Roman"/>
                <w:color w:val="auto"/>
                <w:szCs w:val="24"/>
              </w:rPr>
              <w:t>常州</w:t>
            </w:r>
            <w:r>
              <w:rPr>
                <w:rFonts w:hint="eastAsia" w:cs="Times New Roman"/>
                <w:color w:val="auto"/>
                <w:szCs w:val="24"/>
                <w:lang w:eastAsia="zh-CN"/>
              </w:rPr>
              <w:t>金坛溪城污水处理有限公司</w:t>
            </w:r>
            <w:r>
              <w:rPr>
                <w:rFonts w:hint="default" w:ascii="Times New Roman" w:hAnsi="Times New Roman" w:eastAsia="宋体" w:cs="Times New Roman"/>
                <w:color w:val="auto"/>
                <w:szCs w:val="24"/>
              </w:rPr>
              <w:t>属于太湖地区其他区域内的城镇污水</w:t>
            </w:r>
            <w:r>
              <w:rPr>
                <w:rFonts w:hint="eastAsia" w:cs="Times New Roman"/>
                <w:color w:val="auto"/>
                <w:szCs w:val="24"/>
                <w:lang w:eastAsia="zh-CN"/>
              </w:rPr>
              <w:t>处理有限公司</w:t>
            </w:r>
            <w:r>
              <w:rPr>
                <w:rFonts w:hint="default" w:ascii="Times New Roman" w:hAnsi="Times New Roman" w:eastAsia="宋体" w:cs="Times New Roman"/>
                <w:color w:val="auto"/>
                <w:szCs w:val="24"/>
              </w:rPr>
              <w:t>，为现有企业，</w:t>
            </w:r>
            <w:r>
              <w:rPr>
                <w:rFonts w:hint="default" w:ascii="Times New Roman" w:hAnsi="Times New Roman" w:eastAsia="宋体" w:cs="Times New Roman"/>
                <w:color w:val="auto"/>
                <w:szCs w:val="24"/>
                <w:lang w:val="en-US" w:eastAsia="zh-CN"/>
              </w:rPr>
              <w:t>按照标准要求，</w:t>
            </w:r>
            <w:r>
              <w:rPr>
                <w:rFonts w:hint="default" w:ascii="Times New Roman" w:hAnsi="Times New Roman" w:eastAsia="宋体" w:cs="Times New Roman"/>
                <w:color w:val="auto"/>
                <w:szCs w:val="24"/>
              </w:rPr>
              <w:t>从2026年3月28日起常州</w:t>
            </w:r>
            <w:r>
              <w:rPr>
                <w:rFonts w:hint="eastAsia" w:cs="Times New Roman"/>
                <w:color w:val="auto"/>
                <w:szCs w:val="24"/>
                <w:lang w:eastAsia="zh-CN"/>
              </w:rPr>
              <w:t>金坛溪城污水处理有限公司</w:t>
            </w:r>
            <w:r>
              <w:rPr>
                <w:rFonts w:hint="default" w:ascii="Times New Roman" w:hAnsi="Times New Roman" w:eastAsia="宋体" w:cs="Times New Roman"/>
                <w:color w:val="auto"/>
                <w:szCs w:val="24"/>
              </w:rPr>
              <w:t>尾水排放执行《城镇污水</w:t>
            </w:r>
            <w:r>
              <w:rPr>
                <w:rFonts w:hint="default" w:ascii="Times New Roman" w:hAnsi="Times New Roman" w:eastAsia="宋体" w:cs="Times New Roman"/>
                <w:color w:val="auto"/>
                <w:szCs w:val="24"/>
                <w:lang w:val="en-US" w:eastAsia="zh-CN"/>
              </w:rPr>
              <w:t>处理</w:t>
            </w:r>
            <w:r>
              <w:rPr>
                <w:rFonts w:hint="default" w:ascii="Times New Roman" w:hAnsi="Times New Roman" w:eastAsia="宋体" w:cs="Times New Roman"/>
                <w:color w:val="auto"/>
                <w:szCs w:val="24"/>
              </w:rPr>
              <w:t>厂污染物排放标准》（DB32/4440-2022）表1中</w:t>
            </w:r>
            <w:r>
              <w:rPr>
                <w:rFonts w:hint="eastAsia" w:cs="Times New Roman"/>
                <w:color w:val="auto"/>
                <w:szCs w:val="24"/>
                <w:lang w:val="en-US" w:eastAsia="zh-CN"/>
              </w:rPr>
              <w:t>C</w:t>
            </w:r>
            <w:r>
              <w:rPr>
                <w:rFonts w:hint="default" w:ascii="Times New Roman" w:hAnsi="Times New Roman" w:eastAsia="宋体" w:cs="Times New Roman"/>
                <w:color w:val="auto"/>
                <w:szCs w:val="24"/>
              </w:rPr>
              <w:t>标准，2026年3月28日前仍执行《太湖地区城镇污水处理厂及重点工业行业主要水污染物排放限值》（DB32/1072-2018）表2中城镇污水处理厂标准，未列入项目执行《城镇污水处理厂污染物排放标准》（GB18918-2002）表1中一级A标准。具体标准见下表：</w:t>
            </w:r>
          </w:p>
          <w:p w14:paraId="4F3FC58F">
            <w:pPr>
              <w:pStyle w:val="7"/>
              <w:widowControl w:val="0"/>
              <w:numPr>
                <w:ilvl w:val="0"/>
                <w:numId w:val="0"/>
              </w:numPr>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rPr>
              <w:t>表3-</w:t>
            </w:r>
            <w:r>
              <w:rPr>
                <w:rFonts w:hint="eastAsia" w:cs="Times New Roman"/>
                <w:b/>
                <w:bCs/>
                <w:color w:val="auto"/>
                <w:sz w:val="21"/>
                <w:szCs w:val="21"/>
                <w:lang w:val="en-US" w:eastAsia="zh-CN"/>
              </w:rPr>
              <w:t>7</w:t>
            </w:r>
            <w:r>
              <w:rPr>
                <w:rFonts w:hint="default" w:ascii="Times New Roman" w:hAnsi="Times New Roman" w:eastAsia="宋体" w:cs="Times New Roman"/>
                <w:b/>
                <w:bCs/>
                <w:color w:val="auto"/>
                <w:sz w:val="21"/>
                <w:szCs w:val="21"/>
              </w:rPr>
              <w:t>废水排放标准</w:t>
            </w:r>
          </w:p>
          <w:tbl>
            <w:tblPr>
              <w:tblStyle w:val="17"/>
              <w:tblW w:w="8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092"/>
              <w:gridCol w:w="3622"/>
              <w:gridCol w:w="1143"/>
              <w:gridCol w:w="1210"/>
              <w:gridCol w:w="1371"/>
            </w:tblGrid>
            <w:tr w14:paraId="4ECF7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092" w:type="dxa"/>
                  <w:noWrap w:val="0"/>
                  <w:vAlign w:val="center"/>
                </w:tcPr>
                <w:p w14:paraId="23333845">
                  <w:pPr>
                    <w:pStyle w:val="7"/>
                    <w:numPr>
                      <w:ilvl w:val="0"/>
                      <w:numId w:val="0"/>
                    </w:numPr>
                    <w:tabs>
                      <w:tab w:val="clear" w:pos="2040"/>
                    </w:tabs>
                    <w:spacing w:line="240" w:lineRule="atLeas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类别</w:t>
                  </w:r>
                </w:p>
              </w:tc>
              <w:tc>
                <w:tcPr>
                  <w:tcW w:w="3622" w:type="dxa"/>
                  <w:noWrap w:val="0"/>
                  <w:vAlign w:val="center"/>
                </w:tcPr>
                <w:p w14:paraId="166C1490">
                  <w:pPr>
                    <w:pStyle w:val="7"/>
                    <w:numPr>
                      <w:ilvl w:val="0"/>
                      <w:numId w:val="0"/>
                    </w:numPr>
                    <w:tabs>
                      <w:tab w:val="clear" w:pos="2040"/>
                    </w:tabs>
                    <w:spacing w:line="240" w:lineRule="atLeas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执行标准</w:t>
                  </w:r>
                </w:p>
              </w:tc>
              <w:tc>
                <w:tcPr>
                  <w:tcW w:w="1143" w:type="dxa"/>
                  <w:noWrap w:val="0"/>
                  <w:vAlign w:val="center"/>
                </w:tcPr>
                <w:p w14:paraId="3F58229A">
                  <w:pPr>
                    <w:pStyle w:val="7"/>
                    <w:numPr>
                      <w:ilvl w:val="0"/>
                      <w:numId w:val="0"/>
                    </w:numPr>
                    <w:tabs>
                      <w:tab w:val="clear" w:pos="2040"/>
                    </w:tabs>
                    <w:spacing w:line="240" w:lineRule="atLeas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标准级别</w:t>
                  </w:r>
                </w:p>
              </w:tc>
              <w:tc>
                <w:tcPr>
                  <w:tcW w:w="1210" w:type="dxa"/>
                  <w:noWrap w:val="0"/>
                  <w:vAlign w:val="center"/>
                </w:tcPr>
                <w:p w14:paraId="6FDCDE02">
                  <w:pPr>
                    <w:pStyle w:val="7"/>
                    <w:numPr>
                      <w:ilvl w:val="0"/>
                      <w:numId w:val="0"/>
                    </w:numPr>
                    <w:tabs>
                      <w:tab w:val="clear" w:pos="2040"/>
                    </w:tabs>
                    <w:spacing w:line="240" w:lineRule="atLeas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指标</w:t>
                  </w:r>
                </w:p>
              </w:tc>
              <w:tc>
                <w:tcPr>
                  <w:tcW w:w="1371" w:type="dxa"/>
                  <w:noWrap w:val="0"/>
                  <w:vAlign w:val="center"/>
                </w:tcPr>
                <w:p w14:paraId="68F65B04">
                  <w:pPr>
                    <w:pStyle w:val="7"/>
                    <w:numPr>
                      <w:ilvl w:val="0"/>
                      <w:numId w:val="0"/>
                    </w:numPr>
                    <w:tabs>
                      <w:tab w:val="clear" w:pos="2040"/>
                    </w:tabs>
                    <w:spacing w:line="240" w:lineRule="atLeas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标准限值</w:t>
                  </w:r>
                </w:p>
              </w:tc>
            </w:tr>
            <w:tr w14:paraId="272D5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092" w:type="dxa"/>
                  <w:vMerge w:val="restart"/>
                  <w:noWrap w:val="0"/>
                  <w:vAlign w:val="center"/>
                </w:tcPr>
                <w:p w14:paraId="59976008">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厂区排口</w:t>
                  </w:r>
                </w:p>
              </w:tc>
              <w:tc>
                <w:tcPr>
                  <w:tcW w:w="3622" w:type="dxa"/>
                  <w:vMerge w:val="restart"/>
                  <w:noWrap w:val="0"/>
                  <w:vAlign w:val="center"/>
                </w:tcPr>
                <w:p w14:paraId="54769867">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1"/>
                      <w:szCs w:val="21"/>
                      <w:lang w:eastAsia="zh-CN"/>
                    </w:rPr>
                    <w:t>金坛区溪城污水处理有限公司</w:t>
                  </w:r>
                  <w:r>
                    <w:rPr>
                      <w:rFonts w:hint="default" w:ascii="Times New Roman" w:hAnsi="Times New Roman" w:eastAsia="宋体" w:cs="Times New Roman"/>
                      <w:color w:val="auto"/>
                      <w:sz w:val="21"/>
                      <w:szCs w:val="21"/>
                    </w:rPr>
                    <w:t>污水接管水质要求</w:t>
                  </w:r>
                </w:p>
              </w:tc>
              <w:tc>
                <w:tcPr>
                  <w:tcW w:w="1143" w:type="dxa"/>
                  <w:vMerge w:val="restart"/>
                  <w:noWrap w:val="0"/>
                  <w:vAlign w:val="center"/>
                </w:tcPr>
                <w:p w14:paraId="258F3252">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1210" w:type="dxa"/>
                  <w:noWrap w:val="0"/>
                  <w:vAlign w:val="center"/>
                </w:tcPr>
                <w:p w14:paraId="265CEBD8">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pH</w:t>
                  </w:r>
                </w:p>
              </w:tc>
              <w:tc>
                <w:tcPr>
                  <w:tcW w:w="1371" w:type="dxa"/>
                  <w:noWrap w:val="0"/>
                  <w:vAlign w:val="center"/>
                </w:tcPr>
                <w:p w14:paraId="4B6784E3">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6-9</w:t>
                  </w:r>
                </w:p>
              </w:tc>
            </w:tr>
            <w:tr w14:paraId="0FF51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092" w:type="dxa"/>
                  <w:vMerge w:val="continue"/>
                  <w:noWrap w:val="0"/>
                  <w:vAlign w:val="center"/>
                </w:tcPr>
                <w:p w14:paraId="32151374">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3622" w:type="dxa"/>
                  <w:vMerge w:val="continue"/>
                  <w:noWrap w:val="0"/>
                  <w:vAlign w:val="center"/>
                </w:tcPr>
                <w:p w14:paraId="3C6AC604">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143" w:type="dxa"/>
                  <w:vMerge w:val="continue"/>
                  <w:noWrap w:val="0"/>
                  <w:vAlign w:val="center"/>
                </w:tcPr>
                <w:p w14:paraId="58677094">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210" w:type="dxa"/>
                  <w:noWrap w:val="0"/>
                  <w:vAlign w:val="center"/>
                </w:tcPr>
                <w:p w14:paraId="2F997BA9">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w:t>
                  </w:r>
                </w:p>
              </w:tc>
              <w:tc>
                <w:tcPr>
                  <w:tcW w:w="1371" w:type="dxa"/>
                  <w:noWrap w:val="0"/>
                  <w:vAlign w:val="center"/>
                </w:tcPr>
                <w:p w14:paraId="7986D9E8">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w:t>
                  </w:r>
                  <w:r>
                    <w:rPr>
                      <w:rFonts w:hint="default" w:ascii="Times New Roman" w:hAnsi="Times New Roman" w:eastAsia="宋体" w:cs="Times New Roman"/>
                      <w:color w:val="auto"/>
                      <w:szCs w:val="21"/>
                      <w:lang w:val="en-US" w:eastAsia="zh-CN"/>
                    </w:rPr>
                    <w:t>500</w:t>
                  </w:r>
                  <w:r>
                    <w:rPr>
                      <w:rFonts w:hint="default" w:ascii="Times New Roman" w:hAnsi="Times New Roman" w:eastAsia="宋体" w:cs="Times New Roman"/>
                      <w:color w:val="auto"/>
                      <w:szCs w:val="21"/>
                    </w:rPr>
                    <w:t>mg/L</w:t>
                  </w:r>
                </w:p>
              </w:tc>
            </w:tr>
            <w:tr w14:paraId="7E98A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092" w:type="dxa"/>
                  <w:vMerge w:val="continue"/>
                  <w:noWrap w:val="0"/>
                  <w:vAlign w:val="center"/>
                </w:tcPr>
                <w:p w14:paraId="103B2510">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3622" w:type="dxa"/>
                  <w:vMerge w:val="continue"/>
                  <w:noWrap w:val="0"/>
                  <w:vAlign w:val="center"/>
                </w:tcPr>
                <w:p w14:paraId="61D4AAE0">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143" w:type="dxa"/>
                  <w:vMerge w:val="continue"/>
                  <w:noWrap w:val="0"/>
                  <w:vAlign w:val="center"/>
                </w:tcPr>
                <w:p w14:paraId="7370A30F">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210" w:type="dxa"/>
                  <w:noWrap w:val="0"/>
                  <w:vAlign w:val="center"/>
                </w:tcPr>
                <w:p w14:paraId="05F7CD96">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SS</w:t>
                  </w:r>
                </w:p>
              </w:tc>
              <w:tc>
                <w:tcPr>
                  <w:tcW w:w="1371" w:type="dxa"/>
                  <w:noWrap w:val="0"/>
                  <w:vAlign w:val="center"/>
                </w:tcPr>
                <w:p w14:paraId="49873CE1">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w:t>
                  </w:r>
                  <w:r>
                    <w:rPr>
                      <w:rFonts w:hint="default" w:ascii="Times New Roman" w:hAnsi="Times New Roman" w:eastAsia="宋体" w:cs="Times New Roman"/>
                      <w:color w:val="auto"/>
                      <w:szCs w:val="21"/>
                    </w:rPr>
                    <w:t>400mg/L</w:t>
                  </w:r>
                </w:p>
              </w:tc>
            </w:tr>
            <w:tr w14:paraId="79EA6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092" w:type="dxa"/>
                  <w:vMerge w:val="continue"/>
                  <w:noWrap w:val="0"/>
                  <w:vAlign w:val="center"/>
                </w:tcPr>
                <w:p w14:paraId="3A9832EB">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3622" w:type="dxa"/>
                  <w:vMerge w:val="continue"/>
                  <w:noWrap w:val="0"/>
                  <w:vAlign w:val="center"/>
                </w:tcPr>
                <w:p w14:paraId="03ECA703">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143" w:type="dxa"/>
                  <w:vMerge w:val="continue"/>
                  <w:noWrap w:val="0"/>
                  <w:vAlign w:val="center"/>
                </w:tcPr>
                <w:p w14:paraId="5CFC651A">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210" w:type="dxa"/>
                  <w:noWrap w:val="0"/>
                  <w:vAlign w:val="center"/>
                </w:tcPr>
                <w:p w14:paraId="3E6FFF3F">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w:t>
                  </w:r>
                </w:p>
              </w:tc>
              <w:tc>
                <w:tcPr>
                  <w:tcW w:w="1371" w:type="dxa"/>
                  <w:noWrap w:val="0"/>
                  <w:vAlign w:val="center"/>
                </w:tcPr>
                <w:p w14:paraId="370F64CF">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w:t>
                  </w:r>
                  <w:r>
                    <w:rPr>
                      <w:rFonts w:hint="default" w:ascii="Times New Roman" w:hAnsi="Times New Roman" w:eastAsia="宋体" w:cs="Times New Roman"/>
                      <w:color w:val="auto"/>
                      <w:szCs w:val="21"/>
                      <w:lang w:val="en-US" w:eastAsia="zh-CN"/>
                    </w:rPr>
                    <w:t>45</w:t>
                  </w:r>
                  <w:r>
                    <w:rPr>
                      <w:rFonts w:hint="default" w:ascii="Times New Roman" w:hAnsi="Times New Roman" w:eastAsia="宋体" w:cs="Times New Roman"/>
                      <w:color w:val="auto"/>
                      <w:szCs w:val="21"/>
                    </w:rPr>
                    <w:t>mg/L</w:t>
                  </w:r>
                </w:p>
              </w:tc>
            </w:tr>
            <w:tr w14:paraId="77450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092" w:type="dxa"/>
                  <w:vMerge w:val="continue"/>
                  <w:noWrap w:val="0"/>
                  <w:vAlign w:val="center"/>
                </w:tcPr>
                <w:p w14:paraId="2B427BAB">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3622" w:type="dxa"/>
                  <w:vMerge w:val="continue"/>
                  <w:noWrap w:val="0"/>
                  <w:vAlign w:val="center"/>
                </w:tcPr>
                <w:p w14:paraId="0978766A">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143" w:type="dxa"/>
                  <w:vMerge w:val="continue"/>
                  <w:noWrap w:val="0"/>
                  <w:vAlign w:val="center"/>
                </w:tcPr>
                <w:p w14:paraId="1CDAAAED">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210" w:type="dxa"/>
                  <w:noWrap w:val="0"/>
                  <w:vAlign w:val="center"/>
                </w:tcPr>
                <w:p w14:paraId="598401E6">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TP</w:t>
                  </w:r>
                </w:p>
              </w:tc>
              <w:tc>
                <w:tcPr>
                  <w:tcW w:w="1371" w:type="dxa"/>
                  <w:noWrap w:val="0"/>
                  <w:vAlign w:val="center"/>
                </w:tcPr>
                <w:p w14:paraId="748D4B25">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w:t>
                  </w:r>
                  <w:r>
                    <w:rPr>
                      <w:rFonts w:hint="default" w:ascii="Times New Roman" w:hAnsi="Times New Roman" w:eastAsia="宋体" w:cs="Times New Roman"/>
                      <w:color w:val="auto"/>
                      <w:szCs w:val="21"/>
                    </w:rPr>
                    <w:t>8mg/L</w:t>
                  </w:r>
                </w:p>
              </w:tc>
            </w:tr>
            <w:tr w14:paraId="5977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092" w:type="dxa"/>
                  <w:vMerge w:val="continue"/>
                  <w:noWrap w:val="0"/>
                  <w:vAlign w:val="center"/>
                </w:tcPr>
                <w:p w14:paraId="3B48C988">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3622" w:type="dxa"/>
                  <w:vMerge w:val="continue"/>
                  <w:noWrap w:val="0"/>
                  <w:vAlign w:val="center"/>
                </w:tcPr>
                <w:p w14:paraId="7F618769">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143" w:type="dxa"/>
                  <w:vMerge w:val="continue"/>
                  <w:noWrap w:val="0"/>
                  <w:vAlign w:val="center"/>
                </w:tcPr>
                <w:p w14:paraId="63907D7A">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210" w:type="dxa"/>
                  <w:noWrap w:val="0"/>
                  <w:vAlign w:val="center"/>
                </w:tcPr>
                <w:p w14:paraId="4EEF2904">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TN</w:t>
                  </w:r>
                </w:p>
              </w:tc>
              <w:tc>
                <w:tcPr>
                  <w:tcW w:w="1371" w:type="dxa"/>
                  <w:noWrap w:val="0"/>
                  <w:vAlign w:val="center"/>
                </w:tcPr>
                <w:p w14:paraId="7DDCFFF1">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w:t>
                  </w:r>
                  <w:r>
                    <w:rPr>
                      <w:rFonts w:hint="default" w:ascii="Times New Roman" w:hAnsi="Times New Roman" w:eastAsia="宋体" w:cs="Times New Roman"/>
                      <w:color w:val="auto"/>
                      <w:szCs w:val="21"/>
                      <w:lang w:val="en-US" w:eastAsia="zh-CN"/>
                    </w:rPr>
                    <w:t>70</w:t>
                  </w:r>
                  <w:r>
                    <w:rPr>
                      <w:rFonts w:hint="default" w:ascii="Times New Roman" w:hAnsi="Times New Roman" w:eastAsia="宋体" w:cs="Times New Roman"/>
                      <w:color w:val="auto"/>
                      <w:szCs w:val="21"/>
                    </w:rPr>
                    <w:t>mg/L</w:t>
                  </w:r>
                </w:p>
              </w:tc>
            </w:tr>
            <w:tr w14:paraId="7201B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092" w:type="dxa"/>
                  <w:vMerge w:val="restart"/>
                  <w:noWrap w:val="0"/>
                  <w:vAlign w:val="center"/>
                </w:tcPr>
                <w:p w14:paraId="48D02E39">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常州</w:t>
                  </w:r>
                  <w:r>
                    <w:rPr>
                      <w:rFonts w:hint="eastAsia" w:cs="Times New Roman"/>
                      <w:color w:val="auto"/>
                      <w:szCs w:val="21"/>
                      <w:lang w:eastAsia="zh-CN"/>
                    </w:rPr>
                    <w:t>金坛溪城污水处理有限公司</w:t>
                  </w:r>
                  <w:r>
                    <w:rPr>
                      <w:rFonts w:hint="default" w:ascii="Times New Roman" w:hAnsi="Times New Roman" w:eastAsia="宋体" w:cs="Times New Roman"/>
                      <w:color w:val="auto"/>
                      <w:szCs w:val="21"/>
                    </w:rPr>
                    <w:t>排口</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4"/>
                    </w:rPr>
                    <w:t>2026年3月28日</w:t>
                  </w:r>
                  <w:r>
                    <w:rPr>
                      <w:rFonts w:hint="default" w:ascii="Times New Roman" w:hAnsi="Times New Roman" w:eastAsia="宋体" w:cs="Times New Roman"/>
                      <w:color w:val="auto"/>
                      <w:szCs w:val="24"/>
                      <w:lang w:val="en-US" w:eastAsia="zh-CN"/>
                    </w:rPr>
                    <w:t>前</w:t>
                  </w:r>
                  <w:r>
                    <w:rPr>
                      <w:rFonts w:hint="default" w:ascii="Times New Roman" w:hAnsi="Times New Roman" w:eastAsia="宋体" w:cs="Times New Roman"/>
                      <w:color w:val="auto"/>
                      <w:szCs w:val="21"/>
                      <w:lang w:eastAsia="zh-CN"/>
                    </w:rPr>
                    <w:t>）</w:t>
                  </w:r>
                </w:p>
              </w:tc>
              <w:tc>
                <w:tcPr>
                  <w:tcW w:w="3622" w:type="dxa"/>
                  <w:vMerge w:val="restart"/>
                  <w:noWrap w:val="0"/>
                  <w:vAlign w:val="center"/>
                </w:tcPr>
                <w:p w14:paraId="74BE0758">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《城镇污水处理厂污染物排放标准》</w:t>
                  </w:r>
                  <w:r>
                    <w:rPr>
                      <w:rFonts w:hint="default" w:ascii="Times New Roman" w:hAnsi="Times New Roman" w:eastAsia="宋体" w:cs="Times New Roman"/>
                      <w:color w:val="auto"/>
                      <w:szCs w:val="21"/>
                      <w:shd w:val="clear" w:fill="auto"/>
                    </w:rPr>
                    <w:t>(</w:t>
                  </w:r>
                  <w:r>
                    <w:rPr>
                      <w:rFonts w:hint="default" w:ascii="Times New Roman" w:hAnsi="Times New Roman" w:eastAsia="宋体" w:cs="Times New Roman"/>
                      <w:color w:val="auto"/>
                      <w:szCs w:val="21"/>
                    </w:rPr>
                    <w:t>GB18918-2002</w:t>
                  </w:r>
                  <w:r>
                    <w:rPr>
                      <w:rFonts w:hint="default" w:ascii="Times New Roman" w:hAnsi="Times New Roman" w:eastAsia="宋体" w:cs="Times New Roman"/>
                      <w:color w:val="auto"/>
                      <w:szCs w:val="21"/>
                      <w:shd w:val="clear" w:fill="auto"/>
                    </w:rPr>
                    <w:t>)</w:t>
                  </w:r>
                </w:p>
              </w:tc>
              <w:tc>
                <w:tcPr>
                  <w:tcW w:w="1143" w:type="dxa"/>
                  <w:vMerge w:val="restart"/>
                  <w:noWrap w:val="0"/>
                  <w:vAlign w:val="center"/>
                </w:tcPr>
                <w:p w14:paraId="6BC8F94A">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一级A</w:t>
                  </w:r>
                </w:p>
              </w:tc>
              <w:tc>
                <w:tcPr>
                  <w:tcW w:w="1210" w:type="dxa"/>
                  <w:noWrap w:val="0"/>
                  <w:vAlign w:val="center"/>
                </w:tcPr>
                <w:p w14:paraId="03F75845">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pH</w:t>
                  </w:r>
                </w:p>
              </w:tc>
              <w:tc>
                <w:tcPr>
                  <w:tcW w:w="1371" w:type="dxa"/>
                  <w:noWrap w:val="0"/>
                  <w:vAlign w:val="center"/>
                </w:tcPr>
                <w:p w14:paraId="25558D45">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6-9</w:t>
                  </w:r>
                </w:p>
              </w:tc>
            </w:tr>
            <w:tr w14:paraId="3181C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092" w:type="dxa"/>
                  <w:vMerge w:val="continue"/>
                  <w:noWrap w:val="0"/>
                  <w:vAlign w:val="center"/>
                </w:tcPr>
                <w:p w14:paraId="30A28DDA">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3622" w:type="dxa"/>
                  <w:vMerge w:val="continue"/>
                  <w:noWrap w:val="0"/>
                  <w:vAlign w:val="center"/>
                </w:tcPr>
                <w:p w14:paraId="43DA7CF4">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143" w:type="dxa"/>
                  <w:vMerge w:val="continue"/>
                  <w:noWrap w:val="0"/>
                  <w:vAlign w:val="center"/>
                </w:tcPr>
                <w:p w14:paraId="5A26B33D">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210" w:type="dxa"/>
                  <w:noWrap w:val="0"/>
                  <w:vAlign w:val="center"/>
                </w:tcPr>
                <w:p w14:paraId="5B04A7BD">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SS</w:t>
                  </w:r>
                </w:p>
              </w:tc>
              <w:tc>
                <w:tcPr>
                  <w:tcW w:w="1371" w:type="dxa"/>
                  <w:noWrap w:val="0"/>
                  <w:vAlign w:val="center"/>
                </w:tcPr>
                <w:p w14:paraId="1F762DDC">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w:t>
                  </w:r>
                  <w:r>
                    <w:rPr>
                      <w:rFonts w:hint="default" w:ascii="Times New Roman" w:hAnsi="Times New Roman" w:eastAsia="宋体" w:cs="Times New Roman"/>
                      <w:color w:val="auto"/>
                      <w:szCs w:val="21"/>
                    </w:rPr>
                    <w:t>10mg/L</w:t>
                  </w:r>
                </w:p>
              </w:tc>
            </w:tr>
            <w:tr w14:paraId="16028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092" w:type="dxa"/>
                  <w:vMerge w:val="continue"/>
                  <w:noWrap w:val="0"/>
                  <w:vAlign w:val="center"/>
                </w:tcPr>
                <w:p w14:paraId="1DCE13CE">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3622" w:type="dxa"/>
                  <w:vMerge w:val="restart"/>
                  <w:noWrap w:val="0"/>
                  <w:vAlign w:val="center"/>
                </w:tcPr>
                <w:p w14:paraId="203D3E5B">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《太湖地区城镇污水处理厂及重点工业行业主要水污染物排放</w:t>
                  </w:r>
                  <w:r>
                    <w:rPr>
                      <w:rFonts w:hint="default" w:ascii="Times New Roman" w:hAnsi="Times New Roman" w:eastAsia="宋体" w:cs="Times New Roman"/>
                      <w:color w:val="auto"/>
                      <w:szCs w:val="21"/>
                      <w:shd w:val="clear" w:fill="auto"/>
                    </w:rPr>
                    <w:t>限值</w:t>
                  </w:r>
                  <w:r>
                    <w:rPr>
                      <w:rFonts w:hint="default" w:ascii="Times New Roman" w:hAnsi="Times New Roman" w:eastAsia="宋体" w:cs="Times New Roman"/>
                      <w:color w:val="auto"/>
                      <w:szCs w:val="21"/>
                    </w:rPr>
                    <w:t>》DB32/1072-2018</w:t>
                  </w:r>
                </w:p>
              </w:tc>
              <w:tc>
                <w:tcPr>
                  <w:tcW w:w="1143" w:type="dxa"/>
                  <w:vMerge w:val="restart"/>
                  <w:noWrap w:val="0"/>
                  <w:vAlign w:val="center"/>
                </w:tcPr>
                <w:p w14:paraId="6C7D6F5B">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表2城镇污水处理厂</w:t>
                  </w:r>
                </w:p>
              </w:tc>
              <w:tc>
                <w:tcPr>
                  <w:tcW w:w="1210" w:type="dxa"/>
                  <w:noWrap w:val="0"/>
                  <w:vAlign w:val="center"/>
                </w:tcPr>
                <w:p w14:paraId="3C611DD8">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w:t>
                  </w:r>
                </w:p>
              </w:tc>
              <w:tc>
                <w:tcPr>
                  <w:tcW w:w="1371" w:type="dxa"/>
                  <w:noWrap w:val="0"/>
                  <w:vAlign w:val="center"/>
                </w:tcPr>
                <w:p w14:paraId="21002633">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w:t>
                  </w:r>
                  <w:r>
                    <w:rPr>
                      <w:rFonts w:hint="default" w:ascii="Times New Roman" w:hAnsi="Times New Roman" w:eastAsia="宋体" w:cs="Times New Roman"/>
                      <w:color w:val="auto"/>
                      <w:szCs w:val="21"/>
                    </w:rPr>
                    <w:t>50mg/L</w:t>
                  </w:r>
                </w:p>
              </w:tc>
            </w:tr>
            <w:tr w14:paraId="6E7CC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092" w:type="dxa"/>
                  <w:vMerge w:val="continue"/>
                  <w:noWrap w:val="0"/>
                  <w:vAlign w:val="center"/>
                </w:tcPr>
                <w:p w14:paraId="4A1B7F62">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3622" w:type="dxa"/>
                  <w:vMerge w:val="continue"/>
                  <w:noWrap w:val="0"/>
                  <w:vAlign w:val="center"/>
                </w:tcPr>
                <w:p w14:paraId="79BC7085">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143" w:type="dxa"/>
                  <w:vMerge w:val="continue"/>
                  <w:noWrap w:val="0"/>
                  <w:vAlign w:val="center"/>
                </w:tcPr>
                <w:p w14:paraId="552698C9">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210" w:type="dxa"/>
                  <w:noWrap w:val="0"/>
                  <w:vAlign w:val="center"/>
                </w:tcPr>
                <w:p w14:paraId="209EA43A">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w:t>
                  </w:r>
                </w:p>
              </w:tc>
              <w:tc>
                <w:tcPr>
                  <w:tcW w:w="1371" w:type="dxa"/>
                  <w:noWrap w:val="0"/>
                  <w:vAlign w:val="center"/>
                </w:tcPr>
                <w:p w14:paraId="11C635F1">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w:t>
                  </w:r>
                  <w:r>
                    <w:rPr>
                      <w:rFonts w:hint="default" w:ascii="Times New Roman" w:hAnsi="Times New Roman" w:eastAsia="宋体" w:cs="Times New Roman"/>
                      <w:color w:val="auto"/>
                      <w:szCs w:val="21"/>
                    </w:rPr>
                    <w:t>4（6）mg/L</w:t>
                  </w:r>
                </w:p>
              </w:tc>
            </w:tr>
            <w:tr w14:paraId="1189F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092" w:type="dxa"/>
                  <w:vMerge w:val="continue"/>
                  <w:noWrap w:val="0"/>
                  <w:vAlign w:val="center"/>
                </w:tcPr>
                <w:p w14:paraId="4F6B977A">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3622" w:type="dxa"/>
                  <w:vMerge w:val="continue"/>
                  <w:noWrap w:val="0"/>
                  <w:vAlign w:val="center"/>
                </w:tcPr>
                <w:p w14:paraId="048E7BAA">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143" w:type="dxa"/>
                  <w:vMerge w:val="continue"/>
                  <w:noWrap w:val="0"/>
                  <w:vAlign w:val="center"/>
                </w:tcPr>
                <w:p w14:paraId="27843CB3">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210" w:type="dxa"/>
                  <w:noWrap w:val="0"/>
                  <w:vAlign w:val="center"/>
                </w:tcPr>
                <w:p w14:paraId="7DFB31D4">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TP</w:t>
                  </w:r>
                </w:p>
              </w:tc>
              <w:tc>
                <w:tcPr>
                  <w:tcW w:w="1371" w:type="dxa"/>
                  <w:noWrap w:val="0"/>
                  <w:vAlign w:val="center"/>
                </w:tcPr>
                <w:p w14:paraId="1E6204D2">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w:t>
                  </w:r>
                  <w:r>
                    <w:rPr>
                      <w:rFonts w:hint="default" w:ascii="Times New Roman" w:hAnsi="Times New Roman" w:eastAsia="宋体" w:cs="Times New Roman"/>
                      <w:color w:val="auto"/>
                      <w:szCs w:val="21"/>
                    </w:rPr>
                    <w:t>0.5mg/L</w:t>
                  </w:r>
                </w:p>
              </w:tc>
            </w:tr>
            <w:tr w14:paraId="5B56C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092" w:type="dxa"/>
                  <w:vMerge w:val="continue"/>
                  <w:noWrap w:val="0"/>
                  <w:vAlign w:val="center"/>
                </w:tcPr>
                <w:p w14:paraId="2199081F">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3622" w:type="dxa"/>
                  <w:vMerge w:val="continue"/>
                  <w:noWrap w:val="0"/>
                  <w:vAlign w:val="center"/>
                </w:tcPr>
                <w:p w14:paraId="26040257">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143" w:type="dxa"/>
                  <w:vMerge w:val="continue"/>
                  <w:noWrap w:val="0"/>
                  <w:vAlign w:val="center"/>
                </w:tcPr>
                <w:p w14:paraId="4DA6F8EB">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210" w:type="dxa"/>
                  <w:noWrap w:val="0"/>
                  <w:vAlign w:val="center"/>
                </w:tcPr>
                <w:p w14:paraId="0912E0F3">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TN</w:t>
                  </w:r>
                </w:p>
              </w:tc>
              <w:tc>
                <w:tcPr>
                  <w:tcW w:w="1371" w:type="dxa"/>
                  <w:noWrap w:val="0"/>
                  <w:vAlign w:val="center"/>
                </w:tcPr>
                <w:p w14:paraId="41998D4B">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w:t>
                  </w:r>
                  <w:r>
                    <w:rPr>
                      <w:rFonts w:hint="default" w:ascii="Times New Roman" w:hAnsi="Times New Roman" w:eastAsia="宋体" w:cs="Times New Roman"/>
                      <w:color w:val="auto"/>
                      <w:szCs w:val="21"/>
                    </w:rPr>
                    <w:t>12</w:t>
                  </w:r>
                  <w:r>
                    <w:rPr>
                      <w:rFonts w:hint="default" w:ascii="Times New Roman" w:hAnsi="Times New Roman" w:eastAsia="宋体" w:cs="Times New Roman"/>
                      <w:color w:val="auto"/>
                      <w:szCs w:val="21"/>
                      <w:shd w:val="clear" w:fill="auto"/>
                    </w:rPr>
                    <w:t>(</w:t>
                  </w:r>
                  <w:r>
                    <w:rPr>
                      <w:rFonts w:hint="default" w:ascii="Times New Roman" w:hAnsi="Times New Roman" w:eastAsia="宋体" w:cs="Times New Roman"/>
                      <w:color w:val="auto"/>
                      <w:szCs w:val="21"/>
                    </w:rPr>
                    <w:t>15</w:t>
                  </w:r>
                  <w:r>
                    <w:rPr>
                      <w:rFonts w:hint="default" w:ascii="Times New Roman" w:hAnsi="Times New Roman" w:eastAsia="宋体" w:cs="Times New Roman"/>
                      <w:color w:val="auto"/>
                      <w:szCs w:val="21"/>
                      <w:shd w:val="clear" w:fill="auto"/>
                    </w:rPr>
                    <w:t>)</w:t>
                  </w:r>
                  <w:r>
                    <w:rPr>
                      <w:rFonts w:hint="default" w:ascii="Times New Roman" w:hAnsi="Times New Roman" w:eastAsia="宋体" w:cs="Times New Roman"/>
                      <w:color w:val="auto"/>
                      <w:szCs w:val="21"/>
                    </w:rPr>
                    <w:t>mg/L</w:t>
                  </w:r>
                </w:p>
              </w:tc>
            </w:tr>
            <w:tr w14:paraId="09BB9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092" w:type="dxa"/>
                  <w:vMerge w:val="continue"/>
                  <w:noWrap w:val="0"/>
                  <w:vAlign w:val="center"/>
                </w:tcPr>
                <w:p w14:paraId="35BE3FC7">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7346" w:type="dxa"/>
                  <w:gridSpan w:val="4"/>
                  <w:noWrap w:val="0"/>
                  <w:vAlign w:val="center"/>
                </w:tcPr>
                <w:p w14:paraId="297A8BCA">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注：括号外数值为水温＞12℃时的控制指标，括号内数值为水温≤12℃时的控制指标</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pH为无量纲</w:t>
                  </w:r>
                  <w:r>
                    <w:rPr>
                      <w:rFonts w:hint="default" w:ascii="Times New Roman" w:hAnsi="Times New Roman" w:eastAsia="宋体" w:cs="Times New Roman"/>
                      <w:color w:val="auto"/>
                    </w:rPr>
                    <w:t>。</w:t>
                  </w:r>
                </w:p>
              </w:tc>
            </w:tr>
            <w:tr w14:paraId="1E298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092" w:type="dxa"/>
                  <w:vMerge w:val="restart"/>
                  <w:noWrap w:val="0"/>
                  <w:vAlign w:val="center"/>
                </w:tcPr>
                <w:p w14:paraId="3F44507F">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常州</w:t>
                  </w:r>
                  <w:r>
                    <w:rPr>
                      <w:rFonts w:hint="eastAsia" w:cs="Times New Roman"/>
                      <w:color w:val="auto"/>
                      <w:szCs w:val="21"/>
                      <w:lang w:eastAsia="zh-CN"/>
                    </w:rPr>
                    <w:t>金坛溪城污水处理有限公司</w:t>
                  </w:r>
                  <w:r>
                    <w:rPr>
                      <w:rFonts w:hint="default" w:ascii="Times New Roman" w:hAnsi="Times New Roman" w:eastAsia="宋体" w:cs="Times New Roman"/>
                      <w:color w:val="auto"/>
                      <w:szCs w:val="21"/>
                    </w:rPr>
                    <w:t>排口</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4"/>
                    </w:rPr>
                    <w:t>2026年3月28日</w:t>
                  </w:r>
                  <w:r>
                    <w:rPr>
                      <w:rFonts w:hint="default" w:ascii="Times New Roman" w:hAnsi="Times New Roman" w:eastAsia="宋体" w:cs="Times New Roman"/>
                      <w:color w:val="auto"/>
                      <w:szCs w:val="24"/>
                      <w:lang w:val="en-US" w:eastAsia="zh-CN"/>
                    </w:rPr>
                    <w:t>后</w:t>
                  </w:r>
                  <w:r>
                    <w:rPr>
                      <w:rFonts w:hint="default" w:ascii="Times New Roman" w:hAnsi="Times New Roman" w:eastAsia="宋体" w:cs="Times New Roman"/>
                      <w:color w:val="auto"/>
                      <w:szCs w:val="21"/>
                      <w:lang w:eastAsia="zh-CN"/>
                    </w:rPr>
                    <w:t>）</w:t>
                  </w:r>
                </w:p>
              </w:tc>
              <w:tc>
                <w:tcPr>
                  <w:tcW w:w="3622" w:type="dxa"/>
                  <w:vMerge w:val="restart"/>
                  <w:noWrap w:val="0"/>
                  <w:vAlign w:val="center"/>
                </w:tcPr>
                <w:p w14:paraId="0123202E">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《城镇污水</w:t>
                  </w:r>
                  <w:r>
                    <w:rPr>
                      <w:rFonts w:hint="default" w:ascii="Times New Roman" w:hAnsi="Times New Roman" w:eastAsia="宋体" w:cs="Times New Roman"/>
                      <w:color w:val="auto"/>
                      <w:lang w:val="en-US" w:eastAsia="zh-CN"/>
                    </w:rPr>
                    <w:t>处理</w:t>
                  </w:r>
                  <w:r>
                    <w:rPr>
                      <w:rFonts w:hint="default" w:ascii="Times New Roman" w:hAnsi="Times New Roman" w:eastAsia="宋体" w:cs="Times New Roman"/>
                      <w:color w:val="auto"/>
                    </w:rPr>
                    <w:t>厂污染物排放标准》（DB32/4440-2022）</w:t>
                  </w:r>
                </w:p>
              </w:tc>
              <w:tc>
                <w:tcPr>
                  <w:tcW w:w="1143" w:type="dxa"/>
                  <w:vMerge w:val="restart"/>
                  <w:noWrap w:val="0"/>
                  <w:vAlign w:val="center"/>
                </w:tcPr>
                <w:p w14:paraId="4197AE56">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rPr>
                    <w:t>表1中</w:t>
                  </w:r>
                  <w:r>
                    <w:rPr>
                      <w:rFonts w:hint="eastAsia" w:cs="Times New Roman"/>
                      <w:color w:val="auto"/>
                      <w:lang w:val="en-US" w:eastAsia="zh-CN"/>
                    </w:rPr>
                    <w:t>C</w:t>
                  </w:r>
                  <w:r>
                    <w:rPr>
                      <w:rFonts w:hint="default" w:ascii="Times New Roman" w:hAnsi="Times New Roman" w:eastAsia="宋体" w:cs="Times New Roman"/>
                      <w:color w:val="auto"/>
                    </w:rPr>
                    <w:t>标准</w:t>
                  </w:r>
                </w:p>
              </w:tc>
              <w:tc>
                <w:tcPr>
                  <w:tcW w:w="1210" w:type="dxa"/>
                  <w:noWrap w:val="0"/>
                  <w:vAlign w:val="center"/>
                </w:tcPr>
                <w:p w14:paraId="056DD0A1">
                  <w:pPr>
                    <w:pStyle w:val="29"/>
                    <w:spacing w:before="100" w:beforeAutospacing="1" w:after="100" w:afterAutospacing="1"/>
                    <w:ind w:firstLine="0" w:firstLineChars="0"/>
                    <w:rPr>
                      <w:rFonts w:hint="default" w:ascii="Times New Roman" w:hAnsi="Times New Roman" w:eastAsia="宋体" w:cs="Times New Roman"/>
                      <w:color w:val="auto"/>
                      <w:szCs w:val="21"/>
                    </w:rPr>
                  </w:pPr>
                  <w:r>
                    <w:rPr>
                      <w:rFonts w:hint="default" w:ascii="Times New Roman" w:hAnsi="Times New Roman" w:eastAsia="宋体" w:cs="Times New Roman"/>
                      <w:color w:val="auto"/>
                    </w:rPr>
                    <w:t>pH</w:t>
                  </w:r>
                </w:p>
              </w:tc>
              <w:tc>
                <w:tcPr>
                  <w:tcW w:w="1371" w:type="dxa"/>
                  <w:noWrap w:val="0"/>
                  <w:vAlign w:val="center"/>
                </w:tcPr>
                <w:p w14:paraId="7E78AAD7">
                  <w:pPr>
                    <w:pStyle w:val="29"/>
                    <w:spacing w:before="100" w:beforeAutospacing="1" w:after="100" w:afterAutospacing="1"/>
                    <w:ind w:firstLine="0" w:firstLineChars="0"/>
                    <w:rPr>
                      <w:rFonts w:hint="default" w:ascii="Times New Roman" w:hAnsi="Times New Roman" w:eastAsia="宋体" w:cs="Times New Roman"/>
                      <w:color w:val="auto"/>
                      <w:szCs w:val="21"/>
                    </w:rPr>
                  </w:pPr>
                  <w:r>
                    <w:rPr>
                      <w:rFonts w:hint="default" w:ascii="Times New Roman" w:hAnsi="Times New Roman" w:eastAsia="宋体" w:cs="Times New Roman"/>
                      <w:color w:val="auto"/>
                    </w:rPr>
                    <w:t>6-9</w:t>
                  </w:r>
                </w:p>
              </w:tc>
            </w:tr>
            <w:tr w14:paraId="24DF5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092" w:type="dxa"/>
                  <w:vMerge w:val="continue"/>
                  <w:noWrap w:val="0"/>
                  <w:vAlign w:val="center"/>
                </w:tcPr>
                <w:p w14:paraId="32B1F951">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3622" w:type="dxa"/>
                  <w:vMerge w:val="continue"/>
                  <w:noWrap w:val="0"/>
                  <w:vAlign w:val="center"/>
                </w:tcPr>
                <w:p w14:paraId="0DA717B1">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143" w:type="dxa"/>
                  <w:vMerge w:val="continue"/>
                  <w:noWrap w:val="0"/>
                  <w:vAlign w:val="center"/>
                </w:tcPr>
                <w:p w14:paraId="0362A9EE">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210" w:type="dxa"/>
                  <w:noWrap w:val="0"/>
                  <w:vAlign w:val="center"/>
                </w:tcPr>
                <w:p w14:paraId="71F84E1A">
                  <w:pPr>
                    <w:pStyle w:val="29"/>
                    <w:spacing w:before="100" w:beforeAutospacing="1" w:after="100" w:afterAutospacing="1"/>
                    <w:ind w:firstLine="0" w:firstLineChars="0"/>
                    <w:rPr>
                      <w:rFonts w:hint="default" w:ascii="Times New Roman" w:hAnsi="Times New Roman" w:eastAsia="宋体" w:cs="Times New Roman"/>
                      <w:color w:val="auto"/>
                      <w:szCs w:val="21"/>
                    </w:rPr>
                  </w:pPr>
                  <w:r>
                    <w:rPr>
                      <w:rFonts w:hint="default" w:ascii="Times New Roman" w:hAnsi="Times New Roman" w:eastAsia="宋体" w:cs="Times New Roman"/>
                      <w:color w:val="auto"/>
                    </w:rPr>
                    <w:t>SS</w:t>
                  </w:r>
                </w:p>
              </w:tc>
              <w:tc>
                <w:tcPr>
                  <w:tcW w:w="1371" w:type="dxa"/>
                  <w:noWrap w:val="0"/>
                  <w:vAlign w:val="center"/>
                </w:tcPr>
                <w:p w14:paraId="523D1832">
                  <w:pPr>
                    <w:pStyle w:val="29"/>
                    <w:spacing w:before="100" w:beforeAutospacing="1" w:after="100" w:afterAutospacing="1"/>
                    <w:ind w:firstLine="0" w:firstLineChars="0"/>
                    <w:rPr>
                      <w:rFonts w:hint="default" w:ascii="Times New Roman" w:hAnsi="Times New Roman" w:eastAsia="宋体" w:cs="Times New Roman"/>
                      <w:color w:val="auto"/>
                      <w:szCs w:val="21"/>
                    </w:rPr>
                  </w:pPr>
                  <w:r>
                    <w:rPr>
                      <w:rFonts w:hint="default" w:ascii="Times New Roman" w:hAnsi="Times New Roman" w:eastAsia="宋体" w:cs="Times New Roman"/>
                      <w:color w:val="auto"/>
                    </w:rPr>
                    <w:t>≤10</w:t>
                  </w:r>
                  <w:r>
                    <w:rPr>
                      <w:rFonts w:hint="default" w:ascii="Times New Roman" w:hAnsi="Times New Roman" w:eastAsia="宋体" w:cs="Times New Roman"/>
                      <w:color w:val="auto"/>
                      <w:szCs w:val="21"/>
                    </w:rPr>
                    <w:t>mg/L</w:t>
                  </w:r>
                </w:p>
              </w:tc>
            </w:tr>
            <w:tr w14:paraId="3660B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092" w:type="dxa"/>
                  <w:vMerge w:val="continue"/>
                  <w:noWrap w:val="0"/>
                  <w:vAlign w:val="center"/>
                </w:tcPr>
                <w:p w14:paraId="192C2503">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3622" w:type="dxa"/>
                  <w:vMerge w:val="continue"/>
                  <w:noWrap w:val="0"/>
                  <w:vAlign w:val="center"/>
                </w:tcPr>
                <w:p w14:paraId="7D6CDA86">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143" w:type="dxa"/>
                  <w:vMerge w:val="continue"/>
                  <w:noWrap w:val="0"/>
                  <w:vAlign w:val="center"/>
                </w:tcPr>
                <w:p w14:paraId="64E04E77">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210" w:type="dxa"/>
                  <w:noWrap w:val="0"/>
                  <w:vAlign w:val="center"/>
                </w:tcPr>
                <w:p w14:paraId="26BED13D">
                  <w:pPr>
                    <w:pStyle w:val="29"/>
                    <w:spacing w:before="100" w:beforeAutospacing="1" w:after="100" w:afterAutospacing="1"/>
                    <w:ind w:firstLine="0" w:firstLineChars="0"/>
                    <w:rPr>
                      <w:rFonts w:hint="default" w:ascii="Times New Roman" w:hAnsi="Times New Roman" w:eastAsia="宋体" w:cs="Times New Roman"/>
                      <w:color w:val="auto"/>
                      <w:szCs w:val="21"/>
                    </w:rPr>
                  </w:pPr>
                  <w:r>
                    <w:rPr>
                      <w:rFonts w:hint="default" w:ascii="Times New Roman" w:hAnsi="Times New Roman" w:eastAsia="宋体" w:cs="Times New Roman"/>
                      <w:color w:val="auto"/>
                    </w:rPr>
                    <w:t>COD</w:t>
                  </w:r>
                </w:p>
              </w:tc>
              <w:tc>
                <w:tcPr>
                  <w:tcW w:w="1371" w:type="dxa"/>
                  <w:noWrap w:val="0"/>
                  <w:vAlign w:val="center"/>
                </w:tcPr>
                <w:p w14:paraId="7A25DC71">
                  <w:pPr>
                    <w:pStyle w:val="29"/>
                    <w:spacing w:before="100" w:beforeAutospacing="1" w:after="100" w:afterAutospacing="1"/>
                    <w:ind w:firstLine="0" w:firstLineChars="0"/>
                    <w:rPr>
                      <w:rFonts w:hint="default" w:ascii="Times New Roman" w:hAnsi="Times New Roman" w:eastAsia="宋体" w:cs="Times New Roman"/>
                      <w:color w:val="auto"/>
                      <w:szCs w:val="21"/>
                    </w:rPr>
                  </w:pPr>
                  <w:r>
                    <w:rPr>
                      <w:rFonts w:hint="default" w:ascii="Times New Roman" w:hAnsi="Times New Roman" w:eastAsia="宋体" w:cs="Times New Roman"/>
                      <w:color w:val="auto"/>
                    </w:rPr>
                    <w:t>≤</w:t>
                  </w:r>
                  <w:r>
                    <w:rPr>
                      <w:rFonts w:hint="eastAsia" w:cs="Times New Roman"/>
                      <w:color w:val="auto"/>
                      <w:lang w:val="en-US" w:eastAsia="zh-CN"/>
                    </w:rPr>
                    <w:t>5</w:t>
                  </w:r>
                  <w:r>
                    <w:rPr>
                      <w:rFonts w:hint="default" w:ascii="Times New Roman" w:hAnsi="Times New Roman" w:eastAsia="宋体" w:cs="Times New Roman"/>
                      <w:color w:val="auto"/>
                    </w:rPr>
                    <w:t>0</w:t>
                  </w:r>
                  <w:r>
                    <w:rPr>
                      <w:rFonts w:hint="default" w:ascii="Times New Roman" w:hAnsi="Times New Roman" w:eastAsia="宋体" w:cs="Times New Roman"/>
                      <w:color w:val="auto"/>
                      <w:szCs w:val="21"/>
                    </w:rPr>
                    <w:t>mg/L</w:t>
                  </w:r>
                </w:p>
              </w:tc>
            </w:tr>
            <w:tr w14:paraId="61072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092" w:type="dxa"/>
                  <w:vMerge w:val="continue"/>
                  <w:noWrap w:val="0"/>
                  <w:vAlign w:val="center"/>
                </w:tcPr>
                <w:p w14:paraId="1B34DD21">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3622" w:type="dxa"/>
                  <w:vMerge w:val="continue"/>
                  <w:noWrap w:val="0"/>
                  <w:vAlign w:val="center"/>
                </w:tcPr>
                <w:p w14:paraId="1390ADFA">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143" w:type="dxa"/>
                  <w:vMerge w:val="continue"/>
                  <w:noWrap w:val="0"/>
                  <w:vAlign w:val="center"/>
                </w:tcPr>
                <w:p w14:paraId="6A59D707">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210" w:type="dxa"/>
                  <w:noWrap w:val="0"/>
                  <w:vAlign w:val="center"/>
                </w:tcPr>
                <w:p w14:paraId="15DD684B">
                  <w:pPr>
                    <w:pStyle w:val="29"/>
                    <w:spacing w:before="100" w:beforeAutospacing="1" w:after="100" w:afterAutospacing="1"/>
                    <w:ind w:firstLine="0" w:firstLineChars="0"/>
                    <w:rPr>
                      <w:rFonts w:hint="default" w:ascii="Times New Roman" w:hAnsi="Times New Roman" w:eastAsia="宋体" w:cs="Times New Roman"/>
                      <w:color w:val="auto"/>
                      <w:szCs w:val="21"/>
                    </w:rPr>
                  </w:pPr>
                  <w:r>
                    <w:rPr>
                      <w:rFonts w:hint="default" w:ascii="Times New Roman" w:hAnsi="Times New Roman" w:eastAsia="宋体" w:cs="Times New Roman"/>
                      <w:color w:val="auto"/>
                    </w:rPr>
                    <w:t>NH</w:t>
                  </w:r>
                  <w:r>
                    <w:rPr>
                      <w:rFonts w:hint="default" w:ascii="Times New Roman" w:hAnsi="Times New Roman" w:eastAsia="宋体" w:cs="Times New Roman"/>
                      <w:color w:val="auto"/>
                      <w:vertAlign w:val="subscript"/>
                    </w:rPr>
                    <w:t>3</w:t>
                  </w:r>
                  <w:r>
                    <w:rPr>
                      <w:rFonts w:hint="default" w:ascii="Times New Roman" w:hAnsi="Times New Roman" w:eastAsia="宋体" w:cs="Times New Roman"/>
                      <w:color w:val="auto"/>
                    </w:rPr>
                    <w:t>-N</w:t>
                  </w:r>
                </w:p>
              </w:tc>
              <w:tc>
                <w:tcPr>
                  <w:tcW w:w="1371" w:type="dxa"/>
                  <w:noWrap w:val="0"/>
                  <w:vAlign w:val="center"/>
                </w:tcPr>
                <w:p w14:paraId="33A50548">
                  <w:pPr>
                    <w:pStyle w:val="29"/>
                    <w:spacing w:before="100" w:beforeAutospacing="1" w:after="100" w:afterAutospacing="1"/>
                    <w:ind w:firstLine="0" w:firstLineChars="0"/>
                    <w:rPr>
                      <w:rFonts w:hint="default" w:ascii="Times New Roman" w:hAnsi="Times New Roman" w:eastAsia="宋体" w:cs="Times New Roman"/>
                      <w:color w:val="auto"/>
                      <w:szCs w:val="21"/>
                      <w:vertAlign w:val="superscript"/>
                    </w:rPr>
                  </w:pPr>
                  <w:r>
                    <w:rPr>
                      <w:rFonts w:hint="default" w:ascii="Times New Roman" w:hAnsi="Times New Roman" w:eastAsia="宋体" w:cs="Times New Roman"/>
                      <w:color w:val="auto"/>
                    </w:rPr>
                    <w:t>≤</w:t>
                  </w:r>
                  <w:r>
                    <w:rPr>
                      <w:rFonts w:hint="default" w:ascii="Times New Roman" w:hAnsi="Times New Roman" w:eastAsia="宋体" w:cs="Times New Roman"/>
                      <w:color w:val="auto"/>
                      <w:szCs w:val="21"/>
                    </w:rPr>
                    <w:t>4（6）mg/L</w:t>
                  </w:r>
                </w:p>
              </w:tc>
            </w:tr>
            <w:tr w14:paraId="0A37E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092" w:type="dxa"/>
                  <w:vMerge w:val="continue"/>
                  <w:noWrap w:val="0"/>
                  <w:vAlign w:val="center"/>
                </w:tcPr>
                <w:p w14:paraId="727FFD69">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3622" w:type="dxa"/>
                  <w:vMerge w:val="continue"/>
                  <w:noWrap w:val="0"/>
                  <w:vAlign w:val="center"/>
                </w:tcPr>
                <w:p w14:paraId="7203FC4D">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143" w:type="dxa"/>
                  <w:vMerge w:val="continue"/>
                  <w:noWrap w:val="0"/>
                  <w:vAlign w:val="center"/>
                </w:tcPr>
                <w:p w14:paraId="7BCBCA41">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210" w:type="dxa"/>
                  <w:noWrap w:val="0"/>
                  <w:vAlign w:val="center"/>
                </w:tcPr>
                <w:p w14:paraId="5CF0EBE4">
                  <w:pPr>
                    <w:pStyle w:val="29"/>
                    <w:spacing w:before="100" w:beforeAutospacing="1" w:after="100" w:afterAutospacing="1"/>
                    <w:ind w:firstLine="0" w:firstLineChars="0"/>
                    <w:rPr>
                      <w:rFonts w:hint="default" w:ascii="Times New Roman" w:hAnsi="Times New Roman" w:eastAsia="宋体" w:cs="Times New Roman"/>
                      <w:color w:val="auto"/>
                      <w:szCs w:val="21"/>
                    </w:rPr>
                  </w:pPr>
                  <w:r>
                    <w:rPr>
                      <w:rFonts w:hint="default" w:ascii="Times New Roman" w:hAnsi="Times New Roman" w:eastAsia="宋体" w:cs="Times New Roman"/>
                      <w:color w:val="auto"/>
                    </w:rPr>
                    <w:t>TP</w:t>
                  </w:r>
                </w:p>
              </w:tc>
              <w:tc>
                <w:tcPr>
                  <w:tcW w:w="1371" w:type="dxa"/>
                  <w:noWrap w:val="0"/>
                  <w:vAlign w:val="center"/>
                </w:tcPr>
                <w:p w14:paraId="0302FB2C">
                  <w:pPr>
                    <w:pStyle w:val="29"/>
                    <w:spacing w:before="100" w:beforeAutospacing="1" w:after="100" w:afterAutospacing="1"/>
                    <w:ind w:firstLine="0" w:firstLineChars="0"/>
                    <w:rPr>
                      <w:rFonts w:hint="default" w:ascii="Times New Roman" w:hAnsi="Times New Roman" w:eastAsia="宋体" w:cs="Times New Roman"/>
                      <w:color w:val="auto"/>
                      <w:szCs w:val="21"/>
                    </w:rPr>
                  </w:pPr>
                  <w:r>
                    <w:rPr>
                      <w:rFonts w:hint="default" w:ascii="Times New Roman" w:hAnsi="Times New Roman" w:eastAsia="宋体" w:cs="Times New Roman"/>
                      <w:color w:val="auto"/>
                    </w:rPr>
                    <w:t>≤0.</w:t>
                  </w:r>
                  <w:r>
                    <w:rPr>
                      <w:rFonts w:hint="eastAsia" w:cs="Times New Roman"/>
                      <w:color w:val="auto"/>
                      <w:lang w:val="en-US" w:eastAsia="zh-CN"/>
                    </w:rPr>
                    <w:t>5</w:t>
                  </w:r>
                  <w:r>
                    <w:rPr>
                      <w:rFonts w:hint="default" w:ascii="Times New Roman" w:hAnsi="Times New Roman" w:eastAsia="宋体" w:cs="Times New Roman"/>
                      <w:color w:val="auto"/>
                      <w:szCs w:val="21"/>
                    </w:rPr>
                    <w:t>mg/L</w:t>
                  </w:r>
                </w:p>
              </w:tc>
            </w:tr>
            <w:tr w14:paraId="0F78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092" w:type="dxa"/>
                  <w:vMerge w:val="continue"/>
                  <w:noWrap w:val="0"/>
                  <w:vAlign w:val="center"/>
                </w:tcPr>
                <w:p w14:paraId="6A79D3C0">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3622" w:type="dxa"/>
                  <w:vMerge w:val="continue"/>
                  <w:noWrap w:val="0"/>
                  <w:vAlign w:val="center"/>
                </w:tcPr>
                <w:p w14:paraId="396C3C1B">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143" w:type="dxa"/>
                  <w:vMerge w:val="continue"/>
                  <w:noWrap w:val="0"/>
                  <w:vAlign w:val="center"/>
                </w:tcPr>
                <w:p w14:paraId="317E0EA4">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210" w:type="dxa"/>
                  <w:noWrap w:val="0"/>
                  <w:vAlign w:val="center"/>
                </w:tcPr>
                <w:p w14:paraId="35F183C0">
                  <w:pPr>
                    <w:pStyle w:val="29"/>
                    <w:spacing w:before="100" w:beforeAutospacing="1" w:after="100" w:afterAutospacing="1"/>
                    <w:ind w:firstLine="0" w:firstLineChars="0"/>
                    <w:rPr>
                      <w:rFonts w:hint="default" w:ascii="Times New Roman" w:hAnsi="Times New Roman" w:eastAsia="宋体" w:cs="Times New Roman"/>
                      <w:color w:val="auto"/>
                      <w:szCs w:val="21"/>
                    </w:rPr>
                  </w:pPr>
                  <w:r>
                    <w:rPr>
                      <w:rFonts w:hint="default" w:ascii="Times New Roman" w:hAnsi="Times New Roman" w:eastAsia="宋体" w:cs="Times New Roman"/>
                      <w:color w:val="auto"/>
                    </w:rPr>
                    <w:t>TN</w:t>
                  </w:r>
                </w:p>
              </w:tc>
              <w:tc>
                <w:tcPr>
                  <w:tcW w:w="1371" w:type="dxa"/>
                  <w:noWrap w:val="0"/>
                  <w:vAlign w:val="center"/>
                </w:tcPr>
                <w:p w14:paraId="730BF687">
                  <w:pPr>
                    <w:pStyle w:val="29"/>
                    <w:spacing w:before="100" w:beforeAutospacing="1" w:after="100" w:afterAutospacing="1"/>
                    <w:ind w:firstLine="0" w:firstLineChars="0"/>
                    <w:rPr>
                      <w:rFonts w:hint="default" w:ascii="Times New Roman" w:hAnsi="Times New Roman" w:eastAsia="宋体" w:cs="Times New Roman"/>
                      <w:color w:val="auto"/>
                      <w:szCs w:val="21"/>
                    </w:rPr>
                  </w:pPr>
                  <w:r>
                    <w:rPr>
                      <w:rFonts w:hint="default" w:ascii="Times New Roman" w:hAnsi="Times New Roman" w:eastAsia="宋体" w:cs="Times New Roman"/>
                      <w:color w:val="auto"/>
                    </w:rPr>
                    <w:t>≤</w:t>
                  </w:r>
                  <w:r>
                    <w:rPr>
                      <w:rFonts w:hint="eastAsia" w:cs="Times New Roman"/>
                      <w:color w:val="auto"/>
                      <w:lang w:val="en-US" w:eastAsia="zh-CN"/>
                    </w:rPr>
                    <w:t>12</w:t>
                  </w:r>
                  <w:r>
                    <w:rPr>
                      <w:rFonts w:hint="default" w:ascii="Times New Roman" w:hAnsi="Times New Roman" w:eastAsia="宋体" w:cs="Times New Roman"/>
                      <w:color w:val="auto"/>
                    </w:rPr>
                    <w:t>（1</w:t>
                  </w:r>
                  <w:r>
                    <w:rPr>
                      <w:rFonts w:hint="eastAsia" w:cs="Times New Roman"/>
                      <w:color w:val="auto"/>
                      <w:lang w:val="en-US" w:eastAsia="zh-CN"/>
                    </w:rPr>
                    <w:t>5</w:t>
                  </w:r>
                  <w:r>
                    <w:rPr>
                      <w:rFonts w:hint="default" w:ascii="Times New Roman" w:hAnsi="Times New Roman" w:eastAsia="宋体" w:cs="Times New Roman"/>
                      <w:color w:val="auto"/>
                    </w:rPr>
                    <w:t>）</w:t>
                  </w:r>
                  <w:r>
                    <w:rPr>
                      <w:rFonts w:hint="default" w:ascii="Times New Roman" w:hAnsi="Times New Roman" w:eastAsia="宋体" w:cs="Times New Roman"/>
                      <w:color w:val="auto"/>
                      <w:szCs w:val="21"/>
                    </w:rPr>
                    <w:t>mg/L</w:t>
                  </w:r>
                </w:p>
              </w:tc>
            </w:tr>
            <w:tr w14:paraId="2E501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trPr>
              <w:tc>
                <w:tcPr>
                  <w:tcW w:w="1092" w:type="dxa"/>
                  <w:vMerge w:val="continue"/>
                  <w:noWrap w:val="0"/>
                  <w:vAlign w:val="center"/>
                </w:tcPr>
                <w:p w14:paraId="1C958495">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7346" w:type="dxa"/>
                  <w:gridSpan w:val="4"/>
                  <w:noWrap w:val="0"/>
                  <w:vAlign w:val="center"/>
                </w:tcPr>
                <w:p w14:paraId="3C5A2255">
                  <w:pPr>
                    <w:pStyle w:val="29"/>
                    <w:spacing w:before="100" w:beforeAutospacing="1" w:after="100" w:afterAutospacing="1"/>
                    <w:ind w:firstLine="0" w:firstLineChars="0"/>
                    <w:rPr>
                      <w:rFonts w:hint="default" w:ascii="Times New Roman" w:hAnsi="Times New Roman" w:eastAsia="宋体" w:cs="Times New Roman"/>
                      <w:color w:val="auto"/>
                    </w:rPr>
                  </w:pPr>
                  <w:r>
                    <w:rPr>
                      <w:rFonts w:hint="default" w:ascii="Times New Roman" w:hAnsi="Times New Roman" w:eastAsia="宋体" w:cs="Times New Roman"/>
                      <w:color w:val="auto"/>
                    </w:rPr>
                    <w:t>注：</w:t>
                  </w:r>
                  <w:r>
                    <w:rPr>
                      <w:rFonts w:hint="default" w:ascii="Times New Roman" w:hAnsi="Times New Roman" w:eastAsia="宋体" w:cs="Times New Roman"/>
                      <w:color w:val="auto"/>
                      <w:lang w:val="en-US" w:eastAsia="zh-CN"/>
                    </w:rPr>
                    <w:t>每年11月1日至次年3月31日执行括号内排放</w:t>
                  </w:r>
                  <w:r>
                    <w:rPr>
                      <w:rFonts w:hint="default" w:ascii="Times New Roman" w:hAnsi="Times New Roman" w:eastAsia="宋体" w:cs="Times New Roman"/>
                      <w:color w:val="auto"/>
                      <w:shd w:val="clear" w:fill="auto"/>
                      <w:lang w:val="en-US" w:eastAsia="zh-CN"/>
                    </w:rPr>
                    <w:t>限值</w:t>
                  </w:r>
                  <w:r>
                    <w:rPr>
                      <w:rFonts w:hint="default" w:ascii="Times New Roman" w:hAnsi="Times New Roman" w:eastAsia="宋体" w:cs="Times New Roman"/>
                      <w:color w:val="auto"/>
                      <w:lang w:val="en-US" w:eastAsia="zh-CN"/>
                    </w:rPr>
                    <w:t>；pH为无量纲</w:t>
                  </w:r>
                  <w:r>
                    <w:rPr>
                      <w:rFonts w:hint="default" w:ascii="Times New Roman" w:hAnsi="Times New Roman" w:eastAsia="宋体" w:cs="Times New Roman"/>
                      <w:color w:val="auto"/>
                    </w:rPr>
                    <w:t>。</w:t>
                  </w:r>
                </w:p>
              </w:tc>
            </w:tr>
          </w:tbl>
          <w:p w14:paraId="75899281">
            <w:pPr>
              <w:spacing w:line="360" w:lineRule="auto"/>
              <w:ind w:firstLine="480" w:firstLineChars="200"/>
              <w:rPr>
                <w:rFonts w:hint="eastAsia"/>
                <w:bCs/>
                <w:color w:val="auto"/>
                <w:szCs w:val="21"/>
              </w:rPr>
            </w:pPr>
            <w:r>
              <w:rPr>
                <w:rFonts w:hint="default" w:ascii="Times New Roman" w:hAnsi="Times New Roman" w:eastAsia="宋体" w:cs="Times New Roman"/>
                <w:color w:val="auto"/>
                <w:sz w:val="24"/>
                <w:lang w:eastAsia="zh-CN"/>
              </w:rPr>
              <w:t>项</w:t>
            </w:r>
            <w:r>
              <w:rPr>
                <w:rFonts w:hint="default" w:ascii="Times New Roman" w:hAnsi="Times New Roman" w:eastAsia="宋体" w:cs="Times New Roman"/>
                <w:color w:val="auto"/>
                <w:sz w:val="24"/>
                <w:szCs w:val="24"/>
                <w:lang w:eastAsia="zh-CN"/>
              </w:rPr>
              <w:t>目</w:t>
            </w:r>
            <w:r>
              <w:rPr>
                <w:rFonts w:hint="eastAsia" w:cs="Times New Roman"/>
                <w:b w:val="0"/>
                <w:bCs/>
                <w:color w:val="auto"/>
                <w:sz w:val="24"/>
                <w:szCs w:val="24"/>
                <w:lang w:val="en-US" w:eastAsia="zh-CN"/>
              </w:rPr>
              <w:t>综合污水</w:t>
            </w:r>
            <w:r>
              <w:rPr>
                <w:rFonts w:hint="default" w:ascii="Times New Roman" w:hAnsi="Times New Roman" w:eastAsia="宋体" w:cs="Times New Roman"/>
                <w:color w:val="auto"/>
                <w:sz w:val="24"/>
                <w:lang w:eastAsia="zh-CN"/>
              </w:rPr>
              <w:t>经厂</w:t>
            </w:r>
            <w:r>
              <w:rPr>
                <w:rFonts w:hint="eastAsia" w:ascii="Times New Roman" w:hAnsi="Times New Roman" w:eastAsia="宋体" w:cs="Times New Roman"/>
                <w:color w:val="auto"/>
                <w:sz w:val="24"/>
                <w:lang w:eastAsia="zh-CN"/>
              </w:rPr>
              <w:t>区污水站处</w:t>
            </w:r>
            <w:r>
              <w:rPr>
                <w:rFonts w:hint="eastAsia" w:ascii="Times New Roman" w:hAnsi="Times New Roman" w:eastAsia="宋体" w:cs="Times New Roman"/>
                <w:color w:val="auto"/>
                <w:kern w:val="2"/>
                <w:sz w:val="24"/>
                <w:szCs w:val="24"/>
                <w:lang w:val="en-US" w:eastAsia="zh-CN" w:bidi="ar-SA"/>
              </w:rPr>
              <w:t>理后全部回用，回用水水质执行</w:t>
            </w:r>
            <w:bookmarkStart w:id="0" w:name="OLE_LINK3"/>
            <w:r>
              <w:rPr>
                <w:rFonts w:hint="eastAsia" w:ascii="Times New Roman" w:hAnsi="Times New Roman" w:eastAsia="宋体" w:cs="Times New Roman"/>
                <w:color w:val="auto"/>
                <w:kern w:val="2"/>
                <w:sz w:val="24"/>
                <w:szCs w:val="24"/>
                <w:lang w:val="en-US" w:eastAsia="zh-CN" w:bidi="ar-SA"/>
              </w:rPr>
              <w:t>《城市污水再生利用 工业用水水质》（</w:t>
            </w:r>
            <w:r>
              <w:rPr>
                <w:rFonts w:hint="eastAsia" w:cs="Times New Roman"/>
                <w:color w:val="auto"/>
                <w:kern w:val="2"/>
                <w:sz w:val="24"/>
                <w:szCs w:val="24"/>
                <w:lang w:val="en-US" w:eastAsia="zh-CN" w:bidi="ar-SA"/>
              </w:rPr>
              <w:t>GB/T 19923-2024</w:t>
            </w:r>
            <w:r>
              <w:rPr>
                <w:rFonts w:hint="eastAsia" w:ascii="Times New Roman" w:hAnsi="Times New Roman" w:eastAsia="宋体" w:cs="Times New Roman"/>
                <w:color w:val="auto"/>
                <w:kern w:val="2"/>
                <w:sz w:val="24"/>
                <w:szCs w:val="24"/>
                <w:lang w:val="en-US" w:eastAsia="zh-CN" w:bidi="ar-SA"/>
              </w:rPr>
              <w:t>）</w:t>
            </w:r>
            <w:bookmarkEnd w:id="0"/>
            <w:r>
              <w:rPr>
                <w:rFonts w:hint="eastAsia" w:ascii="Times New Roman" w:hAnsi="Times New Roman" w:eastAsia="宋体" w:cs="Times New Roman"/>
                <w:color w:val="auto"/>
                <w:kern w:val="2"/>
                <w:sz w:val="24"/>
                <w:szCs w:val="24"/>
                <w:lang w:val="en-US" w:eastAsia="zh-CN" w:bidi="ar-SA"/>
              </w:rPr>
              <w:t>洗涤用水要求和企业标准。</w:t>
            </w:r>
          </w:p>
          <w:p w14:paraId="01A1DF0B">
            <w:pPr>
              <w:jc w:val="center"/>
              <w:rPr>
                <w:b/>
                <w:color w:val="auto"/>
                <w:szCs w:val="21"/>
                <w:lang w:bidi="ar"/>
              </w:rPr>
            </w:pPr>
            <w:r>
              <w:rPr>
                <w:b/>
                <w:color w:val="auto"/>
                <w:szCs w:val="21"/>
                <w:lang w:bidi="ar"/>
              </w:rPr>
              <w:t>表3-</w:t>
            </w:r>
            <w:r>
              <w:rPr>
                <w:rFonts w:hint="eastAsia"/>
                <w:b/>
                <w:color w:val="auto"/>
                <w:szCs w:val="21"/>
                <w:lang w:val="en-US" w:eastAsia="zh-CN" w:bidi="ar"/>
              </w:rPr>
              <w:t>8</w:t>
            </w:r>
            <w:r>
              <w:rPr>
                <w:b/>
                <w:color w:val="auto"/>
                <w:szCs w:val="21"/>
                <w:lang w:bidi="ar"/>
              </w:rPr>
              <w:t>厂内回用水水质要求（单位：mg/L）</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293"/>
              <w:gridCol w:w="1688"/>
              <w:gridCol w:w="3637"/>
            </w:tblGrid>
            <w:tr w14:paraId="25C8C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noWrap w:val="0"/>
                  <w:vAlign w:val="center"/>
                </w:tcPr>
                <w:p w14:paraId="4A4007BA">
                  <w:pPr>
                    <w:snapToGrid w:val="0"/>
                    <w:jc w:val="center"/>
                    <w:outlineLvl w:val="0"/>
                    <w:rPr>
                      <w:b/>
                      <w:bCs w:val="0"/>
                      <w:color w:val="auto"/>
                      <w:szCs w:val="21"/>
                    </w:rPr>
                  </w:pPr>
                  <w:r>
                    <w:rPr>
                      <w:b/>
                      <w:bCs w:val="0"/>
                      <w:color w:val="auto"/>
                      <w:szCs w:val="21"/>
                    </w:rPr>
                    <w:t>序号</w:t>
                  </w:r>
                </w:p>
              </w:tc>
              <w:tc>
                <w:tcPr>
                  <w:tcW w:w="1359" w:type="pct"/>
                  <w:noWrap w:val="0"/>
                  <w:vAlign w:val="center"/>
                </w:tcPr>
                <w:p w14:paraId="432B6F12">
                  <w:pPr>
                    <w:snapToGrid w:val="0"/>
                    <w:jc w:val="center"/>
                    <w:outlineLvl w:val="0"/>
                    <w:rPr>
                      <w:b/>
                      <w:bCs w:val="0"/>
                      <w:color w:val="auto"/>
                      <w:szCs w:val="21"/>
                    </w:rPr>
                  </w:pPr>
                  <w:r>
                    <w:rPr>
                      <w:b/>
                      <w:bCs w:val="0"/>
                      <w:color w:val="auto"/>
                      <w:szCs w:val="21"/>
                    </w:rPr>
                    <w:t>项目</w:t>
                  </w:r>
                </w:p>
              </w:tc>
              <w:tc>
                <w:tcPr>
                  <w:tcW w:w="1000" w:type="pct"/>
                  <w:noWrap w:val="0"/>
                  <w:vAlign w:val="center"/>
                </w:tcPr>
                <w:p w14:paraId="53A86E8C">
                  <w:pPr>
                    <w:widowControl/>
                    <w:snapToGrid w:val="0"/>
                    <w:jc w:val="center"/>
                    <w:outlineLvl w:val="0"/>
                    <w:rPr>
                      <w:b/>
                      <w:bCs w:val="0"/>
                      <w:color w:val="auto"/>
                      <w:szCs w:val="21"/>
                    </w:rPr>
                  </w:pPr>
                  <w:r>
                    <w:rPr>
                      <w:rFonts w:hint="eastAsia"/>
                      <w:b/>
                      <w:bCs w:val="0"/>
                      <w:color w:val="auto"/>
                      <w:szCs w:val="21"/>
                    </w:rPr>
                    <w:t>回用</w:t>
                  </w:r>
                  <w:r>
                    <w:rPr>
                      <w:rFonts w:hint="eastAsia"/>
                      <w:b/>
                      <w:bCs w:val="0"/>
                      <w:color w:val="auto"/>
                      <w:szCs w:val="21"/>
                      <w:lang w:eastAsia="zh-CN"/>
                    </w:rPr>
                    <w:t>水</w:t>
                  </w:r>
                  <w:r>
                    <w:rPr>
                      <w:rFonts w:hint="eastAsia"/>
                      <w:b/>
                      <w:bCs w:val="0"/>
                      <w:color w:val="auto"/>
                      <w:szCs w:val="21"/>
                    </w:rPr>
                    <w:t>标准</w:t>
                  </w:r>
                </w:p>
              </w:tc>
              <w:tc>
                <w:tcPr>
                  <w:tcW w:w="2155" w:type="pct"/>
                  <w:noWrap w:val="0"/>
                  <w:vAlign w:val="center"/>
                </w:tcPr>
                <w:p w14:paraId="7AB446F7">
                  <w:pPr>
                    <w:widowControl/>
                    <w:snapToGrid w:val="0"/>
                    <w:jc w:val="center"/>
                    <w:outlineLvl w:val="0"/>
                    <w:rPr>
                      <w:rFonts w:hint="eastAsia"/>
                      <w:b/>
                      <w:bCs w:val="0"/>
                      <w:color w:val="auto"/>
                      <w:szCs w:val="21"/>
                    </w:rPr>
                  </w:pPr>
                  <w:r>
                    <w:rPr>
                      <w:b/>
                      <w:bCs w:val="0"/>
                      <w:color w:val="auto"/>
                      <w:szCs w:val="21"/>
                      <w:lang w:bidi="ar"/>
                    </w:rPr>
                    <w:t>标准来源</w:t>
                  </w:r>
                </w:p>
              </w:tc>
            </w:tr>
            <w:tr w14:paraId="21812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noWrap w:val="0"/>
                  <w:vAlign w:val="center"/>
                </w:tcPr>
                <w:p w14:paraId="20BD055A">
                  <w:pPr>
                    <w:snapToGrid w:val="0"/>
                    <w:jc w:val="center"/>
                    <w:outlineLvl w:val="0"/>
                    <w:rPr>
                      <w:rFonts w:hint="eastAsia" w:eastAsia="宋体"/>
                      <w:bCs/>
                      <w:color w:val="auto"/>
                      <w:szCs w:val="21"/>
                      <w:lang w:val="en-US" w:eastAsia="zh-CN"/>
                    </w:rPr>
                  </w:pPr>
                  <w:r>
                    <w:rPr>
                      <w:rFonts w:hint="eastAsia"/>
                      <w:bCs/>
                      <w:color w:val="auto"/>
                      <w:szCs w:val="21"/>
                      <w:lang w:val="en-US" w:eastAsia="zh-CN"/>
                    </w:rPr>
                    <w:t>1</w:t>
                  </w:r>
                </w:p>
              </w:tc>
              <w:tc>
                <w:tcPr>
                  <w:tcW w:w="1359" w:type="pct"/>
                  <w:noWrap w:val="0"/>
                  <w:vAlign w:val="center"/>
                </w:tcPr>
                <w:p w14:paraId="40D21B67">
                  <w:pPr>
                    <w:snapToGrid w:val="0"/>
                    <w:jc w:val="center"/>
                    <w:outlineLvl w:val="0"/>
                    <w:rPr>
                      <w:b w:val="0"/>
                      <w:bCs w:val="0"/>
                      <w:color w:val="auto"/>
                      <w:szCs w:val="21"/>
                    </w:rPr>
                  </w:pPr>
                  <w:r>
                    <w:rPr>
                      <w:rFonts w:ascii="Times New Roman" w:hAnsi="Times New Roman" w:eastAsia="宋体"/>
                      <w:b w:val="0"/>
                      <w:bCs w:val="0"/>
                      <w:color w:val="auto"/>
                      <w:sz w:val="21"/>
                      <w:szCs w:val="21"/>
                      <w:lang w:bidi="ar"/>
                    </w:rPr>
                    <w:t>pH（无量纲）</w:t>
                  </w:r>
                </w:p>
              </w:tc>
              <w:tc>
                <w:tcPr>
                  <w:tcW w:w="1000" w:type="pct"/>
                  <w:noWrap w:val="0"/>
                  <w:vAlign w:val="center"/>
                </w:tcPr>
                <w:p w14:paraId="14E1747F">
                  <w:pPr>
                    <w:snapToGrid w:val="0"/>
                    <w:jc w:val="center"/>
                    <w:outlineLvl w:val="0"/>
                    <w:rPr>
                      <w:b w:val="0"/>
                      <w:bCs w:val="0"/>
                      <w:color w:val="auto"/>
                      <w:szCs w:val="21"/>
                    </w:rPr>
                  </w:pPr>
                  <w:r>
                    <w:rPr>
                      <w:rFonts w:ascii="Times New Roman" w:hAnsi="Times New Roman" w:eastAsia="宋体"/>
                      <w:b w:val="0"/>
                      <w:bCs w:val="0"/>
                      <w:snapToGrid w:val="0"/>
                      <w:color w:val="auto"/>
                      <w:sz w:val="21"/>
                      <w:szCs w:val="21"/>
                    </w:rPr>
                    <w:t>6.</w:t>
                  </w:r>
                  <w:r>
                    <w:rPr>
                      <w:rFonts w:hint="eastAsia"/>
                      <w:b w:val="0"/>
                      <w:bCs w:val="0"/>
                      <w:snapToGrid w:val="0"/>
                      <w:color w:val="auto"/>
                      <w:sz w:val="21"/>
                      <w:szCs w:val="21"/>
                      <w:lang w:val="en-US" w:eastAsia="zh-CN"/>
                    </w:rPr>
                    <w:t>0</w:t>
                  </w:r>
                  <w:r>
                    <w:rPr>
                      <w:rFonts w:hint="default" w:ascii="Times New Roman" w:hAnsi="Times New Roman" w:eastAsia="宋体" w:cs="Times New Roman"/>
                      <w:b w:val="0"/>
                      <w:bCs w:val="0"/>
                      <w:snapToGrid w:val="0"/>
                      <w:color w:val="auto"/>
                      <w:sz w:val="21"/>
                      <w:szCs w:val="21"/>
                    </w:rPr>
                    <w:t>~</w:t>
                  </w:r>
                  <w:r>
                    <w:rPr>
                      <w:rFonts w:ascii="Times New Roman" w:hAnsi="Times New Roman" w:eastAsia="宋体"/>
                      <w:b w:val="0"/>
                      <w:bCs w:val="0"/>
                      <w:snapToGrid w:val="0"/>
                      <w:color w:val="auto"/>
                      <w:sz w:val="21"/>
                      <w:szCs w:val="21"/>
                    </w:rPr>
                    <w:t>9.0</w:t>
                  </w:r>
                </w:p>
              </w:tc>
              <w:tc>
                <w:tcPr>
                  <w:tcW w:w="2155" w:type="pct"/>
                  <w:vMerge w:val="restart"/>
                  <w:noWrap w:val="0"/>
                  <w:vAlign w:val="center"/>
                </w:tcPr>
                <w:p w14:paraId="4ED5A6C6">
                  <w:pPr>
                    <w:snapToGrid w:val="0"/>
                    <w:jc w:val="center"/>
                    <w:outlineLvl w:val="0"/>
                    <w:rPr>
                      <w:rFonts w:ascii="Times New Roman" w:hAnsi="Times New Roman" w:eastAsia="宋体"/>
                      <w:snapToGrid w:val="0"/>
                      <w:color w:val="auto"/>
                      <w:sz w:val="21"/>
                      <w:szCs w:val="21"/>
                    </w:rPr>
                  </w:pPr>
                  <w:r>
                    <w:rPr>
                      <w:rFonts w:hint="eastAsia"/>
                      <w:bCs/>
                      <w:color w:val="auto"/>
                      <w:szCs w:val="21"/>
                    </w:rPr>
                    <w:t>《城市污水再生利用 工业用水水质》（</w:t>
                  </w:r>
                  <w:r>
                    <w:rPr>
                      <w:rFonts w:hint="eastAsia"/>
                      <w:bCs/>
                      <w:color w:val="auto"/>
                      <w:szCs w:val="21"/>
                      <w:lang w:eastAsia="zh-CN"/>
                    </w:rPr>
                    <w:t>GB/T 19923-2024</w:t>
                  </w:r>
                  <w:r>
                    <w:rPr>
                      <w:rFonts w:hint="eastAsia"/>
                      <w:bCs/>
                      <w:color w:val="auto"/>
                      <w:szCs w:val="21"/>
                    </w:rPr>
                    <w:t>）洗涤用水</w:t>
                  </w:r>
                </w:p>
              </w:tc>
            </w:tr>
            <w:tr w14:paraId="180E5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noWrap w:val="0"/>
                  <w:vAlign w:val="center"/>
                </w:tcPr>
                <w:p w14:paraId="0E5974C4">
                  <w:pPr>
                    <w:snapToGrid w:val="0"/>
                    <w:jc w:val="center"/>
                    <w:outlineLvl w:val="0"/>
                    <w:rPr>
                      <w:rFonts w:hint="eastAsia" w:eastAsia="宋体"/>
                      <w:bCs/>
                      <w:color w:val="auto"/>
                      <w:szCs w:val="21"/>
                      <w:lang w:eastAsia="zh-CN"/>
                    </w:rPr>
                  </w:pPr>
                  <w:r>
                    <w:rPr>
                      <w:rFonts w:hint="eastAsia"/>
                      <w:bCs/>
                      <w:color w:val="auto"/>
                      <w:szCs w:val="21"/>
                      <w:lang w:val="en-US" w:eastAsia="zh-CN"/>
                    </w:rPr>
                    <w:t>2</w:t>
                  </w:r>
                </w:p>
              </w:tc>
              <w:tc>
                <w:tcPr>
                  <w:tcW w:w="1359" w:type="pct"/>
                  <w:noWrap w:val="0"/>
                  <w:vAlign w:val="center"/>
                </w:tcPr>
                <w:p w14:paraId="6C578BF6">
                  <w:pPr>
                    <w:snapToGrid w:val="0"/>
                    <w:jc w:val="center"/>
                    <w:outlineLvl w:val="0"/>
                    <w:rPr>
                      <w:bCs/>
                      <w:color w:val="auto"/>
                      <w:szCs w:val="21"/>
                    </w:rPr>
                  </w:pPr>
                  <w:r>
                    <w:rPr>
                      <w:rFonts w:hint="eastAsia"/>
                      <w:bCs/>
                      <w:color w:val="auto"/>
                      <w:szCs w:val="21"/>
                      <w:lang w:val="en-US" w:eastAsia="zh-CN"/>
                    </w:rPr>
                    <w:t>COD</w:t>
                  </w:r>
                  <w:r>
                    <w:rPr>
                      <w:bCs/>
                      <w:color w:val="auto"/>
                      <w:szCs w:val="21"/>
                    </w:rPr>
                    <w:t>（mg/L）</w:t>
                  </w:r>
                </w:p>
              </w:tc>
              <w:tc>
                <w:tcPr>
                  <w:tcW w:w="1000" w:type="pct"/>
                  <w:noWrap w:val="0"/>
                  <w:vAlign w:val="center"/>
                </w:tcPr>
                <w:p w14:paraId="1DFADDF3">
                  <w:pPr>
                    <w:snapToGrid w:val="0"/>
                    <w:jc w:val="center"/>
                    <w:outlineLvl w:val="0"/>
                    <w:rPr>
                      <w:rFonts w:hint="default" w:eastAsia="宋体"/>
                      <w:bCs/>
                      <w:color w:val="auto"/>
                      <w:szCs w:val="21"/>
                      <w:lang w:val="en-US" w:eastAsia="zh-CN"/>
                    </w:rPr>
                  </w:pPr>
                  <w:r>
                    <w:rPr>
                      <w:bCs/>
                      <w:color w:val="auto"/>
                      <w:szCs w:val="21"/>
                    </w:rPr>
                    <w:t>≤</w:t>
                  </w:r>
                  <w:r>
                    <w:rPr>
                      <w:rFonts w:hint="eastAsia"/>
                      <w:bCs/>
                      <w:color w:val="auto"/>
                      <w:szCs w:val="21"/>
                      <w:lang w:val="en-US" w:eastAsia="zh-CN"/>
                    </w:rPr>
                    <w:t>50</w:t>
                  </w:r>
                </w:p>
              </w:tc>
              <w:tc>
                <w:tcPr>
                  <w:tcW w:w="2155" w:type="pct"/>
                  <w:vMerge w:val="continue"/>
                  <w:noWrap w:val="0"/>
                  <w:vAlign w:val="center"/>
                </w:tcPr>
                <w:p w14:paraId="62466C89">
                  <w:pPr>
                    <w:snapToGrid w:val="0"/>
                    <w:jc w:val="center"/>
                    <w:outlineLvl w:val="0"/>
                    <w:rPr>
                      <w:bCs/>
                      <w:color w:val="auto"/>
                      <w:szCs w:val="21"/>
                    </w:rPr>
                  </w:pPr>
                </w:p>
              </w:tc>
            </w:tr>
            <w:tr w14:paraId="7D474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noWrap w:val="0"/>
                  <w:vAlign w:val="center"/>
                </w:tcPr>
                <w:p w14:paraId="54F41FF6">
                  <w:pPr>
                    <w:snapToGrid w:val="0"/>
                    <w:jc w:val="center"/>
                    <w:outlineLvl w:val="0"/>
                    <w:rPr>
                      <w:rFonts w:hint="default"/>
                      <w:bCs/>
                      <w:color w:val="auto"/>
                      <w:szCs w:val="21"/>
                      <w:lang w:val="en-US" w:eastAsia="zh-CN"/>
                    </w:rPr>
                  </w:pPr>
                  <w:r>
                    <w:rPr>
                      <w:rFonts w:hint="eastAsia"/>
                      <w:bCs/>
                      <w:color w:val="auto"/>
                      <w:szCs w:val="21"/>
                      <w:lang w:val="en-US" w:eastAsia="zh-CN"/>
                    </w:rPr>
                    <w:t>3</w:t>
                  </w:r>
                </w:p>
              </w:tc>
              <w:tc>
                <w:tcPr>
                  <w:tcW w:w="1359" w:type="pct"/>
                  <w:noWrap w:val="0"/>
                  <w:vAlign w:val="center"/>
                </w:tcPr>
                <w:p w14:paraId="27F18B54">
                  <w:pPr>
                    <w:snapToGrid w:val="0"/>
                    <w:jc w:val="center"/>
                    <w:outlineLvl w:val="0"/>
                    <w:rPr>
                      <w:rFonts w:hint="eastAsia"/>
                      <w:bCs/>
                      <w:color w:val="auto"/>
                      <w:szCs w:val="21"/>
                      <w:lang w:val="en-US" w:eastAsia="zh-CN"/>
                    </w:rPr>
                  </w:pPr>
                  <w:r>
                    <w:rPr>
                      <w:rFonts w:hint="eastAsia"/>
                      <w:bCs/>
                      <w:color w:val="auto"/>
                      <w:szCs w:val="21"/>
                      <w:lang w:val="en-US" w:eastAsia="zh-CN"/>
                    </w:rPr>
                    <w:t>石油类</w:t>
                  </w:r>
                  <w:r>
                    <w:rPr>
                      <w:bCs/>
                      <w:color w:val="auto"/>
                      <w:szCs w:val="21"/>
                    </w:rPr>
                    <w:t>（mg/L）</w:t>
                  </w:r>
                </w:p>
              </w:tc>
              <w:tc>
                <w:tcPr>
                  <w:tcW w:w="1000" w:type="pct"/>
                  <w:noWrap w:val="0"/>
                  <w:vAlign w:val="center"/>
                </w:tcPr>
                <w:p w14:paraId="24174BBA">
                  <w:pPr>
                    <w:snapToGrid w:val="0"/>
                    <w:jc w:val="center"/>
                    <w:outlineLvl w:val="0"/>
                    <w:rPr>
                      <w:bCs/>
                      <w:color w:val="auto"/>
                      <w:szCs w:val="21"/>
                    </w:rPr>
                  </w:pPr>
                  <w:r>
                    <w:rPr>
                      <w:bCs/>
                      <w:color w:val="auto"/>
                      <w:szCs w:val="21"/>
                    </w:rPr>
                    <w:t>≤</w:t>
                  </w:r>
                  <w:r>
                    <w:rPr>
                      <w:rFonts w:hint="eastAsia"/>
                      <w:bCs/>
                      <w:color w:val="auto"/>
                      <w:szCs w:val="21"/>
                      <w:lang w:val="en-US" w:eastAsia="zh-CN"/>
                    </w:rPr>
                    <w:t>1</w:t>
                  </w:r>
                </w:p>
              </w:tc>
              <w:tc>
                <w:tcPr>
                  <w:tcW w:w="2155" w:type="pct"/>
                  <w:vMerge w:val="continue"/>
                  <w:noWrap w:val="0"/>
                  <w:vAlign w:val="center"/>
                </w:tcPr>
                <w:p w14:paraId="3DCBF9B1">
                  <w:pPr>
                    <w:snapToGrid w:val="0"/>
                    <w:jc w:val="center"/>
                    <w:outlineLvl w:val="0"/>
                    <w:rPr>
                      <w:bCs/>
                      <w:color w:val="auto"/>
                      <w:szCs w:val="21"/>
                    </w:rPr>
                  </w:pPr>
                </w:p>
              </w:tc>
            </w:tr>
            <w:tr w14:paraId="18E92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noWrap w:val="0"/>
                  <w:vAlign w:val="center"/>
                </w:tcPr>
                <w:p w14:paraId="1308992F">
                  <w:pPr>
                    <w:snapToGrid w:val="0"/>
                    <w:jc w:val="center"/>
                    <w:outlineLvl w:val="0"/>
                    <w:rPr>
                      <w:rFonts w:hint="eastAsia" w:eastAsia="宋体"/>
                      <w:bCs/>
                      <w:color w:val="auto"/>
                      <w:szCs w:val="21"/>
                      <w:lang w:eastAsia="zh-CN"/>
                    </w:rPr>
                  </w:pPr>
                  <w:r>
                    <w:rPr>
                      <w:rFonts w:hint="eastAsia"/>
                      <w:bCs/>
                      <w:color w:val="auto"/>
                      <w:szCs w:val="21"/>
                      <w:lang w:val="en-US" w:eastAsia="zh-CN"/>
                    </w:rPr>
                    <w:t>4</w:t>
                  </w:r>
                </w:p>
              </w:tc>
              <w:tc>
                <w:tcPr>
                  <w:tcW w:w="1359" w:type="pct"/>
                  <w:noWrap w:val="0"/>
                  <w:vAlign w:val="center"/>
                </w:tcPr>
                <w:p w14:paraId="33DB530A">
                  <w:pPr>
                    <w:snapToGrid w:val="0"/>
                    <w:jc w:val="center"/>
                    <w:outlineLvl w:val="0"/>
                    <w:rPr>
                      <w:bCs/>
                      <w:color w:val="auto"/>
                      <w:szCs w:val="21"/>
                    </w:rPr>
                  </w:pPr>
                  <w:r>
                    <w:rPr>
                      <w:rFonts w:hint="eastAsia"/>
                      <w:bCs/>
                      <w:color w:val="auto"/>
                      <w:szCs w:val="21"/>
                      <w:lang w:val="en-US" w:eastAsia="zh-CN"/>
                    </w:rPr>
                    <w:t>SS</w:t>
                  </w:r>
                  <w:r>
                    <w:rPr>
                      <w:bCs/>
                      <w:color w:val="auto"/>
                      <w:szCs w:val="21"/>
                    </w:rPr>
                    <w:t>（mg/L）</w:t>
                  </w:r>
                </w:p>
              </w:tc>
              <w:tc>
                <w:tcPr>
                  <w:tcW w:w="1000" w:type="pct"/>
                  <w:noWrap w:val="0"/>
                  <w:vAlign w:val="center"/>
                </w:tcPr>
                <w:p w14:paraId="2734FEE3">
                  <w:pPr>
                    <w:snapToGrid w:val="0"/>
                    <w:jc w:val="center"/>
                    <w:outlineLvl w:val="0"/>
                    <w:rPr>
                      <w:rFonts w:hint="default" w:eastAsia="宋体"/>
                      <w:bCs/>
                      <w:color w:val="auto"/>
                      <w:szCs w:val="21"/>
                      <w:lang w:val="en-US" w:eastAsia="zh-CN"/>
                    </w:rPr>
                  </w:pPr>
                  <w:r>
                    <w:rPr>
                      <w:bCs/>
                      <w:color w:val="auto"/>
                      <w:szCs w:val="21"/>
                    </w:rPr>
                    <w:t>≤</w:t>
                  </w:r>
                  <w:r>
                    <w:rPr>
                      <w:rFonts w:hint="eastAsia"/>
                      <w:bCs/>
                      <w:color w:val="auto"/>
                      <w:szCs w:val="21"/>
                      <w:lang w:val="en-US" w:eastAsia="zh-CN"/>
                    </w:rPr>
                    <w:t>30</w:t>
                  </w:r>
                </w:p>
              </w:tc>
              <w:tc>
                <w:tcPr>
                  <w:tcW w:w="2155" w:type="pct"/>
                  <w:noWrap w:val="0"/>
                  <w:vAlign w:val="center"/>
                </w:tcPr>
                <w:p w14:paraId="6FF0A7B6">
                  <w:pPr>
                    <w:snapToGrid w:val="0"/>
                    <w:jc w:val="center"/>
                    <w:outlineLvl w:val="0"/>
                    <w:rPr>
                      <w:rFonts w:hint="default" w:eastAsia="宋体"/>
                      <w:bCs/>
                      <w:color w:val="auto"/>
                      <w:szCs w:val="21"/>
                      <w:lang w:val="en-US" w:eastAsia="zh-CN"/>
                    </w:rPr>
                  </w:pPr>
                  <w:r>
                    <w:rPr>
                      <w:rFonts w:hint="eastAsia"/>
                      <w:bCs/>
                      <w:color w:val="auto"/>
                      <w:szCs w:val="21"/>
                      <w:lang w:eastAsia="zh-CN"/>
                    </w:rPr>
                    <w:t>企业</w:t>
                  </w:r>
                  <w:r>
                    <w:rPr>
                      <w:rFonts w:hint="eastAsia"/>
                      <w:bCs/>
                      <w:color w:val="auto"/>
                      <w:szCs w:val="21"/>
                      <w:lang w:val="en-US" w:eastAsia="zh-CN"/>
                    </w:rPr>
                    <w:t>内部标准</w:t>
                  </w:r>
                </w:p>
              </w:tc>
            </w:tr>
          </w:tbl>
          <w:p w14:paraId="5A47B56C">
            <w:pPr>
              <w:pStyle w:val="7"/>
              <w:numPr>
                <w:ilvl w:val="0"/>
                <w:numId w:val="0"/>
              </w:numPr>
              <w:tabs>
                <w:tab w:val="clear" w:pos="2040"/>
              </w:tabs>
              <w:spacing w:line="360" w:lineRule="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3.3.3</w:t>
            </w:r>
            <w:r>
              <w:rPr>
                <w:rFonts w:hint="default" w:ascii="Times New Roman" w:hAnsi="Times New Roman" w:eastAsia="宋体" w:cs="Times New Roman"/>
                <w:b/>
                <w:bCs/>
                <w:color w:val="auto"/>
                <w:sz w:val="24"/>
                <w:szCs w:val="24"/>
              </w:rPr>
              <w:t>噪声排放标准</w:t>
            </w:r>
          </w:p>
          <w:p w14:paraId="1733116E">
            <w:pPr>
              <w:pStyle w:val="7"/>
              <w:numPr>
                <w:ilvl w:val="0"/>
                <w:numId w:val="0"/>
              </w:numPr>
              <w:tabs>
                <w:tab w:val="clear" w:pos="2040"/>
              </w:tabs>
              <w:spacing w:line="360" w:lineRule="auto"/>
              <w:ind w:firstLine="48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本项目厂界噪声均执行《工业企业厂界环境噪声排放标准》（GB12348-2008）中3类标准。标准限值见下表：</w:t>
            </w:r>
          </w:p>
          <w:p w14:paraId="591B8C77">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表3-</w:t>
            </w:r>
            <w:r>
              <w:rPr>
                <w:rFonts w:hint="eastAsia" w:cs="Times New Roman"/>
                <w:b/>
                <w:bCs/>
                <w:color w:val="auto"/>
                <w:sz w:val="21"/>
                <w:szCs w:val="21"/>
                <w:lang w:val="en-US" w:eastAsia="zh-CN"/>
              </w:rPr>
              <w:t>9</w:t>
            </w:r>
            <w:r>
              <w:rPr>
                <w:rFonts w:hint="default" w:ascii="Times New Roman" w:hAnsi="Times New Roman" w:eastAsia="宋体" w:cs="Times New Roman"/>
                <w:b/>
                <w:bCs/>
                <w:color w:val="auto"/>
                <w:sz w:val="21"/>
                <w:szCs w:val="21"/>
              </w:rPr>
              <w:t>工业企业厂界环境噪声排放标准    单位：dB（A）</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9"/>
              <w:gridCol w:w="2895"/>
              <w:gridCol w:w="878"/>
              <w:gridCol w:w="1028"/>
              <w:gridCol w:w="1028"/>
            </w:tblGrid>
            <w:tr w14:paraId="2370C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4" w:type="dxa"/>
                  <w:vMerge w:val="restart"/>
                  <w:noWrap w:val="0"/>
                  <w:vAlign w:val="center"/>
                </w:tcPr>
                <w:p w14:paraId="7EC31920">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项目边界名</w:t>
                  </w:r>
                </w:p>
              </w:tc>
              <w:tc>
                <w:tcPr>
                  <w:tcW w:w="2902" w:type="dxa"/>
                  <w:vMerge w:val="restart"/>
                  <w:noWrap w:val="0"/>
                  <w:vAlign w:val="center"/>
                </w:tcPr>
                <w:p w14:paraId="707BEB6E">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执行标准</w:t>
                  </w:r>
                </w:p>
              </w:tc>
              <w:tc>
                <w:tcPr>
                  <w:tcW w:w="881" w:type="dxa"/>
                  <w:vMerge w:val="restart"/>
                  <w:noWrap w:val="0"/>
                  <w:vAlign w:val="center"/>
                </w:tcPr>
                <w:p w14:paraId="72238813">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级别</w:t>
                  </w:r>
                </w:p>
              </w:tc>
              <w:tc>
                <w:tcPr>
                  <w:tcW w:w="2064" w:type="dxa"/>
                  <w:gridSpan w:val="2"/>
                  <w:noWrap w:val="0"/>
                  <w:vAlign w:val="center"/>
                </w:tcPr>
                <w:p w14:paraId="69CCBBBB">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标准限值dB（A）</w:t>
                  </w:r>
                </w:p>
              </w:tc>
            </w:tr>
            <w:tr w14:paraId="62C1F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4" w:type="dxa"/>
                  <w:vMerge w:val="continue"/>
                  <w:noWrap w:val="0"/>
                  <w:vAlign w:val="center"/>
                </w:tcPr>
                <w:p w14:paraId="6F9E4628">
                  <w:pPr>
                    <w:adjustRightInd w:val="0"/>
                    <w:snapToGrid w:val="0"/>
                    <w:jc w:val="center"/>
                    <w:rPr>
                      <w:rFonts w:hint="default" w:ascii="Times New Roman" w:hAnsi="Times New Roman" w:eastAsia="宋体" w:cs="Times New Roman"/>
                      <w:color w:val="auto"/>
                      <w:sz w:val="21"/>
                      <w:szCs w:val="21"/>
                    </w:rPr>
                  </w:pPr>
                </w:p>
              </w:tc>
              <w:tc>
                <w:tcPr>
                  <w:tcW w:w="2902" w:type="dxa"/>
                  <w:vMerge w:val="continue"/>
                  <w:noWrap w:val="0"/>
                  <w:vAlign w:val="center"/>
                </w:tcPr>
                <w:p w14:paraId="7763F1E2">
                  <w:pPr>
                    <w:adjustRightInd w:val="0"/>
                    <w:snapToGrid w:val="0"/>
                    <w:jc w:val="center"/>
                    <w:rPr>
                      <w:rFonts w:hint="default" w:ascii="Times New Roman" w:hAnsi="Times New Roman" w:eastAsia="宋体" w:cs="Times New Roman"/>
                      <w:color w:val="auto"/>
                      <w:sz w:val="21"/>
                      <w:szCs w:val="21"/>
                    </w:rPr>
                  </w:pPr>
                </w:p>
              </w:tc>
              <w:tc>
                <w:tcPr>
                  <w:tcW w:w="881" w:type="dxa"/>
                  <w:vMerge w:val="continue"/>
                  <w:noWrap w:val="0"/>
                  <w:vAlign w:val="center"/>
                </w:tcPr>
                <w:p w14:paraId="223134BB">
                  <w:pPr>
                    <w:adjustRightInd w:val="0"/>
                    <w:snapToGrid w:val="0"/>
                    <w:jc w:val="center"/>
                    <w:rPr>
                      <w:rFonts w:hint="default" w:ascii="Times New Roman" w:hAnsi="Times New Roman" w:eastAsia="宋体" w:cs="Times New Roman"/>
                      <w:color w:val="auto"/>
                      <w:sz w:val="21"/>
                      <w:szCs w:val="21"/>
                    </w:rPr>
                  </w:pPr>
                </w:p>
              </w:tc>
              <w:tc>
                <w:tcPr>
                  <w:tcW w:w="1032" w:type="dxa"/>
                  <w:noWrap w:val="0"/>
                  <w:vAlign w:val="center"/>
                </w:tcPr>
                <w:p w14:paraId="0F80835A">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昼</w:t>
                  </w:r>
                </w:p>
              </w:tc>
              <w:tc>
                <w:tcPr>
                  <w:tcW w:w="1032" w:type="dxa"/>
                  <w:noWrap w:val="0"/>
                  <w:vAlign w:val="center"/>
                </w:tcPr>
                <w:p w14:paraId="505CF64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夜</w:t>
                  </w:r>
                </w:p>
              </w:tc>
            </w:tr>
            <w:tr w14:paraId="0F35B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24" w:type="dxa"/>
                  <w:noWrap w:val="0"/>
                  <w:vAlign w:val="center"/>
                </w:tcPr>
                <w:p w14:paraId="576670E8">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厂界</w:t>
                  </w:r>
                </w:p>
              </w:tc>
              <w:tc>
                <w:tcPr>
                  <w:tcW w:w="2902" w:type="dxa"/>
                  <w:noWrap w:val="0"/>
                  <w:vAlign w:val="center"/>
                </w:tcPr>
                <w:p w14:paraId="6C4A4478">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《工业企业厂界环境噪声排放标准》（GB12348-2008）</w:t>
                  </w:r>
                </w:p>
              </w:tc>
              <w:tc>
                <w:tcPr>
                  <w:tcW w:w="881" w:type="dxa"/>
                  <w:noWrap w:val="0"/>
                  <w:vAlign w:val="center"/>
                </w:tcPr>
                <w:p w14:paraId="4AE72567">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类</w:t>
                  </w:r>
                </w:p>
              </w:tc>
              <w:tc>
                <w:tcPr>
                  <w:tcW w:w="1032" w:type="dxa"/>
                  <w:noWrap w:val="0"/>
                  <w:vAlign w:val="center"/>
                </w:tcPr>
                <w:p w14:paraId="27907494">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65</w:t>
                  </w:r>
                </w:p>
              </w:tc>
              <w:tc>
                <w:tcPr>
                  <w:tcW w:w="1032" w:type="dxa"/>
                  <w:noWrap w:val="0"/>
                  <w:vAlign w:val="center"/>
                </w:tcPr>
                <w:p w14:paraId="24326565">
                  <w:pPr>
                    <w:adjustRightInd w:val="0"/>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55</w:t>
                  </w:r>
                </w:p>
              </w:tc>
            </w:tr>
          </w:tbl>
          <w:p w14:paraId="11422953">
            <w:pPr>
              <w:pStyle w:val="7"/>
              <w:keepNext w:val="0"/>
              <w:keepLines w:val="0"/>
              <w:pageBreakBefore w:val="0"/>
              <w:widowControl w:val="0"/>
              <w:numPr>
                <w:ilvl w:val="0"/>
                <w:numId w:val="0"/>
              </w:numPr>
              <w:tabs>
                <w:tab w:val="clear" w:pos="2040"/>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color w:val="auto"/>
                <w:sz w:val="24"/>
              </w:rPr>
            </w:pPr>
            <w:r>
              <w:rPr>
                <w:rFonts w:hint="default" w:ascii="Times New Roman" w:hAnsi="Times New Roman" w:eastAsia="宋体" w:cs="Times New Roman"/>
                <w:b w:val="0"/>
                <w:bCs w:val="0"/>
                <w:color w:val="auto"/>
                <w:sz w:val="24"/>
                <w:lang w:val="en-US" w:eastAsia="zh-CN"/>
              </w:rPr>
              <w:t>3.3.</w:t>
            </w:r>
            <w:r>
              <w:rPr>
                <w:rFonts w:hint="default" w:ascii="Times New Roman" w:hAnsi="Times New Roman" w:eastAsia="宋体" w:cs="Times New Roman"/>
                <w:b w:val="0"/>
                <w:bCs w:val="0"/>
                <w:color w:val="auto"/>
                <w:sz w:val="24"/>
              </w:rPr>
              <w:t>4固体废弃物</w:t>
            </w:r>
          </w:p>
          <w:p w14:paraId="4D1E4B7B">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4"/>
              </w:rPr>
              <w:t>项目</w:t>
            </w:r>
            <w:r>
              <w:rPr>
                <w:rFonts w:hint="default" w:ascii="Times New Roman" w:hAnsi="Times New Roman" w:eastAsia="宋体" w:cs="Times New Roman"/>
                <w:color w:val="auto"/>
                <w:sz w:val="24"/>
                <w:lang w:eastAsia="zh-CN"/>
              </w:rPr>
              <w:t>涉及的</w:t>
            </w:r>
            <w:r>
              <w:rPr>
                <w:rFonts w:hint="default" w:ascii="Times New Roman" w:hAnsi="Times New Roman" w:eastAsia="宋体" w:cs="Times New Roman"/>
                <w:color w:val="auto"/>
                <w:sz w:val="24"/>
              </w:rPr>
              <w:t>固体</w:t>
            </w:r>
            <w:r>
              <w:rPr>
                <w:rFonts w:hint="default" w:ascii="Times New Roman" w:hAnsi="Times New Roman" w:eastAsia="宋体" w:cs="Times New Roman"/>
                <w:color w:val="auto"/>
                <w:sz w:val="24"/>
                <w:shd w:val="clear" w:fill="auto"/>
              </w:rPr>
              <w:t>废物</w:t>
            </w:r>
            <w:r>
              <w:rPr>
                <w:rFonts w:hint="default" w:ascii="Times New Roman" w:hAnsi="Times New Roman" w:eastAsia="宋体" w:cs="Times New Roman"/>
                <w:color w:val="auto"/>
                <w:sz w:val="24"/>
                <w:lang w:val="en-US" w:eastAsia="zh-CN"/>
              </w:rPr>
              <w:t>鉴别、</w:t>
            </w:r>
            <w:r>
              <w:rPr>
                <w:rFonts w:hint="default" w:ascii="Times New Roman" w:hAnsi="Times New Roman" w:eastAsia="宋体" w:cs="Times New Roman"/>
                <w:color w:val="auto"/>
                <w:sz w:val="24"/>
              </w:rPr>
              <w:t>分类执行《固体废物鉴别标准通则》（GB34330-2017）</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shd w:val="clear" w:fill="auto"/>
              </w:rPr>
              <w:t>国家</w:t>
            </w:r>
            <w:r>
              <w:rPr>
                <w:rFonts w:hint="default" w:ascii="Times New Roman" w:hAnsi="Times New Roman" w:eastAsia="宋体" w:cs="Times New Roman"/>
                <w:color w:val="auto"/>
                <w:sz w:val="24"/>
              </w:rPr>
              <w:t>危险</w:t>
            </w:r>
            <w:r>
              <w:rPr>
                <w:rFonts w:hint="default" w:ascii="Times New Roman" w:hAnsi="Times New Roman" w:eastAsia="宋体" w:cs="Times New Roman"/>
                <w:color w:val="auto"/>
                <w:sz w:val="24"/>
                <w:shd w:val="clear" w:fill="auto"/>
              </w:rPr>
              <w:t>废物</w:t>
            </w:r>
            <w:r>
              <w:rPr>
                <w:rFonts w:hint="default" w:ascii="Times New Roman" w:hAnsi="Times New Roman" w:eastAsia="宋体" w:cs="Times New Roman"/>
                <w:color w:val="auto"/>
                <w:sz w:val="24"/>
              </w:rPr>
              <w:t>名录》</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202</w:t>
            </w:r>
            <w:r>
              <w:rPr>
                <w:rFonts w:hint="eastAsia" w:cs="Times New Roman"/>
                <w:color w:val="auto"/>
                <w:sz w:val="24"/>
                <w:lang w:val="en-US" w:eastAsia="zh-CN"/>
              </w:rPr>
              <w:t>5</w:t>
            </w:r>
            <w:r>
              <w:rPr>
                <w:rFonts w:hint="default" w:ascii="Times New Roman" w:hAnsi="Times New Roman" w:eastAsia="宋体" w:cs="Times New Roman"/>
                <w:color w:val="auto"/>
                <w:sz w:val="24"/>
              </w:rPr>
              <w:t>年</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标准；收集、贮存、</w:t>
            </w:r>
            <w:r>
              <w:rPr>
                <w:rFonts w:hint="default" w:ascii="Times New Roman" w:hAnsi="Times New Roman" w:eastAsia="宋体" w:cs="Times New Roman"/>
                <w:color w:val="auto"/>
                <w:sz w:val="24"/>
                <w:lang w:val="en-US" w:eastAsia="zh-CN"/>
              </w:rPr>
              <w:t>管理、</w:t>
            </w:r>
            <w:r>
              <w:rPr>
                <w:rFonts w:hint="default" w:ascii="Times New Roman" w:hAnsi="Times New Roman" w:eastAsia="宋体" w:cs="Times New Roman"/>
                <w:color w:val="auto"/>
                <w:sz w:val="24"/>
              </w:rPr>
              <w:t>运输等过程按照《危险</w:t>
            </w:r>
            <w:r>
              <w:rPr>
                <w:rFonts w:hint="default" w:ascii="Times New Roman" w:hAnsi="Times New Roman" w:eastAsia="宋体" w:cs="Times New Roman"/>
                <w:color w:val="auto"/>
                <w:sz w:val="24"/>
                <w:shd w:val="clear" w:fill="auto"/>
              </w:rPr>
              <w:t>废物</w:t>
            </w:r>
            <w:r>
              <w:rPr>
                <w:rFonts w:hint="default" w:ascii="Times New Roman" w:hAnsi="Times New Roman" w:eastAsia="宋体" w:cs="Times New Roman"/>
                <w:color w:val="auto"/>
                <w:sz w:val="24"/>
              </w:rPr>
              <w:t>污染</w:t>
            </w:r>
            <w:r>
              <w:rPr>
                <w:rFonts w:hint="default" w:ascii="Times New Roman" w:hAnsi="Times New Roman" w:eastAsia="宋体" w:cs="Times New Roman"/>
                <w:color w:val="auto"/>
                <w:sz w:val="24"/>
                <w:shd w:val="clear" w:fill="auto"/>
              </w:rPr>
              <w:t>防治</w:t>
            </w:r>
            <w:r>
              <w:rPr>
                <w:rFonts w:hint="default" w:ascii="Times New Roman" w:hAnsi="Times New Roman" w:eastAsia="宋体" w:cs="Times New Roman"/>
                <w:color w:val="auto"/>
                <w:sz w:val="24"/>
              </w:rPr>
              <w:t>技术政策》（环发</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2001</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199号）、《危险</w:t>
            </w:r>
            <w:r>
              <w:rPr>
                <w:rFonts w:hint="default" w:ascii="Times New Roman" w:hAnsi="Times New Roman" w:eastAsia="宋体" w:cs="Times New Roman"/>
                <w:color w:val="auto"/>
                <w:sz w:val="24"/>
                <w:shd w:val="clear" w:fill="auto"/>
              </w:rPr>
              <w:t>废物</w:t>
            </w:r>
            <w:r>
              <w:rPr>
                <w:rFonts w:hint="default" w:ascii="Times New Roman" w:hAnsi="Times New Roman" w:eastAsia="宋体" w:cs="Times New Roman"/>
                <w:color w:val="auto"/>
                <w:sz w:val="24"/>
              </w:rPr>
              <w:t>贮存污染控制标准》（GB18597-2023）、《</w:t>
            </w:r>
            <w:r>
              <w:rPr>
                <w:rFonts w:hint="default" w:ascii="Times New Roman" w:hAnsi="Times New Roman" w:eastAsia="宋体" w:cs="Times New Roman"/>
                <w:color w:val="auto"/>
                <w:sz w:val="24"/>
                <w:lang w:eastAsia="zh-CN"/>
              </w:rPr>
              <w:t>危险</w:t>
            </w:r>
            <w:r>
              <w:rPr>
                <w:rFonts w:hint="default" w:ascii="Times New Roman" w:hAnsi="Times New Roman" w:eastAsia="宋体" w:cs="Times New Roman"/>
                <w:color w:val="auto"/>
                <w:sz w:val="24"/>
                <w:shd w:val="clear" w:fill="auto"/>
                <w:lang w:eastAsia="zh-CN"/>
              </w:rPr>
              <w:t>废物</w:t>
            </w:r>
            <w:r>
              <w:rPr>
                <w:rFonts w:hint="default" w:ascii="Times New Roman" w:hAnsi="Times New Roman" w:eastAsia="宋体" w:cs="Times New Roman"/>
                <w:color w:val="auto"/>
                <w:sz w:val="24"/>
                <w:lang w:eastAsia="zh-CN"/>
              </w:rPr>
              <w:t>收集贮存运输技术规范</w:t>
            </w:r>
            <w:r>
              <w:rPr>
                <w:rFonts w:hint="default" w:ascii="Times New Roman" w:hAnsi="Times New Roman" w:eastAsia="宋体" w:cs="Times New Roman"/>
                <w:color w:val="auto"/>
                <w:sz w:val="24"/>
              </w:rPr>
              <w:t>》（HJ2025-2012）</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shd w:val="clear" w:fill="auto"/>
                <w:lang w:val="en-US" w:eastAsia="zh-CN"/>
              </w:rPr>
              <w:t>《建设项目危险废物环境影响评价指南》、《危险废物管理计划和管理台账制定技术导则》</w:t>
            </w:r>
            <w:r>
              <w:rPr>
                <w:rFonts w:hint="default" w:ascii="Times New Roman" w:hAnsi="Times New Roman" w:eastAsia="宋体" w:cs="Times New Roman"/>
                <w:color w:val="auto"/>
                <w:sz w:val="24"/>
                <w:lang w:val="en-US" w:eastAsia="zh-CN"/>
              </w:rPr>
              <w:t>（HJ1259-2022）、《危险</w:t>
            </w:r>
            <w:r>
              <w:rPr>
                <w:rFonts w:hint="default" w:ascii="Times New Roman" w:hAnsi="Times New Roman" w:eastAsia="宋体" w:cs="Times New Roman"/>
                <w:color w:val="auto"/>
                <w:sz w:val="24"/>
                <w:shd w:val="clear" w:fill="auto"/>
                <w:lang w:val="en-US" w:eastAsia="zh-CN"/>
              </w:rPr>
              <w:t>废物</w:t>
            </w:r>
            <w:r>
              <w:rPr>
                <w:rFonts w:hint="default" w:ascii="Times New Roman" w:hAnsi="Times New Roman" w:eastAsia="宋体" w:cs="Times New Roman"/>
                <w:color w:val="auto"/>
                <w:sz w:val="24"/>
                <w:lang w:val="en-US" w:eastAsia="zh-CN"/>
              </w:rPr>
              <w:t>识别标志设置技术规范》（HJ1276-2022）</w:t>
            </w:r>
            <w:r>
              <w:rPr>
                <w:rFonts w:hint="default" w:ascii="Times New Roman" w:hAnsi="Times New Roman" w:eastAsia="宋体" w:cs="Times New Roman"/>
                <w:color w:val="auto"/>
                <w:sz w:val="24"/>
              </w:rPr>
              <w:t>的相关要求执行；一般工业固体废弃物的贮存、处置参照《一般工业固体</w:t>
            </w:r>
            <w:r>
              <w:rPr>
                <w:rFonts w:hint="default" w:ascii="Times New Roman" w:hAnsi="Times New Roman" w:eastAsia="宋体" w:cs="Times New Roman"/>
                <w:color w:val="auto"/>
                <w:sz w:val="24"/>
                <w:shd w:val="clear" w:fill="auto"/>
              </w:rPr>
              <w:t>废物</w:t>
            </w:r>
            <w:r>
              <w:rPr>
                <w:rFonts w:hint="default" w:ascii="Times New Roman" w:hAnsi="Times New Roman" w:eastAsia="宋体" w:cs="Times New Roman"/>
                <w:color w:val="auto"/>
                <w:sz w:val="24"/>
              </w:rPr>
              <w:t>贮存和</w:t>
            </w:r>
            <w:r>
              <w:rPr>
                <w:rFonts w:hint="default" w:ascii="Times New Roman" w:hAnsi="Times New Roman" w:eastAsia="宋体" w:cs="Times New Roman"/>
                <w:color w:val="auto"/>
                <w:sz w:val="24"/>
                <w:shd w:val="clear" w:fill="auto"/>
              </w:rPr>
              <w:t>填埋</w:t>
            </w:r>
            <w:r>
              <w:rPr>
                <w:rFonts w:hint="default" w:ascii="Times New Roman" w:hAnsi="Times New Roman" w:eastAsia="宋体" w:cs="Times New Roman"/>
                <w:color w:val="auto"/>
                <w:sz w:val="24"/>
              </w:rPr>
              <w:t>污染控制标准》（GB18599-2020）相关要求执行。</w:t>
            </w:r>
          </w:p>
        </w:tc>
      </w:tr>
    </w:tbl>
    <w:p w14:paraId="14AE5DD9">
      <w:pPr>
        <w:pStyle w:val="25"/>
        <w:rPr>
          <w:rFonts w:hint="default" w:ascii="Times New Roman" w:hAnsi="Times New Roman" w:eastAsia="宋体"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7"/>
        <w:tblW w:w="907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8652"/>
      </w:tblGrid>
      <w:tr w14:paraId="32A794E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58" w:hRule="atLeast"/>
          <w:jc w:val="center"/>
        </w:trPr>
        <w:tc>
          <w:tcPr>
            <w:tcW w:w="385" w:type="dxa"/>
            <w:noWrap w:val="0"/>
            <w:vAlign w:val="center"/>
          </w:tcPr>
          <w:p w14:paraId="4158C431">
            <w:pPr>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总量</w:t>
            </w:r>
          </w:p>
          <w:p w14:paraId="71558A5C">
            <w:pPr>
              <w:adjustRightInd w:val="0"/>
              <w:snapToGrid w:val="0"/>
              <w:jc w:val="center"/>
              <w:rPr>
                <w:rFonts w:hint="default" w:ascii="Times New Roman" w:hAnsi="Times New Roman" w:eastAsia="宋体" w:cs="Times New Roman"/>
                <w:b/>
                <w:bCs/>
                <w:color w:val="auto"/>
                <w:kern w:val="0"/>
                <w:szCs w:val="21"/>
              </w:rPr>
            </w:pPr>
            <w:r>
              <w:rPr>
                <w:rFonts w:hint="default" w:ascii="Times New Roman" w:hAnsi="Times New Roman" w:eastAsia="宋体" w:cs="Times New Roman"/>
                <w:b/>
                <w:bCs/>
                <w:color w:val="auto"/>
                <w:kern w:val="0"/>
                <w:szCs w:val="21"/>
              </w:rPr>
              <w:t>控制</w:t>
            </w:r>
          </w:p>
          <w:p w14:paraId="3A2C2665">
            <w:pPr>
              <w:adjustRightInd w:val="0"/>
              <w:snapToGrid w:val="0"/>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b/>
                <w:bCs/>
                <w:color w:val="auto"/>
                <w:kern w:val="0"/>
                <w:szCs w:val="21"/>
              </w:rPr>
              <w:t>指标</w:t>
            </w:r>
          </w:p>
        </w:tc>
        <w:tc>
          <w:tcPr>
            <w:tcW w:w="8694" w:type="dxa"/>
            <w:noWrap w:val="0"/>
            <w:vAlign w:val="top"/>
          </w:tcPr>
          <w:p w14:paraId="53943C78">
            <w:pPr>
              <w:pStyle w:val="36"/>
              <w:jc w:val="left"/>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3.4.1总量控制指标</w:t>
            </w:r>
          </w:p>
          <w:p w14:paraId="2BFC6F35">
            <w:pPr>
              <w:keepNext w:val="0"/>
              <w:keepLines w:val="0"/>
              <w:pageBreakBefore w:val="0"/>
              <w:widowControl w:val="0"/>
              <w:kinsoku/>
              <w:wordWrap/>
              <w:overflowPunct/>
              <w:topLinePunct w:val="0"/>
              <w:autoSpaceDE/>
              <w:autoSpaceDN/>
              <w:bidi w:val="0"/>
              <w:spacing w:line="360" w:lineRule="auto"/>
              <w:ind w:firstLine="48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项目运营期总量控制指标</w:t>
            </w:r>
          </w:p>
          <w:p w14:paraId="615844A4">
            <w:pPr>
              <w:pStyle w:val="51"/>
              <w:spacing w:beforeLines="0" w:line="240" w:lineRule="auto"/>
              <w:ind w:firstLine="422"/>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表3-</w:t>
            </w:r>
            <w:r>
              <w:rPr>
                <w:rFonts w:hint="eastAsia" w:cs="Times New Roman"/>
                <w:b/>
                <w:color w:val="auto"/>
                <w:sz w:val="21"/>
                <w:szCs w:val="21"/>
                <w:lang w:val="en-US" w:eastAsia="zh-CN"/>
              </w:rPr>
              <w:t>10</w:t>
            </w:r>
            <w:r>
              <w:rPr>
                <w:rFonts w:hint="default" w:ascii="Times New Roman" w:hAnsi="Times New Roman" w:eastAsia="宋体" w:cs="Times New Roman"/>
                <w:b/>
                <w:color w:val="auto"/>
                <w:sz w:val="21"/>
                <w:szCs w:val="21"/>
              </w:rPr>
              <w:t xml:space="preserve"> 本项目污染物总量申请表    单位：t/a</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52"/>
              <w:gridCol w:w="1767"/>
              <w:gridCol w:w="1357"/>
              <w:gridCol w:w="1293"/>
              <w:gridCol w:w="1293"/>
              <w:gridCol w:w="1086"/>
              <w:gridCol w:w="975"/>
            </w:tblGrid>
            <w:tr w14:paraId="0DCD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pct"/>
                  <w:noWrap w:val="0"/>
                  <w:vAlign w:val="center"/>
                </w:tcPr>
                <w:p w14:paraId="4BB31EA2">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类别</w:t>
                  </w:r>
                </w:p>
              </w:tc>
              <w:tc>
                <w:tcPr>
                  <w:tcW w:w="1048" w:type="pct"/>
                  <w:noWrap w:val="0"/>
                  <w:vAlign w:val="center"/>
                </w:tcPr>
                <w:p w14:paraId="4F6C1EF6">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污染物名称</w:t>
                  </w:r>
                </w:p>
              </w:tc>
              <w:tc>
                <w:tcPr>
                  <w:tcW w:w="805" w:type="pct"/>
                  <w:noWrap w:val="0"/>
                  <w:vAlign w:val="center"/>
                </w:tcPr>
                <w:p w14:paraId="6FFEDB8B">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本项目产生量</w:t>
                  </w:r>
                </w:p>
              </w:tc>
              <w:tc>
                <w:tcPr>
                  <w:tcW w:w="767" w:type="pct"/>
                  <w:noWrap w:val="0"/>
                  <w:vAlign w:val="center"/>
                </w:tcPr>
                <w:p w14:paraId="4461E90F">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w:t>
                  </w:r>
                  <w:r>
                    <w:rPr>
                      <w:b/>
                      <w:bCs/>
                      <w:color w:val="auto"/>
                      <w:sz w:val="21"/>
                      <w:szCs w:val="21"/>
                    </w:rPr>
                    <w:t>削减量</w:t>
                  </w:r>
                </w:p>
              </w:tc>
              <w:tc>
                <w:tcPr>
                  <w:tcW w:w="767" w:type="pct"/>
                  <w:noWrap w:val="0"/>
                  <w:vAlign w:val="center"/>
                </w:tcPr>
                <w:p w14:paraId="40042AB2">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本项目排放量</w:t>
                  </w:r>
                </w:p>
              </w:tc>
              <w:tc>
                <w:tcPr>
                  <w:tcW w:w="644" w:type="pct"/>
                  <w:noWrap w:val="0"/>
                  <w:vAlign w:val="center"/>
                </w:tcPr>
                <w:p w14:paraId="1575BFDB">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本次申请量</w:t>
                  </w:r>
                </w:p>
              </w:tc>
              <w:tc>
                <w:tcPr>
                  <w:tcW w:w="578" w:type="pct"/>
                  <w:noWrap w:val="0"/>
                  <w:vAlign w:val="center"/>
                </w:tcPr>
                <w:p w14:paraId="37532D45">
                  <w:pPr>
                    <w:adjustRightInd w:val="0"/>
                    <w:snapToGrid w:val="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最终排入</w:t>
                  </w:r>
                </w:p>
                <w:p w14:paraId="6A273B6F">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bCs/>
                      <w:color w:val="auto"/>
                      <w:sz w:val="21"/>
                      <w:szCs w:val="21"/>
                    </w:rPr>
                    <w:t>外环境量</w:t>
                  </w:r>
                </w:p>
              </w:tc>
            </w:tr>
            <w:tr w14:paraId="488A7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pct"/>
                  <w:vMerge w:val="restart"/>
                  <w:noWrap w:val="0"/>
                  <w:vAlign w:val="center"/>
                </w:tcPr>
                <w:p w14:paraId="42752899">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水污</w:t>
                  </w:r>
                </w:p>
                <w:p w14:paraId="5AC44877">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染物</w:t>
                  </w:r>
                </w:p>
              </w:tc>
              <w:tc>
                <w:tcPr>
                  <w:tcW w:w="1048" w:type="pct"/>
                  <w:noWrap w:val="0"/>
                  <w:vAlign w:val="center"/>
                </w:tcPr>
                <w:p w14:paraId="78E14E93">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水量</w:t>
                  </w:r>
                </w:p>
              </w:tc>
              <w:tc>
                <w:tcPr>
                  <w:tcW w:w="805" w:type="pct"/>
                  <w:noWrap w:val="0"/>
                  <w:vAlign w:val="center"/>
                </w:tcPr>
                <w:p w14:paraId="5949E3D6">
                  <w:pPr>
                    <w:pStyle w:val="37"/>
                    <w:spacing w:beforeLines="0" w:afterLines="0" w:line="240" w:lineRule="auto"/>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480</w:t>
                  </w:r>
                </w:p>
              </w:tc>
              <w:tc>
                <w:tcPr>
                  <w:tcW w:w="767" w:type="pct"/>
                  <w:noWrap w:val="0"/>
                  <w:vAlign w:val="center"/>
                </w:tcPr>
                <w:p w14:paraId="2FDD8EA8">
                  <w:pPr>
                    <w:pStyle w:val="30"/>
                    <w:ind w:firstLine="0" w:firstLineChars="0"/>
                    <w:jc w:val="center"/>
                    <w:rPr>
                      <w:rFonts w:hint="default" w:ascii="Times New Roman" w:hAnsi="Times New Roman" w:eastAsia="宋体" w:cs="Times New Roman"/>
                      <w:bCs/>
                      <w:color w:val="auto"/>
                      <w:sz w:val="21"/>
                      <w:szCs w:val="21"/>
                      <w:lang w:val="en-US" w:eastAsia="zh-CN"/>
                    </w:rPr>
                  </w:pPr>
                  <w:r>
                    <w:rPr>
                      <w:rFonts w:hint="eastAsia"/>
                      <w:color w:val="auto"/>
                      <w:sz w:val="21"/>
                      <w:szCs w:val="21"/>
                    </w:rPr>
                    <w:t>0</w:t>
                  </w:r>
                </w:p>
              </w:tc>
              <w:tc>
                <w:tcPr>
                  <w:tcW w:w="767" w:type="pct"/>
                  <w:noWrap w:val="0"/>
                  <w:vAlign w:val="center"/>
                </w:tcPr>
                <w:p w14:paraId="0E9E96FA">
                  <w:pPr>
                    <w:spacing w:beforeLines="0" w:afterLines="0" w:line="240" w:lineRule="auto"/>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480</w:t>
                  </w:r>
                </w:p>
              </w:tc>
              <w:tc>
                <w:tcPr>
                  <w:tcW w:w="644" w:type="pct"/>
                  <w:noWrap w:val="0"/>
                  <w:vAlign w:val="center"/>
                </w:tcPr>
                <w:p w14:paraId="3DD871F0">
                  <w:pPr>
                    <w:spacing w:beforeLines="0" w:afterLines="0" w:line="240" w:lineRule="auto"/>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480</w:t>
                  </w:r>
                </w:p>
              </w:tc>
              <w:tc>
                <w:tcPr>
                  <w:tcW w:w="578" w:type="pct"/>
                  <w:noWrap w:val="0"/>
                  <w:vAlign w:val="center"/>
                </w:tcPr>
                <w:p w14:paraId="6F81036B">
                  <w:pPr>
                    <w:spacing w:beforeLines="0" w:afterLines="0" w:line="240" w:lineRule="auto"/>
                    <w:jc w:val="center"/>
                    <w:rPr>
                      <w:rFonts w:hint="default" w:ascii="Times New Roman" w:hAnsi="Times New Roman" w:eastAsia="宋体" w:cs="Times New Roman"/>
                      <w:bCs/>
                      <w:color w:val="auto"/>
                      <w:sz w:val="21"/>
                      <w:szCs w:val="21"/>
                    </w:rPr>
                  </w:pPr>
                  <w:r>
                    <w:rPr>
                      <w:rFonts w:hint="eastAsia" w:ascii="Times New Roman" w:hAnsi="Times New Roman" w:eastAsia="宋体" w:cs="Times New Roman"/>
                      <w:bCs/>
                      <w:color w:val="auto"/>
                      <w:sz w:val="21"/>
                      <w:szCs w:val="21"/>
                      <w:lang w:val="en-US" w:eastAsia="zh-CN"/>
                    </w:rPr>
                    <w:t>480</w:t>
                  </w:r>
                </w:p>
              </w:tc>
            </w:tr>
            <w:tr w14:paraId="7C832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42" w:hRule="atLeast"/>
                <w:jc w:val="center"/>
              </w:trPr>
              <w:tc>
                <w:tcPr>
                  <w:tcW w:w="387" w:type="pct"/>
                  <w:vMerge w:val="continue"/>
                  <w:noWrap w:val="0"/>
                  <w:vAlign w:val="center"/>
                </w:tcPr>
                <w:p w14:paraId="7E90733C">
                  <w:pPr>
                    <w:adjustRightInd w:val="0"/>
                    <w:snapToGrid w:val="0"/>
                    <w:jc w:val="center"/>
                    <w:rPr>
                      <w:rFonts w:hint="default" w:ascii="Times New Roman" w:hAnsi="Times New Roman" w:eastAsia="宋体" w:cs="Times New Roman"/>
                      <w:b/>
                      <w:color w:val="auto"/>
                      <w:sz w:val="21"/>
                      <w:szCs w:val="21"/>
                    </w:rPr>
                  </w:pPr>
                </w:p>
              </w:tc>
              <w:tc>
                <w:tcPr>
                  <w:tcW w:w="1048" w:type="pct"/>
                  <w:noWrap w:val="0"/>
                  <w:vAlign w:val="center"/>
                </w:tcPr>
                <w:p w14:paraId="16222557">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COD</w:t>
                  </w:r>
                </w:p>
              </w:tc>
              <w:tc>
                <w:tcPr>
                  <w:tcW w:w="805" w:type="pct"/>
                  <w:noWrap w:val="0"/>
                  <w:vAlign w:val="center"/>
                </w:tcPr>
                <w:p w14:paraId="33DDC018">
                  <w:pPr>
                    <w:widowControl/>
                    <w:jc w:val="center"/>
                    <w:textAlignment w:val="center"/>
                    <w:rPr>
                      <w:rFonts w:hint="default" w:ascii="Times New Roman" w:hAnsi="Times New Roman" w:eastAsia="宋体" w:cs="Times New Roman"/>
                      <w:color w:val="auto"/>
                      <w:sz w:val="21"/>
                      <w:szCs w:val="21"/>
                    </w:rPr>
                  </w:pPr>
                  <w:r>
                    <w:rPr>
                      <w:rFonts w:hint="eastAsia" w:cs="Times New Roman"/>
                      <w:b w:val="0"/>
                      <w:bCs/>
                      <w:color w:val="auto"/>
                      <w:kern w:val="0"/>
                      <w:sz w:val="21"/>
                      <w:szCs w:val="21"/>
                      <w:lang w:val="en-US" w:eastAsia="zh-CN" w:bidi="ar"/>
                    </w:rPr>
                    <w:t>0.144</w:t>
                  </w:r>
                </w:p>
              </w:tc>
              <w:tc>
                <w:tcPr>
                  <w:tcW w:w="767" w:type="pct"/>
                  <w:noWrap w:val="0"/>
                  <w:vAlign w:val="center"/>
                </w:tcPr>
                <w:p w14:paraId="476AF04A">
                  <w:pPr>
                    <w:pStyle w:val="30"/>
                    <w:ind w:firstLine="0" w:firstLineChars="0"/>
                    <w:jc w:val="center"/>
                    <w:rPr>
                      <w:rFonts w:hint="default" w:ascii="Times New Roman" w:hAnsi="Times New Roman" w:eastAsia="宋体" w:cs="Times New Roman"/>
                      <w:b w:val="0"/>
                      <w:bCs/>
                      <w:color w:val="auto"/>
                      <w:kern w:val="0"/>
                      <w:sz w:val="21"/>
                      <w:szCs w:val="21"/>
                      <w:lang w:val="en-US" w:eastAsia="zh-CN" w:bidi="ar"/>
                    </w:rPr>
                  </w:pPr>
                  <w:r>
                    <w:rPr>
                      <w:rFonts w:hint="eastAsia"/>
                      <w:color w:val="auto"/>
                      <w:sz w:val="21"/>
                      <w:szCs w:val="21"/>
                    </w:rPr>
                    <w:t>0</w:t>
                  </w:r>
                </w:p>
              </w:tc>
              <w:tc>
                <w:tcPr>
                  <w:tcW w:w="767" w:type="pct"/>
                  <w:noWrap w:val="0"/>
                  <w:vAlign w:val="center"/>
                </w:tcPr>
                <w:p w14:paraId="606D188B">
                  <w:pPr>
                    <w:widowControl/>
                    <w:jc w:val="center"/>
                    <w:textAlignment w:val="center"/>
                    <w:rPr>
                      <w:rFonts w:hint="default" w:ascii="Times New Roman" w:hAnsi="Times New Roman" w:eastAsia="宋体" w:cs="Times New Roman"/>
                      <w:color w:val="auto"/>
                      <w:sz w:val="21"/>
                      <w:szCs w:val="21"/>
                    </w:rPr>
                  </w:pPr>
                  <w:r>
                    <w:rPr>
                      <w:rFonts w:hint="eastAsia" w:cs="Times New Roman"/>
                      <w:b w:val="0"/>
                      <w:bCs/>
                      <w:color w:val="auto"/>
                      <w:kern w:val="0"/>
                      <w:sz w:val="21"/>
                      <w:szCs w:val="21"/>
                      <w:lang w:val="en-US" w:eastAsia="zh-CN" w:bidi="ar"/>
                    </w:rPr>
                    <w:t>0.144</w:t>
                  </w:r>
                </w:p>
              </w:tc>
              <w:tc>
                <w:tcPr>
                  <w:tcW w:w="644" w:type="pct"/>
                  <w:noWrap w:val="0"/>
                  <w:vAlign w:val="center"/>
                </w:tcPr>
                <w:p w14:paraId="4EBDB2CE">
                  <w:pPr>
                    <w:widowControl/>
                    <w:jc w:val="center"/>
                    <w:textAlignment w:val="center"/>
                    <w:rPr>
                      <w:rFonts w:hint="default" w:ascii="Times New Roman" w:hAnsi="Times New Roman" w:eastAsia="宋体" w:cs="Times New Roman"/>
                      <w:bCs/>
                      <w:color w:val="auto"/>
                      <w:sz w:val="21"/>
                      <w:szCs w:val="21"/>
                    </w:rPr>
                  </w:pPr>
                  <w:r>
                    <w:rPr>
                      <w:rFonts w:hint="eastAsia" w:cs="Times New Roman"/>
                      <w:b w:val="0"/>
                      <w:bCs/>
                      <w:color w:val="auto"/>
                      <w:kern w:val="0"/>
                      <w:sz w:val="21"/>
                      <w:szCs w:val="21"/>
                      <w:lang w:val="en-US" w:eastAsia="zh-CN" w:bidi="ar"/>
                    </w:rPr>
                    <w:t>0.144</w:t>
                  </w:r>
                </w:p>
              </w:tc>
              <w:tc>
                <w:tcPr>
                  <w:tcW w:w="578" w:type="pct"/>
                  <w:noWrap w:val="0"/>
                  <w:vAlign w:val="center"/>
                </w:tcPr>
                <w:p w14:paraId="06571B12">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kern w:val="0"/>
                      <w:sz w:val="21"/>
                      <w:szCs w:val="21"/>
                    </w:rPr>
                    <w:t>0.</w:t>
                  </w:r>
                  <w:r>
                    <w:rPr>
                      <w:rFonts w:hint="eastAsia" w:cs="Times New Roman"/>
                      <w:color w:val="auto"/>
                      <w:kern w:val="0"/>
                      <w:sz w:val="21"/>
                      <w:szCs w:val="21"/>
                      <w:lang w:val="en-US" w:eastAsia="zh-CN"/>
                    </w:rPr>
                    <w:t>024</w:t>
                  </w:r>
                </w:p>
              </w:tc>
            </w:tr>
            <w:tr w14:paraId="3D7F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pct"/>
                  <w:vMerge w:val="continue"/>
                  <w:noWrap w:val="0"/>
                  <w:vAlign w:val="center"/>
                </w:tcPr>
                <w:p w14:paraId="4A4DF990">
                  <w:pPr>
                    <w:adjustRightInd w:val="0"/>
                    <w:snapToGrid w:val="0"/>
                    <w:jc w:val="center"/>
                    <w:rPr>
                      <w:rFonts w:hint="default" w:ascii="Times New Roman" w:hAnsi="Times New Roman" w:eastAsia="宋体" w:cs="Times New Roman"/>
                      <w:b/>
                      <w:color w:val="auto"/>
                      <w:sz w:val="21"/>
                      <w:szCs w:val="21"/>
                    </w:rPr>
                  </w:pPr>
                </w:p>
              </w:tc>
              <w:tc>
                <w:tcPr>
                  <w:tcW w:w="1048" w:type="pct"/>
                  <w:noWrap w:val="0"/>
                  <w:vAlign w:val="center"/>
                </w:tcPr>
                <w:p w14:paraId="10CAC25C">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SS</w:t>
                  </w:r>
                </w:p>
              </w:tc>
              <w:tc>
                <w:tcPr>
                  <w:tcW w:w="805" w:type="pct"/>
                  <w:noWrap w:val="0"/>
                  <w:vAlign w:val="center"/>
                </w:tcPr>
                <w:p w14:paraId="2E1C18EC">
                  <w:pPr>
                    <w:widowControl/>
                    <w:jc w:val="center"/>
                    <w:textAlignment w:val="center"/>
                    <w:rPr>
                      <w:rFonts w:hint="default" w:ascii="Times New Roman" w:hAnsi="Times New Roman" w:eastAsia="宋体" w:cs="Times New Roman"/>
                      <w:color w:val="auto"/>
                      <w:sz w:val="21"/>
                      <w:szCs w:val="21"/>
                    </w:rPr>
                  </w:pPr>
                  <w:r>
                    <w:rPr>
                      <w:rFonts w:hint="eastAsia" w:cs="Times New Roman"/>
                      <w:b w:val="0"/>
                      <w:bCs/>
                      <w:color w:val="auto"/>
                      <w:kern w:val="0"/>
                      <w:sz w:val="21"/>
                      <w:szCs w:val="21"/>
                      <w:lang w:val="en-US" w:eastAsia="zh-CN" w:bidi="ar"/>
                    </w:rPr>
                    <w:t>0.096</w:t>
                  </w:r>
                </w:p>
              </w:tc>
              <w:tc>
                <w:tcPr>
                  <w:tcW w:w="767" w:type="pct"/>
                  <w:noWrap w:val="0"/>
                  <w:vAlign w:val="center"/>
                </w:tcPr>
                <w:p w14:paraId="557D51B7">
                  <w:pPr>
                    <w:pStyle w:val="30"/>
                    <w:ind w:firstLine="0" w:firstLineChars="0"/>
                    <w:jc w:val="center"/>
                    <w:rPr>
                      <w:rFonts w:hint="default" w:ascii="Times New Roman" w:hAnsi="Times New Roman" w:eastAsia="宋体" w:cs="Times New Roman"/>
                      <w:b w:val="0"/>
                      <w:bCs/>
                      <w:color w:val="auto"/>
                      <w:kern w:val="0"/>
                      <w:sz w:val="21"/>
                      <w:szCs w:val="21"/>
                      <w:lang w:val="en-US" w:eastAsia="zh-CN" w:bidi="ar"/>
                    </w:rPr>
                  </w:pPr>
                  <w:r>
                    <w:rPr>
                      <w:rFonts w:hint="eastAsia"/>
                      <w:color w:val="auto"/>
                      <w:sz w:val="21"/>
                      <w:szCs w:val="21"/>
                    </w:rPr>
                    <w:t>0</w:t>
                  </w:r>
                </w:p>
              </w:tc>
              <w:tc>
                <w:tcPr>
                  <w:tcW w:w="767" w:type="pct"/>
                  <w:noWrap w:val="0"/>
                  <w:vAlign w:val="center"/>
                </w:tcPr>
                <w:p w14:paraId="29018AD9">
                  <w:pPr>
                    <w:widowControl/>
                    <w:jc w:val="center"/>
                    <w:textAlignment w:val="center"/>
                    <w:rPr>
                      <w:rFonts w:hint="default" w:ascii="Times New Roman" w:hAnsi="Times New Roman" w:eastAsia="宋体" w:cs="Times New Roman"/>
                      <w:color w:val="auto"/>
                      <w:sz w:val="21"/>
                      <w:szCs w:val="21"/>
                    </w:rPr>
                  </w:pPr>
                  <w:r>
                    <w:rPr>
                      <w:rFonts w:hint="eastAsia" w:cs="Times New Roman"/>
                      <w:b w:val="0"/>
                      <w:bCs/>
                      <w:color w:val="auto"/>
                      <w:kern w:val="0"/>
                      <w:sz w:val="21"/>
                      <w:szCs w:val="21"/>
                      <w:lang w:val="en-US" w:eastAsia="zh-CN" w:bidi="ar"/>
                    </w:rPr>
                    <w:t>0.096</w:t>
                  </w:r>
                </w:p>
              </w:tc>
              <w:tc>
                <w:tcPr>
                  <w:tcW w:w="644" w:type="pct"/>
                  <w:noWrap w:val="0"/>
                  <w:vAlign w:val="center"/>
                </w:tcPr>
                <w:p w14:paraId="323EDD9E">
                  <w:pPr>
                    <w:widowControl/>
                    <w:jc w:val="center"/>
                    <w:textAlignment w:val="center"/>
                    <w:rPr>
                      <w:rFonts w:hint="default" w:ascii="Times New Roman" w:hAnsi="Times New Roman" w:eastAsia="宋体" w:cs="Times New Roman"/>
                      <w:bCs/>
                      <w:color w:val="auto"/>
                      <w:sz w:val="21"/>
                      <w:szCs w:val="21"/>
                    </w:rPr>
                  </w:pPr>
                  <w:r>
                    <w:rPr>
                      <w:rFonts w:hint="eastAsia" w:cs="Times New Roman"/>
                      <w:b w:val="0"/>
                      <w:bCs/>
                      <w:color w:val="auto"/>
                      <w:kern w:val="0"/>
                      <w:sz w:val="21"/>
                      <w:szCs w:val="21"/>
                      <w:lang w:val="en-US" w:eastAsia="zh-CN" w:bidi="ar"/>
                    </w:rPr>
                    <w:t>0.096</w:t>
                  </w:r>
                </w:p>
              </w:tc>
              <w:tc>
                <w:tcPr>
                  <w:tcW w:w="578" w:type="pct"/>
                  <w:noWrap w:val="0"/>
                  <w:vAlign w:val="center"/>
                </w:tcPr>
                <w:p w14:paraId="0CD860E6">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kern w:val="0"/>
                      <w:sz w:val="21"/>
                      <w:szCs w:val="21"/>
                    </w:rPr>
                    <w:t>0.00</w:t>
                  </w:r>
                  <w:r>
                    <w:rPr>
                      <w:rFonts w:hint="eastAsia" w:cs="Times New Roman"/>
                      <w:color w:val="auto"/>
                      <w:kern w:val="0"/>
                      <w:sz w:val="21"/>
                      <w:szCs w:val="21"/>
                      <w:lang w:val="en-US" w:eastAsia="zh-CN"/>
                    </w:rPr>
                    <w:t>48</w:t>
                  </w:r>
                </w:p>
              </w:tc>
            </w:tr>
            <w:tr w14:paraId="4FEE0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pct"/>
                  <w:vMerge w:val="continue"/>
                  <w:noWrap w:val="0"/>
                  <w:vAlign w:val="center"/>
                </w:tcPr>
                <w:p w14:paraId="1CD025AD">
                  <w:pPr>
                    <w:adjustRightInd w:val="0"/>
                    <w:snapToGrid w:val="0"/>
                    <w:jc w:val="center"/>
                    <w:rPr>
                      <w:rFonts w:hint="default" w:ascii="Times New Roman" w:hAnsi="Times New Roman" w:eastAsia="宋体" w:cs="Times New Roman"/>
                      <w:b/>
                      <w:color w:val="auto"/>
                      <w:sz w:val="21"/>
                      <w:szCs w:val="21"/>
                    </w:rPr>
                  </w:pPr>
                </w:p>
              </w:tc>
              <w:tc>
                <w:tcPr>
                  <w:tcW w:w="1048" w:type="pct"/>
                  <w:noWrap w:val="0"/>
                  <w:vAlign w:val="center"/>
                </w:tcPr>
                <w:p w14:paraId="4D4EC1A6">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805" w:type="pct"/>
                  <w:noWrap w:val="0"/>
                  <w:vAlign w:val="center"/>
                </w:tcPr>
                <w:p w14:paraId="6511DDAA">
                  <w:pPr>
                    <w:widowControl/>
                    <w:jc w:val="center"/>
                    <w:textAlignment w:val="center"/>
                    <w:rPr>
                      <w:rFonts w:hint="default" w:ascii="Times New Roman" w:hAnsi="Times New Roman" w:eastAsia="宋体" w:cs="Times New Roman"/>
                      <w:color w:val="auto"/>
                      <w:sz w:val="21"/>
                      <w:szCs w:val="21"/>
                    </w:rPr>
                  </w:pPr>
                  <w:r>
                    <w:rPr>
                      <w:rFonts w:hint="eastAsia" w:cs="Times New Roman"/>
                      <w:b w:val="0"/>
                      <w:bCs/>
                      <w:color w:val="auto"/>
                      <w:sz w:val="21"/>
                      <w:szCs w:val="21"/>
                      <w:lang w:val="en-US" w:eastAsia="zh-CN"/>
                    </w:rPr>
                    <w:t>0.0144</w:t>
                  </w:r>
                </w:p>
              </w:tc>
              <w:tc>
                <w:tcPr>
                  <w:tcW w:w="767" w:type="pct"/>
                  <w:noWrap w:val="0"/>
                  <w:vAlign w:val="center"/>
                </w:tcPr>
                <w:p w14:paraId="632AE2A5">
                  <w:pPr>
                    <w:pStyle w:val="30"/>
                    <w:ind w:firstLine="0" w:firstLineChars="0"/>
                    <w:jc w:val="center"/>
                    <w:rPr>
                      <w:rFonts w:hint="default" w:ascii="Times New Roman" w:hAnsi="Times New Roman" w:eastAsia="宋体" w:cs="Times New Roman"/>
                      <w:b w:val="0"/>
                      <w:bCs/>
                      <w:color w:val="auto"/>
                      <w:sz w:val="21"/>
                      <w:szCs w:val="21"/>
                      <w:lang w:val="en-US" w:eastAsia="zh-CN"/>
                    </w:rPr>
                  </w:pPr>
                  <w:r>
                    <w:rPr>
                      <w:rFonts w:hint="eastAsia"/>
                      <w:color w:val="auto"/>
                      <w:sz w:val="21"/>
                      <w:szCs w:val="21"/>
                    </w:rPr>
                    <w:t>0</w:t>
                  </w:r>
                </w:p>
              </w:tc>
              <w:tc>
                <w:tcPr>
                  <w:tcW w:w="767" w:type="pct"/>
                  <w:noWrap w:val="0"/>
                  <w:vAlign w:val="center"/>
                </w:tcPr>
                <w:p w14:paraId="7981A10A">
                  <w:pPr>
                    <w:widowControl/>
                    <w:jc w:val="center"/>
                    <w:textAlignment w:val="center"/>
                    <w:rPr>
                      <w:rFonts w:hint="default" w:ascii="Times New Roman" w:hAnsi="Times New Roman" w:eastAsia="宋体" w:cs="Times New Roman"/>
                      <w:color w:val="auto"/>
                      <w:sz w:val="21"/>
                      <w:szCs w:val="21"/>
                    </w:rPr>
                  </w:pPr>
                  <w:r>
                    <w:rPr>
                      <w:rFonts w:hint="eastAsia" w:cs="Times New Roman"/>
                      <w:b w:val="0"/>
                      <w:bCs/>
                      <w:color w:val="auto"/>
                      <w:sz w:val="21"/>
                      <w:szCs w:val="21"/>
                      <w:lang w:val="en-US" w:eastAsia="zh-CN"/>
                    </w:rPr>
                    <w:t>0.0144</w:t>
                  </w:r>
                </w:p>
              </w:tc>
              <w:tc>
                <w:tcPr>
                  <w:tcW w:w="644" w:type="pct"/>
                  <w:noWrap w:val="0"/>
                  <w:vAlign w:val="center"/>
                </w:tcPr>
                <w:p w14:paraId="6A57B16F">
                  <w:pPr>
                    <w:widowControl/>
                    <w:jc w:val="center"/>
                    <w:textAlignment w:val="center"/>
                    <w:rPr>
                      <w:rFonts w:hint="default" w:ascii="Times New Roman" w:hAnsi="Times New Roman" w:eastAsia="宋体" w:cs="Times New Roman"/>
                      <w:bCs/>
                      <w:color w:val="auto"/>
                      <w:sz w:val="21"/>
                      <w:szCs w:val="21"/>
                    </w:rPr>
                  </w:pPr>
                  <w:r>
                    <w:rPr>
                      <w:rFonts w:hint="eastAsia" w:cs="Times New Roman"/>
                      <w:b w:val="0"/>
                      <w:bCs/>
                      <w:color w:val="auto"/>
                      <w:sz w:val="21"/>
                      <w:szCs w:val="21"/>
                      <w:lang w:val="en-US" w:eastAsia="zh-CN"/>
                    </w:rPr>
                    <w:t>0.0144</w:t>
                  </w:r>
                </w:p>
              </w:tc>
              <w:tc>
                <w:tcPr>
                  <w:tcW w:w="578" w:type="pct"/>
                  <w:noWrap w:val="0"/>
                  <w:vAlign w:val="center"/>
                </w:tcPr>
                <w:p w14:paraId="3B763B9D">
                  <w:pPr>
                    <w:widowControl/>
                    <w:jc w:val="center"/>
                    <w:textAlignment w:val="center"/>
                    <w:rPr>
                      <w:rFonts w:hint="default" w:ascii="Times New Roman" w:hAnsi="Times New Roman" w:eastAsia="宋体" w:cs="Times New Roman"/>
                      <w:bCs/>
                      <w:color w:val="auto"/>
                      <w:sz w:val="21"/>
                      <w:szCs w:val="21"/>
                      <w:lang w:val="en-US" w:eastAsia="zh-CN"/>
                    </w:rPr>
                  </w:pPr>
                  <w:r>
                    <w:rPr>
                      <w:rFonts w:hint="eastAsia" w:cs="Times New Roman"/>
                      <w:color w:val="auto"/>
                      <w:sz w:val="21"/>
                      <w:szCs w:val="21"/>
                      <w:lang w:val="en-US" w:eastAsia="zh-CN"/>
                    </w:rPr>
                    <w:t>0.0019</w:t>
                  </w:r>
                </w:p>
              </w:tc>
            </w:tr>
            <w:tr w14:paraId="12933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pct"/>
                  <w:vMerge w:val="continue"/>
                  <w:noWrap w:val="0"/>
                  <w:vAlign w:val="center"/>
                </w:tcPr>
                <w:p w14:paraId="1AFC73FF">
                  <w:pPr>
                    <w:adjustRightInd w:val="0"/>
                    <w:snapToGrid w:val="0"/>
                    <w:jc w:val="center"/>
                    <w:rPr>
                      <w:rFonts w:hint="default" w:ascii="Times New Roman" w:hAnsi="Times New Roman" w:eastAsia="宋体" w:cs="Times New Roman"/>
                      <w:b/>
                      <w:color w:val="auto"/>
                      <w:sz w:val="21"/>
                      <w:szCs w:val="21"/>
                    </w:rPr>
                  </w:pPr>
                </w:p>
              </w:tc>
              <w:tc>
                <w:tcPr>
                  <w:tcW w:w="1048" w:type="pct"/>
                  <w:noWrap w:val="0"/>
                  <w:vAlign w:val="center"/>
                </w:tcPr>
                <w:p w14:paraId="1A5002F5">
                  <w:pPr>
                    <w:adjustRightInd w:val="0"/>
                    <w:snapToGrid w:val="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Cs/>
                      <w:color w:val="auto"/>
                      <w:sz w:val="21"/>
                      <w:szCs w:val="21"/>
                    </w:rPr>
                    <w:t>TP</w:t>
                  </w:r>
                </w:p>
              </w:tc>
              <w:tc>
                <w:tcPr>
                  <w:tcW w:w="805" w:type="pct"/>
                  <w:noWrap w:val="0"/>
                  <w:vAlign w:val="center"/>
                </w:tcPr>
                <w:p w14:paraId="7DD149CF">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lang w:val="en-US" w:eastAsia="zh-CN"/>
                    </w:rPr>
                    <w:t>0.001</w:t>
                  </w:r>
                  <w:r>
                    <w:rPr>
                      <w:rFonts w:hint="eastAsia" w:cs="Times New Roman"/>
                      <w:b w:val="0"/>
                      <w:bCs/>
                      <w:color w:val="auto"/>
                      <w:sz w:val="21"/>
                      <w:szCs w:val="21"/>
                      <w:lang w:val="en-US" w:eastAsia="zh-CN"/>
                    </w:rPr>
                    <w:t>4</w:t>
                  </w:r>
                </w:p>
              </w:tc>
              <w:tc>
                <w:tcPr>
                  <w:tcW w:w="767" w:type="pct"/>
                  <w:noWrap w:val="0"/>
                  <w:vAlign w:val="center"/>
                </w:tcPr>
                <w:p w14:paraId="501D4A5E">
                  <w:pPr>
                    <w:pStyle w:val="30"/>
                    <w:ind w:firstLine="0" w:firstLineChars="0"/>
                    <w:jc w:val="center"/>
                    <w:rPr>
                      <w:rFonts w:hint="default" w:ascii="Times New Roman" w:hAnsi="Times New Roman" w:eastAsia="宋体" w:cs="Times New Roman"/>
                      <w:b w:val="0"/>
                      <w:bCs/>
                      <w:color w:val="auto"/>
                      <w:sz w:val="21"/>
                      <w:szCs w:val="21"/>
                      <w:lang w:val="en-US" w:eastAsia="zh-CN"/>
                    </w:rPr>
                  </w:pPr>
                  <w:r>
                    <w:rPr>
                      <w:rFonts w:hint="eastAsia"/>
                      <w:color w:val="auto"/>
                      <w:sz w:val="21"/>
                      <w:szCs w:val="21"/>
                    </w:rPr>
                    <w:t>0</w:t>
                  </w:r>
                </w:p>
              </w:tc>
              <w:tc>
                <w:tcPr>
                  <w:tcW w:w="767" w:type="pct"/>
                  <w:noWrap w:val="0"/>
                  <w:vAlign w:val="center"/>
                </w:tcPr>
                <w:p w14:paraId="7C328F5B">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lang w:val="en-US" w:eastAsia="zh-CN"/>
                    </w:rPr>
                    <w:t>0.001</w:t>
                  </w:r>
                  <w:r>
                    <w:rPr>
                      <w:rFonts w:hint="eastAsia" w:cs="Times New Roman"/>
                      <w:b w:val="0"/>
                      <w:bCs/>
                      <w:color w:val="auto"/>
                      <w:sz w:val="21"/>
                      <w:szCs w:val="21"/>
                      <w:lang w:val="en-US" w:eastAsia="zh-CN"/>
                    </w:rPr>
                    <w:t>4</w:t>
                  </w:r>
                </w:p>
              </w:tc>
              <w:tc>
                <w:tcPr>
                  <w:tcW w:w="644" w:type="pct"/>
                  <w:noWrap w:val="0"/>
                  <w:vAlign w:val="center"/>
                </w:tcPr>
                <w:p w14:paraId="4B558AA5">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lang w:val="en-US" w:eastAsia="zh-CN"/>
                    </w:rPr>
                    <w:t>0.001</w:t>
                  </w:r>
                  <w:r>
                    <w:rPr>
                      <w:rFonts w:hint="eastAsia" w:cs="Times New Roman"/>
                      <w:b w:val="0"/>
                      <w:bCs/>
                      <w:color w:val="auto"/>
                      <w:sz w:val="21"/>
                      <w:szCs w:val="21"/>
                      <w:lang w:val="en-US" w:eastAsia="zh-CN"/>
                    </w:rPr>
                    <w:t>4</w:t>
                  </w:r>
                </w:p>
              </w:tc>
              <w:tc>
                <w:tcPr>
                  <w:tcW w:w="578" w:type="pct"/>
                  <w:noWrap w:val="0"/>
                  <w:vAlign w:val="center"/>
                </w:tcPr>
                <w:p w14:paraId="626D7950">
                  <w:pPr>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0.000</w:t>
                  </w:r>
                  <w:r>
                    <w:rPr>
                      <w:rFonts w:hint="eastAsia" w:cs="Times New Roman"/>
                      <w:color w:val="auto"/>
                      <w:sz w:val="21"/>
                      <w:szCs w:val="21"/>
                      <w:lang w:val="en-US" w:eastAsia="zh-CN"/>
                    </w:rPr>
                    <w:t>2</w:t>
                  </w:r>
                </w:p>
              </w:tc>
            </w:tr>
            <w:tr w14:paraId="49A2D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pct"/>
                  <w:vMerge w:val="continue"/>
                  <w:noWrap w:val="0"/>
                  <w:vAlign w:val="center"/>
                </w:tcPr>
                <w:p w14:paraId="50F8BBEA">
                  <w:pPr>
                    <w:adjustRightInd w:val="0"/>
                    <w:snapToGrid w:val="0"/>
                    <w:jc w:val="center"/>
                    <w:rPr>
                      <w:rFonts w:hint="default" w:ascii="Times New Roman" w:hAnsi="Times New Roman" w:eastAsia="宋体" w:cs="Times New Roman"/>
                      <w:b/>
                      <w:color w:val="auto"/>
                      <w:sz w:val="21"/>
                      <w:szCs w:val="21"/>
                    </w:rPr>
                  </w:pPr>
                </w:p>
              </w:tc>
              <w:tc>
                <w:tcPr>
                  <w:tcW w:w="1048" w:type="pct"/>
                  <w:noWrap w:val="0"/>
                  <w:vAlign w:val="center"/>
                </w:tcPr>
                <w:p w14:paraId="0B0D20EE">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TN</w:t>
                  </w:r>
                </w:p>
              </w:tc>
              <w:tc>
                <w:tcPr>
                  <w:tcW w:w="805" w:type="pct"/>
                  <w:noWrap w:val="0"/>
                  <w:vAlign w:val="center"/>
                </w:tcPr>
                <w:p w14:paraId="3A6CA823">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lang w:val="en-US" w:eastAsia="zh-CN"/>
                    </w:rPr>
                    <w:t>0.0</w:t>
                  </w:r>
                  <w:r>
                    <w:rPr>
                      <w:rFonts w:hint="eastAsia" w:cs="Times New Roman"/>
                      <w:b w:val="0"/>
                      <w:bCs/>
                      <w:color w:val="auto"/>
                      <w:sz w:val="21"/>
                      <w:szCs w:val="21"/>
                      <w:lang w:val="en-US" w:eastAsia="zh-CN"/>
                    </w:rPr>
                    <w:t>192</w:t>
                  </w:r>
                </w:p>
              </w:tc>
              <w:tc>
                <w:tcPr>
                  <w:tcW w:w="767" w:type="pct"/>
                  <w:noWrap w:val="0"/>
                  <w:vAlign w:val="center"/>
                </w:tcPr>
                <w:p w14:paraId="5F9EF223">
                  <w:pPr>
                    <w:pStyle w:val="30"/>
                    <w:ind w:firstLine="0" w:firstLineChars="0"/>
                    <w:jc w:val="center"/>
                    <w:rPr>
                      <w:rFonts w:hint="default" w:ascii="Times New Roman" w:hAnsi="Times New Roman" w:eastAsia="宋体" w:cs="Times New Roman"/>
                      <w:b w:val="0"/>
                      <w:bCs/>
                      <w:color w:val="auto"/>
                      <w:sz w:val="21"/>
                      <w:szCs w:val="21"/>
                      <w:lang w:val="en-US" w:eastAsia="zh-CN"/>
                    </w:rPr>
                  </w:pPr>
                  <w:r>
                    <w:rPr>
                      <w:rFonts w:hint="eastAsia"/>
                      <w:color w:val="auto"/>
                      <w:sz w:val="21"/>
                      <w:szCs w:val="21"/>
                    </w:rPr>
                    <w:t>0</w:t>
                  </w:r>
                </w:p>
              </w:tc>
              <w:tc>
                <w:tcPr>
                  <w:tcW w:w="767" w:type="pct"/>
                  <w:noWrap w:val="0"/>
                  <w:vAlign w:val="center"/>
                </w:tcPr>
                <w:p w14:paraId="6F845EB9">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color w:val="auto"/>
                      <w:sz w:val="21"/>
                      <w:szCs w:val="21"/>
                      <w:lang w:val="en-US" w:eastAsia="zh-CN"/>
                    </w:rPr>
                    <w:t>0.0</w:t>
                  </w:r>
                  <w:r>
                    <w:rPr>
                      <w:rFonts w:hint="eastAsia" w:cs="Times New Roman"/>
                      <w:b w:val="0"/>
                      <w:bCs/>
                      <w:color w:val="auto"/>
                      <w:sz w:val="21"/>
                      <w:szCs w:val="21"/>
                      <w:lang w:val="en-US" w:eastAsia="zh-CN"/>
                    </w:rPr>
                    <w:t>192</w:t>
                  </w:r>
                </w:p>
              </w:tc>
              <w:tc>
                <w:tcPr>
                  <w:tcW w:w="644" w:type="pct"/>
                  <w:noWrap w:val="0"/>
                  <w:vAlign w:val="center"/>
                </w:tcPr>
                <w:p w14:paraId="24D013A1">
                  <w:pPr>
                    <w:widowControl/>
                    <w:jc w:val="center"/>
                    <w:textAlignment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 w:val="0"/>
                      <w:bCs/>
                      <w:color w:val="auto"/>
                      <w:sz w:val="21"/>
                      <w:szCs w:val="21"/>
                      <w:lang w:val="en-US" w:eastAsia="zh-CN"/>
                    </w:rPr>
                    <w:t>0.0</w:t>
                  </w:r>
                  <w:r>
                    <w:rPr>
                      <w:rFonts w:hint="eastAsia" w:cs="Times New Roman"/>
                      <w:b w:val="0"/>
                      <w:bCs/>
                      <w:color w:val="auto"/>
                      <w:sz w:val="21"/>
                      <w:szCs w:val="21"/>
                      <w:lang w:val="en-US" w:eastAsia="zh-CN"/>
                    </w:rPr>
                    <w:t>192</w:t>
                  </w:r>
                </w:p>
              </w:tc>
              <w:tc>
                <w:tcPr>
                  <w:tcW w:w="578" w:type="pct"/>
                  <w:noWrap w:val="0"/>
                  <w:vAlign w:val="center"/>
                </w:tcPr>
                <w:p w14:paraId="615C817D">
                  <w:pPr>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color w:val="auto"/>
                      <w:kern w:val="0"/>
                      <w:sz w:val="21"/>
                      <w:szCs w:val="21"/>
                    </w:rPr>
                    <w:t>0.00</w:t>
                  </w:r>
                  <w:r>
                    <w:rPr>
                      <w:rFonts w:hint="eastAsia" w:cs="Times New Roman"/>
                      <w:color w:val="auto"/>
                      <w:kern w:val="0"/>
                      <w:sz w:val="21"/>
                      <w:szCs w:val="21"/>
                      <w:lang w:val="en-US" w:eastAsia="zh-CN"/>
                    </w:rPr>
                    <w:t>58</w:t>
                  </w:r>
                </w:p>
              </w:tc>
            </w:tr>
            <w:tr w14:paraId="3C32E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pct"/>
                  <w:vMerge w:val="restart"/>
                  <w:noWrap w:val="0"/>
                  <w:vAlign w:val="center"/>
                </w:tcPr>
                <w:p w14:paraId="6946EB6E">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固体</w:t>
                  </w:r>
                </w:p>
                <w:p w14:paraId="6F4A8901">
                  <w:pPr>
                    <w:adjustRightInd w:val="0"/>
                    <w:snapToGrid w:val="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废物</w:t>
                  </w:r>
                </w:p>
              </w:tc>
              <w:tc>
                <w:tcPr>
                  <w:tcW w:w="1048" w:type="pct"/>
                  <w:noWrap w:val="0"/>
                  <w:vAlign w:val="center"/>
                </w:tcPr>
                <w:p w14:paraId="0CA1D7FD">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生活垃圾</w:t>
                  </w:r>
                </w:p>
              </w:tc>
              <w:tc>
                <w:tcPr>
                  <w:tcW w:w="805" w:type="pct"/>
                  <w:noWrap w:val="0"/>
                  <w:vAlign w:val="center"/>
                </w:tcPr>
                <w:p w14:paraId="44FBC8AC">
                  <w:pPr>
                    <w:adjustRightInd w:val="0"/>
                    <w:snapToGrid w:val="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1"/>
                      <w:szCs w:val="21"/>
                      <w:lang w:val="en-US" w:eastAsia="zh-CN"/>
                    </w:rPr>
                    <w:t>3</w:t>
                  </w:r>
                </w:p>
              </w:tc>
              <w:tc>
                <w:tcPr>
                  <w:tcW w:w="767" w:type="pct"/>
                  <w:noWrap w:val="0"/>
                  <w:vAlign w:val="center"/>
                </w:tcPr>
                <w:p w14:paraId="119A164F">
                  <w:pPr>
                    <w:pStyle w:val="30"/>
                    <w:ind w:firstLine="0" w:firstLineChars="0"/>
                    <w:jc w:val="center"/>
                    <w:rPr>
                      <w:rFonts w:hint="eastAsia" w:cs="Times New Roman"/>
                      <w:bCs/>
                      <w:color w:val="auto"/>
                      <w:sz w:val="21"/>
                      <w:szCs w:val="21"/>
                      <w:lang w:val="en-US" w:eastAsia="zh-CN"/>
                    </w:rPr>
                  </w:pPr>
                  <w:r>
                    <w:rPr>
                      <w:rFonts w:hint="eastAsia"/>
                      <w:color w:val="auto"/>
                      <w:sz w:val="21"/>
                      <w:szCs w:val="21"/>
                      <w:lang w:val="en-US" w:eastAsia="zh-CN"/>
                    </w:rPr>
                    <w:t>3</w:t>
                  </w:r>
                </w:p>
              </w:tc>
              <w:tc>
                <w:tcPr>
                  <w:tcW w:w="767" w:type="pct"/>
                  <w:noWrap w:val="0"/>
                  <w:vAlign w:val="center"/>
                </w:tcPr>
                <w:p w14:paraId="10277A00">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c>
                <w:tcPr>
                  <w:tcW w:w="644" w:type="pct"/>
                  <w:noWrap w:val="0"/>
                  <w:vAlign w:val="center"/>
                </w:tcPr>
                <w:p w14:paraId="00875E52">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c>
                <w:tcPr>
                  <w:tcW w:w="578" w:type="pct"/>
                  <w:noWrap w:val="0"/>
                  <w:vAlign w:val="center"/>
                </w:tcPr>
                <w:p w14:paraId="7734FA1A">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r>
            <w:tr w14:paraId="6E557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pct"/>
                  <w:vMerge w:val="continue"/>
                  <w:noWrap w:val="0"/>
                  <w:vAlign w:val="center"/>
                </w:tcPr>
                <w:p w14:paraId="20AA323E">
                  <w:pPr>
                    <w:adjustRightInd w:val="0"/>
                    <w:snapToGrid w:val="0"/>
                    <w:jc w:val="center"/>
                    <w:rPr>
                      <w:rFonts w:hint="default" w:ascii="Times New Roman" w:hAnsi="Times New Roman" w:eastAsia="宋体" w:cs="Times New Roman"/>
                      <w:b/>
                      <w:color w:val="auto"/>
                      <w:sz w:val="21"/>
                      <w:szCs w:val="21"/>
                    </w:rPr>
                  </w:pPr>
                </w:p>
              </w:tc>
              <w:tc>
                <w:tcPr>
                  <w:tcW w:w="1048" w:type="pct"/>
                  <w:noWrap w:val="0"/>
                  <w:vAlign w:val="center"/>
                </w:tcPr>
                <w:p w14:paraId="39F6EE4D">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一般固废</w:t>
                  </w:r>
                </w:p>
              </w:tc>
              <w:tc>
                <w:tcPr>
                  <w:tcW w:w="805" w:type="pct"/>
                  <w:noWrap w:val="0"/>
                  <w:vAlign w:val="center"/>
                </w:tcPr>
                <w:p w14:paraId="6A4D5BFE">
                  <w:pPr>
                    <w:adjustRightInd w:val="0"/>
                    <w:snapToGrid w:val="0"/>
                    <w:jc w:val="center"/>
                    <w:rPr>
                      <w:rFonts w:hint="default" w:ascii="Times New Roman" w:hAnsi="Times New Roman" w:eastAsia="宋体" w:cs="Times New Roman"/>
                      <w:bCs/>
                      <w:color w:val="auto"/>
                      <w:sz w:val="21"/>
                      <w:szCs w:val="21"/>
                      <w:lang w:val="en-US" w:eastAsia="zh-CN"/>
                    </w:rPr>
                  </w:pPr>
                  <w:r>
                    <w:rPr>
                      <w:rFonts w:hint="eastAsia" w:cs="Times New Roman"/>
                      <w:color w:val="auto"/>
                      <w:sz w:val="21"/>
                      <w:szCs w:val="21"/>
                      <w:lang w:val="en-US" w:eastAsia="zh-CN"/>
                    </w:rPr>
                    <w:t>25.2</w:t>
                  </w:r>
                </w:p>
              </w:tc>
              <w:tc>
                <w:tcPr>
                  <w:tcW w:w="767" w:type="pct"/>
                  <w:noWrap w:val="0"/>
                  <w:vAlign w:val="center"/>
                </w:tcPr>
                <w:p w14:paraId="5DC2FBA8">
                  <w:pPr>
                    <w:pStyle w:val="30"/>
                    <w:ind w:firstLine="0" w:firstLineChars="0"/>
                    <w:jc w:val="center"/>
                    <w:rPr>
                      <w:rFonts w:hint="default" w:cs="Times New Roman"/>
                      <w:color w:val="auto"/>
                      <w:sz w:val="21"/>
                      <w:szCs w:val="21"/>
                      <w:lang w:val="en-US" w:eastAsia="zh-CN"/>
                    </w:rPr>
                  </w:pPr>
                  <w:r>
                    <w:rPr>
                      <w:rFonts w:hint="eastAsia" w:cs="Times New Roman"/>
                      <w:color w:val="auto"/>
                      <w:sz w:val="21"/>
                      <w:szCs w:val="21"/>
                      <w:lang w:val="en-US" w:eastAsia="zh-CN"/>
                    </w:rPr>
                    <w:t>25.2</w:t>
                  </w:r>
                </w:p>
              </w:tc>
              <w:tc>
                <w:tcPr>
                  <w:tcW w:w="767" w:type="pct"/>
                  <w:noWrap w:val="0"/>
                  <w:vAlign w:val="center"/>
                </w:tcPr>
                <w:p w14:paraId="73473762">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c>
                <w:tcPr>
                  <w:tcW w:w="644" w:type="pct"/>
                  <w:noWrap w:val="0"/>
                  <w:vAlign w:val="center"/>
                </w:tcPr>
                <w:p w14:paraId="53C1ECF7">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c>
                <w:tcPr>
                  <w:tcW w:w="578" w:type="pct"/>
                  <w:noWrap w:val="0"/>
                  <w:vAlign w:val="center"/>
                </w:tcPr>
                <w:p w14:paraId="7032359B">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r>
            <w:tr w14:paraId="2B7A7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387" w:type="pct"/>
                  <w:vMerge w:val="continue"/>
                  <w:noWrap w:val="0"/>
                  <w:vAlign w:val="center"/>
                </w:tcPr>
                <w:p w14:paraId="1EDCC2AC">
                  <w:pPr>
                    <w:adjustRightInd w:val="0"/>
                    <w:snapToGrid w:val="0"/>
                    <w:jc w:val="center"/>
                    <w:rPr>
                      <w:rFonts w:hint="default" w:ascii="Times New Roman" w:hAnsi="Times New Roman" w:eastAsia="宋体" w:cs="Times New Roman"/>
                      <w:b/>
                      <w:color w:val="auto"/>
                      <w:sz w:val="21"/>
                      <w:szCs w:val="21"/>
                    </w:rPr>
                  </w:pPr>
                </w:p>
              </w:tc>
              <w:tc>
                <w:tcPr>
                  <w:tcW w:w="1048" w:type="pct"/>
                  <w:noWrap w:val="0"/>
                  <w:vAlign w:val="center"/>
                </w:tcPr>
                <w:p w14:paraId="6ECC1792">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危险废物</w:t>
                  </w:r>
                </w:p>
              </w:tc>
              <w:tc>
                <w:tcPr>
                  <w:tcW w:w="805" w:type="pct"/>
                  <w:noWrap w:val="0"/>
                  <w:vAlign w:val="center"/>
                </w:tcPr>
                <w:p w14:paraId="1AF5F89B">
                  <w:pPr>
                    <w:adjustRightInd w:val="0"/>
                    <w:snapToGrid w:val="0"/>
                    <w:jc w:val="center"/>
                    <w:rPr>
                      <w:rFonts w:hint="default" w:ascii="Times New Roman" w:hAnsi="Times New Roman" w:eastAsia="宋体" w:cs="Times New Roman"/>
                      <w:bCs/>
                      <w:color w:val="auto"/>
                      <w:sz w:val="21"/>
                      <w:szCs w:val="21"/>
                      <w:lang w:val="en-US"/>
                    </w:rPr>
                  </w:pPr>
                  <w:r>
                    <w:rPr>
                      <w:rFonts w:hint="eastAsia"/>
                      <w:color w:val="auto"/>
                      <w:sz w:val="21"/>
                      <w:szCs w:val="21"/>
                      <w:lang w:val="en-US" w:eastAsia="zh-CN"/>
                    </w:rPr>
                    <w:t>20.655</w:t>
                  </w:r>
                </w:p>
              </w:tc>
              <w:tc>
                <w:tcPr>
                  <w:tcW w:w="767" w:type="pct"/>
                  <w:noWrap w:val="0"/>
                  <w:vAlign w:val="center"/>
                </w:tcPr>
                <w:p w14:paraId="2024FF4E">
                  <w:pPr>
                    <w:pStyle w:val="30"/>
                    <w:ind w:firstLine="0" w:firstLineChars="0"/>
                    <w:jc w:val="center"/>
                    <w:rPr>
                      <w:rFonts w:hint="default"/>
                      <w:color w:val="auto"/>
                      <w:sz w:val="21"/>
                      <w:szCs w:val="21"/>
                      <w:lang w:val="en-US" w:eastAsia="zh-CN"/>
                    </w:rPr>
                  </w:pPr>
                  <w:r>
                    <w:rPr>
                      <w:rFonts w:hint="eastAsia"/>
                      <w:color w:val="auto"/>
                      <w:sz w:val="21"/>
                      <w:szCs w:val="21"/>
                      <w:lang w:val="en-US" w:eastAsia="zh-CN"/>
                    </w:rPr>
                    <w:t>20.655</w:t>
                  </w:r>
                </w:p>
              </w:tc>
              <w:tc>
                <w:tcPr>
                  <w:tcW w:w="767" w:type="pct"/>
                  <w:noWrap w:val="0"/>
                  <w:vAlign w:val="center"/>
                </w:tcPr>
                <w:p w14:paraId="66949CAC">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c>
                <w:tcPr>
                  <w:tcW w:w="644" w:type="pct"/>
                  <w:noWrap w:val="0"/>
                  <w:vAlign w:val="center"/>
                </w:tcPr>
                <w:p w14:paraId="7CFC4470">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c>
                <w:tcPr>
                  <w:tcW w:w="578" w:type="pct"/>
                  <w:noWrap w:val="0"/>
                  <w:vAlign w:val="center"/>
                </w:tcPr>
                <w:p w14:paraId="4CB74818">
                  <w:pPr>
                    <w:adjustRightInd w:val="0"/>
                    <w:snapToGrid w:val="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0</w:t>
                  </w:r>
                </w:p>
              </w:tc>
            </w:tr>
          </w:tbl>
          <w:p w14:paraId="7855449A">
            <w:pPr>
              <w:pStyle w:val="7"/>
              <w:numPr>
                <w:ilvl w:val="0"/>
                <w:numId w:val="0"/>
              </w:numPr>
              <w:tabs>
                <w:tab w:val="clear" w:pos="2040"/>
              </w:tabs>
              <w:spacing w:line="360" w:lineRule="auto"/>
              <w:rPr>
                <w:rFonts w:hint="default" w:ascii="Times New Roman" w:hAnsi="Times New Roman" w:eastAsia="宋体" w:cs="Times New Roman"/>
                <w:color w:val="auto"/>
                <w:sz w:val="24"/>
              </w:rPr>
            </w:pPr>
            <w:r>
              <w:rPr>
                <w:rFonts w:hint="default" w:ascii="Times New Roman" w:hAnsi="Times New Roman" w:eastAsia="宋体" w:cs="Times New Roman"/>
                <w:b/>
                <w:bCs/>
                <w:color w:val="auto"/>
                <w:sz w:val="24"/>
                <w:lang w:val="en-US" w:eastAsia="zh-CN"/>
              </w:rPr>
              <w:t>3.4.2</w:t>
            </w:r>
            <w:r>
              <w:rPr>
                <w:rFonts w:hint="default" w:ascii="Times New Roman" w:hAnsi="Times New Roman" w:eastAsia="宋体" w:cs="Times New Roman"/>
                <w:b/>
                <w:bCs/>
                <w:color w:val="auto"/>
                <w:sz w:val="24"/>
              </w:rPr>
              <w:t>总量平衡方案</w:t>
            </w:r>
          </w:p>
          <w:p w14:paraId="13CA4203">
            <w:pPr>
              <w:pStyle w:val="7"/>
              <w:numPr>
                <w:ilvl w:val="0"/>
                <w:numId w:val="0"/>
              </w:numPr>
              <w:tabs>
                <w:tab w:val="clear" w:pos="2040"/>
              </w:tabs>
              <w:spacing w:line="360" w:lineRule="auto"/>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1</w:t>
            </w:r>
            <w:r>
              <w:rPr>
                <w:rFonts w:hint="default" w:ascii="Times New Roman" w:hAnsi="Times New Roman" w:eastAsia="宋体" w:cs="Times New Roman"/>
                <w:color w:val="auto"/>
                <w:lang w:eastAsia="zh-CN"/>
              </w:rPr>
              <w:t>）</w:t>
            </w:r>
            <w:r>
              <w:rPr>
                <w:rFonts w:hint="default" w:ascii="Times New Roman" w:hAnsi="Times New Roman" w:eastAsia="宋体" w:cs="Times New Roman"/>
                <w:color w:val="auto"/>
                <w:sz w:val="24"/>
              </w:rPr>
              <w:t>废气：本项目</w:t>
            </w:r>
            <w:r>
              <w:rPr>
                <w:rFonts w:hint="eastAsia" w:cs="Times New Roman"/>
                <w:color w:val="auto"/>
                <w:sz w:val="24"/>
                <w:lang w:val="en-US" w:eastAsia="zh-CN"/>
              </w:rPr>
              <w:t>污水站废气产生量极少，本次不做定量分析</w:t>
            </w:r>
            <w:r>
              <w:rPr>
                <w:rFonts w:hint="default" w:ascii="Times New Roman" w:hAnsi="Times New Roman" w:eastAsia="宋体" w:cs="Times New Roman"/>
                <w:color w:val="auto"/>
                <w:sz w:val="24"/>
              </w:rPr>
              <w:t>；</w:t>
            </w:r>
          </w:p>
          <w:p w14:paraId="6231F699">
            <w:pPr>
              <w:pStyle w:val="7"/>
              <w:numPr>
                <w:ilvl w:val="0"/>
                <w:numId w:val="0"/>
              </w:numPr>
              <w:tabs>
                <w:tab w:val="clear" w:pos="2040"/>
              </w:tabs>
              <w:spacing w:line="360" w:lineRule="auto"/>
              <w:ind w:firstLine="420" w:firstLineChars="200"/>
              <w:rPr>
                <w:rFonts w:hint="default" w:ascii="Times New Roman" w:hAnsi="Times New Roman" w:eastAsia="宋体" w:cs="Times New Roman"/>
                <w:color w:val="auto"/>
                <w:sz w:val="24"/>
              </w:rPr>
            </w:pPr>
            <w:r>
              <w:rPr>
                <w:rFonts w:hint="default" w:ascii="Times New Roman" w:hAnsi="Times New Roman" w:eastAsia="宋体" w:cs="Times New Roman"/>
                <w:color w:val="auto"/>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rPr>
              <w:t>）</w:t>
            </w:r>
            <w:r>
              <w:rPr>
                <w:rFonts w:hint="default" w:ascii="Times New Roman" w:hAnsi="Times New Roman" w:eastAsia="宋体" w:cs="Times New Roman"/>
                <w:color w:val="auto"/>
                <w:sz w:val="24"/>
              </w:rPr>
              <w:t>本项目生活污水接管总量为</w:t>
            </w:r>
            <w:r>
              <w:rPr>
                <w:rFonts w:hint="eastAsia" w:cs="Times New Roman"/>
                <w:color w:val="auto"/>
                <w:sz w:val="24"/>
                <w:highlight w:val="none"/>
                <w:lang w:val="en-US" w:eastAsia="zh-CN"/>
              </w:rPr>
              <w:t>480</w:t>
            </w:r>
            <w:r>
              <w:rPr>
                <w:rFonts w:hint="default" w:ascii="Times New Roman" w:hAnsi="Times New Roman" w:eastAsia="宋体" w:cs="Times New Roman"/>
                <w:color w:val="auto"/>
                <w:sz w:val="24"/>
                <w:highlight w:val="none"/>
              </w:rPr>
              <w:t>m</w:t>
            </w:r>
            <w:r>
              <w:rPr>
                <w:rFonts w:hint="default" w:ascii="Times New Roman" w:hAnsi="Times New Roman" w:eastAsia="宋体" w:cs="Times New Roman"/>
                <w:color w:val="auto"/>
                <w:sz w:val="24"/>
                <w:highlight w:val="none"/>
                <w:vertAlign w:val="superscript"/>
              </w:rPr>
              <w:t>3</w:t>
            </w:r>
            <w:r>
              <w:rPr>
                <w:rFonts w:hint="default" w:ascii="Times New Roman" w:hAnsi="Times New Roman" w:eastAsia="宋体" w:cs="Times New Roman"/>
                <w:color w:val="auto"/>
                <w:sz w:val="24"/>
                <w:highlight w:val="none"/>
              </w:rPr>
              <w:t>/a，接管量COD</w:t>
            </w:r>
            <w:r>
              <w:rPr>
                <w:rFonts w:hint="default" w:ascii="Times New Roman" w:hAnsi="Times New Roman" w:eastAsia="宋体" w:cs="Times New Roman"/>
                <w:color w:val="auto"/>
                <w:sz w:val="24"/>
                <w:highlight w:val="none"/>
                <w:lang w:val="en-US" w:eastAsia="zh-CN"/>
              </w:rPr>
              <w:t xml:space="preserve"> </w:t>
            </w:r>
            <w:r>
              <w:rPr>
                <w:rFonts w:hint="eastAsia" w:cs="Times New Roman"/>
                <w:color w:val="auto"/>
                <w:sz w:val="24"/>
                <w:highlight w:val="none"/>
                <w:lang w:val="en-US" w:eastAsia="zh-CN"/>
              </w:rPr>
              <w:t>0.144</w:t>
            </w:r>
            <w:r>
              <w:rPr>
                <w:rFonts w:hint="default" w:ascii="Times New Roman" w:hAnsi="Times New Roman" w:eastAsia="宋体" w:cs="Times New Roman"/>
                <w:color w:val="auto"/>
                <w:sz w:val="24"/>
                <w:highlight w:val="none"/>
              </w:rPr>
              <w:t>t/</w:t>
            </w:r>
            <w:r>
              <w:rPr>
                <w:rFonts w:hint="default" w:ascii="Times New Roman" w:hAnsi="Times New Roman" w:eastAsia="宋体" w:cs="Times New Roman"/>
                <w:color w:val="auto"/>
                <w:sz w:val="24"/>
                <w:highlight w:val="none"/>
                <w:shd w:val="clear" w:fill="auto"/>
              </w:rPr>
              <w:t>a、</w:t>
            </w:r>
            <w:r>
              <w:rPr>
                <w:rFonts w:hint="default" w:ascii="Times New Roman" w:hAnsi="Times New Roman" w:eastAsia="宋体" w:cs="Times New Roman"/>
                <w:color w:val="auto"/>
                <w:sz w:val="24"/>
                <w:highlight w:val="none"/>
              </w:rPr>
              <w:t>SS</w:t>
            </w:r>
            <w:r>
              <w:rPr>
                <w:rFonts w:hint="default" w:ascii="Times New Roman" w:hAnsi="Times New Roman" w:eastAsia="宋体" w:cs="Times New Roman"/>
                <w:color w:val="auto"/>
                <w:sz w:val="24"/>
                <w:highlight w:val="none"/>
                <w:lang w:val="en-US" w:eastAsia="zh-CN"/>
              </w:rPr>
              <w:t xml:space="preserve"> 0.</w:t>
            </w:r>
            <w:r>
              <w:rPr>
                <w:rFonts w:hint="eastAsia" w:cs="Times New Roman"/>
                <w:color w:val="auto"/>
                <w:sz w:val="24"/>
                <w:highlight w:val="none"/>
                <w:lang w:val="en-US" w:eastAsia="zh-CN"/>
              </w:rPr>
              <w:t>096</w:t>
            </w:r>
            <w:r>
              <w:rPr>
                <w:rFonts w:hint="default" w:ascii="Times New Roman" w:hAnsi="Times New Roman" w:eastAsia="宋体" w:cs="Times New Roman"/>
                <w:color w:val="auto"/>
                <w:sz w:val="24"/>
                <w:highlight w:val="none"/>
              </w:rPr>
              <w:t>t/</w:t>
            </w:r>
            <w:r>
              <w:rPr>
                <w:rFonts w:hint="default" w:ascii="Times New Roman" w:hAnsi="Times New Roman" w:eastAsia="宋体" w:cs="Times New Roman"/>
                <w:color w:val="auto"/>
                <w:sz w:val="24"/>
                <w:highlight w:val="none"/>
                <w:shd w:val="clear" w:fill="auto"/>
              </w:rPr>
              <w:t>a、</w:t>
            </w:r>
            <w:r>
              <w:rPr>
                <w:rFonts w:hint="default" w:ascii="Times New Roman" w:hAnsi="Times New Roman" w:eastAsia="宋体" w:cs="Times New Roman"/>
                <w:color w:val="auto"/>
                <w:sz w:val="24"/>
                <w:highlight w:val="none"/>
              </w:rPr>
              <w:t>NH</w:t>
            </w:r>
            <w:r>
              <w:rPr>
                <w:rFonts w:hint="default" w:ascii="Times New Roman" w:hAnsi="Times New Roman" w:eastAsia="宋体" w:cs="Times New Roman"/>
                <w:color w:val="auto"/>
                <w:sz w:val="24"/>
                <w:highlight w:val="none"/>
                <w:vertAlign w:val="subscript"/>
              </w:rPr>
              <w:t>3</w:t>
            </w:r>
            <w:r>
              <w:rPr>
                <w:rFonts w:hint="default" w:ascii="Times New Roman" w:hAnsi="Times New Roman" w:eastAsia="宋体" w:cs="Times New Roman"/>
                <w:color w:val="auto"/>
                <w:sz w:val="24"/>
                <w:highlight w:val="none"/>
              </w:rPr>
              <w:t>-N</w:t>
            </w:r>
            <w:r>
              <w:rPr>
                <w:rFonts w:hint="default" w:ascii="Times New Roman" w:hAnsi="Times New Roman" w:eastAsia="宋体" w:cs="Times New Roman"/>
                <w:color w:val="auto"/>
                <w:sz w:val="24"/>
                <w:highlight w:val="none"/>
                <w:lang w:val="en-US" w:eastAsia="zh-CN"/>
              </w:rPr>
              <w:t xml:space="preserve"> 0.0</w:t>
            </w:r>
            <w:r>
              <w:rPr>
                <w:rFonts w:hint="eastAsia" w:cs="Times New Roman"/>
                <w:color w:val="auto"/>
                <w:sz w:val="24"/>
                <w:highlight w:val="none"/>
                <w:lang w:val="en-US" w:eastAsia="zh-CN"/>
              </w:rPr>
              <w:t>144</w:t>
            </w:r>
            <w:r>
              <w:rPr>
                <w:rFonts w:hint="default" w:ascii="Times New Roman" w:hAnsi="Times New Roman" w:eastAsia="宋体" w:cs="Times New Roman"/>
                <w:color w:val="auto"/>
                <w:sz w:val="24"/>
                <w:highlight w:val="none"/>
              </w:rPr>
              <w:t>t/</w:t>
            </w:r>
            <w:r>
              <w:rPr>
                <w:rFonts w:hint="default" w:ascii="Times New Roman" w:hAnsi="Times New Roman" w:eastAsia="宋体" w:cs="Times New Roman"/>
                <w:color w:val="auto"/>
                <w:sz w:val="24"/>
                <w:highlight w:val="none"/>
                <w:shd w:val="clear" w:fill="auto"/>
              </w:rPr>
              <w:t>a、</w:t>
            </w:r>
            <w:r>
              <w:rPr>
                <w:rFonts w:hint="default" w:ascii="Times New Roman" w:hAnsi="Times New Roman" w:eastAsia="宋体" w:cs="Times New Roman"/>
                <w:color w:val="auto"/>
                <w:sz w:val="24"/>
                <w:highlight w:val="none"/>
              </w:rPr>
              <w:t>TP</w:t>
            </w:r>
            <w:r>
              <w:rPr>
                <w:rFonts w:hint="default" w:ascii="Times New Roman" w:hAnsi="Times New Roman" w:eastAsia="宋体" w:cs="Times New Roman"/>
                <w:color w:val="auto"/>
                <w:sz w:val="24"/>
                <w:highlight w:val="none"/>
                <w:lang w:val="en-US" w:eastAsia="zh-CN"/>
              </w:rPr>
              <w:t xml:space="preserve"> 0.001</w:t>
            </w:r>
            <w:r>
              <w:rPr>
                <w:rFonts w:hint="eastAsia" w:cs="Times New Roman"/>
                <w:color w:val="auto"/>
                <w:sz w:val="24"/>
                <w:highlight w:val="none"/>
                <w:lang w:val="en-US" w:eastAsia="zh-CN"/>
              </w:rPr>
              <w:t>4</w:t>
            </w:r>
            <w:r>
              <w:rPr>
                <w:rFonts w:hint="default" w:ascii="Times New Roman" w:hAnsi="Times New Roman" w:eastAsia="宋体" w:cs="Times New Roman"/>
                <w:color w:val="auto"/>
                <w:sz w:val="24"/>
                <w:highlight w:val="none"/>
              </w:rPr>
              <w:t>t/</w:t>
            </w:r>
            <w:r>
              <w:rPr>
                <w:rFonts w:hint="default" w:ascii="Times New Roman" w:hAnsi="Times New Roman" w:eastAsia="宋体" w:cs="Times New Roman"/>
                <w:color w:val="auto"/>
                <w:sz w:val="24"/>
                <w:highlight w:val="none"/>
                <w:shd w:val="clear" w:fill="auto"/>
              </w:rPr>
              <w:t>a、</w:t>
            </w:r>
            <w:r>
              <w:rPr>
                <w:rFonts w:hint="default" w:ascii="Times New Roman" w:hAnsi="Times New Roman" w:eastAsia="宋体" w:cs="Times New Roman"/>
                <w:color w:val="auto"/>
                <w:sz w:val="24"/>
                <w:highlight w:val="none"/>
              </w:rPr>
              <w:t>TN</w:t>
            </w:r>
            <w:r>
              <w:rPr>
                <w:rFonts w:hint="default" w:ascii="Times New Roman" w:hAnsi="Times New Roman" w:eastAsia="宋体" w:cs="Times New Roman"/>
                <w:color w:val="auto"/>
                <w:sz w:val="24"/>
                <w:highlight w:val="none"/>
                <w:lang w:val="en-US" w:eastAsia="zh-CN"/>
              </w:rPr>
              <w:t xml:space="preserve"> 0.0</w:t>
            </w:r>
            <w:r>
              <w:rPr>
                <w:rFonts w:hint="eastAsia" w:cs="Times New Roman"/>
                <w:color w:val="auto"/>
                <w:sz w:val="24"/>
                <w:highlight w:val="none"/>
                <w:lang w:val="en-US" w:eastAsia="zh-CN"/>
              </w:rPr>
              <w:t>192</w:t>
            </w:r>
            <w:r>
              <w:rPr>
                <w:rFonts w:hint="default" w:ascii="Times New Roman" w:hAnsi="Times New Roman" w:eastAsia="宋体" w:cs="Times New Roman"/>
                <w:color w:val="auto"/>
                <w:sz w:val="24"/>
                <w:highlight w:val="none"/>
              </w:rPr>
              <w:t>t/a</w:t>
            </w: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生活污水进入常州</w:t>
            </w:r>
            <w:r>
              <w:rPr>
                <w:rFonts w:hint="eastAsia" w:cs="Times New Roman"/>
                <w:color w:val="auto"/>
                <w:sz w:val="24"/>
                <w:lang w:val="en-US" w:eastAsia="zh-CN"/>
              </w:rPr>
              <w:t>金坛溪城污水处理有限公司</w:t>
            </w:r>
            <w:r>
              <w:rPr>
                <w:rFonts w:hint="default" w:ascii="Times New Roman" w:hAnsi="Times New Roman" w:eastAsia="宋体" w:cs="Times New Roman"/>
                <w:color w:val="auto"/>
                <w:sz w:val="24"/>
              </w:rPr>
              <w:t>集中处理，总量在</w:t>
            </w:r>
            <w:r>
              <w:rPr>
                <w:rFonts w:hint="default" w:ascii="Times New Roman" w:hAnsi="Times New Roman" w:eastAsia="宋体" w:cs="Times New Roman"/>
                <w:color w:val="auto"/>
                <w:sz w:val="24"/>
                <w:lang w:eastAsia="zh-CN"/>
              </w:rPr>
              <w:t>污水</w:t>
            </w:r>
            <w:r>
              <w:rPr>
                <w:rFonts w:hint="eastAsia" w:cs="Times New Roman"/>
                <w:color w:val="auto"/>
                <w:sz w:val="24"/>
                <w:lang w:eastAsia="zh-CN"/>
              </w:rPr>
              <w:t>处理有限公司</w:t>
            </w:r>
            <w:r>
              <w:rPr>
                <w:rFonts w:hint="default" w:ascii="Times New Roman" w:hAnsi="Times New Roman" w:eastAsia="宋体" w:cs="Times New Roman"/>
                <w:color w:val="auto"/>
                <w:sz w:val="24"/>
              </w:rPr>
              <w:t>内平衡；</w:t>
            </w:r>
          </w:p>
          <w:p w14:paraId="34AB0971">
            <w:pPr>
              <w:pStyle w:val="7"/>
              <w:numPr>
                <w:ilvl w:val="0"/>
                <w:numId w:val="0"/>
              </w:numPr>
              <w:tabs>
                <w:tab w:val="clear" w:pos="2040"/>
              </w:tabs>
              <w:spacing w:line="360" w:lineRule="auto"/>
              <w:ind w:firstLine="480" w:firstLineChars="200"/>
              <w:rPr>
                <w:rFonts w:hint="default" w:ascii="Times New Roman" w:hAnsi="Times New Roman" w:eastAsia="宋体" w:cs="Times New Roman"/>
                <w:color w:val="auto"/>
                <w:kern w:val="0"/>
                <w:szCs w:val="21"/>
                <w:lang w:eastAsia="zh-CN"/>
              </w:rPr>
            </w:pPr>
            <w:r>
              <w:rPr>
                <w:rFonts w:hint="default" w:ascii="Times New Roman" w:hAnsi="Times New Roman" w:eastAsia="宋体" w:cs="Times New Roman"/>
                <w:color w:val="auto"/>
                <w:sz w:val="24"/>
              </w:rPr>
              <w:t>（</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color w:val="auto"/>
                <w:sz w:val="24"/>
              </w:rPr>
              <w:t>）固体</w:t>
            </w:r>
            <w:r>
              <w:rPr>
                <w:rFonts w:hint="default" w:ascii="Times New Roman" w:hAnsi="Times New Roman" w:eastAsia="宋体" w:cs="Times New Roman"/>
                <w:color w:val="auto"/>
                <w:sz w:val="24"/>
                <w:shd w:val="clear" w:fill="auto"/>
              </w:rPr>
              <w:t>废物</w:t>
            </w:r>
            <w:r>
              <w:rPr>
                <w:rFonts w:hint="default" w:ascii="Times New Roman" w:hAnsi="Times New Roman" w:eastAsia="宋体" w:cs="Times New Roman"/>
                <w:color w:val="auto"/>
                <w:sz w:val="24"/>
              </w:rPr>
              <w:t>总量控制方案：本项目固体</w:t>
            </w:r>
            <w:r>
              <w:rPr>
                <w:rFonts w:hint="default" w:ascii="Times New Roman" w:hAnsi="Times New Roman" w:eastAsia="宋体" w:cs="Times New Roman"/>
                <w:color w:val="auto"/>
                <w:sz w:val="24"/>
                <w:shd w:val="clear" w:fill="auto"/>
              </w:rPr>
              <w:t>废物</w:t>
            </w:r>
            <w:r>
              <w:rPr>
                <w:rFonts w:hint="default" w:ascii="Times New Roman" w:hAnsi="Times New Roman" w:eastAsia="宋体" w:cs="Times New Roman"/>
                <w:color w:val="auto"/>
                <w:sz w:val="24"/>
              </w:rPr>
              <w:t>均得到有效处置，不直接排入外环境，企业不需单独申请总量指标</w:t>
            </w:r>
            <w:r>
              <w:rPr>
                <w:rFonts w:hint="default" w:ascii="Times New Roman" w:hAnsi="Times New Roman" w:eastAsia="宋体" w:cs="Times New Roman"/>
                <w:color w:val="auto"/>
                <w:sz w:val="24"/>
                <w:lang w:eastAsia="zh-CN"/>
              </w:rPr>
              <w:t>。</w:t>
            </w:r>
          </w:p>
        </w:tc>
      </w:tr>
    </w:tbl>
    <w:p w14:paraId="2B18A6B0">
      <w:pPr>
        <w:pStyle w:val="25"/>
        <w:rPr>
          <w:rFonts w:hint="default" w:ascii="Times New Roman" w:hAnsi="Times New Roman" w:eastAsia="宋体" w:cs="Times New Roman"/>
          <w:color w:val="auto"/>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0A3B351">
      <w:pPr>
        <w:pStyle w:val="1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bottom"/>
        <w:outlineLvl w:val="0"/>
        <w:rPr>
          <w:rFonts w:hint="default" w:ascii="Times New Roman" w:hAnsi="Times New Roman" w:eastAsia="宋体" w:cs="Times New Roman"/>
          <w:b/>
          <w:bCs/>
          <w:snapToGrid w:val="0"/>
          <w:color w:val="auto"/>
          <w:sz w:val="28"/>
          <w:szCs w:val="28"/>
        </w:rPr>
      </w:pPr>
      <w:r>
        <w:rPr>
          <w:rFonts w:hint="default" w:ascii="Times New Roman" w:hAnsi="Times New Roman" w:eastAsia="宋体" w:cs="Times New Roman"/>
          <w:b/>
          <w:bCs/>
          <w:snapToGrid w:val="0"/>
          <w:color w:val="auto"/>
          <w:sz w:val="28"/>
          <w:szCs w:val="28"/>
        </w:rPr>
        <w:t>四、主要环境影响和保护措施</w:t>
      </w:r>
    </w:p>
    <w:tbl>
      <w:tblPr>
        <w:tblStyle w:val="17"/>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18"/>
        <w:gridCol w:w="8390"/>
      </w:tblGrid>
      <w:tr w14:paraId="70FDAD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180" w:hRule="atLeast"/>
          <w:jc w:val="center"/>
        </w:trPr>
        <w:tc>
          <w:tcPr>
            <w:tcW w:w="518" w:type="dxa"/>
            <w:noWrap w:val="0"/>
            <w:tcMar>
              <w:left w:w="28" w:type="dxa"/>
              <w:right w:w="28" w:type="dxa"/>
            </w:tcMar>
            <w:vAlign w:val="center"/>
          </w:tcPr>
          <w:p w14:paraId="42E5BBAE">
            <w:pPr>
              <w:pStyle w:val="15"/>
              <w:adjustRightInd w:val="0"/>
              <w:snapToGrid w:val="0"/>
              <w:spacing w:before="0" w:beforeAutospacing="0" w:after="0" w:afterAutospacing="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施工</w:t>
            </w:r>
          </w:p>
          <w:p w14:paraId="0DC696CB">
            <w:pPr>
              <w:pStyle w:val="15"/>
              <w:adjustRightInd w:val="0"/>
              <w:snapToGrid w:val="0"/>
              <w:spacing w:before="0" w:beforeAutospacing="0" w:after="0" w:afterAutospacing="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期环</w:t>
            </w:r>
          </w:p>
          <w:p w14:paraId="33BB6BA7">
            <w:pPr>
              <w:pStyle w:val="15"/>
              <w:adjustRightInd w:val="0"/>
              <w:snapToGrid w:val="0"/>
              <w:spacing w:before="0" w:beforeAutospacing="0" w:after="0" w:afterAutospacing="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境保</w:t>
            </w:r>
          </w:p>
          <w:p w14:paraId="30E3B61F">
            <w:pPr>
              <w:pStyle w:val="15"/>
              <w:adjustRightInd w:val="0"/>
              <w:snapToGrid w:val="0"/>
              <w:spacing w:before="0" w:beforeAutospacing="0" w:after="0" w:afterAutospacing="0"/>
              <w:jc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护措</w:t>
            </w:r>
          </w:p>
          <w:p w14:paraId="772690E7">
            <w:pPr>
              <w:pStyle w:val="15"/>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rPr>
            </w:pPr>
            <w:r>
              <w:rPr>
                <w:rFonts w:hint="default" w:ascii="Times New Roman" w:hAnsi="Times New Roman" w:eastAsia="宋体" w:cs="Times New Roman"/>
                <w:color w:val="auto"/>
                <w:kern w:val="2"/>
                <w:sz w:val="21"/>
                <w:szCs w:val="21"/>
              </w:rPr>
              <w:t>施</w:t>
            </w:r>
          </w:p>
        </w:tc>
        <w:tc>
          <w:tcPr>
            <w:tcW w:w="8390" w:type="dxa"/>
            <w:noWrap w:val="0"/>
            <w:vAlign w:val="top"/>
          </w:tcPr>
          <w:p w14:paraId="5CCD5E06">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本项目</w:t>
            </w:r>
            <w:r>
              <w:rPr>
                <w:rFonts w:hint="eastAsia" w:cs="Times New Roman"/>
                <w:color w:val="auto"/>
                <w:kern w:val="0"/>
                <w:sz w:val="24"/>
                <w:szCs w:val="24"/>
                <w:lang w:val="en-US" w:eastAsia="zh-CN" w:bidi="ar"/>
              </w:rPr>
              <w:t>租用</w:t>
            </w:r>
            <w:r>
              <w:rPr>
                <w:rFonts w:hint="default" w:ascii="Times New Roman" w:hAnsi="Times New Roman" w:eastAsia="宋体" w:cs="Times New Roman"/>
                <w:color w:val="auto"/>
                <w:kern w:val="0"/>
                <w:sz w:val="24"/>
                <w:szCs w:val="24"/>
                <w:lang w:val="en-US" w:eastAsia="zh-CN" w:bidi="ar"/>
              </w:rPr>
              <w:t>厂房进行建设。因此，施工期内容仅是对厂房进行布置及局部改造（如用电线路、排气管线改造等）和生产设备的安装及预埋固定钢件的处理，无大规模土建施工过程。在施工建设期间，具体环保措施如下：</w:t>
            </w:r>
          </w:p>
          <w:p w14:paraId="57B17CB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leftChars="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（1）废水：施工过程中无生产废水产生，施工人员的生活污水通过市政污水管网进入</w:t>
            </w:r>
            <w:r>
              <w:rPr>
                <w:rFonts w:hint="eastAsia" w:cs="Times New Roman"/>
                <w:color w:val="auto"/>
                <w:kern w:val="0"/>
                <w:sz w:val="24"/>
                <w:szCs w:val="24"/>
                <w:lang w:val="en-US" w:eastAsia="zh-CN" w:bidi="ar"/>
              </w:rPr>
              <w:t>金坛溪城</w:t>
            </w:r>
            <w:r>
              <w:rPr>
                <w:rFonts w:hint="default" w:ascii="Times New Roman" w:hAnsi="Times New Roman" w:eastAsia="宋体" w:cs="Times New Roman"/>
                <w:color w:val="auto"/>
                <w:kern w:val="0"/>
                <w:sz w:val="24"/>
                <w:szCs w:val="24"/>
                <w:lang w:val="en-US" w:eastAsia="zh-CN" w:bidi="ar"/>
              </w:rPr>
              <w:t>污水</w:t>
            </w:r>
            <w:r>
              <w:rPr>
                <w:rFonts w:hint="eastAsia" w:cs="Times New Roman"/>
                <w:color w:val="auto"/>
                <w:kern w:val="0"/>
                <w:sz w:val="24"/>
                <w:szCs w:val="24"/>
                <w:lang w:val="en-US" w:eastAsia="zh-CN" w:bidi="ar"/>
              </w:rPr>
              <w:t>处理有限公司</w:t>
            </w:r>
            <w:r>
              <w:rPr>
                <w:rFonts w:hint="default" w:ascii="Times New Roman" w:hAnsi="Times New Roman" w:eastAsia="宋体" w:cs="Times New Roman"/>
                <w:color w:val="auto"/>
                <w:kern w:val="0"/>
                <w:sz w:val="24"/>
                <w:szCs w:val="24"/>
                <w:lang w:val="en-US" w:eastAsia="zh-CN" w:bidi="ar"/>
              </w:rPr>
              <w:t>集中处理；</w:t>
            </w:r>
          </w:p>
          <w:p w14:paraId="25934BA5">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（2）废气：本项目施工仅进行设备安装调试，施工过程无废气产生。</w:t>
            </w:r>
          </w:p>
          <w:p w14:paraId="10C6AA01">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 xml:space="preserve">（3）噪声：施工噪声是短期行为，施工时应禁止夜间施工（22:00～6:00）， </w:t>
            </w:r>
          </w:p>
          <w:p w14:paraId="325FD468">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若因工程需要，确需在夜间进行超过噪声标准施工的，施工前建设单位应</w:t>
            </w:r>
            <w:r>
              <w:rPr>
                <w:rFonts w:hint="eastAsia" w:cs="Times New Roman"/>
                <w:color w:val="auto"/>
                <w:kern w:val="0"/>
                <w:sz w:val="24"/>
                <w:szCs w:val="24"/>
                <w:lang w:val="en-US" w:eastAsia="zh-CN" w:bidi="ar"/>
              </w:rPr>
              <w:t>向</w:t>
            </w:r>
            <w:r>
              <w:rPr>
                <w:rFonts w:hint="default" w:ascii="Times New Roman" w:hAnsi="Times New Roman" w:eastAsia="宋体" w:cs="Times New Roman"/>
                <w:color w:val="auto"/>
                <w:kern w:val="0"/>
                <w:sz w:val="24"/>
                <w:szCs w:val="24"/>
                <w:lang w:val="en-US" w:eastAsia="zh-CN" w:bidi="ar"/>
              </w:rPr>
              <w:t>环境保护行政主管部门提出申请，经批准后方可进行夜间施工；尽量采用低噪声施工机械，应经常对设备进行维修保养，避免由于设备故障而导致噪声增强现象的发生。</w:t>
            </w:r>
          </w:p>
          <w:p w14:paraId="7466FE26">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（4）固体废物：生活垃圾由环卫部门统一收集处理。严禁随意焚烧、堆放或向河道倾倒，同时建筑垃圾在运输过程中要加以覆盖，防止沿途撒落。</w:t>
            </w:r>
          </w:p>
          <w:p w14:paraId="770BB153">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（5）生态环境：做好现场施工人员的宣传、教育、管理工作，严禁随意砍伐破坏施工区内外的植被、作物。</w:t>
            </w:r>
          </w:p>
          <w:p w14:paraId="497B7313">
            <w:pPr>
              <w:keepNext w:val="0"/>
              <w:keepLines w:val="0"/>
              <w:pageBreakBefore w:val="0"/>
              <w:widowControl/>
              <w:suppressLineNumbers w:val="0"/>
              <w:kinsoku/>
              <w:wordWrap/>
              <w:overflowPunct/>
              <w:topLinePunct w:val="0"/>
              <w:autoSpaceDE/>
              <w:autoSpaceDN/>
              <w:bidi w:val="0"/>
              <w:adjustRightInd/>
              <w:snapToGrid/>
              <w:spacing w:line="360" w:lineRule="auto"/>
              <w:ind w:left="0"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本项目施工内容简单，施工期较短，对环境影响较小，不</w:t>
            </w:r>
            <w:r>
              <w:rPr>
                <w:rFonts w:hint="eastAsia" w:cs="Times New Roman"/>
                <w:color w:val="auto"/>
                <w:kern w:val="0"/>
                <w:sz w:val="24"/>
                <w:szCs w:val="24"/>
                <w:lang w:val="en-US" w:eastAsia="zh-CN" w:bidi="ar"/>
              </w:rPr>
              <w:t>作</w:t>
            </w:r>
            <w:r>
              <w:rPr>
                <w:rFonts w:hint="default" w:ascii="Times New Roman" w:hAnsi="Times New Roman" w:eastAsia="宋体" w:cs="Times New Roman"/>
                <w:color w:val="auto"/>
                <w:kern w:val="0"/>
                <w:sz w:val="24"/>
                <w:szCs w:val="24"/>
                <w:lang w:val="en-US" w:eastAsia="zh-CN" w:bidi="ar"/>
              </w:rPr>
              <w:t>评价。</w:t>
            </w:r>
          </w:p>
          <w:p w14:paraId="4B7B27B8">
            <w:pPr>
              <w:keepNext w:val="0"/>
              <w:keepLines w:val="0"/>
              <w:pageBreakBefore w:val="0"/>
              <w:widowControl w:val="0"/>
              <w:kinsoku/>
              <w:wordWrap/>
              <w:overflowPunct/>
              <w:topLinePunct w:val="0"/>
              <w:autoSpaceDE/>
              <w:autoSpaceDN/>
              <w:bidi w:val="0"/>
              <w:adjustRightInd/>
              <w:snapToGrid/>
              <w:spacing w:line="360" w:lineRule="auto"/>
              <w:ind w:firstLine="380" w:firstLineChars="200"/>
              <w:textAlignment w:val="auto"/>
              <w:rPr>
                <w:rFonts w:hint="default" w:ascii="Times New Roman" w:hAnsi="Times New Roman" w:eastAsia="宋体" w:cs="Times New Roman"/>
                <w:bCs/>
                <w:color w:val="auto"/>
                <w:spacing w:val="-10"/>
                <w:szCs w:val="21"/>
              </w:rPr>
            </w:pPr>
          </w:p>
        </w:tc>
      </w:tr>
    </w:tbl>
    <w:p w14:paraId="77F2D44A">
      <w:pPr>
        <w:pStyle w:val="25"/>
        <w:rPr>
          <w:rFonts w:hint="default" w:ascii="Times New Roman" w:hAnsi="Times New Roman" w:eastAsia="宋体" w:cs="Times New Roman"/>
          <w:color w:val="auto"/>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7"/>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296"/>
        <w:gridCol w:w="8724"/>
      </w:tblGrid>
      <w:tr w14:paraId="0529E0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93" w:hRule="atLeast"/>
          <w:jc w:val="center"/>
        </w:trPr>
        <w:tc>
          <w:tcPr>
            <w:tcW w:w="318" w:type="dxa"/>
            <w:noWrap w:val="0"/>
            <w:tcMar>
              <w:left w:w="28" w:type="dxa"/>
              <w:right w:w="28" w:type="dxa"/>
            </w:tcMar>
            <w:vAlign w:val="center"/>
          </w:tcPr>
          <w:p w14:paraId="60DE9204">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运营</w:t>
            </w:r>
          </w:p>
          <w:p w14:paraId="38604432">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期环</w:t>
            </w:r>
          </w:p>
          <w:p w14:paraId="004F1AAA">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境影</w:t>
            </w:r>
          </w:p>
          <w:p w14:paraId="5BF3B064">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响和</w:t>
            </w:r>
          </w:p>
          <w:p w14:paraId="168241A5">
            <w:pPr>
              <w:adjustRightInd w:val="0"/>
              <w:snapToGrid w:val="0"/>
              <w:jc w:val="center"/>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保护</w:t>
            </w:r>
          </w:p>
          <w:p w14:paraId="401DEF85">
            <w:pPr>
              <w:adjustRightInd w:val="0"/>
              <w:snapToGrid w:val="0"/>
              <w:jc w:val="center"/>
              <w:rPr>
                <w:rFonts w:hint="default" w:ascii="Times New Roman" w:hAnsi="Times New Roman" w:eastAsia="宋体" w:cs="Times New Roman"/>
                <w:b w:val="0"/>
                <w:bCs/>
                <w:color w:val="auto"/>
                <w:szCs w:val="21"/>
              </w:rPr>
            </w:pPr>
            <w:r>
              <w:rPr>
                <w:rFonts w:hint="default" w:ascii="Times New Roman" w:hAnsi="Times New Roman" w:eastAsia="宋体" w:cs="Times New Roman"/>
                <w:bCs/>
                <w:color w:val="auto"/>
                <w:sz w:val="24"/>
                <w:szCs w:val="24"/>
              </w:rPr>
              <w:t>措施</w:t>
            </w:r>
          </w:p>
        </w:tc>
        <w:tc>
          <w:tcPr>
            <w:tcW w:w="8590" w:type="dxa"/>
            <w:noWrap w:val="0"/>
            <w:vAlign w:val="top"/>
          </w:tcPr>
          <w:p w14:paraId="5135DF62">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val="0"/>
                <w:color w:val="auto"/>
                <w:spacing w:val="-10"/>
                <w:sz w:val="24"/>
                <w:szCs w:val="24"/>
                <w:lang w:val="en-US" w:eastAsia="zh-CN"/>
              </w:rPr>
            </w:pPr>
            <w:r>
              <w:rPr>
                <w:rFonts w:hint="default" w:ascii="Times New Roman" w:hAnsi="Times New Roman" w:eastAsia="宋体" w:cs="Times New Roman"/>
                <w:b/>
                <w:bCs w:val="0"/>
                <w:color w:val="auto"/>
                <w:spacing w:val="-10"/>
                <w:sz w:val="24"/>
                <w:szCs w:val="24"/>
                <w:lang w:val="en-US" w:eastAsia="zh-CN"/>
              </w:rPr>
              <w:t>4.1废气</w:t>
            </w:r>
          </w:p>
          <w:p w14:paraId="1294683B">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val="0"/>
                <w:color w:val="auto"/>
                <w:spacing w:val="-10"/>
                <w:sz w:val="24"/>
                <w:szCs w:val="24"/>
                <w:lang w:val="en-US" w:eastAsia="zh-CN"/>
              </w:rPr>
            </w:pPr>
            <w:r>
              <w:rPr>
                <w:rFonts w:hint="default" w:ascii="Times New Roman" w:hAnsi="Times New Roman" w:eastAsia="宋体" w:cs="Times New Roman"/>
                <w:b/>
                <w:bCs w:val="0"/>
                <w:color w:val="auto"/>
                <w:spacing w:val="-10"/>
                <w:sz w:val="24"/>
                <w:szCs w:val="24"/>
                <w:lang w:val="en-US" w:eastAsia="zh-CN"/>
              </w:rPr>
              <w:t>4.</w:t>
            </w:r>
            <w:r>
              <w:rPr>
                <w:rFonts w:hint="eastAsia" w:ascii="Times New Roman" w:hAnsi="Times New Roman" w:eastAsia="宋体" w:cs="Times New Roman"/>
                <w:b/>
                <w:bCs w:val="0"/>
                <w:color w:val="auto"/>
                <w:spacing w:val="-10"/>
                <w:sz w:val="24"/>
                <w:szCs w:val="24"/>
                <w:lang w:val="en-US" w:eastAsia="zh-CN"/>
              </w:rPr>
              <w:t>1</w:t>
            </w:r>
            <w:r>
              <w:rPr>
                <w:rFonts w:hint="default" w:ascii="Times New Roman" w:hAnsi="Times New Roman" w:eastAsia="宋体" w:cs="Times New Roman"/>
                <w:b/>
                <w:bCs w:val="0"/>
                <w:color w:val="auto"/>
                <w:spacing w:val="-10"/>
                <w:sz w:val="24"/>
                <w:szCs w:val="24"/>
                <w:lang w:val="en-US" w:eastAsia="zh-CN"/>
              </w:rPr>
              <w:t>.1</w:t>
            </w:r>
            <w:r>
              <w:rPr>
                <w:rFonts w:hint="eastAsia" w:ascii="Times New Roman" w:hAnsi="Times New Roman" w:eastAsia="宋体" w:cs="Times New Roman"/>
                <w:b/>
                <w:bCs w:val="0"/>
                <w:color w:val="auto"/>
                <w:spacing w:val="-10"/>
                <w:sz w:val="24"/>
                <w:szCs w:val="24"/>
                <w:lang w:val="en-US" w:eastAsia="zh-CN"/>
              </w:rPr>
              <w:t>废气源强</w:t>
            </w:r>
          </w:p>
          <w:p w14:paraId="114DB330">
            <w:pPr>
              <w:pStyle w:val="48"/>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eastAsia" w:ascii="Times New Roman" w:hAnsi="Times New Roman" w:eastAsia="宋体" w:cs="Times New Roman"/>
                <w:bCs/>
                <w:color w:val="auto"/>
                <w:spacing w:val="-10"/>
                <w:kern w:val="2"/>
                <w:sz w:val="24"/>
                <w:szCs w:val="24"/>
                <w:highlight w:val="none"/>
                <w:lang w:val="en-US" w:eastAsia="zh-CN" w:bidi="ar-SA"/>
              </w:rPr>
            </w:pPr>
            <w:r>
              <w:rPr>
                <w:rFonts w:hint="eastAsia" w:ascii="Times New Roman" w:hAnsi="Times New Roman" w:eastAsia="宋体" w:cs="Times New Roman"/>
                <w:bCs/>
                <w:color w:val="auto"/>
                <w:spacing w:val="-10"/>
                <w:kern w:val="2"/>
                <w:sz w:val="24"/>
                <w:szCs w:val="24"/>
                <w:highlight w:val="none"/>
                <w:lang w:val="en-US" w:eastAsia="zh-CN" w:bidi="ar-SA"/>
              </w:rPr>
              <w:t>污水处理站废气：生化处理工段会产生氨和硫化氢，参照《城镇污水处理厂臭气处理技术规程》（CJJ/T2</w:t>
            </w:r>
            <w:r>
              <w:rPr>
                <w:rFonts w:hint="eastAsia" w:cs="Times New Roman"/>
                <w:bCs/>
                <w:color w:val="auto"/>
                <w:spacing w:val="-10"/>
                <w:kern w:val="2"/>
                <w:sz w:val="24"/>
                <w:szCs w:val="24"/>
                <w:highlight w:val="none"/>
                <w:lang w:val="en-US" w:eastAsia="zh-CN" w:bidi="ar-SA"/>
              </w:rPr>
              <w:t>43</w:t>
            </w:r>
            <w:r>
              <w:rPr>
                <w:rFonts w:hint="eastAsia" w:ascii="Times New Roman" w:hAnsi="Times New Roman" w:eastAsia="宋体" w:cs="Times New Roman"/>
                <w:bCs/>
                <w:color w:val="auto"/>
                <w:spacing w:val="-10"/>
                <w:kern w:val="2"/>
                <w:sz w:val="24"/>
                <w:szCs w:val="24"/>
                <w:highlight w:val="none"/>
                <w:lang w:val="en-US" w:eastAsia="zh-CN" w:bidi="ar-SA"/>
              </w:rPr>
              <w:t>-2016）并参考EPA对污水处理厂恶臭污染物产生情况的研究成果（即每处理1gBOD</w:t>
            </w:r>
            <w:r>
              <w:rPr>
                <w:rFonts w:hint="eastAsia" w:ascii="Times New Roman" w:hAnsi="Times New Roman" w:eastAsia="宋体" w:cs="Times New Roman"/>
                <w:bCs/>
                <w:color w:val="auto"/>
                <w:spacing w:val="-10"/>
                <w:kern w:val="2"/>
                <w:sz w:val="24"/>
                <w:szCs w:val="24"/>
                <w:highlight w:val="none"/>
                <w:vertAlign w:val="subscript"/>
                <w:lang w:val="en-US" w:eastAsia="zh-CN" w:bidi="ar-SA"/>
              </w:rPr>
              <w:t>5</w:t>
            </w:r>
            <w:r>
              <w:rPr>
                <w:rFonts w:hint="eastAsia" w:ascii="Times New Roman" w:hAnsi="Times New Roman" w:eastAsia="宋体" w:cs="Times New Roman"/>
                <w:bCs/>
                <w:color w:val="auto"/>
                <w:spacing w:val="-10"/>
                <w:kern w:val="2"/>
                <w:sz w:val="24"/>
                <w:szCs w:val="24"/>
                <w:highlight w:val="none"/>
                <w:lang w:val="en-US" w:eastAsia="zh-CN" w:bidi="ar-SA"/>
              </w:rPr>
              <w:t>可产生0.0031g的NH</w:t>
            </w:r>
            <w:r>
              <w:rPr>
                <w:rFonts w:hint="eastAsia" w:ascii="Times New Roman" w:hAnsi="Times New Roman" w:eastAsia="宋体" w:cs="Times New Roman"/>
                <w:bCs/>
                <w:color w:val="auto"/>
                <w:spacing w:val="-10"/>
                <w:kern w:val="2"/>
                <w:sz w:val="24"/>
                <w:szCs w:val="24"/>
                <w:highlight w:val="none"/>
                <w:vertAlign w:val="subscript"/>
                <w:lang w:val="en-US" w:eastAsia="zh-CN" w:bidi="ar-SA"/>
              </w:rPr>
              <w:t>3</w:t>
            </w:r>
            <w:r>
              <w:rPr>
                <w:rFonts w:hint="eastAsia" w:ascii="Times New Roman" w:hAnsi="Times New Roman" w:eastAsia="宋体" w:cs="Times New Roman"/>
                <w:bCs/>
                <w:color w:val="auto"/>
                <w:spacing w:val="-10"/>
                <w:kern w:val="2"/>
                <w:sz w:val="24"/>
                <w:szCs w:val="24"/>
                <w:highlight w:val="none"/>
                <w:lang w:val="en-US" w:eastAsia="zh-CN" w:bidi="ar-SA"/>
              </w:rPr>
              <w:t>、0.00012g的H</w:t>
            </w:r>
            <w:r>
              <w:rPr>
                <w:rFonts w:hint="eastAsia" w:ascii="Times New Roman" w:hAnsi="Times New Roman" w:eastAsia="宋体" w:cs="Times New Roman"/>
                <w:bCs/>
                <w:color w:val="auto"/>
                <w:spacing w:val="-10"/>
                <w:kern w:val="2"/>
                <w:sz w:val="24"/>
                <w:szCs w:val="24"/>
                <w:highlight w:val="none"/>
                <w:vertAlign w:val="subscript"/>
                <w:lang w:val="en-US" w:eastAsia="zh-CN" w:bidi="ar-SA"/>
              </w:rPr>
              <w:t>2</w:t>
            </w:r>
            <w:r>
              <w:rPr>
                <w:rFonts w:hint="eastAsia" w:ascii="Times New Roman" w:hAnsi="Times New Roman" w:eastAsia="宋体" w:cs="Times New Roman"/>
                <w:bCs/>
                <w:color w:val="auto"/>
                <w:spacing w:val="-10"/>
                <w:kern w:val="2"/>
                <w:sz w:val="24"/>
                <w:szCs w:val="24"/>
                <w:highlight w:val="none"/>
                <w:lang w:val="en-US" w:eastAsia="zh-CN" w:bidi="ar-SA"/>
              </w:rPr>
              <w:t>S），根据本项目生化工段污水处理方案中COD的去除量（以最大源强计，即去除的均以BOD</w:t>
            </w:r>
            <w:r>
              <w:rPr>
                <w:rFonts w:hint="eastAsia" w:ascii="Times New Roman" w:hAnsi="Times New Roman" w:eastAsia="宋体" w:cs="Times New Roman"/>
                <w:bCs/>
                <w:color w:val="auto"/>
                <w:spacing w:val="-10"/>
                <w:kern w:val="2"/>
                <w:sz w:val="24"/>
                <w:szCs w:val="24"/>
                <w:highlight w:val="none"/>
                <w:vertAlign w:val="subscript"/>
                <w:lang w:val="en-US" w:eastAsia="zh-CN" w:bidi="ar-SA"/>
              </w:rPr>
              <w:t>5</w:t>
            </w:r>
            <w:r>
              <w:rPr>
                <w:rFonts w:hint="eastAsia" w:ascii="Times New Roman" w:hAnsi="Times New Roman" w:eastAsia="宋体" w:cs="Times New Roman"/>
                <w:bCs/>
                <w:color w:val="auto"/>
                <w:spacing w:val="-10"/>
                <w:kern w:val="2"/>
                <w:sz w:val="24"/>
                <w:szCs w:val="24"/>
                <w:highlight w:val="none"/>
                <w:lang w:val="en-US" w:eastAsia="zh-CN" w:bidi="ar-SA"/>
              </w:rPr>
              <w:t>计），</w:t>
            </w:r>
            <w:r>
              <w:rPr>
                <w:rFonts w:hint="eastAsia" w:cs="Times New Roman"/>
                <w:bCs/>
                <w:color w:val="auto"/>
                <w:spacing w:val="-10"/>
                <w:kern w:val="2"/>
                <w:sz w:val="24"/>
                <w:szCs w:val="24"/>
                <w:highlight w:val="none"/>
                <w:lang w:val="en-US" w:eastAsia="zh-CN" w:bidi="ar-SA"/>
              </w:rPr>
              <w:t>项目综合废水中COD去除量约</w:t>
            </w:r>
            <w:r>
              <w:rPr>
                <w:rFonts w:hint="eastAsia" w:ascii="Times New Roman" w:hAnsi="Times New Roman" w:eastAsia="宋体" w:cs="Times New Roman"/>
                <w:b w:val="0"/>
                <w:bCs/>
                <w:color w:val="auto"/>
                <w:sz w:val="24"/>
                <w:szCs w:val="24"/>
                <w:lang w:val="en-US" w:eastAsia="zh-CN"/>
              </w:rPr>
              <w:t>0.0908</w:t>
            </w:r>
            <w:r>
              <w:rPr>
                <w:rFonts w:hint="eastAsia" w:cs="Times New Roman"/>
                <w:b w:val="0"/>
                <w:bCs/>
                <w:color w:val="auto"/>
                <w:sz w:val="24"/>
                <w:szCs w:val="24"/>
                <w:lang w:val="en-US" w:eastAsia="zh-CN"/>
              </w:rPr>
              <w:t>t/a</w:t>
            </w:r>
            <w:r>
              <w:rPr>
                <w:rFonts w:hint="eastAsia" w:cs="Times New Roman"/>
                <w:bCs/>
                <w:color w:val="auto"/>
                <w:spacing w:val="-10"/>
                <w:kern w:val="2"/>
                <w:sz w:val="24"/>
                <w:szCs w:val="24"/>
                <w:highlight w:val="none"/>
                <w:lang w:val="en-US" w:eastAsia="zh-CN" w:bidi="ar-SA"/>
              </w:rPr>
              <w:t>，则</w:t>
            </w:r>
            <w:r>
              <w:rPr>
                <w:rFonts w:hint="eastAsia" w:ascii="Times New Roman" w:hAnsi="Times New Roman" w:cs="Times New Roman"/>
                <w:bCs/>
                <w:color w:val="auto"/>
                <w:spacing w:val="-10"/>
                <w:kern w:val="2"/>
                <w:sz w:val="24"/>
                <w:szCs w:val="24"/>
                <w:highlight w:val="none"/>
                <w:lang w:val="en-US" w:eastAsia="zh-CN" w:bidi="ar-SA"/>
              </w:rPr>
              <w:t>项目</w:t>
            </w:r>
            <w:r>
              <w:rPr>
                <w:rFonts w:hint="eastAsia" w:ascii="Times New Roman" w:hAnsi="Times New Roman" w:eastAsia="宋体" w:cs="Times New Roman"/>
                <w:bCs/>
                <w:color w:val="auto"/>
                <w:spacing w:val="-10"/>
                <w:kern w:val="2"/>
                <w:sz w:val="24"/>
                <w:szCs w:val="24"/>
                <w:highlight w:val="none"/>
                <w:lang w:val="en-US" w:eastAsia="zh-CN" w:bidi="ar-SA"/>
              </w:rPr>
              <w:t>NH</w:t>
            </w:r>
            <w:r>
              <w:rPr>
                <w:rFonts w:hint="eastAsia" w:ascii="Times New Roman" w:hAnsi="Times New Roman" w:eastAsia="宋体" w:cs="Times New Roman"/>
                <w:bCs/>
                <w:color w:val="auto"/>
                <w:spacing w:val="-10"/>
                <w:kern w:val="2"/>
                <w:sz w:val="24"/>
                <w:szCs w:val="24"/>
                <w:highlight w:val="none"/>
                <w:vertAlign w:val="subscript"/>
                <w:lang w:val="en-US" w:eastAsia="zh-CN" w:bidi="ar-SA"/>
              </w:rPr>
              <w:t>3</w:t>
            </w:r>
            <w:r>
              <w:rPr>
                <w:rFonts w:hint="eastAsia" w:ascii="Times New Roman" w:hAnsi="Times New Roman" w:cs="Times New Roman"/>
                <w:bCs/>
                <w:color w:val="auto"/>
                <w:spacing w:val="-10"/>
                <w:kern w:val="2"/>
                <w:sz w:val="24"/>
                <w:szCs w:val="24"/>
                <w:highlight w:val="none"/>
                <w:lang w:val="en-US" w:eastAsia="zh-CN" w:bidi="ar-SA"/>
              </w:rPr>
              <w:t>、</w:t>
            </w:r>
            <w:r>
              <w:rPr>
                <w:rFonts w:hint="eastAsia" w:ascii="Times New Roman" w:hAnsi="Times New Roman" w:eastAsia="宋体" w:cs="Times New Roman"/>
                <w:bCs/>
                <w:color w:val="auto"/>
                <w:spacing w:val="-10"/>
                <w:kern w:val="2"/>
                <w:sz w:val="24"/>
                <w:szCs w:val="24"/>
                <w:highlight w:val="none"/>
                <w:lang w:val="en-US" w:eastAsia="zh-CN" w:bidi="ar-SA"/>
              </w:rPr>
              <w:t>H</w:t>
            </w:r>
            <w:r>
              <w:rPr>
                <w:rFonts w:hint="eastAsia" w:ascii="Times New Roman" w:hAnsi="Times New Roman" w:eastAsia="宋体" w:cs="Times New Roman"/>
                <w:bCs/>
                <w:color w:val="auto"/>
                <w:spacing w:val="-10"/>
                <w:kern w:val="2"/>
                <w:sz w:val="24"/>
                <w:szCs w:val="24"/>
                <w:highlight w:val="none"/>
                <w:vertAlign w:val="subscript"/>
                <w:lang w:val="en-US" w:eastAsia="zh-CN" w:bidi="ar-SA"/>
              </w:rPr>
              <w:t>2</w:t>
            </w:r>
            <w:r>
              <w:rPr>
                <w:rFonts w:hint="eastAsia" w:ascii="Times New Roman" w:hAnsi="Times New Roman" w:eastAsia="宋体" w:cs="Times New Roman"/>
                <w:bCs/>
                <w:color w:val="auto"/>
                <w:spacing w:val="-10"/>
                <w:kern w:val="2"/>
                <w:sz w:val="24"/>
                <w:szCs w:val="24"/>
                <w:highlight w:val="none"/>
                <w:lang w:val="en-US" w:eastAsia="zh-CN" w:bidi="ar-SA"/>
              </w:rPr>
              <w:t>S产生量</w:t>
            </w:r>
            <w:r>
              <w:rPr>
                <w:rFonts w:hint="eastAsia" w:cs="Times New Roman"/>
                <w:bCs/>
                <w:color w:val="auto"/>
                <w:spacing w:val="-10"/>
                <w:kern w:val="2"/>
                <w:sz w:val="24"/>
                <w:szCs w:val="24"/>
                <w:highlight w:val="none"/>
                <w:lang w:val="en-US" w:eastAsia="zh-CN" w:bidi="ar-SA"/>
              </w:rPr>
              <w:t>分别为</w:t>
            </w:r>
            <w:r>
              <w:rPr>
                <w:rFonts w:hint="eastAsia" w:cs="Times New Roman"/>
                <w:b w:val="0"/>
                <w:bCs/>
                <w:color w:val="auto"/>
                <w:sz w:val="24"/>
                <w:szCs w:val="24"/>
                <w:lang w:val="en-US" w:eastAsia="zh-CN"/>
              </w:rPr>
              <w:t>0.28kg/a、0.011kg/a</w:t>
            </w:r>
            <w:r>
              <w:rPr>
                <w:rFonts w:hint="eastAsia" w:cs="Times New Roman"/>
                <w:bCs/>
                <w:color w:val="auto"/>
                <w:spacing w:val="-10"/>
                <w:kern w:val="2"/>
                <w:sz w:val="24"/>
                <w:szCs w:val="24"/>
                <w:highlight w:val="none"/>
                <w:lang w:val="en-US" w:eastAsia="zh-CN" w:bidi="ar-SA"/>
              </w:rPr>
              <w:t>，废气源强</w:t>
            </w:r>
            <w:r>
              <w:rPr>
                <w:rFonts w:hint="eastAsia" w:ascii="Times New Roman" w:hAnsi="Times New Roman" w:cs="Times New Roman"/>
                <w:bCs/>
                <w:color w:val="auto"/>
                <w:spacing w:val="-10"/>
                <w:kern w:val="2"/>
                <w:sz w:val="24"/>
                <w:szCs w:val="24"/>
                <w:highlight w:val="none"/>
                <w:lang w:val="en-US" w:eastAsia="zh-CN" w:bidi="ar-SA"/>
              </w:rPr>
              <w:t>均</w:t>
            </w:r>
            <w:r>
              <w:rPr>
                <w:rFonts w:hint="eastAsia" w:ascii="Times New Roman" w:hAnsi="Times New Roman" w:eastAsia="宋体" w:cs="Times New Roman"/>
                <w:bCs/>
                <w:color w:val="auto"/>
                <w:spacing w:val="-10"/>
                <w:kern w:val="2"/>
                <w:sz w:val="24"/>
                <w:szCs w:val="24"/>
                <w:highlight w:val="none"/>
                <w:lang w:val="en-US" w:eastAsia="zh-CN" w:bidi="ar-SA"/>
              </w:rPr>
              <w:t>极小</w:t>
            </w:r>
            <w:r>
              <w:rPr>
                <w:rFonts w:hint="eastAsia" w:cs="Times New Roman"/>
                <w:bCs/>
                <w:color w:val="auto"/>
                <w:spacing w:val="-10"/>
                <w:kern w:val="2"/>
                <w:sz w:val="24"/>
                <w:szCs w:val="24"/>
                <w:highlight w:val="none"/>
                <w:lang w:val="en-US" w:eastAsia="zh-CN" w:bidi="ar-SA"/>
              </w:rPr>
              <w:t>，</w:t>
            </w:r>
            <w:r>
              <w:rPr>
                <w:rFonts w:hint="eastAsia" w:ascii="Times New Roman" w:hAnsi="Times New Roman" w:eastAsia="宋体" w:cs="Times New Roman"/>
                <w:bCs/>
                <w:color w:val="auto"/>
                <w:spacing w:val="-10"/>
                <w:kern w:val="2"/>
                <w:sz w:val="24"/>
                <w:szCs w:val="24"/>
                <w:highlight w:val="none"/>
                <w:lang w:val="en-US" w:eastAsia="zh-CN" w:bidi="ar-SA"/>
              </w:rPr>
              <w:t>对周边环境空气影响较小</w:t>
            </w:r>
            <w:r>
              <w:rPr>
                <w:rFonts w:hint="eastAsia" w:cs="Times New Roman"/>
                <w:bCs/>
                <w:color w:val="auto"/>
                <w:spacing w:val="-10"/>
                <w:kern w:val="2"/>
                <w:sz w:val="24"/>
                <w:szCs w:val="24"/>
                <w:highlight w:val="none"/>
                <w:lang w:val="en-US" w:eastAsia="zh-CN" w:bidi="ar-SA"/>
              </w:rPr>
              <w:t>。</w:t>
            </w:r>
            <w:r>
              <w:rPr>
                <w:rFonts w:hint="eastAsia" w:ascii="Times New Roman" w:hAnsi="Times New Roman" w:eastAsia="宋体" w:cs="Times New Roman"/>
                <w:bCs/>
                <w:color w:val="auto"/>
                <w:spacing w:val="-10"/>
                <w:kern w:val="2"/>
                <w:sz w:val="24"/>
                <w:szCs w:val="24"/>
                <w:highlight w:val="none"/>
                <w:lang w:val="en-US" w:eastAsia="zh-CN" w:bidi="ar-SA"/>
              </w:rPr>
              <w:t>本项目拟对污水处理区采用顶部加盖密封(密闭设置，采用玻璃钢材质盖板、保证密封效果)，恶臭产生量较小，本项目不再评价。</w:t>
            </w:r>
          </w:p>
          <w:p w14:paraId="77AB4E4D">
            <w:pPr>
              <w:pStyle w:val="58"/>
              <w:ind w:left="0" w:leftChars="0" w:firstLine="0" w:firstLineChars="0"/>
              <w:rPr>
                <w:rFonts w:hint="eastAsia" w:ascii="Times New Roman" w:hAnsi="Times New Roman" w:eastAsia="宋体" w:cs="Times New Roman"/>
                <w:b/>
                <w:bCs w:val="0"/>
                <w:color w:val="auto"/>
                <w:spacing w:val="-10"/>
                <w:kern w:val="2"/>
                <w:sz w:val="24"/>
                <w:szCs w:val="24"/>
                <w:lang w:val="en-US" w:eastAsia="zh-CN" w:bidi="ar-SA"/>
              </w:rPr>
            </w:pPr>
            <w:r>
              <w:rPr>
                <w:rFonts w:hint="default" w:ascii="Times New Roman" w:hAnsi="Times New Roman" w:eastAsia="宋体" w:cs="Times New Roman"/>
                <w:b/>
                <w:bCs w:val="0"/>
                <w:color w:val="auto"/>
                <w:spacing w:val="-10"/>
                <w:kern w:val="2"/>
                <w:sz w:val="24"/>
                <w:szCs w:val="24"/>
                <w:lang w:val="en-US" w:eastAsia="zh-CN" w:bidi="ar-SA"/>
              </w:rPr>
              <w:t>4.</w:t>
            </w:r>
            <w:r>
              <w:rPr>
                <w:rFonts w:hint="eastAsia" w:ascii="Times New Roman" w:hAnsi="Times New Roman" w:eastAsia="宋体" w:cs="Times New Roman"/>
                <w:b/>
                <w:bCs w:val="0"/>
                <w:color w:val="auto"/>
                <w:spacing w:val="-10"/>
                <w:kern w:val="2"/>
                <w:sz w:val="24"/>
                <w:szCs w:val="24"/>
                <w:lang w:val="en-US" w:eastAsia="zh-CN" w:bidi="ar-SA"/>
              </w:rPr>
              <w:t>1</w:t>
            </w:r>
            <w:r>
              <w:rPr>
                <w:rFonts w:hint="default" w:ascii="Times New Roman" w:hAnsi="Times New Roman" w:eastAsia="宋体" w:cs="Times New Roman"/>
                <w:b/>
                <w:bCs w:val="0"/>
                <w:color w:val="auto"/>
                <w:spacing w:val="-10"/>
                <w:kern w:val="2"/>
                <w:sz w:val="24"/>
                <w:szCs w:val="24"/>
                <w:lang w:val="en-US" w:eastAsia="zh-CN" w:bidi="ar-SA"/>
              </w:rPr>
              <w:t>.</w:t>
            </w:r>
            <w:r>
              <w:rPr>
                <w:rFonts w:hint="eastAsia" w:ascii="Times New Roman" w:hAnsi="Times New Roman" w:eastAsia="宋体" w:cs="Times New Roman"/>
                <w:b/>
                <w:bCs w:val="0"/>
                <w:color w:val="auto"/>
                <w:spacing w:val="-10"/>
                <w:kern w:val="2"/>
                <w:sz w:val="24"/>
                <w:szCs w:val="24"/>
                <w:lang w:val="en-US" w:eastAsia="zh-CN" w:bidi="ar-SA"/>
              </w:rPr>
              <w:t>2卫生防护距离</w:t>
            </w:r>
          </w:p>
          <w:p w14:paraId="5BE2F07A">
            <w:pPr>
              <w:pStyle w:val="58"/>
              <w:keepNext w:val="0"/>
              <w:keepLines w:val="0"/>
              <w:pageBreakBefore w:val="0"/>
              <w:widowControl w:val="0"/>
              <w:kinsoku/>
              <w:wordWrap/>
              <w:overflowPunct/>
              <w:topLinePunct w:val="0"/>
              <w:autoSpaceDE/>
              <w:autoSpaceDN/>
              <w:bidi w:val="0"/>
              <w:spacing w:line="360" w:lineRule="auto"/>
              <w:ind w:firstLine="480"/>
              <w:textAlignment w:val="auto"/>
              <w:rPr>
                <w:color w:val="auto"/>
                <w:sz w:val="24"/>
                <w:szCs w:val="32"/>
                <w:highlight w:val="none"/>
              </w:rPr>
            </w:pPr>
            <w:r>
              <w:rPr>
                <w:color w:val="auto"/>
                <w:sz w:val="24"/>
                <w:szCs w:val="32"/>
                <w:highlight w:val="none"/>
              </w:rPr>
              <w:t>参照《大气有害物质无组织排放卫生防护距离推导技术导则》（GB/T39499-2020），卫生防护距离的计算公式如下：</w:t>
            </w:r>
          </w:p>
          <w:p w14:paraId="354B5600">
            <w:pPr>
              <w:keepNext w:val="0"/>
              <w:keepLines w:val="0"/>
              <w:pageBreakBefore w:val="0"/>
              <w:widowControl w:val="0"/>
              <w:kinsoku/>
              <w:wordWrap/>
              <w:overflowPunct/>
              <w:topLinePunct w:val="0"/>
              <w:autoSpaceDE/>
              <w:autoSpaceDN/>
              <w:bidi w:val="0"/>
              <w:spacing w:line="360" w:lineRule="auto"/>
              <w:ind w:firstLine="480"/>
              <w:jc w:val="center"/>
              <w:textAlignment w:val="auto"/>
              <w:rPr>
                <w:color w:val="auto"/>
                <w:sz w:val="24"/>
                <w:szCs w:val="32"/>
                <w:highlight w:val="none"/>
              </w:rPr>
            </w:pPr>
            <w:r>
              <w:rPr>
                <w:color w:val="auto"/>
                <w:sz w:val="24"/>
                <w:szCs w:val="32"/>
                <w:highlight w:val="none"/>
              </w:rPr>
              <w:object>
                <v:shape id="_x0000_i1025" o:spt="75" type="#_x0000_t75" style="height:35.45pt;width:140.85pt;" o:ole="t" filled="f" o:preferrelative="t" stroked="f" coordsize="21600,21600">
                  <v:path/>
                  <v:fill on="f" focussize="0,0"/>
                  <v:stroke on="f"/>
                  <v:imagedata r:id="rId10" o:title=""/>
                  <o:lock v:ext="edit" aspectratio="t"/>
                  <w10:wrap type="none"/>
                  <w10:anchorlock/>
                </v:shape>
                <o:OLEObject Type="Embed" ProgID="Equation.3" ShapeID="_x0000_i1025" DrawAspect="Content" ObjectID="_1468075725" r:id="rId9">
                  <o:LockedField>false</o:LockedField>
                </o:OLEObject>
              </w:object>
            </w:r>
          </w:p>
          <w:p w14:paraId="4ED978A8">
            <w:pPr>
              <w:pStyle w:val="58"/>
              <w:keepNext w:val="0"/>
              <w:keepLines w:val="0"/>
              <w:pageBreakBefore w:val="0"/>
              <w:widowControl w:val="0"/>
              <w:kinsoku/>
              <w:wordWrap/>
              <w:overflowPunct/>
              <w:topLinePunct w:val="0"/>
              <w:autoSpaceDE/>
              <w:autoSpaceDN/>
              <w:bidi w:val="0"/>
              <w:spacing w:line="360" w:lineRule="auto"/>
              <w:ind w:firstLine="480"/>
              <w:textAlignment w:val="auto"/>
              <w:rPr>
                <w:color w:val="auto"/>
                <w:sz w:val="24"/>
                <w:szCs w:val="32"/>
                <w:highlight w:val="none"/>
              </w:rPr>
            </w:pPr>
            <w:r>
              <w:rPr>
                <w:color w:val="auto"/>
                <w:sz w:val="24"/>
                <w:szCs w:val="32"/>
                <w:highlight w:val="none"/>
              </w:rPr>
              <w:t>式中：</w:t>
            </w:r>
          </w:p>
          <w:p w14:paraId="5CD37F7D">
            <w:pPr>
              <w:pStyle w:val="58"/>
              <w:keepNext w:val="0"/>
              <w:keepLines w:val="0"/>
              <w:pageBreakBefore w:val="0"/>
              <w:widowControl w:val="0"/>
              <w:kinsoku/>
              <w:wordWrap/>
              <w:overflowPunct/>
              <w:topLinePunct w:val="0"/>
              <w:autoSpaceDE/>
              <w:autoSpaceDN/>
              <w:bidi w:val="0"/>
              <w:spacing w:line="360" w:lineRule="auto"/>
              <w:ind w:firstLine="1200" w:firstLineChars="500"/>
              <w:textAlignment w:val="auto"/>
              <w:rPr>
                <w:color w:val="auto"/>
                <w:sz w:val="24"/>
                <w:szCs w:val="32"/>
                <w:highlight w:val="none"/>
              </w:rPr>
            </w:pPr>
            <w:r>
              <w:rPr>
                <w:color w:val="auto"/>
                <w:sz w:val="24"/>
                <w:szCs w:val="32"/>
                <w:highlight w:val="none"/>
              </w:rPr>
              <w:t>Qc——工业企业有害气体无组织排放量可以达到的控制水平，kg/h；</w:t>
            </w:r>
          </w:p>
          <w:p w14:paraId="1DA66BE5">
            <w:pPr>
              <w:pStyle w:val="58"/>
              <w:keepNext w:val="0"/>
              <w:keepLines w:val="0"/>
              <w:pageBreakBefore w:val="0"/>
              <w:widowControl w:val="0"/>
              <w:kinsoku/>
              <w:wordWrap/>
              <w:overflowPunct/>
              <w:topLinePunct w:val="0"/>
              <w:autoSpaceDE/>
              <w:autoSpaceDN/>
              <w:bidi w:val="0"/>
              <w:spacing w:line="360" w:lineRule="auto"/>
              <w:ind w:firstLine="1200" w:firstLineChars="500"/>
              <w:textAlignment w:val="auto"/>
              <w:rPr>
                <w:color w:val="auto"/>
                <w:sz w:val="24"/>
                <w:szCs w:val="32"/>
                <w:highlight w:val="none"/>
              </w:rPr>
            </w:pPr>
            <w:r>
              <w:rPr>
                <w:color w:val="auto"/>
                <w:sz w:val="24"/>
                <w:szCs w:val="32"/>
                <w:highlight w:val="none"/>
              </w:rPr>
              <w:t>Co——居住区有害气体最高容许浓度，mg/m</w:t>
            </w:r>
            <w:r>
              <w:rPr>
                <w:color w:val="auto"/>
                <w:sz w:val="24"/>
                <w:szCs w:val="32"/>
                <w:highlight w:val="none"/>
                <w:vertAlign w:val="superscript"/>
              </w:rPr>
              <w:t>3</w:t>
            </w:r>
            <w:r>
              <w:rPr>
                <w:color w:val="auto"/>
                <w:sz w:val="24"/>
                <w:szCs w:val="32"/>
                <w:highlight w:val="none"/>
              </w:rPr>
              <w:t>；</w:t>
            </w:r>
          </w:p>
          <w:p w14:paraId="716A55DE">
            <w:pPr>
              <w:pStyle w:val="58"/>
              <w:keepNext w:val="0"/>
              <w:keepLines w:val="0"/>
              <w:pageBreakBefore w:val="0"/>
              <w:widowControl w:val="0"/>
              <w:kinsoku/>
              <w:wordWrap/>
              <w:overflowPunct/>
              <w:topLinePunct w:val="0"/>
              <w:autoSpaceDE/>
              <w:autoSpaceDN/>
              <w:bidi w:val="0"/>
              <w:spacing w:line="360" w:lineRule="auto"/>
              <w:ind w:firstLine="1200" w:firstLineChars="500"/>
              <w:textAlignment w:val="auto"/>
              <w:rPr>
                <w:color w:val="auto"/>
                <w:sz w:val="24"/>
                <w:szCs w:val="32"/>
                <w:highlight w:val="none"/>
              </w:rPr>
            </w:pPr>
            <w:r>
              <w:rPr>
                <w:color w:val="auto"/>
                <w:sz w:val="24"/>
                <w:szCs w:val="32"/>
                <w:highlight w:val="none"/>
              </w:rPr>
              <w:t>L——工业企业所需卫生防护距离，m；</w:t>
            </w:r>
          </w:p>
          <w:p w14:paraId="5637BEFF">
            <w:pPr>
              <w:pStyle w:val="58"/>
              <w:keepNext w:val="0"/>
              <w:keepLines w:val="0"/>
              <w:pageBreakBefore w:val="0"/>
              <w:widowControl w:val="0"/>
              <w:kinsoku/>
              <w:wordWrap/>
              <w:overflowPunct/>
              <w:topLinePunct w:val="0"/>
              <w:autoSpaceDE/>
              <w:autoSpaceDN/>
              <w:bidi w:val="0"/>
              <w:spacing w:line="360" w:lineRule="auto"/>
              <w:ind w:firstLine="1200" w:firstLineChars="500"/>
              <w:textAlignment w:val="auto"/>
              <w:rPr>
                <w:color w:val="auto"/>
                <w:sz w:val="24"/>
                <w:szCs w:val="32"/>
                <w:highlight w:val="none"/>
              </w:rPr>
            </w:pPr>
            <w:r>
              <w:rPr>
                <w:color w:val="auto"/>
                <w:sz w:val="24"/>
                <w:szCs w:val="32"/>
                <w:highlight w:val="none"/>
              </w:rPr>
              <w:t>R——有害气体无组织排放源所在生产单元的等效半径，m；</w:t>
            </w:r>
          </w:p>
          <w:p w14:paraId="38B1C761">
            <w:pPr>
              <w:pStyle w:val="58"/>
              <w:keepNext w:val="0"/>
              <w:keepLines w:val="0"/>
              <w:pageBreakBefore w:val="0"/>
              <w:widowControl w:val="0"/>
              <w:kinsoku/>
              <w:wordWrap/>
              <w:overflowPunct/>
              <w:topLinePunct w:val="0"/>
              <w:autoSpaceDE/>
              <w:autoSpaceDN/>
              <w:bidi w:val="0"/>
              <w:spacing w:line="360" w:lineRule="auto"/>
              <w:ind w:firstLine="1200" w:firstLineChars="500"/>
              <w:textAlignment w:val="auto"/>
              <w:rPr>
                <w:color w:val="auto"/>
                <w:sz w:val="24"/>
                <w:szCs w:val="32"/>
                <w:highlight w:val="none"/>
              </w:rPr>
            </w:pPr>
            <w:r>
              <w:rPr>
                <w:color w:val="auto"/>
                <w:sz w:val="24"/>
                <w:szCs w:val="32"/>
                <w:highlight w:val="none"/>
              </w:rPr>
              <w:t>A、B、C、D——卫生防护距离计算系数，根据工业企业所在地区近五年平均风速及工业企业大气污染源构成类别从表查取。</w:t>
            </w:r>
          </w:p>
          <w:p w14:paraId="17F8CE77">
            <w:pPr>
              <w:pStyle w:val="58"/>
              <w:keepNext w:val="0"/>
              <w:keepLines w:val="0"/>
              <w:pageBreakBefore w:val="0"/>
              <w:widowControl w:val="0"/>
              <w:kinsoku/>
              <w:wordWrap/>
              <w:overflowPunct/>
              <w:topLinePunct w:val="0"/>
              <w:autoSpaceDE/>
              <w:autoSpaceDN/>
              <w:bidi w:val="0"/>
              <w:spacing w:line="360" w:lineRule="auto"/>
              <w:ind w:firstLine="480"/>
              <w:textAlignment w:val="auto"/>
              <w:rPr>
                <w:b/>
                <w:color w:val="auto"/>
                <w:sz w:val="24"/>
                <w:szCs w:val="32"/>
                <w:highlight w:val="none"/>
              </w:rPr>
            </w:pPr>
            <w:r>
              <w:rPr>
                <w:color w:val="auto"/>
                <w:sz w:val="24"/>
                <w:szCs w:val="32"/>
                <w:highlight w:val="none"/>
              </w:rPr>
              <w:t>常州的平均风速为2.6m/s。按照无组织废气源强参数表，根据《大气有害物质无组织排放卫生防护距离推导技术导则》（GB/T39499-2020）的有关规定，计算卫生防护距离，各参数取值见下表。</w:t>
            </w:r>
          </w:p>
          <w:p w14:paraId="7CA0D77D">
            <w:pPr>
              <w:adjustRightInd w:val="0"/>
              <w:snapToGrid w:val="0"/>
              <w:spacing w:line="240" w:lineRule="auto"/>
              <w:ind w:firstLine="0" w:firstLineChars="0"/>
              <w:jc w:val="center"/>
              <w:rPr>
                <w:b/>
                <w:color w:val="auto"/>
                <w:szCs w:val="21"/>
                <w:highlight w:val="none"/>
              </w:rPr>
            </w:pPr>
            <w:r>
              <w:rPr>
                <w:b/>
                <w:color w:val="auto"/>
                <w:highlight w:val="none"/>
              </w:rPr>
              <w:t>表4-</w:t>
            </w:r>
            <w:r>
              <w:rPr>
                <w:rFonts w:hint="eastAsia"/>
                <w:b/>
                <w:color w:val="auto"/>
                <w:highlight w:val="none"/>
                <w:lang w:val="en-US" w:eastAsia="zh-CN"/>
              </w:rPr>
              <w:t>1</w:t>
            </w:r>
            <w:r>
              <w:rPr>
                <w:b/>
                <w:color w:val="auto"/>
                <w:highlight w:val="none"/>
              </w:rPr>
              <w:t xml:space="preserve">  卫生防护距离计算参数表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2"/>
              <w:gridCol w:w="1067"/>
              <w:gridCol w:w="696"/>
              <w:gridCol w:w="698"/>
              <w:gridCol w:w="698"/>
              <w:gridCol w:w="698"/>
              <w:gridCol w:w="696"/>
              <w:gridCol w:w="700"/>
              <w:gridCol w:w="696"/>
              <w:gridCol w:w="698"/>
              <w:gridCol w:w="699"/>
            </w:tblGrid>
            <w:tr w14:paraId="32588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21" w:type="dxa"/>
                  <w:vMerge w:val="restart"/>
                  <w:noWrap w:val="0"/>
                  <w:vAlign w:val="center"/>
                </w:tcPr>
                <w:p w14:paraId="03165B71">
                  <w:pPr>
                    <w:adjustRightInd w:val="0"/>
                    <w:snapToGrid w:val="0"/>
                    <w:spacing w:line="240" w:lineRule="auto"/>
                    <w:ind w:firstLine="0" w:firstLineChars="0"/>
                    <w:jc w:val="center"/>
                    <w:rPr>
                      <w:b/>
                      <w:color w:val="auto"/>
                      <w:sz w:val="21"/>
                      <w:szCs w:val="21"/>
                      <w:highlight w:val="none"/>
                    </w:rPr>
                  </w:pPr>
                  <w:r>
                    <w:rPr>
                      <w:b/>
                      <w:color w:val="auto"/>
                      <w:sz w:val="21"/>
                      <w:szCs w:val="21"/>
                      <w:highlight w:val="none"/>
                    </w:rPr>
                    <w:t>计算系数</w:t>
                  </w:r>
                </w:p>
              </w:tc>
              <w:tc>
                <w:tcPr>
                  <w:tcW w:w="1108" w:type="dxa"/>
                  <w:vMerge w:val="restart"/>
                  <w:noWrap w:val="0"/>
                  <w:vAlign w:val="center"/>
                </w:tcPr>
                <w:p w14:paraId="63A3DC84">
                  <w:pPr>
                    <w:adjustRightInd w:val="0"/>
                    <w:snapToGrid w:val="0"/>
                    <w:spacing w:line="240" w:lineRule="auto"/>
                    <w:ind w:firstLine="0" w:firstLineChars="0"/>
                    <w:jc w:val="center"/>
                    <w:rPr>
                      <w:b/>
                      <w:color w:val="auto"/>
                      <w:sz w:val="21"/>
                      <w:szCs w:val="21"/>
                      <w:highlight w:val="none"/>
                    </w:rPr>
                  </w:pPr>
                  <w:r>
                    <w:rPr>
                      <w:b/>
                      <w:color w:val="auto"/>
                      <w:sz w:val="21"/>
                      <w:szCs w:val="21"/>
                      <w:highlight w:val="none"/>
                    </w:rPr>
                    <w:t>5年平均风速，m/s</w:t>
                  </w:r>
                </w:p>
              </w:tc>
              <w:tc>
                <w:tcPr>
                  <w:tcW w:w="6422" w:type="dxa"/>
                  <w:gridSpan w:val="9"/>
                  <w:noWrap w:val="0"/>
                  <w:vAlign w:val="center"/>
                </w:tcPr>
                <w:p w14:paraId="709F50B8">
                  <w:pPr>
                    <w:adjustRightInd w:val="0"/>
                    <w:snapToGrid w:val="0"/>
                    <w:spacing w:line="240" w:lineRule="auto"/>
                    <w:ind w:firstLine="0" w:firstLineChars="0"/>
                    <w:jc w:val="center"/>
                    <w:rPr>
                      <w:b/>
                      <w:color w:val="auto"/>
                      <w:sz w:val="21"/>
                      <w:szCs w:val="21"/>
                      <w:highlight w:val="none"/>
                    </w:rPr>
                  </w:pPr>
                  <w:r>
                    <w:rPr>
                      <w:b/>
                      <w:color w:val="auto"/>
                      <w:sz w:val="21"/>
                      <w:szCs w:val="21"/>
                      <w:highlight w:val="none"/>
                    </w:rPr>
                    <w:t>卫生防护距离L（m）</w:t>
                  </w:r>
                </w:p>
              </w:tc>
            </w:tr>
            <w:tr w14:paraId="62F97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21" w:type="dxa"/>
                  <w:vMerge w:val="continue"/>
                  <w:noWrap w:val="0"/>
                  <w:vAlign w:val="center"/>
                </w:tcPr>
                <w:p w14:paraId="1B895063">
                  <w:pPr>
                    <w:adjustRightInd w:val="0"/>
                    <w:snapToGrid w:val="0"/>
                    <w:spacing w:line="240" w:lineRule="auto"/>
                    <w:ind w:firstLine="0" w:firstLineChars="0"/>
                    <w:jc w:val="center"/>
                    <w:rPr>
                      <w:b/>
                      <w:color w:val="auto"/>
                      <w:sz w:val="21"/>
                      <w:szCs w:val="21"/>
                      <w:highlight w:val="none"/>
                    </w:rPr>
                  </w:pPr>
                </w:p>
              </w:tc>
              <w:tc>
                <w:tcPr>
                  <w:tcW w:w="1108" w:type="dxa"/>
                  <w:vMerge w:val="continue"/>
                  <w:noWrap w:val="0"/>
                  <w:vAlign w:val="center"/>
                </w:tcPr>
                <w:p w14:paraId="0A7508B8">
                  <w:pPr>
                    <w:adjustRightInd w:val="0"/>
                    <w:snapToGrid w:val="0"/>
                    <w:spacing w:line="240" w:lineRule="auto"/>
                    <w:ind w:firstLine="0" w:firstLineChars="0"/>
                    <w:jc w:val="center"/>
                    <w:rPr>
                      <w:b/>
                      <w:color w:val="auto"/>
                      <w:sz w:val="21"/>
                      <w:szCs w:val="21"/>
                      <w:highlight w:val="none"/>
                    </w:rPr>
                  </w:pPr>
                </w:p>
              </w:tc>
              <w:tc>
                <w:tcPr>
                  <w:tcW w:w="2140" w:type="dxa"/>
                  <w:gridSpan w:val="3"/>
                  <w:noWrap w:val="0"/>
                  <w:vAlign w:val="center"/>
                </w:tcPr>
                <w:p w14:paraId="443E035D">
                  <w:pPr>
                    <w:adjustRightInd w:val="0"/>
                    <w:snapToGrid w:val="0"/>
                    <w:spacing w:line="240" w:lineRule="auto"/>
                    <w:ind w:firstLine="0" w:firstLineChars="0"/>
                    <w:jc w:val="center"/>
                    <w:rPr>
                      <w:b/>
                      <w:color w:val="auto"/>
                      <w:sz w:val="21"/>
                      <w:szCs w:val="21"/>
                      <w:highlight w:val="none"/>
                    </w:rPr>
                  </w:pPr>
                  <w:r>
                    <w:rPr>
                      <w:b/>
                      <w:color w:val="auto"/>
                      <w:sz w:val="21"/>
                      <w:szCs w:val="21"/>
                      <w:highlight w:val="none"/>
                    </w:rPr>
                    <w:t>L≤1000</w:t>
                  </w:r>
                </w:p>
              </w:tc>
              <w:tc>
                <w:tcPr>
                  <w:tcW w:w="2142" w:type="dxa"/>
                  <w:gridSpan w:val="3"/>
                  <w:noWrap w:val="0"/>
                  <w:vAlign w:val="center"/>
                </w:tcPr>
                <w:p w14:paraId="1AB45CD8">
                  <w:pPr>
                    <w:adjustRightInd w:val="0"/>
                    <w:snapToGrid w:val="0"/>
                    <w:spacing w:line="240" w:lineRule="auto"/>
                    <w:ind w:firstLine="0" w:firstLineChars="0"/>
                    <w:jc w:val="center"/>
                    <w:rPr>
                      <w:b/>
                      <w:color w:val="auto"/>
                      <w:sz w:val="21"/>
                      <w:szCs w:val="21"/>
                      <w:highlight w:val="none"/>
                    </w:rPr>
                  </w:pPr>
                  <w:r>
                    <w:rPr>
                      <w:b/>
                      <w:color w:val="auto"/>
                      <w:sz w:val="21"/>
                      <w:szCs w:val="21"/>
                      <w:highlight w:val="none"/>
                    </w:rPr>
                    <w:t>1000＜L≤2000</w:t>
                  </w:r>
                </w:p>
              </w:tc>
              <w:tc>
                <w:tcPr>
                  <w:tcW w:w="2140" w:type="dxa"/>
                  <w:gridSpan w:val="3"/>
                  <w:noWrap w:val="0"/>
                  <w:vAlign w:val="center"/>
                </w:tcPr>
                <w:p w14:paraId="5D82599F">
                  <w:pPr>
                    <w:adjustRightInd w:val="0"/>
                    <w:snapToGrid w:val="0"/>
                    <w:spacing w:line="240" w:lineRule="auto"/>
                    <w:ind w:firstLine="0" w:firstLineChars="0"/>
                    <w:jc w:val="center"/>
                    <w:rPr>
                      <w:b/>
                      <w:color w:val="auto"/>
                      <w:sz w:val="21"/>
                      <w:szCs w:val="21"/>
                      <w:highlight w:val="none"/>
                    </w:rPr>
                  </w:pPr>
                  <w:r>
                    <w:rPr>
                      <w:b/>
                      <w:color w:val="auto"/>
                      <w:sz w:val="21"/>
                      <w:szCs w:val="21"/>
                      <w:highlight w:val="none"/>
                    </w:rPr>
                    <w:t>L＞2000</w:t>
                  </w:r>
                </w:p>
              </w:tc>
            </w:tr>
            <w:tr w14:paraId="19303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21" w:type="dxa"/>
                  <w:vMerge w:val="continue"/>
                  <w:noWrap w:val="0"/>
                  <w:vAlign w:val="center"/>
                </w:tcPr>
                <w:p w14:paraId="1F76F45D">
                  <w:pPr>
                    <w:adjustRightInd w:val="0"/>
                    <w:snapToGrid w:val="0"/>
                    <w:spacing w:line="240" w:lineRule="auto"/>
                    <w:ind w:firstLine="0" w:firstLineChars="0"/>
                    <w:jc w:val="center"/>
                    <w:rPr>
                      <w:b/>
                      <w:color w:val="auto"/>
                      <w:sz w:val="21"/>
                      <w:szCs w:val="21"/>
                      <w:highlight w:val="none"/>
                    </w:rPr>
                  </w:pPr>
                </w:p>
              </w:tc>
              <w:tc>
                <w:tcPr>
                  <w:tcW w:w="1108" w:type="dxa"/>
                  <w:vMerge w:val="continue"/>
                  <w:noWrap w:val="0"/>
                  <w:vAlign w:val="center"/>
                </w:tcPr>
                <w:p w14:paraId="7EA41D53">
                  <w:pPr>
                    <w:adjustRightInd w:val="0"/>
                    <w:snapToGrid w:val="0"/>
                    <w:spacing w:line="240" w:lineRule="auto"/>
                    <w:ind w:firstLine="0" w:firstLineChars="0"/>
                    <w:jc w:val="center"/>
                    <w:rPr>
                      <w:b/>
                      <w:color w:val="auto"/>
                      <w:sz w:val="21"/>
                      <w:szCs w:val="21"/>
                      <w:highlight w:val="none"/>
                    </w:rPr>
                  </w:pPr>
                </w:p>
              </w:tc>
              <w:tc>
                <w:tcPr>
                  <w:tcW w:w="6422" w:type="dxa"/>
                  <w:gridSpan w:val="9"/>
                  <w:noWrap w:val="0"/>
                  <w:vAlign w:val="center"/>
                </w:tcPr>
                <w:p w14:paraId="0C9D83EF">
                  <w:pPr>
                    <w:adjustRightInd w:val="0"/>
                    <w:snapToGrid w:val="0"/>
                    <w:spacing w:line="240" w:lineRule="auto"/>
                    <w:ind w:firstLine="0" w:firstLineChars="0"/>
                    <w:jc w:val="center"/>
                    <w:rPr>
                      <w:b/>
                      <w:color w:val="auto"/>
                      <w:sz w:val="21"/>
                      <w:szCs w:val="21"/>
                      <w:highlight w:val="none"/>
                    </w:rPr>
                  </w:pPr>
                  <w:r>
                    <w:rPr>
                      <w:b/>
                      <w:color w:val="auto"/>
                      <w:sz w:val="21"/>
                      <w:szCs w:val="21"/>
                      <w:highlight w:val="none"/>
                    </w:rPr>
                    <w:t>工业大气污染源构成类别</w:t>
                  </w:r>
                </w:p>
              </w:tc>
            </w:tr>
            <w:tr w14:paraId="2885A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21" w:type="dxa"/>
                  <w:vMerge w:val="continue"/>
                  <w:tcBorders>
                    <w:bottom w:val="single" w:color="auto" w:sz="12" w:space="0"/>
                  </w:tcBorders>
                  <w:noWrap w:val="0"/>
                  <w:vAlign w:val="center"/>
                </w:tcPr>
                <w:p w14:paraId="5280C92E">
                  <w:pPr>
                    <w:adjustRightInd w:val="0"/>
                    <w:snapToGrid w:val="0"/>
                    <w:spacing w:line="240" w:lineRule="auto"/>
                    <w:ind w:firstLine="0" w:firstLineChars="0"/>
                    <w:jc w:val="center"/>
                    <w:rPr>
                      <w:b/>
                      <w:color w:val="auto"/>
                      <w:sz w:val="21"/>
                      <w:szCs w:val="21"/>
                      <w:highlight w:val="none"/>
                    </w:rPr>
                  </w:pPr>
                </w:p>
              </w:tc>
              <w:tc>
                <w:tcPr>
                  <w:tcW w:w="1108" w:type="dxa"/>
                  <w:vMerge w:val="continue"/>
                  <w:tcBorders>
                    <w:bottom w:val="single" w:color="auto" w:sz="12" w:space="0"/>
                  </w:tcBorders>
                  <w:noWrap w:val="0"/>
                  <w:vAlign w:val="center"/>
                </w:tcPr>
                <w:p w14:paraId="537559CF">
                  <w:pPr>
                    <w:adjustRightInd w:val="0"/>
                    <w:snapToGrid w:val="0"/>
                    <w:spacing w:line="240" w:lineRule="auto"/>
                    <w:ind w:firstLine="0" w:firstLineChars="0"/>
                    <w:jc w:val="center"/>
                    <w:rPr>
                      <w:b/>
                      <w:color w:val="auto"/>
                      <w:sz w:val="21"/>
                      <w:szCs w:val="21"/>
                      <w:highlight w:val="none"/>
                    </w:rPr>
                  </w:pPr>
                </w:p>
              </w:tc>
              <w:tc>
                <w:tcPr>
                  <w:tcW w:w="712" w:type="dxa"/>
                  <w:tcBorders>
                    <w:bottom w:val="single" w:color="auto" w:sz="12" w:space="0"/>
                  </w:tcBorders>
                  <w:noWrap w:val="0"/>
                  <w:vAlign w:val="center"/>
                </w:tcPr>
                <w:p w14:paraId="1C1EA167">
                  <w:pPr>
                    <w:adjustRightInd w:val="0"/>
                    <w:snapToGrid w:val="0"/>
                    <w:spacing w:line="240" w:lineRule="auto"/>
                    <w:ind w:firstLine="0" w:firstLineChars="0"/>
                    <w:jc w:val="center"/>
                    <w:rPr>
                      <w:b/>
                      <w:color w:val="auto"/>
                      <w:sz w:val="21"/>
                      <w:szCs w:val="21"/>
                      <w:highlight w:val="none"/>
                    </w:rPr>
                  </w:pPr>
                  <w:r>
                    <w:rPr>
                      <w:b/>
                      <w:color w:val="auto"/>
                      <w:sz w:val="21"/>
                      <w:szCs w:val="21"/>
                      <w:highlight w:val="none"/>
                    </w:rPr>
                    <w:t>Ⅰ</w:t>
                  </w:r>
                </w:p>
              </w:tc>
              <w:tc>
                <w:tcPr>
                  <w:tcW w:w="714" w:type="dxa"/>
                  <w:tcBorders>
                    <w:bottom w:val="single" w:color="auto" w:sz="12" w:space="0"/>
                  </w:tcBorders>
                  <w:noWrap w:val="0"/>
                  <w:vAlign w:val="center"/>
                </w:tcPr>
                <w:p w14:paraId="5E8CAE8D">
                  <w:pPr>
                    <w:adjustRightInd w:val="0"/>
                    <w:snapToGrid w:val="0"/>
                    <w:spacing w:line="240" w:lineRule="auto"/>
                    <w:ind w:firstLine="0" w:firstLineChars="0"/>
                    <w:jc w:val="center"/>
                    <w:rPr>
                      <w:b/>
                      <w:color w:val="auto"/>
                      <w:sz w:val="21"/>
                      <w:szCs w:val="21"/>
                      <w:highlight w:val="none"/>
                    </w:rPr>
                  </w:pPr>
                  <w:r>
                    <w:rPr>
                      <w:b/>
                      <w:color w:val="auto"/>
                      <w:sz w:val="21"/>
                      <w:szCs w:val="21"/>
                      <w:highlight w:val="none"/>
                    </w:rPr>
                    <w:t>Ⅱ</w:t>
                  </w:r>
                </w:p>
              </w:tc>
              <w:tc>
                <w:tcPr>
                  <w:tcW w:w="714" w:type="dxa"/>
                  <w:tcBorders>
                    <w:bottom w:val="single" w:color="auto" w:sz="12" w:space="0"/>
                  </w:tcBorders>
                  <w:noWrap w:val="0"/>
                  <w:vAlign w:val="center"/>
                </w:tcPr>
                <w:p w14:paraId="27CED868">
                  <w:pPr>
                    <w:adjustRightInd w:val="0"/>
                    <w:snapToGrid w:val="0"/>
                    <w:spacing w:line="240" w:lineRule="auto"/>
                    <w:ind w:firstLine="0" w:firstLineChars="0"/>
                    <w:jc w:val="center"/>
                    <w:rPr>
                      <w:b/>
                      <w:color w:val="auto"/>
                      <w:sz w:val="21"/>
                      <w:szCs w:val="21"/>
                      <w:highlight w:val="none"/>
                    </w:rPr>
                  </w:pPr>
                  <w:r>
                    <w:rPr>
                      <w:b/>
                      <w:color w:val="auto"/>
                      <w:sz w:val="21"/>
                      <w:szCs w:val="21"/>
                      <w:highlight w:val="none"/>
                    </w:rPr>
                    <w:t>Ⅲ</w:t>
                  </w:r>
                </w:p>
              </w:tc>
              <w:tc>
                <w:tcPr>
                  <w:tcW w:w="714" w:type="dxa"/>
                  <w:tcBorders>
                    <w:bottom w:val="single" w:color="auto" w:sz="12" w:space="0"/>
                  </w:tcBorders>
                  <w:noWrap w:val="0"/>
                  <w:vAlign w:val="center"/>
                </w:tcPr>
                <w:p w14:paraId="5308CA65">
                  <w:pPr>
                    <w:adjustRightInd w:val="0"/>
                    <w:snapToGrid w:val="0"/>
                    <w:spacing w:line="240" w:lineRule="auto"/>
                    <w:ind w:firstLine="0" w:firstLineChars="0"/>
                    <w:jc w:val="center"/>
                    <w:rPr>
                      <w:b/>
                      <w:color w:val="auto"/>
                      <w:sz w:val="21"/>
                      <w:szCs w:val="21"/>
                      <w:highlight w:val="none"/>
                    </w:rPr>
                  </w:pPr>
                  <w:r>
                    <w:rPr>
                      <w:b/>
                      <w:color w:val="auto"/>
                      <w:sz w:val="21"/>
                      <w:szCs w:val="21"/>
                      <w:highlight w:val="none"/>
                    </w:rPr>
                    <w:t>Ⅰ</w:t>
                  </w:r>
                </w:p>
              </w:tc>
              <w:tc>
                <w:tcPr>
                  <w:tcW w:w="712" w:type="dxa"/>
                  <w:tcBorders>
                    <w:bottom w:val="single" w:color="auto" w:sz="12" w:space="0"/>
                  </w:tcBorders>
                  <w:noWrap w:val="0"/>
                  <w:vAlign w:val="center"/>
                </w:tcPr>
                <w:p w14:paraId="17F4CA83">
                  <w:pPr>
                    <w:adjustRightInd w:val="0"/>
                    <w:snapToGrid w:val="0"/>
                    <w:spacing w:line="240" w:lineRule="auto"/>
                    <w:ind w:firstLine="0" w:firstLineChars="0"/>
                    <w:jc w:val="center"/>
                    <w:rPr>
                      <w:b/>
                      <w:color w:val="auto"/>
                      <w:sz w:val="21"/>
                      <w:szCs w:val="21"/>
                      <w:highlight w:val="none"/>
                    </w:rPr>
                  </w:pPr>
                  <w:r>
                    <w:rPr>
                      <w:b/>
                      <w:color w:val="auto"/>
                      <w:sz w:val="21"/>
                      <w:szCs w:val="21"/>
                      <w:highlight w:val="none"/>
                    </w:rPr>
                    <w:t>Ⅱ</w:t>
                  </w:r>
                </w:p>
              </w:tc>
              <w:tc>
                <w:tcPr>
                  <w:tcW w:w="716" w:type="dxa"/>
                  <w:tcBorders>
                    <w:bottom w:val="single" w:color="auto" w:sz="12" w:space="0"/>
                  </w:tcBorders>
                  <w:noWrap w:val="0"/>
                  <w:vAlign w:val="center"/>
                </w:tcPr>
                <w:p w14:paraId="56D11E88">
                  <w:pPr>
                    <w:adjustRightInd w:val="0"/>
                    <w:snapToGrid w:val="0"/>
                    <w:spacing w:line="240" w:lineRule="auto"/>
                    <w:ind w:firstLine="0" w:firstLineChars="0"/>
                    <w:jc w:val="center"/>
                    <w:rPr>
                      <w:b/>
                      <w:color w:val="auto"/>
                      <w:sz w:val="21"/>
                      <w:szCs w:val="21"/>
                      <w:highlight w:val="none"/>
                    </w:rPr>
                  </w:pPr>
                  <w:r>
                    <w:rPr>
                      <w:b/>
                      <w:color w:val="auto"/>
                      <w:sz w:val="21"/>
                      <w:szCs w:val="21"/>
                      <w:highlight w:val="none"/>
                    </w:rPr>
                    <w:t>Ⅲ</w:t>
                  </w:r>
                </w:p>
              </w:tc>
              <w:tc>
                <w:tcPr>
                  <w:tcW w:w="712" w:type="dxa"/>
                  <w:tcBorders>
                    <w:bottom w:val="single" w:color="auto" w:sz="12" w:space="0"/>
                  </w:tcBorders>
                  <w:noWrap w:val="0"/>
                  <w:vAlign w:val="center"/>
                </w:tcPr>
                <w:p w14:paraId="020C9C19">
                  <w:pPr>
                    <w:adjustRightInd w:val="0"/>
                    <w:snapToGrid w:val="0"/>
                    <w:spacing w:line="240" w:lineRule="auto"/>
                    <w:ind w:firstLine="0" w:firstLineChars="0"/>
                    <w:jc w:val="center"/>
                    <w:rPr>
                      <w:b/>
                      <w:color w:val="auto"/>
                      <w:sz w:val="21"/>
                      <w:szCs w:val="21"/>
                      <w:highlight w:val="none"/>
                    </w:rPr>
                  </w:pPr>
                  <w:r>
                    <w:rPr>
                      <w:b/>
                      <w:color w:val="auto"/>
                      <w:sz w:val="21"/>
                      <w:szCs w:val="21"/>
                      <w:highlight w:val="none"/>
                    </w:rPr>
                    <w:t>Ⅰ</w:t>
                  </w:r>
                </w:p>
              </w:tc>
              <w:tc>
                <w:tcPr>
                  <w:tcW w:w="714" w:type="dxa"/>
                  <w:tcBorders>
                    <w:bottom w:val="single" w:color="auto" w:sz="12" w:space="0"/>
                  </w:tcBorders>
                  <w:noWrap w:val="0"/>
                  <w:vAlign w:val="center"/>
                </w:tcPr>
                <w:p w14:paraId="07510E43">
                  <w:pPr>
                    <w:adjustRightInd w:val="0"/>
                    <w:snapToGrid w:val="0"/>
                    <w:spacing w:line="240" w:lineRule="auto"/>
                    <w:ind w:firstLine="0" w:firstLineChars="0"/>
                    <w:jc w:val="center"/>
                    <w:rPr>
                      <w:b/>
                      <w:color w:val="auto"/>
                      <w:sz w:val="21"/>
                      <w:szCs w:val="21"/>
                      <w:highlight w:val="none"/>
                    </w:rPr>
                  </w:pPr>
                  <w:r>
                    <w:rPr>
                      <w:b/>
                      <w:color w:val="auto"/>
                      <w:sz w:val="21"/>
                      <w:szCs w:val="21"/>
                      <w:highlight w:val="none"/>
                    </w:rPr>
                    <w:t>Ⅱ</w:t>
                  </w:r>
                </w:p>
              </w:tc>
              <w:tc>
                <w:tcPr>
                  <w:tcW w:w="714" w:type="dxa"/>
                  <w:tcBorders>
                    <w:bottom w:val="single" w:color="auto" w:sz="12" w:space="0"/>
                  </w:tcBorders>
                  <w:noWrap w:val="0"/>
                  <w:vAlign w:val="center"/>
                </w:tcPr>
                <w:p w14:paraId="0E894337">
                  <w:pPr>
                    <w:adjustRightInd w:val="0"/>
                    <w:snapToGrid w:val="0"/>
                    <w:spacing w:line="240" w:lineRule="auto"/>
                    <w:ind w:firstLine="0" w:firstLineChars="0"/>
                    <w:jc w:val="center"/>
                    <w:rPr>
                      <w:b/>
                      <w:color w:val="auto"/>
                      <w:sz w:val="21"/>
                      <w:szCs w:val="21"/>
                      <w:highlight w:val="none"/>
                    </w:rPr>
                  </w:pPr>
                  <w:r>
                    <w:rPr>
                      <w:b/>
                      <w:color w:val="auto"/>
                      <w:sz w:val="21"/>
                      <w:szCs w:val="21"/>
                      <w:highlight w:val="none"/>
                    </w:rPr>
                    <w:t>Ⅲ</w:t>
                  </w:r>
                </w:p>
              </w:tc>
            </w:tr>
            <w:tr w14:paraId="2E0B3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21" w:type="dxa"/>
                  <w:vMerge w:val="restart"/>
                  <w:tcBorders>
                    <w:top w:val="single" w:color="auto" w:sz="12" w:space="0"/>
                  </w:tcBorders>
                  <w:noWrap w:val="0"/>
                  <w:vAlign w:val="center"/>
                </w:tcPr>
                <w:p w14:paraId="33222C80">
                  <w:pPr>
                    <w:adjustRightInd w:val="0"/>
                    <w:snapToGrid w:val="0"/>
                    <w:spacing w:line="240" w:lineRule="auto"/>
                    <w:ind w:firstLine="0" w:firstLineChars="0"/>
                    <w:jc w:val="center"/>
                    <w:rPr>
                      <w:color w:val="auto"/>
                      <w:sz w:val="21"/>
                      <w:szCs w:val="21"/>
                      <w:highlight w:val="none"/>
                    </w:rPr>
                  </w:pPr>
                  <w:r>
                    <w:rPr>
                      <w:color w:val="auto"/>
                      <w:sz w:val="21"/>
                      <w:szCs w:val="21"/>
                      <w:highlight w:val="none"/>
                    </w:rPr>
                    <w:t>A</w:t>
                  </w:r>
                </w:p>
              </w:tc>
              <w:tc>
                <w:tcPr>
                  <w:tcW w:w="1108" w:type="dxa"/>
                  <w:tcBorders>
                    <w:top w:val="single" w:color="auto" w:sz="12" w:space="0"/>
                  </w:tcBorders>
                  <w:noWrap w:val="0"/>
                  <w:vAlign w:val="center"/>
                </w:tcPr>
                <w:p w14:paraId="533B41BD">
                  <w:pPr>
                    <w:adjustRightInd w:val="0"/>
                    <w:snapToGrid w:val="0"/>
                    <w:spacing w:line="240" w:lineRule="auto"/>
                    <w:ind w:firstLine="0" w:firstLineChars="0"/>
                    <w:jc w:val="center"/>
                    <w:rPr>
                      <w:color w:val="auto"/>
                      <w:sz w:val="21"/>
                      <w:szCs w:val="21"/>
                      <w:highlight w:val="none"/>
                    </w:rPr>
                  </w:pPr>
                  <w:r>
                    <w:rPr>
                      <w:color w:val="auto"/>
                      <w:sz w:val="21"/>
                      <w:szCs w:val="21"/>
                      <w:highlight w:val="none"/>
                    </w:rPr>
                    <w:t>&lt;2</w:t>
                  </w:r>
                </w:p>
              </w:tc>
              <w:tc>
                <w:tcPr>
                  <w:tcW w:w="712" w:type="dxa"/>
                  <w:tcBorders>
                    <w:top w:val="single" w:color="auto" w:sz="12" w:space="0"/>
                  </w:tcBorders>
                  <w:noWrap w:val="0"/>
                  <w:vAlign w:val="center"/>
                </w:tcPr>
                <w:p w14:paraId="72267984">
                  <w:pPr>
                    <w:adjustRightInd w:val="0"/>
                    <w:snapToGrid w:val="0"/>
                    <w:spacing w:line="240" w:lineRule="auto"/>
                    <w:ind w:firstLine="0" w:firstLineChars="0"/>
                    <w:jc w:val="center"/>
                    <w:rPr>
                      <w:color w:val="auto"/>
                      <w:sz w:val="21"/>
                      <w:szCs w:val="21"/>
                      <w:highlight w:val="none"/>
                    </w:rPr>
                  </w:pPr>
                  <w:r>
                    <w:rPr>
                      <w:color w:val="auto"/>
                      <w:sz w:val="21"/>
                      <w:szCs w:val="21"/>
                      <w:highlight w:val="none"/>
                    </w:rPr>
                    <w:t>400</w:t>
                  </w:r>
                </w:p>
              </w:tc>
              <w:tc>
                <w:tcPr>
                  <w:tcW w:w="714" w:type="dxa"/>
                  <w:tcBorders>
                    <w:top w:val="single" w:color="auto" w:sz="12" w:space="0"/>
                  </w:tcBorders>
                  <w:noWrap w:val="0"/>
                  <w:vAlign w:val="center"/>
                </w:tcPr>
                <w:p w14:paraId="3C554940">
                  <w:pPr>
                    <w:adjustRightInd w:val="0"/>
                    <w:snapToGrid w:val="0"/>
                    <w:spacing w:line="240" w:lineRule="auto"/>
                    <w:ind w:firstLine="0" w:firstLineChars="0"/>
                    <w:jc w:val="center"/>
                    <w:rPr>
                      <w:color w:val="auto"/>
                      <w:sz w:val="21"/>
                      <w:szCs w:val="21"/>
                      <w:highlight w:val="none"/>
                    </w:rPr>
                  </w:pPr>
                  <w:r>
                    <w:rPr>
                      <w:color w:val="auto"/>
                      <w:sz w:val="21"/>
                      <w:szCs w:val="21"/>
                      <w:highlight w:val="none"/>
                    </w:rPr>
                    <w:t>400</w:t>
                  </w:r>
                </w:p>
              </w:tc>
              <w:tc>
                <w:tcPr>
                  <w:tcW w:w="714" w:type="dxa"/>
                  <w:tcBorders>
                    <w:top w:val="single" w:color="auto" w:sz="12" w:space="0"/>
                  </w:tcBorders>
                  <w:noWrap w:val="0"/>
                  <w:vAlign w:val="center"/>
                </w:tcPr>
                <w:p w14:paraId="63006408">
                  <w:pPr>
                    <w:adjustRightInd w:val="0"/>
                    <w:snapToGrid w:val="0"/>
                    <w:spacing w:line="240" w:lineRule="auto"/>
                    <w:ind w:firstLine="0" w:firstLineChars="0"/>
                    <w:jc w:val="center"/>
                    <w:rPr>
                      <w:color w:val="auto"/>
                      <w:sz w:val="21"/>
                      <w:szCs w:val="21"/>
                      <w:highlight w:val="none"/>
                    </w:rPr>
                  </w:pPr>
                  <w:r>
                    <w:rPr>
                      <w:color w:val="auto"/>
                      <w:sz w:val="21"/>
                      <w:szCs w:val="21"/>
                      <w:highlight w:val="none"/>
                    </w:rPr>
                    <w:t>400</w:t>
                  </w:r>
                </w:p>
              </w:tc>
              <w:tc>
                <w:tcPr>
                  <w:tcW w:w="714" w:type="dxa"/>
                  <w:tcBorders>
                    <w:top w:val="single" w:color="auto" w:sz="12" w:space="0"/>
                  </w:tcBorders>
                  <w:noWrap w:val="0"/>
                  <w:vAlign w:val="center"/>
                </w:tcPr>
                <w:p w14:paraId="63391EAC">
                  <w:pPr>
                    <w:adjustRightInd w:val="0"/>
                    <w:snapToGrid w:val="0"/>
                    <w:spacing w:line="240" w:lineRule="auto"/>
                    <w:ind w:firstLine="0" w:firstLineChars="0"/>
                    <w:jc w:val="center"/>
                    <w:rPr>
                      <w:color w:val="auto"/>
                      <w:sz w:val="21"/>
                      <w:szCs w:val="21"/>
                      <w:highlight w:val="none"/>
                    </w:rPr>
                  </w:pPr>
                  <w:r>
                    <w:rPr>
                      <w:color w:val="auto"/>
                      <w:sz w:val="21"/>
                      <w:szCs w:val="21"/>
                      <w:highlight w:val="none"/>
                    </w:rPr>
                    <w:t>400</w:t>
                  </w:r>
                </w:p>
              </w:tc>
              <w:tc>
                <w:tcPr>
                  <w:tcW w:w="712" w:type="dxa"/>
                  <w:tcBorders>
                    <w:top w:val="single" w:color="auto" w:sz="12" w:space="0"/>
                  </w:tcBorders>
                  <w:noWrap w:val="0"/>
                  <w:vAlign w:val="center"/>
                </w:tcPr>
                <w:p w14:paraId="0951521A">
                  <w:pPr>
                    <w:adjustRightInd w:val="0"/>
                    <w:snapToGrid w:val="0"/>
                    <w:spacing w:line="240" w:lineRule="auto"/>
                    <w:ind w:firstLine="0" w:firstLineChars="0"/>
                    <w:jc w:val="center"/>
                    <w:rPr>
                      <w:color w:val="auto"/>
                      <w:sz w:val="21"/>
                      <w:szCs w:val="21"/>
                      <w:highlight w:val="none"/>
                    </w:rPr>
                  </w:pPr>
                  <w:r>
                    <w:rPr>
                      <w:color w:val="auto"/>
                      <w:sz w:val="21"/>
                      <w:szCs w:val="21"/>
                      <w:highlight w:val="none"/>
                    </w:rPr>
                    <w:t>400</w:t>
                  </w:r>
                </w:p>
              </w:tc>
              <w:tc>
                <w:tcPr>
                  <w:tcW w:w="716" w:type="dxa"/>
                  <w:tcBorders>
                    <w:top w:val="single" w:color="auto" w:sz="12" w:space="0"/>
                  </w:tcBorders>
                  <w:noWrap w:val="0"/>
                  <w:vAlign w:val="center"/>
                </w:tcPr>
                <w:p w14:paraId="33B68AFA">
                  <w:pPr>
                    <w:adjustRightInd w:val="0"/>
                    <w:snapToGrid w:val="0"/>
                    <w:spacing w:line="240" w:lineRule="auto"/>
                    <w:ind w:firstLine="0" w:firstLineChars="0"/>
                    <w:jc w:val="center"/>
                    <w:rPr>
                      <w:color w:val="auto"/>
                      <w:sz w:val="21"/>
                      <w:szCs w:val="21"/>
                      <w:highlight w:val="none"/>
                    </w:rPr>
                  </w:pPr>
                  <w:r>
                    <w:rPr>
                      <w:color w:val="auto"/>
                      <w:sz w:val="21"/>
                      <w:szCs w:val="21"/>
                      <w:highlight w:val="none"/>
                    </w:rPr>
                    <w:t>400</w:t>
                  </w:r>
                </w:p>
              </w:tc>
              <w:tc>
                <w:tcPr>
                  <w:tcW w:w="712" w:type="dxa"/>
                  <w:tcBorders>
                    <w:top w:val="single" w:color="auto" w:sz="12" w:space="0"/>
                  </w:tcBorders>
                  <w:noWrap w:val="0"/>
                  <w:vAlign w:val="center"/>
                </w:tcPr>
                <w:p w14:paraId="1AE124A9">
                  <w:pPr>
                    <w:adjustRightInd w:val="0"/>
                    <w:snapToGrid w:val="0"/>
                    <w:spacing w:line="240" w:lineRule="auto"/>
                    <w:ind w:firstLine="0" w:firstLineChars="0"/>
                    <w:jc w:val="center"/>
                    <w:rPr>
                      <w:color w:val="auto"/>
                      <w:sz w:val="21"/>
                      <w:szCs w:val="21"/>
                      <w:highlight w:val="none"/>
                    </w:rPr>
                  </w:pPr>
                  <w:r>
                    <w:rPr>
                      <w:color w:val="auto"/>
                      <w:sz w:val="21"/>
                      <w:szCs w:val="21"/>
                      <w:highlight w:val="none"/>
                    </w:rPr>
                    <w:t>80</w:t>
                  </w:r>
                </w:p>
              </w:tc>
              <w:tc>
                <w:tcPr>
                  <w:tcW w:w="714" w:type="dxa"/>
                  <w:tcBorders>
                    <w:top w:val="single" w:color="auto" w:sz="12" w:space="0"/>
                  </w:tcBorders>
                  <w:noWrap w:val="0"/>
                  <w:vAlign w:val="center"/>
                </w:tcPr>
                <w:p w14:paraId="4F3102CE">
                  <w:pPr>
                    <w:adjustRightInd w:val="0"/>
                    <w:snapToGrid w:val="0"/>
                    <w:spacing w:line="240" w:lineRule="auto"/>
                    <w:ind w:firstLine="0" w:firstLineChars="0"/>
                    <w:jc w:val="center"/>
                    <w:rPr>
                      <w:color w:val="auto"/>
                      <w:sz w:val="21"/>
                      <w:szCs w:val="21"/>
                      <w:highlight w:val="none"/>
                    </w:rPr>
                  </w:pPr>
                  <w:r>
                    <w:rPr>
                      <w:color w:val="auto"/>
                      <w:sz w:val="21"/>
                      <w:szCs w:val="21"/>
                      <w:highlight w:val="none"/>
                    </w:rPr>
                    <w:t>80</w:t>
                  </w:r>
                </w:p>
              </w:tc>
              <w:tc>
                <w:tcPr>
                  <w:tcW w:w="714" w:type="dxa"/>
                  <w:tcBorders>
                    <w:top w:val="single" w:color="auto" w:sz="12" w:space="0"/>
                  </w:tcBorders>
                  <w:noWrap w:val="0"/>
                  <w:vAlign w:val="center"/>
                </w:tcPr>
                <w:p w14:paraId="60D464CC">
                  <w:pPr>
                    <w:adjustRightInd w:val="0"/>
                    <w:snapToGrid w:val="0"/>
                    <w:spacing w:line="240" w:lineRule="auto"/>
                    <w:ind w:firstLine="0" w:firstLineChars="0"/>
                    <w:jc w:val="center"/>
                    <w:rPr>
                      <w:color w:val="auto"/>
                      <w:sz w:val="21"/>
                      <w:szCs w:val="21"/>
                      <w:highlight w:val="none"/>
                    </w:rPr>
                  </w:pPr>
                  <w:r>
                    <w:rPr>
                      <w:color w:val="auto"/>
                      <w:sz w:val="21"/>
                      <w:szCs w:val="21"/>
                      <w:highlight w:val="none"/>
                    </w:rPr>
                    <w:t>80</w:t>
                  </w:r>
                </w:p>
              </w:tc>
            </w:tr>
            <w:tr w14:paraId="1A076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21" w:type="dxa"/>
                  <w:vMerge w:val="continue"/>
                  <w:shd w:val="clear" w:color="auto" w:fill="auto"/>
                  <w:noWrap w:val="0"/>
                  <w:vAlign w:val="center"/>
                </w:tcPr>
                <w:p w14:paraId="36C46CED">
                  <w:pPr>
                    <w:adjustRightInd w:val="0"/>
                    <w:snapToGrid w:val="0"/>
                    <w:spacing w:line="240" w:lineRule="auto"/>
                    <w:ind w:firstLine="0" w:firstLineChars="0"/>
                    <w:jc w:val="center"/>
                    <w:rPr>
                      <w:color w:val="auto"/>
                      <w:sz w:val="21"/>
                      <w:szCs w:val="21"/>
                      <w:highlight w:val="none"/>
                    </w:rPr>
                  </w:pPr>
                </w:p>
              </w:tc>
              <w:tc>
                <w:tcPr>
                  <w:tcW w:w="1108" w:type="dxa"/>
                  <w:shd w:val="clear" w:color="auto" w:fill="auto"/>
                  <w:noWrap w:val="0"/>
                  <w:vAlign w:val="center"/>
                </w:tcPr>
                <w:p w14:paraId="7C33C443">
                  <w:pPr>
                    <w:adjustRightInd w:val="0"/>
                    <w:snapToGrid w:val="0"/>
                    <w:spacing w:line="240" w:lineRule="auto"/>
                    <w:ind w:firstLine="0" w:firstLineChars="0"/>
                    <w:jc w:val="center"/>
                    <w:rPr>
                      <w:color w:val="auto"/>
                      <w:sz w:val="21"/>
                      <w:szCs w:val="21"/>
                      <w:highlight w:val="none"/>
                    </w:rPr>
                  </w:pPr>
                  <w:r>
                    <w:rPr>
                      <w:color w:val="auto"/>
                      <w:sz w:val="21"/>
                      <w:szCs w:val="21"/>
                      <w:highlight w:val="none"/>
                    </w:rPr>
                    <w:t>2-4</w:t>
                  </w:r>
                </w:p>
              </w:tc>
              <w:tc>
                <w:tcPr>
                  <w:tcW w:w="712" w:type="dxa"/>
                  <w:shd w:val="clear" w:color="auto" w:fill="auto"/>
                  <w:noWrap w:val="0"/>
                  <w:vAlign w:val="center"/>
                </w:tcPr>
                <w:p w14:paraId="59EA277B">
                  <w:pPr>
                    <w:adjustRightInd w:val="0"/>
                    <w:snapToGrid w:val="0"/>
                    <w:spacing w:line="240" w:lineRule="auto"/>
                    <w:ind w:firstLine="0" w:firstLineChars="0"/>
                    <w:jc w:val="center"/>
                    <w:rPr>
                      <w:color w:val="auto"/>
                      <w:sz w:val="21"/>
                      <w:szCs w:val="21"/>
                      <w:highlight w:val="none"/>
                    </w:rPr>
                  </w:pPr>
                  <w:r>
                    <w:rPr>
                      <w:color w:val="auto"/>
                      <w:sz w:val="21"/>
                      <w:szCs w:val="21"/>
                      <w:highlight w:val="none"/>
                    </w:rPr>
                    <w:t>700</w:t>
                  </w:r>
                </w:p>
              </w:tc>
              <w:tc>
                <w:tcPr>
                  <w:tcW w:w="714" w:type="dxa"/>
                  <w:shd w:val="clear" w:color="auto" w:fill="B3B3B3"/>
                  <w:noWrap w:val="0"/>
                  <w:vAlign w:val="center"/>
                </w:tcPr>
                <w:p w14:paraId="52CE8F35">
                  <w:pPr>
                    <w:adjustRightInd w:val="0"/>
                    <w:snapToGrid w:val="0"/>
                    <w:spacing w:line="240" w:lineRule="auto"/>
                    <w:ind w:firstLine="0" w:firstLineChars="0"/>
                    <w:jc w:val="center"/>
                    <w:rPr>
                      <w:color w:val="auto"/>
                      <w:sz w:val="21"/>
                      <w:szCs w:val="21"/>
                      <w:highlight w:val="none"/>
                    </w:rPr>
                  </w:pPr>
                  <w:r>
                    <w:rPr>
                      <w:color w:val="auto"/>
                      <w:sz w:val="21"/>
                      <w:szCs w:val="21"/>
                      <w:highlight w:val="none"/>
                    </w:rPr>
                    <w:t>470</w:t>
                  </w:r>
                </w:p>
              </w:tc>
              <w:tc>
                <w:tcPr>
                  <w:tcW w:w="714" w:type="dxa"/>
                  <w:noWrap w:val="0"/>
                  <w:vAlign w:val="center"/>
                </w:tcPr>
                <w:p w14:paraId="6F80C53E">
                  <w:pPr>
                    <w:adjustRightInd w:val="0"/>
                    <w:snapToGrid w:val="0"/>
                    <w:spacing w:line="240" w:lineRule="auto"/>
                    <w:ind w:firstLine="0" w:firstLineChars="0"/>
                    <w:jc w:val="center"/>
                    <w:rPr>
                      <w:color w:val="auto"/>
                      <w:sz w:val="21"/>
                      <w:szCs w:val="21"/>
                      <w:highlight w:val="none"/>
                    </w:rPr>
                  </w:pPr>
                  <w:r>
                    <w:rPr>
                      <w:color w:val="auto"/>
                      <w:sz w:val="21"/>
                      <w:szCs w:val="21"/>
                      <w:highlight w:val="none"/>
                    </w:rPr>
                    <w:t>350</w:t>
                  </w:r>
                </w:p>
              </w:tc>
              <w:tc>
                <w:tcPr>
                  <w:tcW w:w="714" w:type="dxa"/>
                  <w:noWrap w:val="0"/>
                  <w:vAlign w:val="center"/>
                </w:tcPr>
                <w:p w14:paraId="1AF4C940">
                  <w:pPr>
                    <w:adjustRightInd w:val="0"/>
                    <w:snapToGrid w:val="0"/>
                    <w:spacing w:line="240" w:lineRule="auto"/>
                    <w:ind w:firstLine="0" w:firstLineChars="0"/>
                    <w:jc w:val="center"/>
                    <w:rPr>
                      <w:color w:val="auto"/>
                      <w:sz w:val="21"/>
                      <w:szCs w:val="21"/>
                      <w:highlight w:val="none"/>
                    </w:rPr>
                  </w:pPr>
                  <w:r>
                    <w:rPr>
                      <w:color w:val="auto"/>
                      <w:sz w:val="21"/>
                      <w:szCs w:val="21"/>
                      <w:highlight w:val="none"/>
                    </w:rPr>
                    <w:t>700</w:t>
                  </w:r>
                </w:p>
              </w:tc>
              <w:tc>
                <w:tcPr>
                  <w:tcW w:w="712" w:type="dxa"/>
                  <w:noWrap w:val="0"/>
                  <w:vAlign w:val="center"/>
                </w:tcPr>
                <w:p w14:paraId="256D8E1D">
                  <w:pPr>
                    <w:adjustRightInd w:val="0"/>
                    <w:snapToGrid w:val="0"/>
                    <w:spacing w:line="240" w:lineRule="auto"/>
                    <w:ind w:firstLine="0" w:firstLineChars="0"/>
                    <w:jc w:val="center"/>
                    <w:rPr>
                      <w:color w:val="auto"/>
                      <w:sz w:val="21"/>
                      <w:szCs w:val="21"/>
                      <w:highlight w:val="none"/>
                    </w:rPr>
                  </w:pPr>
                  <w:r>
                    <w:rPr>
                      <w:color w:val="auto"/>
                      <w:sz w:val="21"/>
                      <w:szCs w:val="21"/>
                      <w:highlight w:val="none"/>
                    </w:rPr>
                    <w:t>470</w:t>
                  </w:r>
                </w:p>
              </w:tc>
              <w:tc>
                <w:tcPr>
                  <w:tcW w:w="716" w:type="dxa"/>
                  <w:noWrap w:val="0"/>
                  <w:vAlign w:val="center"/>
                </w:tcPr>
                <w:p w14:paraId="079231CC">
                  <w:pPr>
                    <w:adjustRightInd w:val="0"/>
                    <w:snapToGrid w:val="0"/>
                    <w:spacing w:line="240" w:lineRule="auto"/>
                    <w:ind w:firstLine="0" w:firstLineChars="0"/>
                    <w:jc w:val="center"/>
                    <w:rPr>
                      <w:color w:val="auto"/>
                      <w:sz w:val="21"/>
                      <w:szCs w:val="21"/>
                      <w:highlight w:val="none"/>
                    </w:rPr>
                  </w:pPr>
                  <w:r>
                    <w:rPr>
                      <w:color w:val="auto"/>
                      <w:sz w:val="21"/>
                      <w:szCs w:val="21"/>
                      <w:highlight w:val="none"/>
                    </w:rPr>
                    <w:t>350</w:t>
                  </w:r>
                </w:p>
              </w:tc>
              <w:tc>
                <w:tcPr>
                  <w:tcW w:w="712" w:type="dxa"/>
                  <w:noWrap w:val="0"/>
                  <w:vAlign w:val="center"/>
                </w:tcPr>
                <w:p w14:paraId="7AACBA81">
                  <w:pPr>
                    <w:adjustRightInd w:val="0"/>
                    <w:snapToGrid w:val="0"/>
                    <w:spacing w:line="240" w:lineRule="auto"/>
                    <w:ind w:firstLine="0" w:firstLineChars="0"/>
                    <w:jc w:val="center"/>
                    <w:rPr>
                      <w:color w:val="auto"/>
                      <w:sz w:val="21"/>
                      <w:szCs w:val="21"/>
                      <w:highlight w:val="none"/>
                    </w:rPr>
                  </w:pPr>
                  <w:r>
                    <w:rPr>
                      <w:color w:val="auto"/>
                      <w:sz w:val="21"/>
                      <w:szCs w:val="21"/>
                      <w:highlight w:val="none"/>
                    </w:rPr>
                    <w:t>380</w:t>
                  </w:r>
                </w:p>
              </w:tc>
              <w:tc>
                <w:tcPr>
                  <w:tcW w:w="714" w:type="dxa"/>
                  <w:noWrap w:val="0"/>
                  <w:vAlign w:val="center"/>
                </w:tcPr>
                <w:p w14:paraId="5B2107F4">
                  <w:pPr>
                    <w:adjustRightInd w:val="0"/>
                    <w:snapToGrid w:val="0"/>
                    <w:spacing w:line="240" w:lineRule="auto"/>
                    <w:ind w:firstLine="0" w:firstLineChars="0"/>
                    <w:jc w:val="center"/>
                    <w:rPr>
                      <w:color w:val="auto"/>
                      <w:sz w:val="21"/>
                      <w:szCs w:val="21"/>
                      <w:highlight w:val="none"/>
                    </w:rPr>
                  </w:pPr>
                  <w:r>
                    <w:rPr>
                      <w:color w:val="auto"/>
                      <w:sz w:val="21"/>
                      <w:szCs w:val="21"/>
                      <w:highlight w:val="none"/>
                    </w:rPr>
                    <w:t>250</w:t>
                  </w:r>
                </w:p>
              </w:tc>
              <w:tc>
                <w:tcPr>
                  <w:tcW w:w="714" w:type="dxa"/>
                  <w:noWrap w:val="0"/>
                  <w:vAlign w:val="center"/>
                </w:tcPr>
                <w:p w14:paraId="5A5097CD">
                  <w:pPr>
                    <w:adjustRightInd w:val="0"/>
                    <w:snapToGrid w:val="0"/>
                    <w:spacing w:line="240" w:lineRule="auto"/>
                    <w:ind w:firstLine="0" w:firstLineChars="0"/>
                    <w:jc w:val="center"/>
                    <w:rPr>
                      <w:color w:val="auto"/>
                      <w:sz w:val="21"/>
                      <w:szCs w:val="21"/>
                      <w:highlight w:val="none"/>
                    </w:rPr>
                  </w:pPr>
                  <w:r>
                    <w:rPr>
                      <w:color w:val="auto"/>
                      <w:sz w:val="21"/>
                      <w:szCs w:val="21"/>
                      <w:highlight w:val="none"/>
                    </w:rPr>
                    <w:t>190</w:t>
                  </w:r>
                </w:p>
              </w:tc>
            </w:tr>
            <w:tr w14:paraId="04582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21" w:type="dxa"/>
                  <w:vMerge w:val="continue"/>
                  <w:noWrap w:val="0"/>
                  <w:vAlign w:val="center"/>
                </w:tcPr>
                <w:p w14:paraId="6F938A62">
                  <w:pPr>
                    <w:adjustRightInd w:val="0"/>
                    <w:snapToGrid w:val="0"/>
                    <w:spacing w:line="240" w:lineRule="auto"/>
                    <w:ind w:firstLine="0" w:firstLineChars="0"/>
                    <w:jc w:val="center"/>
                    <w:rPr>
                      <w:color w:val="auto"/>
                      <w:sz w:val="21"/>
                      <w:szCs w:val="21"/>
                      <w:highlight w:val="none"/>
                    </w:rPr>
                  </w:pPr>
                </w:p>
              </w:tc>
              <w:tc>
                <w:tcPr>
                  <w:tcW w:w="1108" w:type="dxa"/>
                  <w:noWrap w:val="0"/>
                  <w:vAlign w:val="center"/>
                </w:tcPr>
                <w:p w14:paraId="26469AE7">
                  <w:pPr>
                    <w:adjustRightInd w:val="0"/>
                    <w:snapToGrid w:val="0"/>
                    <w:spacing w:line="240" w:lineRule="auto"/>
                    <w:ind w:firstLine="0" w:firstLineChars="0"/>
                    <w:jc w:val="center"/>
                    <w:rPr>
                      <w:color w:val="auto"/>
                      <w:sz w:val="21"/>
                      <w:szCs w:val="21"/>
                      <w:highlight w:val="none"/>
                    </w:rPr>
                  </w:pPr>
                  <w:r>
                    <w:rPr>
                      <w:color w:val="auto"/>
                      <w:sz w:val="21"/>
                      <w:szCs w:val="21"/>
                      <w:highlight w:val="none"/>
                    </w:rPr>
                    <w:t>&gt;4</w:t>
                  </w:r>
                </w:p>
              </w:tc>
              <w:tc>
                <w:tcPr>
                  <w:tcW w:w="712" w:type="dxa"/>
                  <w:noWrap w:val="0"/>
                  <w:vAlign w:val="center"/>
                </w:tcPr>
                <w:p w14:paraId="1BC3068C">
                  <w:pPr>
                    <w:adjustRightInd w:val="0"/>
                    <w:snapToGrid w:val="0"/>
                    <w:spacing w:line="240" w:lineRule="auto"/>
                    <w:ind w:firstLine="0" w:firstLineChars="0"/>
                    <w:jc w:val="center"/>
                    <w:rPr>
                      <w:color w:val="auto"/>
                      <w:sz w:val="21"/>
                      <w:szCs w:val="21"/>
                      <w:highlight w:val="none"/>
                    </w:rPr>
                  </w:pPr>
                  <w:r>
                    <w:rPr>
                      <w:color w:val="auto"/>
                      <w:sz w:val="21"/>
                      <w:szCs w:val="21"/>
                      <w:highlight w:val="none"/>
                    </w:rPr>
                    <w:t>530</w:t>
                  </w:r>
                </w:p>
              </w:tc>
              <w:tc>
                <w:tcPr>
                  <w:tcW w:w="714" w:type="dxa"/>
                  <w:noWrap w:val="0"/>
                  <w:vAlign w:val="center"/>
                </w:tcPr>
                <w:p w14:paraId="3169D14C">
                  <w:pPr>
                    <w:adjustRightInd w:val="0"/>
                    <w:snapToGrid w:val="0"/>
                    <w:spacing w:line="240" w:lineRule="auto"/>
                    <w:ind w:firstLine="0" w:firstLineChars="0"/>
                    <w:jc w:val="center"/>
                    <w:rPr>
                      <w:color w:val="auto"/>
                      <w:sz w:val="21"/>
                      <w:szCs w:val="21"/>
                      <w:highlight w:val="none"/>
                    </w:rPr>
                  </w:pPr>
                  <w:r>
                    <w:rPr>
                      <w:color w:val="auto"/>
                      <w:sz w:val="21"/>
                      <w:szCs w:val="21"/>
                      <w:highlight w:val="none"/>
                    </w:rPr>
                    <w:t>350</w:t>
                  </w:r>
                </w:p>
              </w:tc>
              <w:tc>
                <w:tcPr>
                  <w:tcW w:w="714" w:type="dxa"/>
                  <w:noWrap w:val="0"/>
                  <w:vAlign w:val="center"/>
                </w:tcPr>
                <w:p w14:paraId="598D03F1">
                  <w:pPr>
                    <w:adjustRightInd w:val="0"/>
                    <w:snapToGrid w:val="0"/>
                    <w:spacing w:line="240" w:lineRule="auto"/>
                    <w:ind w:firstLine="0" w:firstLineChars="0"/>
                    <w:jc w:val="center"/>
                    <w:rPr>
                      <w:color w:val="auto"/>
                      <w:sz w:val="21"/>
                      <w:szCs w:val="21"/>
                      <w:highlight w:val="none"/>
                    </w:rPr>
                  </w:pPr>
                  <w:r>
                    <w:rPr>
                      <w:color w:val="auto"/>
                      <w:sz w:val="21"/>
                      <w:szCs w:val="21"/>
                      <w:highlight w:val="none"/>
                    </w:rPr>
                    <w:t>260</w:t>
                  </w:r>
                </w:p>
              </w:tc>
              <w:tc>
                <w:tcPr>
                  <w:tcW w:w="714" w:type="dxa"/>
                  <w:noWrap w:val="0"/>
                  <w:vAlign w:val="center"/>
                </w:tcPr>
                <w:p w14:paraId="210315ED">
                  <w:pPr>
                    <w:adjustRightInd w:val="0"/>
                    <w:snapToGrid w:val="0"/>
                    <w:spacing w:line="240" w:lineRule="auto"/>
                    <w:ind w:firstLine="0" w:firstLineChars="0"/>
                    <w:jc w:val="center"/>
                    <w:rPr>
                      <w:color w:val="auto"/>
                      <w:sz w:val="21"/>
                      <w:szCs w:val="21"/>
                      <w:highlight w:val="none"/>
                    </w:rPr>
                  </w:pPr>
                  <w:r>
                    <w:rPr>
                      <w:color w:val="auto"/>
                      <w:sz w:val="21"/>
                      <w:szCs w:val="21"/>
                      <w:highlight w:val="none"/>
                    </w:rPr>
                    <w:t>530</w:t>
                  </w:r>
                </w:p>
              </w:tc>
              <w:tc>
                <w:tcPr>
                  <w:tcW w:w="712" w:type="dxa"/>
                  <w:noWrap w:val="0"/>
                  <w:vAlign w:val="center"/>
                </w:tcPr>
                <w:p w14:paraId="51AA00E6">
                  <w:pPr>
                    <w:adjustRightInd w:val="0"/>
                    <w:snapToGrid w:val="0"/>
                    <w:spacing w:line="240" w:lineRule="auto"/>
                    <w:ind w:firstLine="0" w:firstLineChars="0"/>
                    <w:jc w:val="center"/>
                    <w:rPr>
                      <w:color w:val="auto"/>
                      <w:sz w:val="21"/>
                      <w:szCs w:val="21"/>
                      <w:highlight w:val="none"/>
                    </w:rPr>
                  </w:pPr>
                  <w:r>
                    <w:rPr>
                      <w:color w:val="auto"/>
                      <w:sz w:val="21"/>
                      <w:szCs w:val="21"/>
                      <w:highlight w:val="none"/>
                    </w:rPr>
                    <w:t>350</w:t>
                  </w:r>
                </w:p>
              </w:tc>
              <w:tc>
                <w:tcPr>
                  <w:tcW w:w="716" w:type="dxa"/>
                  <w:noWrap w:val="0"/>
                  <w:vAlign w:val="center"/>
                </w:tcPr>
                <w:p w14:paraId="02CB14DB">
                  <w:pPr>
                    <w:adjustRightInd w:val="0"/>
                    <w:snapToGrid w:val="0"/>
                    <w:spacing w:line="240" w:lineRule="auto"/>
                    <w:ind w:firstLine="0" w:firstLineChars="0"/>
                    <w:jc w:val="center"/>
                    <w:rPr>
                      <w:color w:val="auto"/>
                      <w:sz w:val="21"/>
                      <w:szCs w:val="21"/>
                      <w:highlight w:val="none"/>
                    </w:rPr>
                  </w:pPr>
                  <w:r>
                    <w:rPr>
                      <w:color w:val="auto"/>
                      <w:sz w:val="21"/>
                      <w:szCs w:val="21"/>
                      <w:highlight w:val="none"/>
                    </w:rPr>
                    <w:t>260</w:t>
                  </w:r>
                </w:p>
              </w:tc>
              <w:tc>
                <w:tcPr>
                  <w:tcW w:w="712" w:type="dxa"/>
                  <w:noWrap w:val="0"/>
                  <w:vAlign w:val="center"/>
                </w:tcPr>
                <w:p w14:paraId="0ED941FC">
                  <w:pPr>
                    <w:adjustRightInd w:val="0"/>
                    <w:snapToGrid w:val="0"/>
                    <w:spacing w:line="240" w:lineRule="auto"/>
                    <w:ind w:firstLine="0" w:firstLineChars="0"/>
                    <w:jc w:val="center"/>
                    <w:rPr>
                      <w:color w:val="auto"/>
                      <w:sz w:val="21"/>
                      <w:szCs w:val="21"/>
                      <w:highlight w:val="none"/>
                    </w:rPr>
                  </w:pPr>
                  <w:r>
                    <w:rPr>
                      <w:color w:val="auto"/>
                      <w:sz w:val="21"/>
                      <w:szCs w:val="21"/>
                      <w:highlight w:val="none"/>
                    </w:rPr>
                    <w:t>290</w:t>
                  </w:r>
                </w:p>
              </w:tc>
              <w:tc>
                <w:tcPr>
                  <w:tcW w:w="714" w:type="dxa"/>
                  <w:noWrap w:val="0"/>
                  <w:vAlign w:val="center"/>
                </w:tcPr>
                <w:p w14:paraId="1F58B844">
                  <w:pPr>
                    <w:adjustRightInd w:val="0"/>
                    <w:snapToGrid w:val="0"/>
                    <w:spacing w:line="240" w:lineRule="auto"/>
                    <w:ind w:firstLine="0" w:firstLineChars="0"/>
                    <w:jc w:val="center"/>
                    <w:rPr>
                      <w:color w:val="auto"/>
                      <w:sz w:val="21"/>
                      <w:szCs w:val="21"/>
                      <w:highlight w:val="none"/>
                    </w:rPr>
                  </w:pPr>
                  <w:r>
                    <w:rPr>
                      <w:color w:val="auto"/>
                      <w:sz w:val="21"/>
                      <w:szCs w:val="21"/>
                      <w:highlight w:val="none"/>
                    </w:rPr>
                    <w:t>190</w:t>
                  </w:r>
                </w:p>
              </w:tc>
              <w:tc>
                <w:tcPr>
                  <w:tcW w:w="714" w:type="dxa"/>
                  <w:noWrap w:val="0"/>
                  <w:vAlign w:val="center"/>
                </w:tcPr>
                <w:p w14:paraId="184CF1D4">
                  <w:pPr>
                    <w:adjustRightInd w:val="0"/>
                    <w:snapToGrid w:val="0"/>
                    <w:spacing w:line="240" w:lineRule="auto"/>
                    <w:ind w:firstLine="0" w:firstLineChars="0"/>
                    <w:jc w:val="center"/>
                    <w:rPr>
                      <w:color w:val="auto"/>
                      <w:sz w:val="21"/>
                      <w:szCs w:val="21"/>
                      <w:highlight w:val="none"/>
                    </w:rPr>
                  </w:pPr>
                  <w:r>
                    <w:rPr>
                      <w:color w:val="auto"/>
                      <w:sz w:val="21"/>
                      <w:szCs w:val="21"/>
                      <w:highlight w:val="none"/>
                    </w:rPr>
                    <w:t>140</w:t>
                  </w:r>
                </w:p>
              </w:tc>
            </w:tr>
            <w:tr w14:paraId="09EE1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21" w:type="dxa"/>
                  <w:vMerge w:val="restart"/>
                  <w:noWrap w:val="0"/>
                  <w:vAlign w:val="center"/>
                </w:tcPr>
                <w:p w14:paraId="020855B7">
                  <w:pPr>
                    <w:adjustRightInd w:val="0"/>
                    <w:snapToGrid w:val="0"/>
                    <w:spacing w:line="240" w:lineRule="auto"/>
                    <w:ind w:firstLine="0" w:firstLineChars="0"/>
                    <w:jc w:val="center"/>
                    <w:rPr>
                      <w:color w:val="auto"/>
                      <w:sz w:val="21"/>
                      <w:szCs w:val="21"/>
                      <w:highlight w:val="none"/>
                    </w:rPr>
                  </w:pPr>
                  <w:r>
                    <w:rPr>
                      <w:color w:val="auto"/>
                      <w:sz w:val="21"/>
                      <w:szCs w:val="21"/>
                      <w:highlight w:val="none"/>
                    </w:rPr>
                    <w:t>B</w:t>
                  </w:r>
                </w:p>
              </w:tc>
              <w:tc>
                <w:tcPr>
                  <w:tcW w:w="1108" w:type="dxa"/>
                  <w:noWrap w:val="0"/>
                  <w:vAlign w:val="center"/>
                </w:tcPr>
                <w:p w14:paraId="0C0A4E7E">
                  <w:pPr>
                    <w:adjustRightInd w:val="0"/>
                    <w:snapToGrid w:val="0"/>
                    <w:spacing w:line="240" w:lineRule="auto"/>
                    <w:ind w:firstLine="0" w:firstLineChars="0"/>
                    <w:jc w:val="center"/>
                    <w:rPr>
                      <w:color w:val="auto"/>
                      <w:sz w:val="21"/>
                      <w:szCs w:val="21"/>
                      <w:highlight w:val="none"/>
                    </w:rPr>
                  </w:pPr>
                  <w:r>
                    <w:rPr>
                      <w:color w:val="auto"/>
                      <w:sz w:val="21"/>
                      <w:szCs w:val="21"/>
                      <w:highlight w:val="none"/>
                    </w:rPr>
                    <w:t>&lt;2</w:t>
                  </w:r>
                </w:p>
              </w:tc>
              <w:tc>
                <w:tcPr>
                  <w:tcW w:w="2140" w:type="dxa"/>
                  <w:gridSpan w:val="3"/>
                  <w:noWrap w:val="0"/>
                  <w:vAlign w:val="center"/>
                </w:tcPr>
                <w:p w14:paraId="6BA24222">
                  <w:pPr>
                    <w:adjustRightInd w:val="0"/>
                    <w:snapToGrid w:val="0"/>
                    <w:spacing w:line="240" w:lineRule="auto"/>
                    <w:ind w:firstLine="0" w:firstLineChars="0"/>
                    <w:jc w:val="center"/>
                    <w:rPr>
                      <w:color w:val="auto"/>
                      <w:sz w:val="21"/>
                      <w:szCs w:val="21"/>
                      <w:highlight w:val="none"/>
                    </w:rPr>
                  </w:pPr>
                  <w:r>
                    <w:rPr>
                      <w:color w:val="auto"/>
                      <w:sz w:val="21"/>
                      <w:szCs w:val="21"/>
                      <w:highlight w:val="none"/>
                    </w:rPr>
                    <w:t>0.01</w:t>
                  </w:r>
                </w:p>
              </w:tc>
              <w:tc>
                <w:tcPr>
                  <w:tcW w:w="2142" w:type="dxa"/>
                  <w:gridSpan w:val="3"/>
                  <w:noWrap w:val="0"/>
                  <w:vAlign w:val="center"/>
                </w:tcPr>
                <w:p w14:paraId="2F313D12">
                  <w:pPr>
                    <w:adjustRightInd w:val="0"/>
                    <w:snapToGrid w:val="0"/>
                    <w:spacing w:line="240" w:lineRule="auto"/>
                    <w:ind w:firstLine="0" w:firstLineChars="0"/>
                    <w:jc w:val="center"/>
                    <w:rPr>
                      <w:color w:val="auto"/>
                      <w:sz w:val="21"/>
                      <w:szCs w:val="21"/>
                      <w:highlight w:val="none"/>
                    </w:rPr>
                  </w:pPr>
                  <w:r>
                    <w:rPr>
                      <w:color w:val="auto"/>
                      <w:sz w:val="21"/>
                      <w:szCs w:val="21"/>
                      <w:highlight w:val="none"/>
                    </w:rPr>
                    <w:t>0.015</w:t>
                  </w:r>
                </w:p>
              </w:tc>
              <w:tc>
                <w:tcPr>
                  <w:tcW w:w="2140" w:type="dxa"/>
                  <w:gridSpan w:val="3"/>
                  <w:noWrap w:val="0"/>
                  <w:vAlign w:val="center"/>
                </w:tcPr>
                <w:p w14:paraId="154C0882">
                  <w:pPr>
                    <w:adjustRightInd w:val="0"/>
                    <w:snapToGrid w:val="0"/>
                    <w:spacing w:line="240" w:lineRule="auto"/>
                    <w:ind w:firstLine="0" w:firstLineChars="0"/>
                    <w:jc w:val="center"/>
                    <w:rPr>
                      <w:color w:val="auto"/>
                      <w:sz w:val="21"/>
                      <w:szCs w:val="21"/>
                      <w:highlight w:val="none"/>
                    </w:rPr>
                  </w:pPr>
                  <w:r>
                    <w:rPr>
                      <w:color w:val="auto"/>
                      <w:sz w:val="21"/>
                      <w:szCs w:val="21"/>
                      <w:highlight w:val="none"/>
                    </w:rPr>
                    <w:t>0.015</w:t>
                  </w:r>
                </w:p>
              </w:tc>
            </w:tr>
            <w:tr w14:paraId="758A3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21" w:type="dxa"/>
                  <w:vMerge w:val="continue"/>
                  <w:shd w:val="clear" w:color="auto" w:fill="auto"/>
                  <w:noWrap w:val="0"/>
                  <w:vAlign w:val="center"/>
                </w:tcPr>
                <w:p w14:paraId="2B235693">
                  <w:pPr>
                    <w:adjustRightInd w:val="0"/>
                    <w:snapToGrid w:val="0"/>
                    <w:spacing w:line="240" w:lineRule="auto"/>
                    <w:ind w:firstLine="0" w:firstLineChars="0"/>
                    <w:jc w:val="center"/>
                    <w:rPr>
                      <w:color w:val="auto"/>
                      <w:sz w:val="21"/>
                      <w:szCs w:val="21"/>
                      <w:highlight w:val="none"/>
                    </w:rPr>
                  </w:pPr>
                </w:p>
              </w:tc>
              <w:tc>
                <w:tcPr>
                  <w:tcW w:w="1108" w:type="dxa"/>
                  <w:shd w:val="clear" w:color="auto" w:fill="auto"/>
                  <w:noWrap w:val="0"/>
                  <w:vAlign w:val="center"/>
                </w:tcPr>
                <w:p w14:paraId="3B5BD4B1">
                  <w:pPr>
                    <w:adjustRightInd w:val="0"/>
                    <w:snapToGrid w:val="0"/>
                    <w:spacing w:line="240" w:lineRule="auto"/>
                    <w:ind w:firstLine="0" w:firstLineChars="0"/>
                    <w:jc w:val="center"/>
                    <w:rPr>
                      <w:color w:val="auto"/>
                      <w:sz w:val="21"/>
                      <w:szCs w:val="21"/>
                      <w:highlight w:val="none"/>
                    </w:rPr>
                  </w:pPr>
                  <w:r>
                    <w:rPr>
                      <w:color w:val="auto"/>
                      <w:sz w:val="21"/>
                      <w:szCs w:val="21"/>
                      <w:highlight w:val="none"/>
                    </w:rPr>
                    <w:t>&gt;2</w:t>
                  </w:r>
                </w:p>
              </w:tc>
              <w:tc>
                <w:tcPr>
                  <w:tcW w:w="2140" w:type="dxa"/>
                  <w:gridSpan w:val="3"/>
                  <w:shd w:val="clear" w:color="auto" w:fill="B3B3B3"/>
                  <w:noWrap w:val="0"/>
                  <w:vAlign w:val="center"/>
                </w:tcPr>
                <w:p w14:paraId="7807A7FA">
                  <w:pPr>
                    <w:adjustRightInd w:val="0"/>
                    <w:snapToGrid w:val="0"/>
                    <w:spacing w:line="240" w:lineRule="auto"/>
                    <w:ind w:firstLine="0" w:firstLineChars="0"/>
                    <w:jc w:val="center"/>
                    <w:rPr>
                      <w:color w:val="auto"/>
                      <w:sz w:val="21"/>
                      <w:szCs w:val="21"/>
                      <w:highlight w:val="none"/>
                    </w:rPr>
                  </w:pPr>
                  <w:r>
                    <w:rPr>
                      <w:color w:val="auto"/>
                      <w:sz w:val="21"/>
                      <w:szCs w:val="21"/>
                      <w:highlight w:val="none"/>
                    </w:rPr>
                    <w:t>0.021</w:t>
                  </w:r>
                </w:p>
              </w:tc>
              <w:tc>
                <w:tcPr>
                  <w:tcW w:w="2142" w:type="dxa"/>
                  <w:gridSpan w:val="3"/>
                  <w:noWrap w:val="0"/>
                  <w:vAlign w:val="center"/>
                </w:tcPr>
                <w:p w14:paraId="01D8BACF">
                  <w:pPr>
                    <w:adjustRightInd w:val="0"/>
                    <w:snapToGrid w:val="0"/>
                    <w:spacing w:line="240" w:lineRule="auto"/>
                    <w:ind w:firstLine="0" w:firstLineChars="0"/>
                    <w:jc w:val="center"/>
                    <w:rPr>
                      <w:color w:val="auto"/>
                      <w:sz w:val="21"/>
                      <w:szCs w:val="21"/>
                      <w:highlight w:val="none"/>
                    </w:rPr>
                  </w:pPr>
                  <w:r>
                    <w:rPr>
                      <w:color w:val="auto"/>
                      <w:sz w:val="21"/>
                      <w:szCs w:val="21"/>
                      <w:highlight w:val="none"/>
                    </w:rPr>
                    <w:t>0.036</w:t>
                  </w:r>
                </w:p>
              </w:tc>
              <w:tc>
                <w:tcPr>
                  <w:tcW w:w="2140" w:type="dxa"/>
                  <w:gridSpan w:val="3"/>
                  <w:noWrap w:val="0"/>
                  <w:vAlign w:val="center"/>
                </w:tcPr>
                <w:p w14:paraId="1153E251">
                  <w:pPr>
                    <w:adjustRightInd w:val="0"/>
                    <w:snapToGrid w:val="0"/>
                    <w:spacing w:line="240" w:lineRule="auto"/>
                    <w:ind w:firstLine="0" w:firstLineChars="0"/>
                    <w:jc w:val="center"/>
                    <w:rPr>
                      <w:color w:val="auto"/>
                      <w:sz w:val="21"/>
                      <w:szCs w:val="21"/>
                      <w:highlight w:val="none"/>
                    </w:rPr>
                  </w:pPr>
                  <w:r>
                    <w:rPr>
                      <w:color w:val="auto"/>
                      <w:sz w:val="21"/>
                      <w:szCs w:val="21"/>
                      <w:highlight w:val="none"/>
                    </w:rPr>
                    <w:t>0.036</w:t>
                  </w:r>
                </w:p>
              </w:tc>
            </w:tr>
            <w:tr w14:paraId="47A3B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21" w:type="dxa"/>
                  <w:vMerge w:val="restart"/>
                  <w:noWrap w:val="0"/>
                  <w:vAlign w:val="center"/>
                </w:tcPr>
                <w:p w14:paraId="44DA8B78">
                  <w:pPr>
                    <w:adjustRightInd w:val="0"/>
                    <w:snapToGrid w:val="0"/>
                    <w:spacing w:line="240" w:lineRule="auto"/>
                    <w:ind w:firstLine="0" w:firstLineChars="0"/>
                    <w:jc w:val="center"/>
                    <w:rPr>
                      <w:color w:val="auto"/>
                      <w:sz w:val="21"/>
                      <w:szCs w:val="21"/>
                      <w:highlight w:val="none"/>
                    </w:rPr>
                  </w:pPr>
                  <w:r>
                    <w:rPr>
                      <w:color w:val="auto"/>
                      <w:sz w:val="21"/>
                      <w:szCs w:val="21"/>
                      <w:highlight w:val="none"/>
                    </w:rPr>
                    <w:t>C</w:t>
                  </w:r>
                </w:p>
              </w:tc>
              <w:tc>
                <w:tcPr>
                  <w:tcW w:w="1108" w:type="dxa"/>
                  <w:noWrap w:val="0"/>
                  <w:vAlign w:val="center"/>
                </w:tcPr>
                <w:p w14:paraId="29F3A89E">
                  <w:pPr>
                    <w:adjustRightInd w:val="0"/>
                    <w:snapToGrid w:val="0"/>
                    <w:spacing w:line="240" w:lineRule="auto"/>
                    <w:ind w:firstLine="0" w:firstLineChars="0"/>
                    <w:jc w:val="center"/>
                    <w:rPr>
                      <w:color w:val="auto"/>
                      <w:sz w:val="21"/>
                      <w:szCs w:val="21"/>
                      <w:highlight w:val="none"/>
                    </w:rPr>
                  </w:pPr>
                  <w:r>
                    <w:rPr>
                      <w:color w:val="auto"/>
                      <w:sz w:val="21"/>
                      <w:szCs w:val="21"/>
                      <w:highlight w:val="none"/>
                    </w:rPr>
                    <w:t>&lt;2</w:t>
                  </w:r>
                </w:p>
              </w:tc>
              <w:tc>
                <w:tcPr>
                  <w:tcW w:w="2140" w:type="dxa"/>
                  <w:gridSpan w:val="3"/>
                  <w:noWrap w:val="0"/>
                  <w:vAlign w:val="center"/>
                </w:tcPr>
                <w:p w14:paraId="56AB139B">
                  <w:pPr>
                    <w:adjustRightInd w:val="0"/>
                    <w:snapToGrid w:val="0"/>
                    <w:spacing w:line="240" w:lineRule="auto"/>
                    <w:ind w:firstLine="0" w:firstLineChars="0"/>
                    <w:jc w:val="center"/>
                    <w:rPr>
                      <w:color w:val="auto"/>
                      <w:sz w:val="21"/>
                      <w:szCs w:val="21"/>
                      <w:highlight w:val="none"/>
                    </w:rPr>
                  </w:pPr>
                  <w:r>
                    <w:rPr>
                      <w:color w:val="auto"/>
                      <w:sz w:val="21"/>
                      <w:szCs w:val="21"/>
                      <w:highlight w:val="none"/>
                    </w:rPr>
                    <w:t>1.85</w:t>
                  </w:r>
                </w:p>
              </w:tc>
              <w:tc>
                <w:tcPr>
                  <w:tcW w:w="2142" w:type="dxa"/>
                  <w:gridSpan w:val="3"/>
                  <w:noWrap w:val="0"/>
                  <w:vAlign w:val="center"/>
                </w:tcPr>
                <w:p w14:paraId="374CA71D">
                  <w:pPr>
                    <w:adjustRightInd w:val="0"/>
                    <w:snapToGrid w:val="0"/>
                    <w:spacing w:line="240" w:lineRule="auto"/>
                    <w:ind w:firstLine="0" w:firstLineChars="0"/>
                    <w:jc w:val="center"/>
                    <w:rPr>
                      <w:color w:val="auto"/>
                      <w:sz w:val="21"/>
                      <w:szCs w:val="21"/>
                      <w:highlight w:val="none"/>
                    </w:rPr>
                  </w:pPr>
                  <w:r>
                    <w:rPr>
                      <w:color w:val="auto"/>
                      <w:sz w:val="21"/>
                      <w:szCs w:val="21"/>
                      <w:highlight w:val="none"/>
                    </w:rPr>
                    <w:t>1.79</w:t>
                  </w:r>
                </w:p>
              </w:tc>
              <w:tc>
                <w:tcPr>
                  <w:tcW w:w="2140" w:type="dxa"/>
                  <w:gridSpan w:val="3"/>
                  <w:noWrap w:val="0"/>
                  <w:vAlign w:val="center"/>
                </w:tcPr>
                <w:p w14:paraId="5D868962">
                  <w:pPr>
                    <w:adjustRightInd w:val="0"/>
                    <w:snapToGrid w:val="0"/>
                    <w:spacing w:line="240" w:lineRule="auto"/>
                    <w:ind w:firstLine="0" w:firstLineChars="0"/>
                    <w:jc w:val="center"/>
                    <w:rPr>
                      <w:color w:val="auto"/>
                      <w:sz w:val="21"/>
                      <w:szCs w:val="21"/>
                      <w:highlight w:val="none"/>
                    </w:rPr>
                  </w:pPr>
                  <w:r>
                    <w:rPr>
                      <w:color w:val="auto"/>
                      <w:sz w:val="21"/>
                      <w:szCs w:val="21"/>
                      <w:highlight w:val="none"/>
                    </w:rPr>
                    <w:t>1.79</w:t>
                  </w:r>
                </w:p>
              </w:tc>
            </w:tr>
            <w:tr w14:paraId="71172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21" w:type="dxa"/>
                  <w:vMerge w:val="continue"/>
                  <w:shd w:val="clear" w:color="auto" w:fill="auto"/>
                  <w:noWrap w:val="0"/>
                  <w:vAlign w:val="center"/>
                </w:tcPr>
                <w:p w14:paraId="418511BE">
                  <w:pPr>
                    <w:adjustRightInd w:val="0"/>
                    <w:snapToGrid w:val="0"/>
                    <w:spacing w:line="240" w:lineRule="auto"/>
                    <w:ind w:firstLine="0" w:firstLineChars="0"/>
                    <w:jc w:val="center"/>
                    <w:rPr>
                      <w:color w:val="auto"/>
                      <w:sz w:val="21"/>
                      <w:szCs w:val="21"/>
                      <w:highlight w:val="none"/>
                    </w:rPr>
                  </w:pPr>
                </w:p>
              </w:tc>
              <w:tc>
                <w:tcPr>
                  <w:tcW w:w="1108" w:type="dxa"/>
                  <w:shd w:val="clear" w:color="auto" w:fill="auto"/>
                  <w:noWrap w:val="0"/>
                  <w:vAlign w:val="center"/>
                </w:tcPr>
                <w:p w14:paraId="05FE64FF">
                  <w:pPr>
                    <w:adjustRightInd w:val="0"/>
                    <w:snapToGrid w:val="0"/>
                    <w:spacing w:line="240" w:lineRule="auto"/>
                    <w:ind w:firstLine="0" w:firstLineChars="0"/>
                    <w:jc w:val="center"/>
                    <w:rPr>
                      <w:color w:val="auto"/>
                      <w:sz w:val="21"/>
                      <w:szCs w:val="21"/>
                      <w:highlight w:val="none"/>
                    </w:rPr>
                  </w:pPr>
                  <w:r>
                    <w:rPr>
                      <w:color w:val="auto"/>
                      <w:sz w:val="21"/>
                      <w:szCs w:val="21"/>
                      <w:highlight w:val="none"/>
                    </w:rPr>
                    <w:t>&gt;2</w:t>
                  </w:r>
                </w:p>
              </w:tc>
              <w:tc>
                <w:tcPr>
                  <w:tcW w:w="2140" w:type="dxa"/>
                  <w:gridSpan w:val="3"/>
                  <w:shd w:val="clear" w:color="auto" w:fill="B3B3B3"/>
                  <w:noWrap w:val="0"/>
                  <w:vAlign w:val="center"/>
                </w:tcPr>
                <w:p w14:paraId="7C83B187">
                  <w:pPr>
                    <w:adjustRightInd w:val="0"/>
                    <w:snapToGrid w:val="0"/>
                    <w:spacing w:line="240" w:lineRule="auto"/>
                    <w:ind w:firstLine="0" w:firstLineChars="0"/>
                    <w:jc w:val="center"/>
                    <w:rPr>
                      <w:color w:val="auto"/>
                      <w:sz w:val="21"/>
                      <w:szCs w:val="21"/>
                      <w:highlight w:val="none"/>
                    </w:rPr>
                  </w:pPr>
                  <w:r>
                    <w:rPr>
                      <w:color w:val="auto"/>
                      <w:sz w:val="21"/>
                      <w:szCs w:val="21"/>
                      <w:highlight w:val="none"/>
                    </w:rPr>
                    <w:t>1.85</w:t>
                  </w:r>
                </w:p>
              </w:tc>
              <w:tc>
                <w:tcPr>
                  <w:tcW w:w="2142" w:type="dxa"/>
                  <w:gridSpan w:val="3"/>
                  <w:noWrap w:val="0"/>
                  <w:vAlign w:val="center"/>
                </w:tcPr>
                <w:p w14:paraId="7E4C6063">
                  <w:pPr>
                    <w:adjustRightInd w:val="0"/>
                    <w:snapToGrid w:val="0"/>
                    <w:spacing w:line="240" w:lineRule="auto"/>
                    <w:ind w:firstLine="0" w:firstLineChars="0"/>
                    <w:jc w:val="center"/>
                    <w:rPr>
                      <w:color w:val="auto"/>
                      <w:sz w:val="21"/>
                      <w:szCs w:val="21"/>
                      <w:highlight w:val="none"/>
                    </w:rPr>
                  </w:pPr>
                  <w:r>
                    <w:rPr>
                      <w:color w:val="auto"/>
                      <w:sz w:val="21"/>
                      <w:szCs w:val="21"/>
                      <w:highlight w:val="none"/>
                    </w:rPr>
                    <w:t>1.77</w:t>
                  </w:r>
                </w:p>
              </w:tc>
              <w:tc>
                <w:tcPr>
                  <w:tcW w:w="2140" w:type="dxa"/>
                  <w:gridSpan w:val="3"/>
                  <w:noWrap w:val="0"/>
                  <w:vAlign w:val="center"/>
                </w:tcPr>
                <w:p w14:paraId="662ECBA3">
                  <w:pPr>
                    <w:adjustRightInd w:val="0"/>
                    <w:snapToGrid w:val="0"/>
                    <w:spacing w:line="240" w:lineRule="auto"/>
                    <w:ind w:firstLine="0" w:firstLineChars="0"/>
                    <w:jc w:val="center"/>
                    <w:rPr>
                      <w:color w:val="auto"/>
                      <w:sz w:val="21"/>
                      <w:szCs w:val="21"/>
                      <w:highlight w:val="none"/>
                    </w:rPr>
                  </w:pPr>
                  <w:r>
                    <w:rPr>
                      <w:color w:val="auto"/>
                      <w:sz w:val="21"/>
                      <w:szCs w:val="21"/>
                      <w:highlight w:val="none"/>
                    </w:rPr>
                    <w:t>1.77</w:t>
                  </w:r>
                </w:p>
              </w:tc>
            </w:tr>
            <w:tr w14:paraId="4425C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21" w:type="dxa"/>
                  <w:vMerge w:val="restart"/>
                  <w:noWrap w:val="0"/>
                  <w:vAlign w:val="center"/>
                </w:tcPr>
                <w:p w14:paraId="0146DBB8">
                  <w:pPr>
                    <w:adjustRightInd w:val="0"/>
                    <w:snapToGrid w:val="0"/>
                    <w:spacing w:line="240" w:lineRule="auto"/>
                    <w:ind w:firstLine="0" w:firstLineChars="0"/>
                    <w:jc w:val="center"/>
                    <w:rPr>
                      <w:color w:val="auto"/>
                      <w:sz w:val="21"/>
                      <w:szCs w:val="21"/>
                      <w:highlight w:val="none"/>
                    </w:rPr>
                  </w:pPr>
                  <w:r>
                    <w:rPr>
                      <w:color w:val="auto"/>
                      <w:sz w:val="21"/>
                      <w:szCs w:val="21"/>
                      <w:highlight w:val="none"/>
                    </w:rPr>
                    <w:t>D</w:t>
                  </w:r>
                </w:p>
              </w:tc>
              <w:tc>
                <w:tcPr>
                  <w:tcW w:w="1108" w:type="dxa"/>
                  <w:noWrap w:val="0"/>
                  <w:vAlign w:val="center"/>
                </w:tcPr>
                <w:p w14:paraId="6FFCCDDF">
                  <w:pPr>
                    <w:adjustRightInd w:val="0"/>
                    <w:snapToGrid w:val="0"/>
                    <w:spacing w:line="240" w:lineRule="auto"/>
                    <w:ind w:firstLine="0" w:firstLineChars="0"/>
                    <w:jc w:val="center"/>
                    <w:rPr>
                      <w:color w:val="auto"/>
                      <w:sz w:val="21"/>
                      <w:szCs w:val="21"/>
                      <w:highlight w:val="none"/>
                    </w:rPr>
                  </w:pPr>
                  <w:r>
                    <w:rPr>
                      <w:color w:val="auto"/>
                      <w:sz w:val="21"/>
                      <w:szCs w:val="21"/>
                      <w:highlight w:val="none"/>
                    </w:rPr>
                    <w:t>&lt;2</w:t>
                  </w:r>
                </w:p>
              </w:tc>
              <w:tc>
                <w:tcPr>
                  <w:tcW w:w="2140" w:type="dxa"/>
                  <w:gridSpan w:val="3"/>
                  <w:noWrap w:val="0"/>
                  <w:vAlign w:val="center"/>
                </w:tcPr>
                <w:p w14:paraId="1FED1709">
                  <w:pPr>
                    <w:adjustRightInd w:val="0"/>
                    <w:snapToGrid w:val="0"/>
                    <w:spacing w:line="240" w:lineRule="auto"/>
                    <w:ind w:firstLine="0" w:firstLineChars="0"/>
                    <w:jc w:val="center"/>
                    <w:rPr>
                      <w:color w:val="auto"/>
                      <w:sz w:val="21"/>
                      <w:szCs w:val="21"/>
                      <w:highlight w:val="none"/>
                    </w:rPr>
                  </w:pPr>
                  <w:r>
                    <w:rPr>
                      <w:color w:val="auto"/>
                      <w:sz w:val="21"/>
                      <w:szCs w:val="21"/>
                      <w:highlight w:val="none"/>
                    </w:rPr>
                    <w:t>0.78</w:t>
                  </w:r>
                </w:p>
              </w:tc>
              <w:tc>
                <w:tcPr>
                  <w:tcW w:w="2142" w:type="dxa"/>
                  <w:gridSpan w:val="3"/>
                  <w:noWrap w:val="0"/>
                  <w:vAlign w:val="center"/>
                </w:tcPr>
                <w:p w14:paraId="5A2F80A1">
                  <w:pPr>
                    <w:adjustRightInd w:val="0"/>
                    <w:snapToGrid w:val="0"/>
                    <w:spacing w:line="240" w:lineRule="auto"/>
                    <w:ind w:firstLine="0" w:firstLineChars="0"/>
                    <w:jc w:val="center"/>
                    <w:rPr>
                      <w:color w:val="auto"/>
                      <w:sz w:val="21"/>
                      <w:szCs w:val="21"/>
                      <w:highlight w:val="none"/>
                    </w:rPr>
                  </w:pPr>
                  <w:r>
                    <w:rPr>
                      <w:color w:val="auto"/>
                      <w:sz w:val="21"/>
                      <w:szCs w:val="21"/>
                      <w:highlight w:val="none"/>
                    </w:rPr>
                    <w:t>0.78</w:t>
                  </w:r>
                </w:p>
              </w:tc>
              <w:tc>
                <w:tcPr>
                  <w:tcW w:w="2140" w:type="dxa"/>
                  <w:gridSpan w:val="3"/>
                  <w:noWrap w:val="0"/>
                  <w:vAlign w:val="center"/>
                </w:tcPr>
                <w:p w14:paraId="3C3D593A">
                  <w:pPr>
                    <w:adjustRightInd w:val="0"/>
                    <w:snapToGrid w:val="0"/>
                    <w:spacing w:line="240" w:lineRule="auto"/>
                    <w:ind w:firstLine="0" w:firstLineChars="0"/>
                    <w:jc w:val="center"/>
                    <w:rPr>
                      <w:color w:val="auto"/>
                      <w:sz w:val="21"/>
                      <w:szCs w:val="21"/>
                      <w:highlight w:val="none"/>
                    </w:rPr>
                  </w:pPr>
                  <w:r>
                    <w:rPr>
                      <w:color w:val="auto"/>
                      <w:sz w:val="21"/>
                      <w:szCs w:val="21"/>
                      <w:highlight w:val="none"/>
                    </w:rPr>
                    <w:t>0.57</w:t>
                  </w:r>
                </w:p>
              </w:tc>
            </w:tr>
            <w:tr w14:paraId="5C2A7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1221" w:type="dxa"/>
                  <w:vMerge w:val="continue"/>
                  <w:shd w:val="clear" w:color="auto" w:fill="auto"/>
                  <w:noWrap w:val="0"/>
                  <w:vAlign w:val="center"/>
                </w:tcPr>
                <w:p w14:paraId="65D44610">
                  <w:pPr>
                    <w:adjustRightInd w:val="0"/>
                    <w:snapToGrid w:val="0"/>
                    <w:spacing w:line="240" w:lineRule="auto"/>
                    <w:ind w:firstLine="0" w:firstLineChars="0"/>
                    <w:jc w:val="center"/>
                    <w:rPr>
                      <w:color w:val="auto"/>
                      <w:sz w:val="21"/>
                      <w:szCs w:val="21"/>
                      <w:highlight w:val="none"/>
                    </w:rPr>
                  </w:pPr>
                </w:p>
              </w:tc>
              <w:tc>
                <w:tcPr>
                  <w:tcW w:w="1108" w:type="dxa"/>
                  <w:shd w:val="clear" w:color="auto" w:fill="auto"/>
                  <w:noWrap w:val="0"/>
                  <w:vAlign w:val="center"/>
                </w:tcPr>
                <w:p w14:paraId="122CE504">
                  <w:pPr>
                    <w:adjustRightInd w:val="0"/>
                    <w:snapToGrid w:val="0"/>
                    <w:spacing w:line="240" w:lineRule="auto"/>
                    <w:ind w:firstLine="0" w:firstLineChars="0"/>
                    <w:jc w:val="center"/>
                    <w:rPr>
                      <w:color w:val="auto"/>
                      <w:sz w:val="21"/>
                      <w:szCs w:val="21"/>
                      <w:highlight w:val="none"/>
                    </w:rPr>
                  </w:pPr>
                  <w:r>
                    <w:rPr>
                      <w:color w:val="auto"/>
                      <w:sz w:val="21"/>
                      <w:szCs w:val="21"/>
                      <w:highlight w:val="none"/>
                    </w:rPr>
                    <w:t>&gt;2</w:t>
                  </w:r>
                </w:p>
              </w:tc>
              <w:tc>
                <w:tcPr>
                  <w:tcW w:w="2140" w:type="dxa"/>
                  <w:gridSpan w:val="3"/>
                  <w:shd w:val="clear" w:color="auto" w:fill="B3B3B3"/>
                  <w:noWrap w:val="0"/>
                  <w:vAlign w:val="center"/>
                </w:tcPr>
                <w:p w14:paraId="5AF65839">
                  <w:pPr>
                    <w:adjustRightInd w:val="0"/>
                    <w:snapToGrid w:val="0"/>
                    <w:spacing w:line="240" w:lineRule="auto"/>
                    <w:ind w:firstLine="0" w:firstLineChars="0"/>
                    <w:jc w:val="center"/>
                    <w:rPr>
                      <w:color w:val="auto"/>
                      <w:sz w:val="21"/>
                      <w:szCs w:val="21"/>
                      <w:highlight w:val="none"/>
                    </w:rPr>
                  </w:pPr>
                  <w:r>
                    <w:rPr>
                      <w:color w:val="auto"/>
                      <w:sz w:val="21"/>
                      <w:szCs w:val="21"/>
                      <w:highlight w:val="none"/>
                    </w:rPr>
                    <w:t>0.84</w:t>
                  </w:r>
                </w:p>
              </w:tc>
              <w:tc>
                <w:tcPr>
                  <w:tcW w:w="2142" w:type="dxa"/>
                  <w:gridSpan w:val="3"/>
                  <w:noWrap w:val="0"/>
                  <w:vAlign w:val="center"/>
                </w:tcPr>
                <w:p w14:paraId="2F07DE6E">
                  <w:pPr>
                    <w:adjustRightInd w:val="0"/>
                    <w:snapToGrid w:val="0"/>
                    <w:spacing w:line="240" w:lineRule="auto"/>
                    <w:ind w:firstLine="0" w:firstLineChars="0"/>
                    <w:jc w:val="center"/>
                    <w:rPr>
                      <w:color w:val="auto"/>
                      <w:sz w:val="21"/>
                      <w:szCs w:val="21"/>
                      <w:highlight w:val="none"/>
                    </w:rPr>
                  </w:pPr>
                  <w:r>
                    <w:rPr>
                      <w:color w:val="auto"/>
                      <w:sz w:val="21"/>
                      <w:szCs w:val="21"/>
                      <w:highlight w:val="none"/>
                    </w:rPr>
                    <w:t>0.84</w:t>
                  </w:r>
                </w:p>
              </w:tc>
              <w:tc>
                <w:tcPr>
                  <w:tcW w:w="2140" w:type="dxa"/>
                  <w:gridSpan w:val="3"/>
                  <w:noWrap w:val="0"/>
                  <w:vAlign w:val="center"/>
                </w:tcPr>
                <w:p w14:paraId="6E6E8B96">
                  <w:pPr>
                    <w:adjustRightInd w:val="0"/>
                    <w:snapToGrid w:val="0"/>
                    <w:spacing w:line="240" w:lineRule="auto"/>
                    <w:ind w:firstLine="0" w:firstLineChars="0"/>
                    <w:jc w:val="center"/>
                    <w:rPr>
                      <w:color w:val="auto"/>
                      <w:sz w:val="21"/>
                      <w:szCs w:val="21"/>
                      <w:highlight w:val="none"/>
                    </w:rPr>
                  </w:pPr>
                  <w:r>
                    <w:rPr>
                      <w:color w:val="auto"/>
                      <w:sz w:val="21"/>
                      <w:szCs w:val="21"/>
                      <w:highlight w:val="none"/>
                    </w:rPr>
                    <w:t>0.76</w:t>
                  </w:r>
                </w:p>
              </w:tc>
            </w:tr>
          </w:tbl>
          <w:p w14:paraId="46A86FA1">
            <w:pPr>
              <w:ind w:firstLine="482"/>
              <w:rPr>
                <w:b/>
                <w:color w:val="auto"/>
                <w:szCs w:val="21"/>
                <w:highlight w:val="none"/>
              </w:rPr>
            </w:pPr>
            <w:r>
              <w:rPr>
                <w:b/>
                <w:color w:val="auto"/>
                <w:szCs w:val="21"/>
                <w:highlight w:val="none"/>
              </w:rPr>
              <w:t>注：标注底纹的为建设项目计算取值。</w:t>
            </w:r>
          </w:p>
          <w:p w14:paraId="3AF62233">
            <w:pPr>
              <w:pStyle w:val="58"/>
              <w:ind w:firstLine="480"/>
              <w:rPr>
                <w:b/>
                <w:color w:val="auto"/>
                <w:highlight w:val="none"/>
              </w:rPr>
            </w:pPr>
            <w:r>
              <w:rPr>
                <w:color w:val="auto"/>
                <w:highlight w:val="none"/>
              </w:rPr>
              <w:t>本项目的卫生防护距离计算结果见下表。</w:t>
            </w:r>
          </w:p>
          <w:p w14:paraId="3F130ED3">
            <w:pPr>
              <w:adjustRightInd w:val="0"/>
              <w:snapToGrid w:val="0"/>
              <w:spacing w:line="240" w:lineRule="auto"/>
              <w:ind w:firstLine="0" w:firstLineChars="0"/>
              <w:jc w:val="center"/>
              <w:rPr>
                <w:b/>
                <w:color w:val="auto"/>
                <w:highlight w:val="none"/>
              </w:rPr>
            </w:pPr>
            <w:r>
              <w:rPr>
                <w:b/>
                <w:color w:val="auto"/>
                <w:highlight w:val="none"/>
              </w:rPr>
              <w:t>表4-</w:t>
            </w:r>
            <w:r>
              <w:rPr>
                <w:rFonts w:hint="eastAsia"/>
                <w:b/>
                <w:color w:val="auto"/>
                <w:highlight w:val="none"/>
                <w:lang w:val="en-US" w:eastAsia="zh-CN"/>
              </w:rPr>
              <w:t>2</w:t>
            </w:r>
            <w:r>
              <w:rPr>
                <w:b/>
                <w:color w:val="auto"/>
                <w:highlight w:val="none"/>
              </w:rPr>
              <w:t xml:space="preserve">  卫生防护距离计算结果表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48"/>
              <w:gridCol w:w="859"/>
              <w:gridCol w:w="912"/>
              <w:gridCol w:w="928"/>
              <w:gridCol w:w="1106"/>
              <w:gridCol w:w="521"/>
              <w:gridCol w:w="657"/>
              <w:gridCol w:w="615"/>
              <w:gridCol w:w="570"/>
              <w:gridCol w:w="896"/>
              <w:gridCol w:w="683"/>
            </w:tblGrid>
            <w:tr w14:paraId="16528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748" w:type="dxa"/>
                  <w:vMerge w:val="restart"/>
                  <w:noWrap w:val="0"/>
                  <w:vAlign w:val="center"/>
                </w:tcPr>
                <w:p w14:paraId="4E2656F1">
                  <w:pPr>
                    <w:adjustRightInd w:val="0"/>
                    <w:snapToGrid w:val="0"/>
                    <w:spacing w:line="240" w:lineRule="auto"/>
                    <w:ind w:firstLine="0" w:firstLineChars="0"/>
                    <w:jc w:val="center"/>
                    <w:rPr>
                      <w:b/>
                      <w:color w:val="auto"/>
                      <w:sz w:val="21"/>
                      <w:szCs w:val="21"/>
                      <w:highlight w:val="none"/>
                    </w:rPr>
                  </w:pPr>
                  <w:r>
                    <w:rPr>
                      <w:b/>
                      <w:color w:val="auto"/>
                      <w:sz w:val="21"/>
                      <w:szCs w:val="21"/>
                      <w:highlight w:val="none"/>
                    </w:rPr>
                    <w:t>污染源</w:t>
                  </w:r>
                </w:p>
              </w:tc>
              <w:tc>
                <w:tcPr>
                  <w:tcW w:w="859" w:type="dxa"/>
                  <w:vMerge w:val="restart"/>
                  <w:noWrap w:val="0"/>
                  <w:vAlign w:val="center"/>
                </w:tcPr>
                <w:p w14:paraId="1498948A">
                  <w:pPr>
                    <w:adjustRightInd w:val="0"/>
                    <w:snapToGrid w:val="0"/>
                    <w:spacing w:line="240" w:lineRule="auto"/>
                    <w:ind w:firstLine="0" w:firstLineChars="0"/>
                    <w:jc w:val="center"/>
                    <w:rPr>
                      <w:b/>
                      <w:color w:val="auto"/>
                      <w:sz w:val="21"/>
                      <w:szCs w:val="21"/>
                      <w:highlight w:val="none"/>
                    </w:rPr>
                  </w:pPr>
                  <w:r>
                    <w:rPr>
                      <w:b/>
                      <w:color w:val="auto"/>
                      <w:sz w:val="21"/>
                      <w:szCs w:val="21"/>
                      <w:highlight w:val="none"/>
                    </w:rPr>
                    <w:t>污染物名称</w:t>
                  </w:r>
                </w:p>
              </w:tc>
              <w:tc>
                <w:tcPr>
                  <w:tcW w:w="912" w:type="dxa"/>
                  <w:vMerge w:val="restart"/>
                  <w:noWrap w:val="0"/>
                  <w:vAlign w:val="center"/>
                </w:tcPr>
                <w:p w14:paraId="1187A991">
                  <w:pPr>
                    <w:adjustRightInd w:val="0"/>
                    <w:snapToGrid w:val="0"/>
                    <w:spacing w:line="240" w:lineRule="auto"/>
                    <w:ind w:firstLine="0" w:firstLineChars="0"/>
                    <w:jc w:val="center"/>
                    <w:rPr>
                      <w:b/>
                      <w:color w:val="auto"/>
                      <w:sz w:val="21"/>
                      <w:szCs w:val="21"/>
                      <w:highlight w:val="none"/>
                    </w:rPr>
                  </w:pPr>
                  <w:r>
                    <w:rPr>
                      <w:b/>
                      <w:color w:val="auto"/>
                      <w:sz w:val="21"/>
                      <w:szCs w:val="21"/>
                      <w:highlight w:val="none"/>
                    </w:rPr>
                    <w:t>面源面积（m</w:t>
                  </w:r>
                  <w:r>
                    <w:rPr>
                      <w:b/>
                      <w:color w:val="auto"/>
                      <w:sz w:val="21"/>
                      <w:szCs w:val="21"/>
                      <w:highlight w:val="none"/>
                      <w:vertAlign w:val="superscript"/>
                    </w:rPr>
                    <w:t>2</w:t>
                  </w:r>
                  <w:r>
                    <w:rPr>
                      <w:b/>
                      <w:color w:val="auto"/>
                      <w:sz w:val="21"/>
                      <w:szCs w:val="21"/>
                      <w:highlight w:val="none"/>
                    </w:rPr>
                    <w:t>）</w:t>
                  </w:r>
                </w:p>
              </w:tc>
              <w:tc>
                <w:tcPr>
                  <w:tcW w:w="928" w:type="dxa"/>
                  <w:vMerge w:val="restart"/>
                  <w:noWrap w:val="0"/>
                  <w:vAlign w:val="center"/>
                </w:tcPr>
                <w:p w14:paraId="5C0E681D">
                  <w:pPr>
                    <w:adjustRightInd w:val="0"/>
                    <w:snapToGrid w:val="0"/>
                    <w:spacing w:line="240" w:lineRule="auto"/>
                    <w:ind w:firstLine="0" w:firstLineChars="0"/>
                    <w:jc w:val="center"/>
                    <w:rPr>
                      <w:b/>
                      <w:color w:val="auto"/>
                      <w:sz w:val="21"/>
                      <w:szCs w:val="21"/>
                      <w:highlight w:val="none"/>
                    </w:rPr>
                  </w:pPr>
                  <w:r>
                    <w:rPr>
                      <w:b/>
                      <w:color w:val="auto"/>
                      <w:sz w:val="21"/>
                      <w:szCs w:val="21"/>
                      <w:highlight w:val="none"/>
                    </w:rPr>
                    <w:t>排放源强（kg/h）</w:t>
                  </w:r>
                </w:p>
              </w:tc>
              <w:tc>
                <w:tcPr>
                  <w:tcW w:w="3469" w:type="dxa"/>
                  <w:gridSpan w:val="5"/>
                  <w:noWrap w:val="0"/>
                  <w:vAlign w:val="center"/>
                </w:tcPr>
                <w:p w14:paraId="76FCDDD7">
                  <w:pPr>
                    <w:adjustRightInd w:val="0"/>
                    <w:snapToGrid w:val="0"/>
                    <w:spacing w:line="240" w:lineRule="auto"/>
                    <w:ind w:firstLine="0" w:firstLineChars="0"/>
                    <w:jc w:val="center"/>
                    <w:rPr>
                      <w:b/>
                      <w:color w:val="auto"/>
                      <w:sz w:val="21"/>
                      <w:szCs w:val="21"/>
                      <w:highlight w:val="none"/>
                    </w:rPr>
                  </w:pPr>
                  <w:r>
                    <w:rPr>
                      <w:b/>
                      <w:color w:val="auto"/>
                      <w:sz w:val="21"/>
                      <w:szCs w:val="21"/>
                      <w:highlight w:val="none"/>
                    </w:rPr>
                    <w:t>计算参数</w:t>
                  </w:r>
                </w:p>
              </w:tc>
              <w:tc>
                <w:tcPr>
                  <w:tcW w:w="1579" w:type="dxa"/>
                  <w:gridSpan w:val="2"/>
                  <w:noWrap w:val="0"/>
                  <w:vAlign w:val="center"/>
                </w:tcPr>
                <w:p w14:paraId="5907A5FE">
                  <w:pPr>
                    <w:adjustRightInd w:val="0"/>
                    <w:snapToGrid w:val="0"/>
                    <w:spacing w:line="240" w:lineRule="auto"/>
                    <w:ind w:firstLine="0" w:firstLineChars="0"/>
                    <w:jc w:val="center"/>
                    <w:rPr>
                      <w:b/>
                      <w:color w:val="auto"/>
                      <w:sz w:val="21"/>
                      <w:szCs w:val="21"/>
                      <w:highlight w:val="none"/>
                    </w:rPr>
                  </w:pPr>
                  <w:r>
                    <w:rPr>
                      <w:b/>
                      <w:color w:val="auto"/>
                      <w:sz w:val="21"/>
                      <w:szCs w:val="21"/>
                      <w:highlight w:val="none"/>
                    </w:rPr>
                    <w:t>计算结果</w:t>
                  </w:r>
                </w:p>
              </w:tc>
            </w:tr>
            <w:tr w14:paraId="081C5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9" w:hRule="atLeast"/>
                <w:jc w:val="center"/>
              </w:trPr>
              <w:tc>
                <w:tcPr>
                  <w:tcW w:w="748" w:type="dxa"/>
                  <w:vMerge w:val="continue"/>
                  <w:noWrap w:val="0"/>
                  <w:vAlign w:val="center"/>
                </w:tcPr>
                <w:p w14:paraId="284AE221">
                  <w:pPr>
                    <w:adjustRightInd w:val="0"/>
                    <w:snapToGrid w:val="0"/>
                    <w:spacing w:line="240" w:lineRule="auto"/>
                    <w:ind w:firstLine="0" w:firstLineChars="0"/>
                    <w:jc w:val="center"/>
                    <w:rPr>
                      <w:b/>
                      <w:color w:val="auto"/>
                      <w:sz w:val="21"/>
                      <w:szCs w:val="21"/>
                      <w:highlight w:val="none"/>
                    </w:rPr>
                  </w:pPr>
                </w:p>
              </w:tc>
              <w:tc>
                <w:tcPr>
                  <w:tcW w:w="859" w:type="dxa"/>
                  <w:vMerge w:val="continue"/>
                  <w:noWrap w:val="0"/>
                  <w:vAlign w:val="center"/>
                </w:tcPr>
                <w:p w14:paraId="0DFCB681">
                  <w:pPr>
                    <w:adjustRightInd w:val="0"/>
                    <w:snapToGrid w:val="0"/>
                    <w:spacing w:line="240" w:lineRule="auto"/>
                    <w:ind w:firstLine="0" w:firstLineChars="0"/>
                    <w:jc w:val="center"/>
                    <w:rPr>
                      <w:b/>
                      <w:color w:val="auto"/>
                      <w:sz w:val="21"/>
                      <w:szCs w:val="21"/>
                      <w:highlight w:val="none"/>
                    </w:rPr>
                  </w:pPr>
                </w:p>
              </w:tc>
              <w:tc>
                <w:tcPr>
                  <w:tcW w:w="912" w:type="dxa"/>
                  <w:vMerge w:val="continue"/>
                  <w:noWrap w:val="0"/>
                  <w:vAlign w:val="center"/>
                </w:tcPr>
                <w:p w14:paraId="079067B9">
                  <w:pPr>
                    <w:adjustRightInd w:val="0"/>
                    <w:snapToGrid w:val="0"/>
                    <w:spacing w:line="240" w:lineRule="auto"/>
                    <w:ind w:firstLine="0" w:firstLineChars="0"/>
                    <w:jc w:val="center"/>
                    <w:rPr>
                      <w:b/>
                      <w:color w:val="auto"/>
                      <w:sz w:val="21"/>
                      <w:szCs w:val="21"/>
                      <w:highlight w:val="none"/>
                    </w:rPr>
                  </w:pPr>
                </w:p>
              </w:tc>
              <w:tc>
                <w:tcPr>
                  <w:tcW w:w="928" w:type="dxa"/>
                  <w:vMerge w:val="continue"/>
                  <w:noWrap w:val="0"/>
                  <w:vAlign w:val="center"/>
                </w:tcPr>
                <w:p w14:paraId="1C0C6F35">
                  <w:pPr>
                    <w:adjustRightInd w:val="0"/>
                    <w:snapToGrid w:val="0"/>
                    <w:spacing w:line="240" w:lineRule="auto"/>
                    <w:ind w:firstLine="0" w:firstLineChars="0"/>
                    <w:jc w:val="center"/>
                    <w:rPr>
                      <w:b/>
                      <w:color w:val="auto"/>
                      <w:sz w:val="21"/>
                      <w:szCs w:val="21"/>
                      <w:highlight w:val="none"/>
                    </w:rPr>
                  </w:pPr>
                </w:p>
              </w:tc>
              <w:tc>
                <w:tcPr>
                  <w:tcW w:w="1106" w:type="dxa"/>
                  <w:noWrap w:val="0"/>
                  <w:vAlign w:val="center"/>
                </w:tcPr>
                <w:p w14:paraId="0A8F3752">
                  <w:pPr>
                    <w:adjustRightInd w:val="0"/>
                    <w:snapToGrid w:val="0"/>
                    <w:spacing w:line="240" w:lineRule="auto"/>
                    <w:ind w:firstLine="0" w:firstLineChars="0"/>
                    <w:jc w:val="center"/>
                    <w:rPr>
                      <w:b/>
                      <w:color w:val="auto"/>
                      <w:sz w:val="21"/>
                      <w:szCs w:val="21"/>
                      <w:highlight w:val="none"/>
                      <w:vertAlign w:val="subscript"/>
                    </w:rPr>
                  </w:pPr>
                  <w:r>
                    <w:rPr>
                      <w:b/>
                      <w:color w:val="auto"/>
                      <w:sz w:val="21"/>
                      <w:szCs w:val="21"/>
                      <w:highlight w:val="none"/>
                    </w:rPr>
                    <w:t>C</w:t>
                  </w:r>
                  <w:r>
                    <w:rPr>
                      <w:b/>
                      <w:color w:val="auto"/>
                      <w:sz w:val="21"/>
                      <w:szCs w:val="21"/>
                      <w:highlight w:val="none"/>
                      <w:vertAlign w:val="subscript"/>
                    </w:rPr>
                    <w:t>0</w:t>
                  </w:r>
                </w:p>
                <w:p w14:paraId="0BFB71E9">
                  <w:pPr>
                    <w:adjustRightInd w:val="0"/>
                    <w:snapToGrid w:val="0"/>
                    <w:spacing w:line="240" w:lineRule="auto"/>
                    <w:ind w:firstLine="0" w:firstLineChars="0"/>
                    <w:jc w:val="center"/>
                    <w:rPr>
                      <w:b/>
                      <w:color w:val="auto"/>
                      <w:sz w:val="21"/>
                      <w:szCs w:val="21"/>
                      <w:highlight w:val="none"/>
                    </w:rPr>
                  </w:pPr>
                  <w:r>
                    <w:rPr>
                      <w:b/>
                      <w:color w:val="auto"/>
                      <w:sz w:val="21"/>
                      <w:szCs w:val="21"/>
                      <w:highlight w:val="none"/>
                    </w:rPr>
                    <w:t>（mg/m</w:t>
                  </w:r>
                  <w:r>
                    <w:rPr>
                      <w:b/>
                      <w:color w:val="auto"/>
                      <w:sz w:val="21"/>
                      <w:szCs w:val="21"/>
                      <w:highlight w:val="none"/>
                      <w:vertAlign w:val="superscript"/>
                    </w:rPr>
                    <w:t>3</w:t>
                  </w:r>
                  <w:r>
                    <w:rPr>
                      <w:b/>
                      <w:color w:val="auto"/>
                      <w:sz w:val="21"/>
                      <w:szCs w:val="21"/>
                      <w:highlight w:val="none"/>
                    </w:rPr>
                    <w:t>）</w:t>
                  </w:r>
                </w:p>
              </w:tc>
              <w:tc>
                <w:tcPr>
                  <w:tcW w:w="521" w:type="dxa"/>
                  <w:noWrap w:val="0"/>
                  <w:vAlign w:val="center"/>
                </w:tcPr>
                <w:p w14:paraId="078D435D">
                  <w:pPr>
                    <w:adjustRightInd w:val="0"/>
                    <w:snapToGrid w:val="0"/>
                    <w:spacing w:line="240" w:lineRule="auto"/>
                    <w:ind w:firstLine="0" w:firstLineChars="0"/>
                    <w:jc w:val="center"/>
                    <w:rPr>
                      <w:b/>
                      <w:color w:val="auto"/>
                      <w:sz w:val="21"/>
                      <w:szCs w:val="21"/>
                      <w:highlight w:val="none"/>
                    </w:rPr>
                  </w:pPr>
                  <w:r>
                    <w:rPr>
                      <w:b/>
                      <w:color w:val="auto"/>
                      <w:sz w:val="21"/>
                      <w:szCs w:val="21"/>
                      <w:highlight w:val="none"/>
                    </w:rPr>
                    <w:t>A</w:t>
                  </w:r>
                </w:p>
              </w:tc>
              <w:tc>
                <w:tcPr>
                  <w:tcW w:w="657" w:type="dxa"/>
                  <w:noWrap w:val="0"/>
                  <w:vAlign w:val="center"/>
                </w:tcPr>
                <w:p w14:paraId="563554E0">
                  <w:pPr>
                    <w:adjustRightInd w:val="0"/>
                    <w:snapToGrid w:val="0"/>
                    <w:spacing w:line="240" w:lineRule="auto"/>
                    <w:ind w:firstLine="0" w:firstLineChars="0"/>
                    <w:jc w:val="center"/>
                    <w:rPr>
                      <w:b/>
                      <w:color w:val="auto"/>
                      <w:sz w:val="21"/>
                      <w:szCs w:val="21"/>
                      <w:highlight w:val="none"/>
                    </w:rPr>
                  </w:pPr>
                  <w:r>
                    <w:rPr>
                      <w:b/>
                      <w:color w:val="auto"/>
                      <w:sz w:val="21"/>
                      <w:szCs w:val="21"/>
                      <w:highlight w:val="none"/>
                    </w:rPr>
                    <w:t>B</w:t>
                  </w:r>
                </w:p>
              </w:tc>
              <w:tc>
                <w:tcPr>
                  <w:tcW w:w="615" w:type="dxa"/>
                  <w:noWrap w:val="0"/>
                  <w:vAlign w:val="center"/>
                </w:tcPr>
                <w:p w14:paraId="74562C7F">
                  <w:pPr>
                    <w:adjustRightInd w:val="0"/>
                    <w:snapToGrid w:val="0"/>
                    <w:spacing w:line="240" w:lineRule="auto"/>
                    <w:ind w:firstLine="0" w:firstLineChars="0"/>
                    <w:jc w:val="center"/>
                    <w:rPr>
                      <w:b/>
                      <w:color w:val="auto"/>
                      <w:sz w:val="21"/>
                      <w:szCs w:val="21"/>
                      <w:highlight w:val="none"/>
                    </w:rPr>
                  </w:pPr>
                  <w:r>
                    <w:rPr>
                      <w:b/>
                      <w:color w:val="auto"/>
                      <w:sz w:val="21"/>
                      <w:szCs w:val="21"/>
                      <w:highlight w:val="none"/>
                    </w:rPr>
                    <w:t>C</w:t>
                  </w:r>
                </w:p>
              </w:tc>
              <w:tc>
                <w:tcPr>
                  <w:tcW w:w="570" w:type="dxa"/>
                  <w:noWrap w:val="0"/>
                  <w:vAlign w:val="center"/>
                </w:tcPr>
                <w:p w14:paraId="2C918E04">
                  <w:pPr>
                    <w:adjustRightInd w:val="0"/>
                    <w:snapToGrid w:val="0"/>
                    <w:spacing w:line="240" w:lineRule="auto"/>
                    <w:ind w:firstLine="0" w:firstLineChars="0"/>
                    <w:jc w:val="center"/>
                    <w:rPr>
                      <w:b/>
                      <w:color w:val="auto"/>
                      <w:sz w:val="21"/>
                      <w:szCs w:val="21"/>
                      <w:highlight w:val="none"/>
                    </w:rPr>
                  </w:pPr>
                  <w:r>
                    <w:rPr>
                      <w:b/>
                      <w:color w:val="auto"/>
                      <w:sz w:val="21"/>
                      <w:szCs w:val="21"/>
                      <w:highlight w:val="none"/>
                    </w:rPr>
                    <w:t>D</w:t>
                  </w:r>
                </w:p>
              </w:tc>
              <w:tc>
                <w:tcPr>
                  <w:tcW w:w="896" w:type="dxa"/>
                  <w:noWrap w:val="0"/>
                  <w:vAlign w:val="center"/>
                </w:tcPr>
                <w:p w14:paraId="43EDC208">
                  <w:pPr>
                    <w:adjustRightInd w:val="0"/>
                    <w:snapToGrid w:val="0"/>
                    <w:spacing w:line="240" w:lineRule="auto"/>
                    <w:ind w:firstLine="0" w:firstLineChars="0"/>
                    <w:jc w:val="center"/>
                    <w:rPr>
                      <w:b/>
                      <w:color w:val="auto"/>
                      <w:sz w:val="21"/>
                      <w:szCs w:val="21"/>
                      <w:highlight w:val="none"/>
                    </w:rPr>
                  </w:pPr>
                  <w:r>
                    <w:rPr>
                      <w:b/>
                      <w:color w:val="auto"/>
                      <w:sz w:val="21"/>
                      <w:szCs w:val="21"/>
                      <w:highlight w:val="none"/>
                    </w:rPr>
                    <w:t>计算值（m）</w:t>
                  </w:r>
                </w:p>
              </w:tc>
              <w:tc>
                <w:tcPr>
                  <w:tcW w:w="683" w:type="dxa"/>
                  <w:noWrap w:val="0"/>
                  <w:vAlign w:val="center"/>
                </w:tcPr>
                <w:p w14:paraId="1573AE0F">
                  <w:pPr>
                    <w:adjustRightInd w:val="0"/>
                    <w:snapToGrid w:val="0"/>
                    <w:spacing w:line="240" w:lineRule="auto"/>
                    <w:ind w:firstLine="0" w:firstLineChars="0"/>
                    <w:jc w:val="center"/>
                    <w:rPr>
                      <w:b/>
                      <w:color w:val="auto"/>
                      <w:sz w:val="21"/>
                      <w:szCs w:val="21"/>
                      <w:highlight w:val="none"/>
                    </w:rPr>
                  </w:pPr>
                  <w:r>
                    <w:rPr>
                      <w:b/>
                      <w:color w:val="auto"/>
                      <w:sz w:val="21"/>
                      <w:szCs w:val="21"/>
                      <w:highlight w:val="none"/>
                    </w:rPr>
                    <w:t>取值（m）</w:t>
                  </w:r>
                </w:p>
              </w:tc>
            </w:tr>
            <w:tr w14:paraId="1E4BD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0" w:hRule="atLeast"/>
                <w:jc w:val="center"/>
              </w:trPr>
              <w:tc>
                <w:tcPr>
                  <w:tcW w:w="748" w:type="dxa"/>
                  <w:vMerge w:val="restart"/>
                  <w:noWrap w:val="0"/>
                  <w:vAlign w:val="center"/>
                </w:tcPr>
                <w:p w14:paraId="2B6C6C23">
                  <w:pPr>
                    <w:adjustRightInd w:val="0"/>
                    <w:snapToGrid w:val="0"/>
                    <w:spacing w:line="240" w:lineRule="auto"/>
                    <w:ind w:firstLine="0" w:firstLineChars="0"/>
                    <w:jc w:val="center"/>
                    <w:rPr>
                      <w:rFonts w:hint="eastAsia" w:eastAsia="宋体"/>
                      <w:color w:val="auto"/>
                      <w:sz w:val="21"/>
                      <w:szCs w:val="21"/>
                      <w:highlight w:val="none"/>
                      <w:lang w:val="en-US" w:eastAsia="zh-CN"/>
                    </w:rPr>
                  </w:pPr>
                  <w:r>
                    <w:rPr>
                      <w:rFonts w:hint="eastAsia"/>
                      <w:color w:val="auto"/>
                      <w:sz w:val="21"/>
                      <w:szCs w:val="21"/>
                      <w:highlight w:val="none"/>
                      <w:lang w:eastAsia="zh-CN"/>
                    </w:rPr>
                    <w:t>生产车间</w:t>
                  </w:r>
                </w:p>
              </w:tc>
              <w:tc>
                <w:tcPr>
                  <w:tcW w:w="859" w:type="dxa"/>
                  <w:noWrap w:val="0"/>
                  <w:vAlign w:val="center"/>
                </w:tcPr>
                <w:p w14:paraId="42B2AA1D">
                  <w:pPr>
                    <w:adjustRightInd w:val="0"/>
                    <w:snapToGrid w:val="0"/>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氨</w:t>
                  </w:r>
                </w:p>
              </w:tc>
              <w:tc>
                <w:tcPr>
                  <w:tcW w:w="912" w:type="dxa"/>
                  <w:vMerge w:val="restart"/>
                  <w:noWrap w:val="0"/>
                  <w:vAlign w:val="center"/>
                </w:tcPr>
                <w:p w14:paraId="4706921D">
                  <w:pPr>
                    <w:adjustRightInd w:val="0"/>
                    <w:snapToGrid w:val="0"/>
                    <w:spacing w:line="240" w:lineRule="auto"/>
                    <w:ind w:firstLine="0" w:firstLineChars="0"/>
                    <w:jc w:val="center"/>
                    <w:rPr>
                      <w:rFonts w:hint="eastAsia"/>
                      <w:color w:val="auto"/>
                      <w:sz w:val="21"/>
                      <w:szCs w:val="21"/>
                      <w:highlight w:val="none"/>
                      <w:lang w:val="en-US" w:eastAsia="zh-CN"/>
                    </w:rPr>
                  </w:pPr>
                  <w:r>
                    <w:rPr>
                      <w:rFonts w:hint="eastAsia" w:cs="Times New Roman"/>
                      <w:color w:val="auto"/>
                      <w:sz w:val="21"/>
                      <w:szCs w:val="21"/>
                      <w:lang w:val="en-US" w:eastAsia="zh-CN"/>
                    </w:rPr>
                    <w:t>2107.91</w:t>
                  </w:r>
                </w:p>
              </w:tc>
              <w:tc>
                <w:tcPr>
                  <w:tcW w:w="928" w:type="dxa"/>
                  <w:noWrap w:val="0"/>
                  <w:vAlign w:val="center"/>
                </w:tcPr>
                <w:p w14:paraId="68939C2F">
                  <w:pPr>
                    <w:adjustRightInd w:val="0"/>
                    <w:snapToGrid w:val="0"/>
                    <w:spacing w:line="240" w:lineRule="auto"/>
                    <w:ind w:firstLine="0" w:firstLineChars="0"/>
                    <w:jc w:val="center"/>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w:t>
                  </w:r>
                </w:p>
              </w:tc>
              <w:tc>
                <w:tcPr>
                  <w:tcW w:w="1106" w:type="dxa"/>
                  <w:noWrap w:val="0"/>
                  <w:vAlign w:val="center"/>
                </w:tcPr>
                <w:p w14:paraId="2A6B864C">
                  <w:pPr>
                    <w:pStyle w:val="30"/>
                    <w:ind w:firstLine="0" w:firstLineChars="0"/>
                    <w:rPr>
                      <w:rFonts w:hint="default" w:eastAsia="宋体"/>
                      <w:color w:val="auto"/>
                      <w:lang w:val="en-US" w:eastAsia="zh-CN"/>
                    </w:rPr>
                  </w:pPr>
                  <w:r>
                    <w:rPr>
                      <w:rFonts w:hint="eastAsia"/>
                      <w:color w:val="auto"/>
                    </w:rPr>
                    <w:t>0.2</w:t>
                  </w:r>
                </w:p>
              </w:tc>
              <w:tc>
                <w:tcPr>
                  <w:tcW w:w="521" w:type="dxa"/>
                  <w:noWrap w:val="0"/>
                  <w:vAlign w:val="center"/>
                </w:tcPr>
                <w:p w14:paraId="2BCAD815">
                  <w:pPr>
                    <w:adjustRightInd w:val="0"/>
                    <w:snapToGrid w:val="0"/>
                    <w:spacing w:line="240" w:lineRule="auto"/>
                    <w:ind w:firstLine="0" w:firstLineChars="0"/>
                    <w:jc w:val="center"/>
                    <w:rPr>
                      <w:color w:val="auto"/>
                      <w:sz w:val="21"/>
                      <w:szCs w:val="21"/>
                      <w:highlight w:val="none"/>
                    </w:rPr>
                  </w:pPr>
                  <w:r>
                    <w:rPr>
                      <w:color w:val="auto"/>
                      <w:sz w:val="21"/>
                      <w:szCs w:val="21"/>
                      <w:highlight w:val="none"/>
                    </w:rPr>
                    <w:t>470</w:t>
                  </w:r>
                </w:p>
              </w:tc>
              <w:tc>
                <w:tcPr>
                  <w:tcW w:w="657" w:type="dxa"/>
                  <w:noWrap w:val="0"/>
                  <w:vAlign w:val="center"/>
                </w:tcPr>
                <w:p w14:paraId="2AECF0F2">
                  <w:pPr>
                    <w:adjustRightInd w:val="0"/>
                    <w:snapToGrid w:val="0"/>
                    <w:spacing w:line="240" w:lineRule="auto"/>
                    <w:ind w:firstLine="0" w:firstLineChars="0"/>
                    <w:jc w:val="center"/>
                    <w:rPr>
                      <w:color w:val="auto"/>
                      <w:sz w:val="21"/>
                      <w:szCs w:val="21"/>
                      <w:highlight w:val="none"/>
                    </w:rPr>
                  </w:pPr>
                  <w:r>
                    <w:rPr>
                      <w:color w:val="auto"/>
                      <w:sz w:val="21"/>
                      <w:szCs w:val="21"/>
                      <w:highlight w:val="none"/>
                    </w:rPr>
                    <w:t>0.021</w:t>
                  </w:r>
                </w:p>
              </w:tc>
              <w:tc>
                <w:tcPr>
                  <w:tcW w:w="615" w:type="dxa"/>
                  <w:noWrap w:val="0"/>
                  <w:vAlign w:val="center"/>
                </w:tcPr>
                <w:p w14:paraId="043864A0">
                  <w:pPr>
                    <w:adjustRightInd w:val="0"/>
                    <w:snapToGrid w:val="0"/>
                    <w:spacing w:line="240" w:lineRule="auto"/>
                    <w:ind w:firstLine="0" w:firstLineChars="0"/>
                    <w:jc w:val="center"/>
                    <w:rPr>
                      <w:color w:val="auto"/>
                      <w:sz w:val="21"/>
                      <w:szCs w:val="21"/>
                      <w:highlight w:val="none"/>
                    </w:rPr>
                  </w:pPr>
                  <w:r>
                    <w:rPr>
                      <w:color w:val="auto"/>
                      <w:sz w:val="21"/>
                      <w:szCs w:val="21"/>
                      <w:highlight w:val="none"/>
                    </w:rPr>
                    <w:t>1.85</w:t>
                  </w:r>
                </w:p>
              </w:tc>
              <w:tc>
                <w:tcPr>
                  <w:tcW w:w="570" w:type="dxa"/>
                  <w:noWrap w:val="0"/>
                  <w:vAlign w:val="center"/>
                </w:tcPr>
                <w:p w14:paraId="5F4D0CB0">
                  <w:pPr>
                    <w:adjustRightInd w:val="0"/>
                    <w:snapToGrid w:val="0"/>
                    <w:spacing w:line="240" w:lineRule="auto"/>
                    <w:ind w:firstLine="0" w:firstLineChars="0"/>
                    <w:jc w:val="center"/>
                    <w:rPr>
                      <w:color w:val="auto"/>
                      <w:sz w:val="21"/>
                      <w:szCs w:val="21"/>
                      <w:highlight w:val="none"/>
                    </w:rPr>
                  </w:pPr>
                  <w:r>
                    <w:rPr>
                      <w:color w:val="auto"/>
                      <w:sz w:val="21"/>
                      <w:szCs w:val="21"/>
                      <w:highlight w:val="none"/>
                    </w:rPr>
                    <w:t>0.84</w:t>
                  </w:r>
                </w:p>
              </w:tc>
              <w:tc>
                <w:tcPr>
                  <w:tcW w:w="896" w:type="dxa"/>
                  <w:noWrap w:val="0"/>
                  <w:vAlign w:val="center"/>
                </w:tcPr>
                <w:p w14:paraId="7AA2685B">
                  <w:pPr>
                    <w:adjustRightInd w:val="0"/>
                    <w:snapToGrid w:val="0"/>
                    <w:spacing w:line="240" w:lineRule="auto"/>
                    <w:ind w:firstLine="0" w:firstLineChars="0"/>
                    <w:jc w:val="center"/>
                    <w:rPr>
                      <w:rFonts w:hint="eastAsia" w:eastAsia="宋体"/>
                      <w:color w:val="auto"/>
                      <w:sz w:val="21"/>
                      <w:szCs w:val="21"/>
                      <w:highlight w:val="none"/>
                      <w:lang w:val="en-US" w:eastAsia="zh-CN"/>
                    </w:rPr>
                  </w:pPr>
                  <w:r>
                    <w:rPr>
                      <w:rFonts w:hint="eastAsia" w:eastAsia="宋体"/>
                      <w:color w:val="auto"/>
                      <w:sz w:val="21"/>
                      <w:szCs w:val="21"/>
                      <w:highlight w:val="none"/>
                      <w:lang w:val="en-US" w:eastAsia="zh-CN"/>
                    </w:rPr>
                    <w:t>/</w:t>
                  </w:r>
                </w:p>
              </w:tc>
              <w:tc>
                <w:tcPr>
                  <w:tcW w:w="683" w:type="dxa"/>
                  <w:noWrap w:val="0"/>
                  <w:vAlign w:val="center"/>
                </w:tcPr>
                <w:p w14:paraId="4C5AEBF0">
                  <w:pPr>
                    <w:adjustRightInd w:val="0"/>
                    <w:snapToGrid w:val="0"/>
                    <w:spacing w:line="240" w:lineRule="auto"/>
                    <w:ind w:firstLine="0" w:firstLineChars="0"/>
                    <w:jc w:val="center"/>
                    <w:rPr>
                      <w:rFonts w:hint="eastAsia"/>
                      <w:color w:val="auto"/>
                      <w:sz w:val="21"/>
                      <w:szCs w:val="21"/>
                      <w:highlight w:val="none"/>
                      <w:lang w:val="en-US" w:eastAsia="zh-CN"/>
                    </w:rPr>
                  </w:pPr>
                  <w:r>
                    <w:rPr>
                      <w:rFonts w:hint="eastAsia"/>
                      <w:color w:val="auto"/>
                      <w:sz w:val="21"/>
                      <w:szCs w:val="21"/>
                      <w:highlight w:val="none"/>
                      <w:lang w:val="en-US" w:eastAsia="zh-CN"/>
                    </w:rPr>
                    <w:t>50</w:t>
                  </w:r>
                </w:p>
              </w:tc>
            </w:tr>
            <w:tr w14:paraId="568B4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0" w:hRule="atLeast"/>
                <w:jc w:val="center"/>
              </w:trPr>
              <w:tc>
                <w:tcPr>
                  <w:tcW w:w="748" w:type="dxa"/>
                  <w:vMerge w:val="continue"/>
                  <w:noWrap w:val="0"/>
                  <w:vAlign w:val="center"/>
                </w:tcPr>
                <w:p w14:paraId="53806F80">
                  <w:pPr>
                    <w:adjustRightInd w:val="0"/>
                    <w:snapToGrid w:val="0"/>
                    <w:spacing w:line="240" w:lineRule="auto"/>
                    <w:ind w:firstLine="0" w:firstLineChars="0"/>
                    <w:jc w:val="center"/>
                    <w:rPr>
                      <w:color w:val="auto"/>
                      <w:sz w:val="21"/>
                      <w:szCs w:val="21"/>
                      <w:highlight w:val="none"/>
                    </w:rPr>
                  </w:pPr>
                </w:p>
              </w:tc>
              <w:tc>
                <w:tcPr>
                  <w:tcW w:w="859" w:type="dxa"/>
                  <w:noWrap w:val="0"/>
                  <w:vAlign w:val="center"/>
                </w:tcPr>
                <w:p w14:paraId="5C677368">
                  <w:pPr>
                    <w:adjustRightInd w:val="0"/>
                    <w:snapToGrid w:val="0"/>
                    <w:spacing w:line="240" w:lineRule="auto"/>
                    <w:ind w:firstLine="0" w:firstLineChars="0"/>
                    <w:jc w:val="center"/>
                    <w:rPr>
                      <w:rFonts w:hint="eastAsia" w:eastAsia="宋体"/>
                      <w:color w:val="auto"/>
                      <w:kern w:val="2"/>
                      <w:sz w:val="21"/>
                      <w:szCs w:val="21"/>
                      <w:highlight w:val="none"/>
                      <w:lang w:val="en-US" w:eastAsia="zh-CN" w:bidi="ar-SA"/>
                    </w:rPr>
                  </w:pPr>
                  <w:r>
                    <w:rPr>
                      <w:rFonts w:hint="eastAsia"/>
                      <w:color w:val="auto"/>
                      <w:sz w:val="21"/>
                      <w:szCs w:val="21"/>
                      <w:highlight w:val="none"/>
                      <w:lang w:val="en-US" w:eastAsia="zh-CN"/>
                    </w:rPr>
                    <w:t>硫化氢</w:t>
                  </w:r>
                </w:p>
              </w:tc>
              <w:tc>
                <w:tcPr>
                  <w:tcW w:w="912" w:type="dxa"/>
                  <w:vMerge w:val="continue"/>
                  <w:noWrap w:val="0"/>
                  <w:vAlign w:val="center"/>
                </w:tcPr>
                <w:p w14:paraId="684ADDC9">
                  <w:pPr>
                    <w:adjustRightInd w:val="0"/>
                    <w:snapToGrid w:val="0"/>
                    <w:spacing w:line="240" w:lineRule="auto"/>
                    <w:ind w:firstLine="0" w:firstLineChars="0"/>
                    <w:jc w:val="center"/>
                    <w:rPr>
                      <w:rFonts w:hint="eastAsia"/>
                      <w:color w:val="auto"/>
                      <w:sz w:val="21"/>
                      <w:szCs w:val="21"/>
                      <w:highlight w:val="none"/>
                      <w:lang w:val="en-US" w:eastAsia="zh-CN"/>
                    </w:rPr>
                  </w:pPr>
                </w:p>
              </w:tc>
              <w:tc>
                <w:tcPr>
                  <w:tcW w:w="928" w:type="dxa"/>
                  <w:noWrap w:val="0"/>
                  <w:vAlign w:val="center"/>
                </w:tcPr>
                <w:p w14:paraId="5422D7A6">
                  <w:pPr>
                    <w:adjustRightInd w:val="0"/>
                    <w:snapToGrid w:val="0"/>
                    <w:spacing w:line="240" w:lineRule="auto"/>
                    <w:ind w:firstLine="0" w:firstLineChars="0"/>
                    <w:jc w:val="center"/>
                    <w:rPr>
                      <w:rFonts w:hint="default" w:eastAsia="宋体"/>
                      <w:color w:val="auto"/>
                      <w:kern w:val="2"/>
                      <w:sz w:val="21"/>
                      <w:szCs w:val="21"/>
                      <w:highlight w:val="none"/>
                      <w:lang w:val="en-US" w:eastAsia="zh-CN" w:bidi="ar-SA"/>
                    </w:rPr>
                  </w:pPr>
                  <w:r>
                    <w:rPr>
                      <w:rFonts w:hint="eastAsia" w:eastAsia="宋体"/>
                      <w:color w:val="auto"/>
                      <w:sz w:val="21"/>
                      <w:szCs w:val="21"/>
                      <w:highlight w:val="none"/>
                      <w:lang w:val="en-US" w:eastAsia="zh-CN"/>
                    </w:rPr>
                    <w:t>/</w:t>
                  </w:r>
                </w:p>
              </w:tc>
              <w:tc>
                <w:tcPr>
                  <w:tcW w:w="1106" w:type="dxa"/>
                  <w:noWrap w:val="0"/>
                  <w:vAlign w:val="center"/>
                </w:tcPr>
                <w:p w14:paraId="4EF89D86">
                  <w:pPr>
                    <w:pStyle w:val="30"/>
                    <w:ind w:firstLine="0" w:firstLineChars="0"/>
                    <w:rPr>
                      <w:rFonts w:hint="default"/>
                      <w:b w:val="0"/>
                      <w:color w:val="auto"/>
                      <w:kern w:val="0"/>
                      <w:sz w:val="21"/>
                      <w:szCs w:val="20"/>
                      <w:lang w:val="en-US" w:eastAsia="zh-CN" w:bidi="ar-SA"/>
                    </w:rPr>
                  </w:pPr>
                  <w:r>
                    <w:rPr>
                      <w:rFonts w:hint="eastAsia"/>
                      <w:color w:val="auto"/>
                    </w:rPr>
                    <w:t>0.01</w:t>
                  </w:r>
                </w:p>
              </w:tc>
              <w:tc>
                <w:tcPr>
                  <w:tcW w:w="521" w:type="dxa"/>
                  <w:noWrap w:val="0"/>
                  <w:vAlign w:val="center"/>
                </w:tcPr>
                <w:p w14:paraId="24F50B54">
                  <w:pPr>
                    <w:adjustRightInd w:val="0"/>
                    <w:snapToGrid w:val="0"/>
                    <w:spacing w:line="240" w:lineRule="auto"/>
                    <w:ind w:firstLine="0" w:firstLineChars="0"/>
                    <w:jc w:val="center"/>
                    <w:rPr>
                      <w:color w:val="auto"/>
                      <w:kern w:val="2"/>
                      <w:sz w:val="21"/>
                      <w:szCs w:val="21"/>
                      <w:highlight w:val="none"/>
                      <w:lang w:val="en-US" w:eastAsia="zh-CN" w:bidi="ar-SA"/>
                    </w:rPr>
                  </w:pPr>
                  <w:r>
                    <w:rPr>
                      <w:color w:val="auto"/>
                      <w:sz w:val="21"/>
                      <w:szCs w:val="21"/>
                      <w:highlight w:val="none"/>
                    </w:rPr>
                    <w:t>470</w:t>
                  </w:r>
                </w:p>
              </w:tc>
              <w:tc>
                <w:tcPr>
                  <w:tcW w:w="657" w:type="dxa"/>
                  <w:noWrap w:val="0"/>
                  <w:vAlign w:val="center"/>
                </w:tcPr>
                <w:p w14:paraId="34994365">
                  <w:pPr>
                    <w:adjustRightInd w:val="0"/>
                    <w:snapToGrid w:val="0"/>
                    <w:spacing w:line="240" w:lineRule="auto"/>
                    <w:ind w:firstLine="0" w:firstLineChars="0"/>
                    <w:jc w:val="center"/>
                    <w:rPr>
                      <w:color w:val="auto"/>
                      <w:kern w:val="2"/>
                      <w:sz w:val="21"/>
                      <w:szCs w:val="21"/>
                      <w:highlight w:val="none"/>
                      <w:lang w:val="en-US" w:eastAsia="zh-CN" w:bidi="ar-SA"/>
                    </w:rPr>
                  </w:pPr>
                  <w:r>
                    <w:rPr>
                      <w:color w:val="auto"/>
                      <w:sz w:val="21"/>
                      <w:szCs w:val="21"/>
                      <w:highlight w:val="none"/>
                    </w:rPr>
                    <w:t>0.021</w:t>
                  </w:r>
                </w:p>
              </w:tc>
              <w:tc>
                <w:tcPr>
                  <w:tcW w:w="615" w:type="dxa"/>
                  <w:noWrap w:val="0"/>
                  <w:vAlign w:val="center"/>
                </w:tcPr>
                <w:p w14:paraId="3C23F7B8">
                  <w:pPr>
                    <w:adjustRightInd w:val="0"/>
                    <w:snapToGrid w:val="0"/>
                    <w:spacing w:line="240" w:lineRule="auto"/>
                    <w:ind w:firstLine="0" w:firstLineChars="0"/>
                    <w:jc w:val="center"/>
                    <w:rPr>
                      <w:color w:val="auto"/>
                      <w:kern w:val="2"/>
                      <w:sz w:val="21"/>
                      <w:szCs w:val="21"/>
                      <w:highlight w:val="none"/>
                      <w:lang w:val="en-US" w:eastAsia="zh-CN" w:bidi="ar-SA"/>
                    </w:rPr>
                  </w:pPr>
                  <w:r>
                    <w:rPr>
                      <w:color w:val="auto"/>
                      <w:sz w:val="21"/>
                      <w:szCs w:val="21"/>
                      <w:highlight w:val="none"/>
                    </w:rPr>
                    <w:t>1.85</w:t>
                  </w:r>
                </w:p>
              </w:tc>
              <w:tc>
                <w:tcPr>
                  <w:tcW w:w="570" w:type="dxa"/>
                  <w:noWrap w:val="0"/>
                  <w:vAlign w:val="center"/>
                </w:tcPr>
                <w:p w14:paraId="2FA51194">
                  <w:pPr>
                    <w:adjustRightInd w:val="0"/>
                    <w:snapToGrid w:val="0"/>
                    <w:spacing w:line="240" w:lineRule="auto"/>
                    <w:ind w:firstLine="0" w:firstLineChars="0"/>
                    <w:jc w:val="center"/>
                    <w:rPr>
                      <w:color w:val="auto"/>
                      <w:kern w:val="2"/>
                      <w:sz w:val="21"/>
                      <w:szCs w:val="21"/>
                      <w:highlight w:val="none"/>
                      <w:lang w:val="en-US" w:eastAsia="zh-CN" w:bidi="ar-SA"/>
                    </w:rPr>
                  </w:pPr>
                  <w:r>
                    <w:rPr>
                      <w:color w:val="auto"/>
                      <w:sz w:val="21"/>
                      <w:szCs w:val="21"/>
                      <w:highlight w:val="none"/>
                    </w:rPr>
                    <w:t>0.84</w:t>
                  </w:r>
                </w:p>
              </w:tc>
              <w:tc>
                <w:tcPr>
                  <w:tcW w:w="896" w:type="dxa"/>
                  <w:noWrap w:val="0"/>
                  <w:vAlign w:val="center"/>
                </w:tcPr>
                <w:p w14:paraId="58E0D67F">
                  <w:pPr>
                    <w:adjustRightInd w:val="0"/>
                    <w:snapToGrid w:val="0"/>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683" w:type="dxa"/>
                  <w:noWrap w:val="0"/>
                  <w:vAlign w:val="center"/>
                </w:tcPr>
                <w:p w14:paraId="7C3EBD5E">
                  <w:pPr>
                    <w:adjustRightInd w:val="0"/>
                    <w:snapToGrid w:val="0"/>
                    <w:spacing w:line="240" w:lineRule="auto"/>
                    <w:ind w:firstLine="0" w:firstLineChars="0"/>
                    <w:jc w:val="center"/>
                    <w:rPr>
                      <w:rFonts w:hint="default" w:eastAsia="宋体"/>
                      <w:color w:val="auto"/>
                      <w:sz w:val="21"/>
                      <w:szCs w:val="21"/>
                      <w:highlight w:val="none"/>
                      <w:lang w:val="en-US" w:eastAsia="zh-CN"/>
                    </w:rPr>
                  </w:pPr>
                  <w:r>
                    <w:rPr>
                      <w:rFonts w:hint="eastAsia"/>
                      <w:color w:val="auto"/>
                      <w:sz w:val="21"/>
                      <w:szCs w:val="21"/>
                      <w:highlight w:val="none"/>
                      <w:lang w:val="en-US" w:eastAsia="zh-CN"/>
                    </w:rPr>
                    <w:t>50</w:t>
                  </w:r>
                </w:p>
              </w:tc>
            </w:tr>
            <w:tr w14:paraId="3B7AE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0" w:hRule="atLeast"/>
                <w:jc w:val="center"/>
              </w:trPr>
              <w:tc>
                <w:tcPr>
                  <w:tcW w:w="748" w:type="dxa"/>
                  <w:vMerge w:val="continue"/>
                  <w:noWrap w:val="0"/>
                  <w:vAlign w:val="center"/>
                </w:tcPr>
                <w:p w14:paraId="25A5328D">
                  <w:pPr>
                    <w:adjustRightInd w:val="0"/>
                    <w:snapToGrid w:val="0"/>
                    <w:spacing w:line="240" w:lineRule="auto"/>
                    <w:ind w:firstLine="0" w:firstLineChars="0"/>
                    <w:jc w:val="center"/>
                    <w:rPr>
                      <w:color w:val="auto"/>
                      <w:sz w:val="21"/>
                      <w:szCs w:val="21"/>
                      <w:highlight w:val="none"/>
                    </w:rPr>
                  </w:pPr>
                </w:p>
              </w:tc>
              <w:tc>
                <w:tcPr>
                  <w:tcW w:w="7064" w:type="dxa"/>
                  <w:gridSpan w:val="9"/>
                  <w:noWrap w:val="0"/>
                  <w:vAlign w:val="center"/>
                </w:tcPr>
                <w:p w14:paraId="258B727D">
                  <w:pPr>
                    <w:adjustRightInd w:val="0"/>
                    <w:snapToGrid w:val="0"/>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683" w:type="dxa"/>
                  <w:noWrap w:val="0"/>
                  <w:vAlign w:val="center"/>
                </w:tcPr>
                <w:p w14:paraId="4C585432">
                  <w:pPr>
                    <w:adjustRightInd w:val="0"/>
                    <w:snapToGrid w:val="0"/>
                    <w:spacing w:line="240" w:lineRule="auto"/>
                    <w:ind w:firstLine="0" w:firstLineChars="0"/>
                    <w:jc w:val="center"/>
                    <w:rPr>
                      <w:rFonts w:hint="default"/>
                      <w:color w:val="auto"/>
                      <w:sz w:val="21"/>
                      <w:szCs w:val="21"/>
                      <w:highlight w:val="none"/>
                      <w:lang w:val="en-US" w:eastAsia="zh-CN"/>
                    </w:rPr>
                  </w:pPr>
                  <w:r>
                    <w:rPr>
                      <w:rFonts w:hint="eastAsia"/>
                      <w:color w:val="auto"/>
                      <w:sz w:val="21"/>
                      <w:szCs w:val="21"/>
                      <w:highlight w:val="none"/>
                      <w:lang w:val="en-US" w:eastAsia="zh-CN"/>
                    </w:rPr>
                    <w:t>100</w:t>
                  </w:r>
                </w:p>
              </w:tc>
            </w:tr>
          </w:tbl>
          <w:p w14:paraId="33D77076">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eastAsia" w:ascii="Times New Roman" w:hAnsi="Times New Roman" w:eastAsia="宋体" w:cs="Times New Roman"/>
                <w:b/>
                <w:bCs/>
                <w:color w:val="auto"/>
                <w:sz w:val="24"/>
                <w:szCs w:val="24"/>
                <w:highlight w:val="none"/>
              </w:rPr>
            </w:pPr>
            <w:r>
              <w:rPr>
                <w:color w:val="auto"/>
                <w:sz w:val="24"/>
                <w:szCs w:val="24"/>
                <w:highlight w:val="none"/>
              </w:rPr>
              <w:t>根据卫生防护距离计算公式，计算出本项目以生产</w:t>
            </w:r>
            <w:r>
              <w:rPr>
                <w:rFonts w:hint="eastAsia"/>
                <w:color w:val="auto"/>
                <w:sz w:val="24"/>
                <w:szCs w:val="24"/>
                <w:highlight w:val="none"/>
                <w:lang w:eastAsia="zh-CN"/>
              </w:rPr>
              <w:t>车间</w:t>
            </w:r>
            <w:r>
              <w:rPr>
                <w:rFonts w:hint="eastAsia"/>
                <w:color w:val="auto"/>
                <w:sz w:val="24"/>
                <w:szCs w:val="24"/>
                <w:highlight w:val="none"/>
                <w:lang w:val="en-US" w:eastAsia="zh-CN"/>
              </w:rPr>
              <w:t>为</w:t>
            </w:r>
            <w:r>
              <w:rPr>
                <w:color w:val="auto"/>
                <w:sz w:val="24"/>
                <w:szCs w:val="24"/>
                <w:highlight w:val="none"/>
              </w:rPr>
              <w:t>边界向外设置</w:t>
            </w:r>
            <w:r>
              <w:rPr>
                <w:rFonts w:hint="eastAsia"/>
                <w:color w:val="auto"/>
                <w:sz w:val="24"/>
                <w:szCs w:val="24"/>
                <w:highlight w:val="none"/>
                <w:lang w:val="en-US" w:eastAsia="zh-CN"/>
              </w:rPr>
              <w:t>100</w:t>
            </w:r>
            <w:r>
              <w:rPr>
                <w:color w:val="auto"/>
                <w:sz w:val="24"/>
                <w:szCs w:val="24"/>
                <w:highlight w:val="none"/>
              </w:rPr>
              <w:t>m卫生防护距离。根据现场调查，本项目卫生防护距离范围内无居民、学校等敏感保护目标，同时，在本项目设置的卫生防护距离范围内禁止建设学校、医院、居住区等环境敏感目标。</w:t>
            </w:r>
          </w:p>
          <w:p w14:paraId="4600D078">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s="Times New Roman"/>
                <w:b/>
                <w:bCs/>
                <w:color w:val="auto"/>
                <w:sz w:val="24"/>
                <w:szCs w:val="24"/>
                <w:highlight w:val="none"/>
              </w:rPr>
            </w:pPr>
            <w:r>
              <w:rPr>
                <w:rFonts w:hint="default" w:ascii="Times New Roman" w:hAnsi="Times New Roman" w:eastAsia="宋体" w:cs="Times New Roman"/>
                <w:b/>
                <w:bCs w:val="0"/>
                <w:color w:val="auto"/>
                <w:spacing w:val="-10"/>
                <w:sz w:val="24"/>
                <w:szCs w:val="24"/>
                <w:lang w:val="en-US" w:eastAsia="zh-CN"/>
              </w:rPr>
              <w:t>4.</w:t>
            </w:r>
            <w:r>
              <w:rPr>
                <w:rFonts w:hint="eastAsia" w:ascii="Times New Roman" w:hAnsi="Times New Roman" w:eastAsia="宋体" w:cs="Times New Roman"/>
                <w:b/>
                <w:bCs w:val="0"/>
                <w:color w:val="auto"/>
                <w:spacing w:val="-10"/>
                <w:sz w:val="24"/>
                <w:szCs w:val="24"/>
                <w:lang w:val="en-US" w:eastAsia="zh-CN"/>
              </w:rPr>
              <w:t>1</w:t>
            </w:r>
            <w:r>
              <w:rPr>
                <w:rFonts w:hint="default" w:ascii="Times New Roman" w:hAnsi="Times New Roman" w:eastAsia="宋体" w:cs="Times New Roman"/>
                <w:b/>
                <w:bCs w:val="0"/>
                <w:color w:val="auto"/>
                <w:spacing w:val="-10"/>
                <w:sz w:val="24"/>
                <w:szCs w:val="24"/>
                <w:lang w:val="en-US" w:eastAsia="zh-CN"/>
              </w:rPr>
              <w:t>.</w:t>
            </w:r>
            <w:r>
              <w:rPr>
                <w:rFonts w:hint="eastAsia" w:ascii="Times New Roman" w:hAnsi="Times New Roman" w:cs="Times New Roman"/>
                <w:b/>
                <w:bCs w:val="0"/>
                <w:color w:val="auto"/>
                <w:spacing w:val="-10"/>
                <w:sz w:val="24"/>
                <w:szCs w:val="24"/>
                <w:lang w:val="en-US" w:eastAsia="zh-CN"/>
              </w:rPr>
              <w:t>3</w:t>
            </w:r>
            <w:r>
              <w:rPr>
                <w:rFonts w:hint="eastAsia" w:ascii="Times New Roman" w:hAnsi="Times New Roman" w:eastAsia="宋体" w:cs="Times New Roman"/>
                <w:b/>
                <w:bCs/>
                <w:color w:val="auto"/>
                <w:sz w:val="24"/>
                <w:szCs w:val="24"/>
                <w:highlight w:val="none"/>
              </w:rPr>
              <w:t>异味影响分析</w:t>
            </w:r>
          </w:p>
          <w:p w14:paraId="48A29BDA">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本评价采用日本的恶臭强度6级分级法对项目臭气影响进行分析，臭气强度分级表见下表。</w:t>
            </w:r>
          </w:p>
          <w:p w14:paraId="65A73BDE">
            <w:pPr>
              <w:spacing w:line="240" w:lineRule="auto"/>
              <w:ind w:firstLine="482"/>
              <w:jc w:val="center"/>
              <w:rPr>
                <w:rFonts w:ascii="Times New Roman" w:hAnsi="Times New Roman" w:eastAsia="宋体" w:cs="Times New Roman"/>
                <w:b/>
                <w:bCs/>
                <w:color w:val="auto"/>
                <w:highlight w:val="none"/>
              </w:rPr>
            </w:pPr>
            <w:r>
              <w:rPr>
                <w:rFonts w:hint="eastAsia" w:ascii="Times New Roman" w:hAnsi="Times New Roman" w:eastAsia="宋体" w:cs="Times New Roman"/>
                <w:b/>
                <w:bCs/>
                <w:color w:val="auto"/>
                <w:highlight w:val="none"/>
              </w:rPr>
              <w:t>表4</w:t>
            </w:r>
            <w:r>
              <w:rPr>
                <w:rFonts w:ascii="Times New Roman" w:hAnsi="Times New Roman" w:eastAsia="宋体" w:cs="Times New Roman"/>
                <w:b/>
                <w:bCs/>
                <w:color w:val="auto"/>
                <w:highlight w:val="none"/>
              </w:rPr>
              <w:t>-</w:t>
            </w:r>
            <w:r>
              <w:rPr>
                <w:rFonts w:hint="eastAsia" w:ascii="Times New Roman" w:hAnsi="Times New Roman" w:cs="Times New Roman"/>
                <w:b/>
                <w:bCs/>
                <w:color w:val="auto"/>
                <w:highlight w:val="none"/>
                <w:lang w:val="en-US" w:eastAsia="zh-CN"/>
              </w:rPr>
              <w:t>3</w:t>
            </w:r>
            <w:r>
              <w:rPr>
                <w:rFonts w:ascii="Times New Roman" w:hAnsi="Times New Roman" w:eastAsia="宋体" w:cs="Times New Roman"/>
                <w:b/>
                <w:bCs/>
                <w:color w:val="auto"/>
                <w:highlight w:val="none"/>
              </w:rPr>
              <w:t xml:space="preserve">  </w:t>
            </w:r>
            <w:r>
              <w:rPr>
                <w:rFonts w:hint="eastAsia" w:ascii="Times New Roman" w:hAnsi="Times New Roman" w:eastAsia="宋体" w:cs="Times New Roman"/>
                <w:b/>
                <w:bCs/>
                <w:color w:val="auto"/>
                <w:highlight w:val="none"/>
              </w:rPr>
              <w:t>臭气强度分级表</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67"/>
              <w:gridCol w:w="5831"/>
            </w:tblGrid>
            <w:tr w14:paraId="1B283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pct"/>
                  <w:noWrap w:val="0"/>
                  <w:vAlign w:val="center"/>
                </w:tcPr>
                <w:p w14:paraId="263E6F23">
                  <w:pPr>
                    <w:adjustRightInd w:val="0"/>
                    <w:snapToGrid w:val="0"/>
                    <w:spacing w:line="240" w:lineRule="auto"/>
                    <w:ind w:firstLine="0" w:firstLineChars="0"/>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强度等级</w:t>
                  </w:r>
                </w:p>
              </w:tc>
              <w:tc>
                <w:tcPr>
                  <w:tcW w:w="3431" w:type="pct"/>
                  <w:noWrap w:val="0"/>
                  <w:vAlign w:val="center"/>
                </w:tcPr>
                <w:p w14:paraId="03306E52">
                  <w:pPr>
                    <w:adjustRightInd w:val="0"/>
                    <w:snapToGrid w:val="0"/>
                    <w:spacing w:line="240" w:lineRule="auto"/>
                    <w:ind w:firstLine="0" w:firstLineChars="0"/>
                    <w:jc w:val="center"/>
                    <w:rPr>
                      <w:rFonts w:hint="eastAsia"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rPr>
                    <w:t>嗅觉判别标准</w:t>
                  </w:r>
                </w:p>
              </w:tc>
            </w:tr>
            <w:tr w14:paraId="42329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pct"/>
                  <w:noWrap w:val="0"/>
                  <w:vAlign w:val="center"/>
                </w:tcPr>
                <w:p w14:paraId="646A53E8">
                  <w:pPr>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0</w:t>
                  </w:r>
                </w:p>
              </w:tc>
              <w:tc>
                <w:tcPr>
                  <w:tcW w:w="3431" w:type="pct"/>
                  <w:noWrap w:val="0"/>
                  <w:vAlign w:val="center"/>
                </w:tcPr>
                <w:p w14:paraId="22D9FD12">
                  <w:pPr>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无臭</w:t>
                  </w:r>
                </w:p>
              </w:tc>
            </w:tr>
            <w:tr w14:paraId="4E05D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pct"/>
                  <w:noWrap w:val="0"/>
                  <w:vAlign w:val="center"/>
                </w:tcPr>
                <w:p w14:paraId="5B62E22F">
                  <w:pPr>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1</w:t>
                  </w:r>
                </w:p>
              </w:tc>
              <w:tc>
                <w:tcPr>
                  <w:tcW w:w="3431" w:type="pct"/>
                  <w:noWrap w:val="0"/>
                  <w:vAlign w:val="center"/>
                </w:tcPr>
                <w:p w14:paraId="0AF75932">
                  <w:pPr>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勉强可以感到轻微臭味（检知阈值浓度）</w:t>
                  </w:r>
                </w:p>
              </w:tc>
            </w:tr>
            <w:tr w14:paraId="13FAD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pct"/>
                  <w:noWrap w:val="0"/>
                  <w:vAlign w:val="center"/>
                </w:tcPr>
                <w:p w14:paraId="639C537D">
                  <w:pPr>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w:t>
                  </w:r>
                </w:p>
              </w:tc>
              <w:tc>
                <w:tcPr>
                  <w:tcW w:w="3431" w:type="pct"/>
                  <w:noWrap w:val="0"/>
                  <w:vAlign w:val="center"/>
                </w:tcPr>
                <w:p w14:paraId="531F8925">
                  <w:pPr>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容易感到轻微臭味（认知阈值浓度）</w:t>
                  </w:r>
                </w:p>
              </w:tc>
            </w:tr>
            <w:tr w14:paraId="1F4A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pct"/>
                  <w:noWrap w:val="0"/>
                  <w:vAlign w:val="center"/>
                </w:tcPr>
                <w:p w14:paraId="756780A0">
                  <w:pPr>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3</w:t>
                  </w:r>
                </w:p>
              </w:tc>
              <w:tc>
                <w:tcPr>
                  <w:tcW w:w="3431" w:type="pct"/>
                  <w:noWrap w:val="0"/>
                  <w:vAlign w:val="center"/>
                </w:tcPr>
                <w:p w14:paraId="45731707">
                  <w:pPr>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明显感到臭味（可嗅出臭气种类）</w:t>
                  </w:r>
                </w:p>
              </w:tc>
            </w:tr>
            <w:tr w14:paraId="0D0A2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pct"/>
                  <w:noWrap w:val="0"/>
                  <w:vAlign w:val="center"/>
                </w:tcPr>
                <w:p w14:paraId="7902E8F4">
                  <w:pPr>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4</w:t>
                  </w:r>
                </w:p>
              </w:tc>
              <w:tc>
                <w:tcPr>
                  <w:tcW w:w="3431" w:type="pct"/>
                  <w:noWrap w:val="0"/>
                  <w:vAlign w:val="center"/>
                </w:tcPr>
                <w:p w14:paraId="03824EAE">
                  <w:pPr>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强烈臭味</w:t>
                  </w:r>
                </w:p>
              </w:tc>
            </w:tr>
            <w:tr w14:paraId="65881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69" w:type="pct"/>
                  <w:noWrap w:val="0"/>
                  <w:vAlign w:val="center"/>
                </w:tcPr>
                <w:p w14:paraId="1EE390EA">
                  <w:pPr>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5</w:t>
                  </w:r>
                </w:p>
              </w:tc>
              <w:tc>
                <w:tcPr>
                  <w:tcW w:w="3431" w:type="pct"/>
                  <w:noWrap w:val="0"/>
                  <w:vAlign w:val="center"/>
                </w:tcPr>
                <w:p w14:paraId="39F04FCE">
                  <w:pPr>
                    <w:adjustRightInd w:val="0"/>
                    <w:snapToGrid w:val="0"/>
                    <w:spacing w:line="240" w:lineRule="auto"/>
                    <w:ind w:firstLine="0" w:firstLineChars="0"/>
                    <w:jc w:val="center"/>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无法忍受的强烈臭味</w:t>
                  </w:r>
                </w:p>
              </w:tc>
            </w:tr>
          </w:tbl>
          <w:p w14:paraId="7ABCCBB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各类区域臭气强度级别限值为：一类区执行一级控制标准，臭气强度2.5级；二类区执行二级控制标准，臭气强度限值为3级。“说明”强调指出：“将厂边界环境臭气强度控制在3级左右，是人们可以接受的水平”。</w:t>
            </w:r>
          </w:p>
          <w:p w14:paraId="7B7E669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本项目产生臭气工序主要为</w:t>
            </w:r>
            <w:r>
              <w:rPr>
                <w:rFonts w:hint="eastAsia" w:ascii="Times New Roman" w:hAnsi="Times New Roman" w:eastAsia="宋体" w:cs="Times New Roman"/>
                <w:color w:val="auto"/>
                <w:sz w:val="24"/>
                <w:szCs w:val="24"/>
                <w:highlight w:val="none"/>
                <w:lang w:val="en-US" w:eastAsia="zh-CN"/>
              </w:rPr>
              <w:t>废水处理工段</w:t>
            </w:r>
            <w:r>
              <w:rPr>
                <w:rFonts w:hint="eastAsia" w:ascii="Times New Roman" w:hAnsi="Times New Roman" w:eastAsia="宋体" w:cs="Times New Roman"/>
                <w:color w:val="auto"/>
                <w:sz w:val="24"/>
                <w:szCs w:val="24"/>
                <w:highlight w:val="none"/>
              </w:rPr>
              <w:t>。本项目最大臭气强度等级为2级，污染程度为中等污染，污染范围的半径＜200m，其中达到2级的半径＜</w:t>
            </w:r>
            <w:r>
              <w:rPr>
                <w:rFonts w:hint="eastAsia" w:ascii="Times New Roman" w:hAnsi="Times New Roman" w:eastAsia="宋体"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rPr>
              <w:t>0m。本项目卫生防护距离为生产</w:t>
            </w:r>
            <w:r>
              <w:rPr>
                <w:rFonts w:hint="eastAsia" w:cs="Times New Roman"/>
                <w:color w:val="auto"/>
                <w:sz w:val="24"/>
                <w:szCs w:val="24"/>
                <w:highlight w:val="none"/>
                <w:lang w:eastAsia="zh-CN"/>
              </w:rPr>
              <w:t>车间</w:t>
            </w:r>
            <w:r>
              <w:rPr>
                <w:rFonts w:hint="eastAsia" w:ascii="Times New Roman" w:hAnsi="Times New Roman" w:eastAsia="宋体" w:cs="Times New Roman"/>
                <w:color w:val="auto"/>
                <w:sz w:val="24"/>
                <w:szCs w:val="24"/>
                <w:highlight w:val="none"/>
              </w:rPr>
              <w:t>边界外扩</w:t>
            </w:r>
            <w:r>
              <w:rPr>
                <w:rFonts w:hint="eastAsia" w:ascii="Times New Roman" w:hAnsi="Times New Roman" w:eastAsia="宋体" w:cs="Times New Roman"/>
                <w:color w:val="auto"/>
                <w:sz w:val="24"/>
                <w:szCs w:val="24"/>
                <w:highlight w:val="none"/>
                <w:lang w:val="en-US" w:eastAsia="zh-CN"/>
              </w:rPr>
              <w:t>10</w:t>
            </w:r>
            <w:r>
              <w:rPr>
                <w:rFonts w:hint="eastAsia" w:ascii="Times New Roman" w:hAnsi="Times New Roman" w:eastAsia="宋体" w:cs="Times New Roman"/>
                <w:color w:val="auto"/>
                <w:sz w:val="24"/>
                <w:szCs w:val="24"/>
                <w:highlight w:val="none"/>
              </w:rPr>
              <w:t>0m形成的范围，根据现场调查，车间周边</w:t>
            </w:r>
            <w:r>
              <w:rPr>
                <w:rFonts w:hint="eastAsia" w:ascii="Times New Roman" w:hAnsi="Times New Roman" w:eastAsia="宋体" w:cs="Times New Roman"/>
                <w:color w:val="auto"/>
                <w:sz w:val="24"/>
                <w:szCs w:val="24"/>
                <w:highlight w:val="none"/>
                <w:lang w:val="en-US" w:eastAsia="zh-CN"/>
              </w:rPr>
              <w:t>1</w:t>
            </w:r>
            <w:r>
              <w:rPr>
                <w:rFonts w:ascii="Times New Roman" w:hAnsi="Times New Roman" w:eastAsia="宋体" w:cs="Times New Roman"/>
                <w:color w:val="auto"/>
                <w:sz w:val="24"/>
                <w:szCs w:val="24"/>
                <w:highlight w:val="none"/>
              </w:rPr>
              <w:t>0</w:t>
            </w:r>
            <w:r>
              <w:rPr>
                <w:rFonts w:hint="eastAsia" w:ascii="Times New Roman" w:hAnsi="Times New Roman" w:eastAsia="宋体" w:cs="Times New Roman"/>
                <w:color w:val="auto"/>
                <w:sz w:val="24"/>
                <w:szCs w:val="24"/>
                <w:highlight w:val="none"/>
              </w:rPr>
              <w:t>0m范围</w:t>
            </w:r>
            <w:r>
              <w:rPr>
                <w:rFonts w:hint="eastAsia" w:ascii="Times New Roman" w:hAnsi="Times New Roman" w:eastAsia="宋体" w:cs="Times New Roman"/>
                <w:color w:val="auto"/>
                <w:sz w:val="24"/>
                <w:szCs w:val="24"/>
                <w:highlight w:val="none"/>
                <w:lang w:val="en-US" w:eastAsia="zh-CN"/>
              </w:rPr>
              <w:t>内无</w:t>
            </w:r>
            <w:r>
              <w:rPr>
                <w:rFonts w:hint="eastAsia" w:ascii="Times New Roman" w:hAnsi="Times New Roman" w:eastAsia="宋体" w:cs="Times New Roman"/>
                <w:color w:val="auto"/>
                <w:sz w:val="24"/>
                <w:szCs w:val="24"/>
                <w:highlight w:val="none"/>
              </w:rPr>
              <w:t>环境敏感点，</w:t>
            </w:r>
            <w:r>
              <w:rPr>
                <w:rFonts w:hint="eastAsia" w:ascii="Times New Roman" w:hAnsi="Times New Roman" w:eastAsia="宋体" w:cs="Times New Roman"/>
                <w:color w:val="auto"/>
                <w:sz w:val="24"/>
                <w:szCs w:val="24"/>
                <w:highlight w:val="none"/>
                <w:lang w:val="en-US" w:eastAsia="zh-CN"/>
              </w:rPr>
              <w:t>100</w:t>
            </w:r>
            <w:r>
              <w:rPr>
                <w:rFonts w:hint="eastAsia" w:ascii="Times New Roman" w:hAnsi="Times New Roman" w:eastAsia="宋体" w:cs="Times New Roman"/>
                <w:color w:val="auto"/>
                <w:sz w:val="24"/>
                <w:szCs w:val="24"/>
                <w:highlight w:val="none"/>
              </w:rPr>
              <w:t>m外恶臭气味（异味）可基本消除，对</w:t>
            </w:r>
            <w:r>
              <w:rPr>
                <w:rFonts w:hint="eastAsia" w:ascii="Times New Roman" w:hAnsi="Times New Roman" w:cs="Times New Roman"/>
                <w:color w:val="auto"/>
                <w:sz w:val="24"/>
                <w:szCs w:val="24"/>
                <w:highlight w:val="none"/>
                <w:lang w:val="en-US" w:eastAsia="zh-CN"/>
              </w:rPr>
              <w:t>附近</w:t>
            </w:r>
            <w:r>
              <w:rPr>
                <w:rFonts w:hint="eastAsia" w:ascii="Times New Roman" w:hAnsi="Times New Roman" w:eastAsia="宋体" w:cs="Times New Roman"/>
                <w:color w:val="auto"/>
                <w:sz w:val="24"/>
                <w:szCs w:val="24"/>
                <w:highlight w:val="none"/>
              </w:rPr>
              <w:t>敏感目标影响不大。</w:t>
            </w:r>
          </w:p>
          <w:p w14:paraId="175EE1B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为了减少恶臭对周围环境的影响，建设项目采取如下措施：</w:t>
            </w:r>
          </w:p>
          <w:p w14:paraId="6A49FF32">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本项目</w:t>
            </w:r>
            <w:r>
              <w:rPr>
                <w:rFonts w:hint="eastAsia" w:ascii="Times New Roman" w:hAnsi="Times New Roman" w:eastAsia="宋体" w:cs="Times New Roman"/>
                <w:color w:val="auto"/>
                <w:sz w:val="24"/>
                <w:szCs w:val="24"/>
                <w:highlight w:val="none"/>
                <w:lang w:val="en-US" w:eastAsia="zh-CN"/>
              </w:rPr>
              <w:t>污水处理站加盖，减少恶臭气体</w:t>
            </w:r>
            <w:r>
              <w:rPr>
                <w:rFonts w:hint="eastAsia" w:cs="Times New Roman"/>
                <w:color w:val="auto"/>
                <w:sz w:val="24"/>
                <w:szCs w:val="24"/>
                <w:highlight w:val="none"/>
                <w:lang w:val="en-US" w:eastAsia="zh-CN"/>
              </w:rPr>
              <w:t>逸出</w:t>
            </w:r>
            <w:r>
              <w:rPr>
                <w:rFonts w:hint="eastAsia" w:ascii="Times New Roman" w:hAnsi="Times New Roman" w:eastAsia="宋体" w:cs="Times New Roman"/>
                <w:color w:val="auto"/>
                <w:sz w:val="24"/>
                <w:szCs w:val="24"/>
                <w:highlight w:val="none"/>
                <w:lang w:val="en-US" w:eastAsia="zh-CN"/>
              </w:rPr>
              <w:t>，并且加强车间通风，</w:t>
            </w:r>
            <w:r>
              <w:rPr>
                <w:rFonts w:hint="eastAsia" w:ascii="Times New Roman" w:hAnsi="Times New Roman" w:eastAsia="宋体" w:cs="Times New Roman"/>
                <w:color w:val="auto"/>
                <w:sz w:val="24"/>
                <w:szCs w:val="24"/>
                <w:highlight w:val="none"/>
              </w:rPr>
              <w:t>在厂界周围种植树木绿化，同时厂区内布置相应的绿化带，并栽种对有毒气体具有抗性的绿化植物，利用植物对有害气体的吸收作用进行净化空气，减少项目异味对周边环境的影响。</w:t>
            </w:r>
          </w:p>
          <w:p w14:paraId="704F333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该项目在采取以上措施后，臭气强度等级可降至0-1级，对周围环境的影响将大大降低。</w:t>
            </w:r>
          </w:p>
          <w:p w14:paraId="436C344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综上所述，项目恶臭对周边环境影响较小。</w:t>
            </w:r>
          </w:p>
          <w:p w14:paraId="3B4BB636">
            <w:pPr>
              <w:pStyle w:val="58"/>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left"/>
              <w:textAlignment w:val="auto"/>
              <w:rPr>
                <w:b/>
                <w:bCs/>
                <w:color w:val="auto"/>
                <w:sz w:val="24"/>
                <w:szCs w:val="24"/>
              </w:rPr>
            </w:pPr>
            <w:r>
              <w:rPr>
                <w:rFonts w:hint="default" w:ascii="Times New Roman" w:hAnsi="Times New Roman" w:eastAsia="宋体" w:cs="Times New Roman"/>
                <w:b/>
                <w:bCs w:val="0"/>
                <w:color w:val="auto"/>
                <w:spacing w:val="-10"/>
                <w:sz w:val="24"/>
                <w:szCs w:val="24"/>
                <w:lang w:val="en-US" w:eastAsia="zh-CN"/>
              </w:rPr>
              <w:t>4.</w:t>
            </w:r>
            <w:r>
              <w:rPr>
                <w:rFonts w:hint="eastAsia" w:ascii="Times New Roman" w:hAnsi="Times New Roman" w:eastAsia="宋体" w:cs="Times New Roman"/>
                <w:b/>
                <w:bCs w:val="0"/>
                <w:color w:val="auto"/>
                <w:spacing w:val="-10"/>
                <w:sz w:val="24"/>
                <w:szCs w:val="24"/>
                <w:lang w:val="en-US" w:eastAsia="zh-CN"/>
              </w:rPr>
              <w:t>1</w:t>
            </w:r>
            <w:r>
              <w:rPr>
                <w:rFonts w:hint="default" w:ascii="Times New Roman" w:hAnsi="Times New Roman" w:eastAsia="宋体" w:cs="Times New Roman"/>
                <w:b/>
                <w:bCs w:val="0"/>
                <w:color w:val="auto"/>
                <w:spacing w:val="-10"/>
                <w:sz w:val="24"/>
                <w:szCs w:val="24"/>
                <w:lang w:val="en-US" w:eastAsia="zh-CN"/>
              </w:rPr>
              <w:t>.</w:t>
            </w:r>
            <w:r>
              <w:rPr>
                <w:rFonts w:hint="eastAsia" w:ascii="Times New Roman" w:hAnsi="Times New Roman" w:cs="Times New Roman"/>
                <w:b/>
                <w:bCs w:val="0"/>
                <w:color w:val="auto"/>
                <w:spacing w:val="-10"/>
                <w:sz w:val="24"/>
                <w:szCs w:val="24"/>
                <w:lang w:val="en-US" w:eastAsia="zh-CN"/>
              </w:rPr>
              <w:t>4</w:t>
            </w:r>
            <w:r>
              <w:rPr>
                <w:b/>
                <w:bCs/>
                <w:color w:val="auto"/>
                <w:sz w:val="24"/>
                <w:szCs w:val="24"/>
              </w:rPr>
              <w:t>废气监测计划</w:t>
            </w:r>
          </w:p>
          <w:p w14:paraId="552A0ECB">
            <w:pPr>
              <w:pStyle w:val="48"/>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color w:val="auto"/>
                <w:kern w:val="2"/>
                <w:sz w:val="24"/>
                <w:szCs w:val="24"/>
                <w:lang w:val="en-US" w:eastAsia="zh-CN"/>
              </w:rPr>
            </w:pPr>
            <w:r>
              <w:rPr>
                <w:rFonts w:hint="eastAsia"/>
                <w:color w:val="auto"/>
                <w:kern w:val="2"/>
                <w:sz w:val="24"/>
                <w:szCs w:val="24"/>
                <w:lang w:val="en-US" w:eastAsia="zh-CN"/>
              </w:rPr>
              <w:t>参照</w:t>
            </w:r>
            <w:r>
              <w:rPr>
                <w:color w:val="auto"/>
                <w:kern w:val="2"/>
                <w:sz w:val="24"/>
                <w:szCs w:val="24"/>
                <w:lang w:val="en-US" w:eastAsia="zh-CN"/>
              </w:rPr>
              <w:t>《</w:t>
            </w:r>
            <w:r>
              <w:rPr>
                <w:rFonts w:hint="eastAsia"/>
                <w:color w:val="auto"/>
                <w:kern w:val="2"/>
                <w:sz w:val="24"/>
                <w:szCs w:val="24"/>
                <w:lang w:val="en-US" w:eastAsia="zh-CN"/>
              </w:rPr>
              <w:t>排污单位自行监测技术指南总则</w:t>
            </w:r>
            <w:r>
              <w:rPr>
                <w:color w:val="auto"/>
                <w:kern w:val="2"/>
                <w:sz w:val="24"/>
                <w:szCs w:val="24"/>
                <w:lang w:val="en-US" w:eastAsia="zh-CN"/>
              </w:rPr>
              <w:t>（HJ</w:t>
            </w:r>
            <w:r>
              <w:rPr>
                <w:rFonts w:hint="eastAsia"/>
                <w:color w:val="auto"/>
                <w:kern w:val="2"/>
                <w:sz w:val="24"/>
                <w:szCs w:val="24"/>
                <w:lang w:val="en-US" w:eastAsia="zh-CN"/>
              </w:rPr>
              <w:t>819</w:t>
            </w:r>
            <w:r>
              <w:rPr>
                <w:color w:val="auto"/>
                <w:kern w:val="2"/>
                <w:sz w:val="24"/>
                <w:szCs w:val="24"/>
                <w:lang w:val="en-US" w:eastAsia="zh-CN"/>
              </w:rPr>
              <w:t>—20</w:t>
            </w:r>
            <w:r>
              <w:rPr>
                <w:rFonts w:hint="eastAsia"/>
                <w:color w:val="auto"/>
                <w:kern w:val="2"/>
                <w:sz w:val="24"/>
                <w:szCs w:val="24"/>
                <w:lang w:val="en-US" w:eastAsia="zh-CN"/>
              </w:rPr>
              <w:t>17</w:t>
            </w:r>
            <w:r>
              <w:rPr>
                <w:color w:val="auto"/>
                <w:kern w:val="2"/>
                <w:sz w:val="24"/>
                <w:szCs w:val="24"/>
                <w:lang w:val="en-US" w:eastAsia="zh-CN"/>
              </w:rPr>
              <w:t>）》，项目</w:t>
            </w:r>
            <w:r>
              <w:rPr>
                <w:rFonts w:hint="eastAsia"/>
                <w:color w:val="auto"/>
                <w:kern w:val="2"/>
                <w:sz w:val="24"/>
                <w:szCs w:val="24"/>
                <w:lang w:val="en-US" w:eastAsia="zh-CN"/>
              </w:rPr>
              <w:t>运营期废气</w:t>
            </w:r>
            <w:r>
              <w:rPr>
                <w:color w:val="auto"/>
                <w:kern w:val="2"/>
                <w:sz w:val="24"/>
                <w:szCs w:val="24"/>
                <w:lang w:val="en-US" w:eastAsia="zh-CN"/>
              </w:rPr>
              <w:t>监测计划见</w:t>
            </w:r>
            <w:r>
              <w:rPr>
                <w:rFonts w:hint="eastAsia"/>
                <w:color w:val="auto"/>
                <w:kern w:val="2"/>
                <w:sz w:val="24"/>
                <w:szCs w:val="24"/>
                <w:lang w:val="en-US" w:eastAsia="zh-CN"/>
              </w:rPr>
              <w:t>下</w:t>
            </w:r>
            <w:r>
              <w:rPr>
                <w:color w:val="auto"/>
                <w:kern w:val="2"/>
                <w:sz w:val="24"/>
                <w:szCs w:val="24"/>
                <w:lang w:val="en-US" w:eastAsia="zh-CN"/>
              </w:rPr>
              <w:t>表。</w:t>
            </w:r>
          </w:p>
          <w:p w14:paraId="44A3AD79">
            <w:pPr>
              <w:jc w:val="center"/>
              <w:rPr>
                <w:b/>
                <w:color w:val="auto"/>
                <w:sz w:val="21"/>
                <w:szCs w:val="21"/>
              </w:rPr>
            </w:pPr>
            <w:r>
              <w:rPr>
                <w:b/>
                <w:color w:val="auto"/>
                <w:sz w:val="21"/>
                <w:szCs w:val="21"/>
              </w:rPr>
              <w:t>表4-</w:t>
            </w:r>
            <w:r>
              <w:rPr>
                <w:rFonts w:hint="eastAsia"/>
                <w:b/>
                <w:color w:val="auto"/>
                <w:sz w:val="21"/>
                <w:szCs w:val="21"/>
                <w:lang w:val="en-US" w:eastAsia="zh-CN"/>
              </w:rPr>
              <w:t>4</w:t>
            </w:r>
            <w:r>
              <w:rPr>
                <w:b/>
                <w:color w:val="auto"/>
                <w:sz w:val="21"/>
                <w:szCs w:val="21"/>
              </w:rPr>
              <w:t xml:space="preserve"> 废气监测计划一览表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0"/>
              <w:gridCol w:w="2038"/>
              <w:gridCol w:w="1187"/>
              <w:gridCol w:w="3150"/>
            </w:tblGrid>
            <w:tr w14:paraId="69E13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pct"/>
                  <w:noWrap w:val="0"/>
                  <w:vAlign w:val="center"/>
                </w:tcPr>
                <w:p w14:paraId="424A73B7">
                  <w:pPr>
                    <w:pStyle w:val="30"/>
                    <w:rPr>
                      <w:color w:val="auto"/>
                    </w:rPr>
                  </w:pPr>
                  <w:r>
                    <w:rPr>
                      <w:color w:val="auto"/>
                    </w:rPr>
                    <w:t>监测点位</w:t>
                  </w:r>
                </w:p>
              </w:tc>
              <w:tc>
                <w:tcPr>
                  <w:tcW w:w="1199" w:type="pct"/>
                  <w:noWrap w:val="0"/>
                  <w:vAlign w:val="center"/>
                </w:tcPr>
                <w:p w14:paraId="7A1AE021">
                  <w:pPr>
                    <w:pStyle w:val="30"/>
                    <w:rPr>
                      <w:color w:val="auto"/>
                    </w:rPr>
                  </w:pPr>
                  <w:r>
                    <w:rPr>
                      <w:color w:val="auto"/>
                    </w:rPr>
                    <w:t>监测内容</w:t>
                  </w:r>
                </w:p>
              </w:tc>
              <w:tc>
                <w:tcPr>
                  <w:tcW w:w="698" w:type="pct"/>
                  <w:noWrap w:val="0"/>
                  <w:vAlign w:val="center"/>
                </w:tcPr>
                <w:p w14:paraId="7AB63E61">
                  <w:pPr>
                    <w:pStyle w:val="30"/>
                    <w:rPr>
                      <w:color w:val="auto"/>
                    </w:rPr>
                  </w:pPr>
                  <w:r>
                    <w:rPr>
                      <w:color w:val="auto"/>
                    </w:rPr>
                    <w:t>监测频次</w:t>
                  </w:r>
                </w:p>
              </w:tc>
              <w:tc>
                <w:tcPr>
                  <w:tcW w:w="1853" w:type="pct"/>
                  <w:noWrap w:val="0"/>
                  <w:vAlign w:val="center"/>
                </w:tcPr>
                <w:p w14:paraId="073248DC">
                  <w:pPr>
                    <w:pStyle w:val="30"/>
                    <w:rPr>
                      <w:color w:val="auto"/>
                    </w:rPr>
                  </w:pPr>
                  <w:r>
                    <w:rPr>
                      <w:color w:val="auto"/>
                    </w:rPr>
                    <w:t>执行标准</w:t>
                  </w:r>
                </w:p>
              </w:tc>
            </w:tr>
            <w:tr w14:paraId="7667C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7" w:type="pct"/>
                  <w:noWrap w:val="0"/>
                  <w:vAlign w:val="center"/>
                </w:tcPr>
                <w:p w14:paraId="26A0B9EF">
                  <w:pPr>
                    <w:pStyle w:val="30"/>
                    <w:ind w:firstLine="0" w:firstLineChars="0"/>
                    <w:rPr>
                      <w:b w:val="0"/>
                      <w:color w:val="auto"/>
                      <w:kern w:val="0"/>
                      <w:sz w:val="21"/>
                      <w:szCs w:val="20"/>
                      <w:lang w:val="en-US" w:eastAsia="zh-CN" w:bidi="ar-SA"/>
                    </w:rPr>
                  </w:pPr>
                  <w:r>
                    <w:rPr>
                      <w:color w:val="auto"/>
                    </w:rPr>
                    <w:t>厂界</w:t>
                  </w:r>
                </w:p>
              </w:tc>
              <w:tc>
                <w:tcPr>
                  <w:tcW w:w="1199" w:type="pct"/>
                  <w:noWrap w:val="0"/>
                  <w:vAlign w:val="center"/>
                </w:tcPr>
                <w:p w14:paraId="137FFD95">
                  <w:pPr>
                    <w:pStyle w:val="30"/>
                    <w:ind w:firstLine="0" w:firstLineChars="0"/>
                    <w:rPr>
                      <w:b w:val="0"/>
                      <w:color w:val="auto"/>
                      <w:kern w:val="0"/>
                      <w:sz w:val="21"/>
                      <w:szCs w:val="20"/>
                      <w:lang w:val="en-US" w:eastAsia="zh-CN" w:bidi="ar-SA"/>
                    </w:rPr>
                  </w:pPr>
                  <w:r>
                    <w:rPr>
                      <w:rFonts w:hint="eastAsia"/>
                      <w:color w:val="auto"/>
                    </w:rPr>
                    <w:t>氨气、硫化氢、臭气浓度</w:t>
                  </w:r>
                </w:p>
              </w:tc>
              <w:tc>
                <w:tcPr>
                  <w:tcW w:w="698" w:type="pct"/>
                  <w:noWrap w:val="0"/>
                  <w:vAlign w:val="center"/>
                </w:tcPr>
                <w:p w14:paraId="541ADE0E">
                  <w:pPr>
                    <w:pStyle w:val="30"/>
                    <w:ind w:firstLine="0" w:firstLineChars="0"/>
                    <w:rPr>
                      <w:rFonts w:hint="eastAsia" w:eastAsia="宋体"/>
                      <w:b w:val="0"/>
                      <w:color w:val="auto"/>
                      <w:kern w:val="0"/>
                      <w:sz w:val="21"/>
                      <w:szCs w:val="20"/>
                      <w:lang w:val="en-US" w:eastAsia="zh-CN" w:bidi="ar-SA"/>
                    </w:rPr>
                  </w:pPr>
                  <w:r>
                    <w:rPr>
                      <w:color w:val="auto"/>
                    </w:rPr>
                    <w:t>1次/</w:t>
                  </w:r>
                  <w:r>
                    <w:rPr>
                      <w:rFonts w:hint="eastAsia"/>
                      <w:color w:val="auto"/>
                      <w:lang w:val="en-US" w:eastAsia="zh-CN"/>
                    </w:rPr>
                    <w:t>年</w:t>
                  </w:r>
                </w:p>
              </w:tc>
              <w:tc>
                <w:tcPr>
                  <w:tcW w:w="1853" w:type="pct"/>
                  <w:noWrap w:val="0"/>
                  <w:vAlign w:val="center"/>
                </w:tcPr>
                <w:p w14:paraId="6F51A750">
                  <w:pPr>
                    <w:pStyle w:val="30"/>
                    <w:rPr>
                      <w:rFonts w:hint="default" w:eastAsia="宋体"/>
                      <w:color w:val="auto"/>
                      <w:lang w:val="en-US" w:eastAsia="zh-CN"/>
                    </w:rPr>
                  </w:pPr>
                  <w:r>
                    <w:rPr>
                      <w:rFonts w:hint="eastAsia"/>
                      <w:color w:val="auto"/>
                    </w:rPr>
                    <w:t>《恶臭污染物排放标准》（GB14554-93）</w:t>
                  </w:r>
                  <w:r>
                    <w:rPr>
                      <w:rFonts w:hint="eastAsia"/>
                      <w:color w:val="auto"/>
                      <w:lang w:val="en-US" w:eastAsia="zh-CN"/>
                    </w:rPr>
                    <w:t>表1</w:t>
                  </w:r>
                </w:p>
              </w:tc>
            </w:tr>
          </w:tbl>
          <w:p w14:paraId="74CEFD8A">
            <w:pPr>
              <w:pStyle w:val="41"/>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auto"/>
                <w:lang w:val="en-US" w:eastAsia="zh-CN"/>
              </w:rPr>
            </w:pPr>
            <w:r>
              <w:rPr>
                <w:rFonts w:hint="default" w:ascii="Times New Roman" w:hAnsi="Times New Roman" w:eastAsia="宋体" w:cs="Times New Roman"/>
                <w:b/>
                <w:bCs w:val="0"/>
                <w:color w:val="auto"/>
                <w:lang w:val="en-US" w:eastAsia="zh-CN"/>
              </w:rPr>
              <w:t>4.2废水</w:t>
            </w:r>
          </w:p>
          <w:p w14:paraId="0E242EA1">
            <w:pPr>
              <w:pStyle w:val="25"/>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pacing w:val="-10"/>
                <w:szCs w:val="21"/>
                <w:lang w:val="en-US" w:eastAsia="zh-CN"/>
              </w:rPr>
              <w:t>4.2.1废水污染物产生情况</w:t>
            </w:r>
          </w:p>
          <w:p w14:paraId="10EF314C">
            <w:pPr>
              <w:pStyle w:val="25"/>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pacing w:val="-10"/>
                <w:szCs w:val="21"/>
                <w:lang w:val="en-US" w:eastAsia="zh-CN"/>
              </w:rPr>
              <w:t>4.2.1.1生活污水</w:t>
            </w:r>
          </w:p>
          <w:p w14:paraId="1774833D">
            <w:pPr>
              <w:pStyle w:val="28"/>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b/>
                <w:bCs w:val="0"/>
                <w:color w:val="auto"/>
                <w:sz w:val="21"/>
                <w:szCs w:val="21"/>
              </w:rPr>
            </w:pPr>
            <w:r>
              <w:rPr>
                <w:rFonts w:hint="eastAsia" w:cs="Times New Roman"/>
                <w:b w:val="0"/>
                <w:bCs/>
                <w:color w:val="auto"/>
                <w:szCs w:val="24"/>
                <w:lang w:val="en-US" w:eastAsia="zh-CN"/>
              </w:rPr>
              <w:t>根据前文分析，</w:t>
            </w:r>
            <w:r>
              <w:rPr>
                <w:rFonts w:hint="default" w:ascii="Times New Roman" w:hAnsi="Times New Roman" w:eastAsia="宋体" w:cs="Times New Roman"/>
                <w:b w:val="0"/>
                <w:bCs/>
                <w:color w:val="auto"/>
                <w:szCs w:val="24"/>
              </w:rPr>
              <w:t>项目生活</w:t>
            </w:r>
            <w:r>
              <w:rPr>
                <w:rFonts w:hint="eastAsia" w:cs="Times New Roman"/>
                <w:b w:val="0"/>
                <w:bCs/>
                <w:color w:val="auto"/>
                <w:szCs w:val="24"/>
                <w:lang w:val="en-US" w:eastAsia="zh-CN"/>
              </w:rPr>
              <w:t>污水</w:t>
            </w:r>
            <w:r>
              <w:rPr>
                <w:rFonts w:hint="default" w:ascii="Times New Roman" w:hAnsi="Times New Roman" w:eastAsia="宋体" w:cs="Times New Roman"/>
                <w:b w:val="0"/>
                <w:bCs/>
                <w:color w:val="auto"/>
                <w:szCs w:val="24"/>
              </w:rPr>
              <w:t>排放量约</w:t>
            </w:r>
            <w:r>
              <w:rPr>
                <w:rFonts w:hint="eastAsia" w:cs="Times New Roman"/>
                <w:b w:val="0"/>
                <w:bCs/>
                <w:color w:val="auto"/>
                <w:szCs w:val="24"/>
                <w:lang w:val="en-US" w:eastAsia="zh-CN"/>
              </w:rPr>
              <w:t>480</w:t>
            </w:r>
            <w:r>
              <w:rPr>
                <w:rFonts w:hint="default" w:ascii="Times New Roman" w:hAnsi="Times New Roman" w:eastAsia="宋体" w:cs="Times New Roman"/>
                <w:b w:val="0"/>
                <w:bCs/>
                <w:color w:val="auto"/>
                <w:szCs w:val="24"/>
              </w:rPr>
              <w:t>t/a</w:t>
            </w:r>
            <w:r>
              <w:rPr>
                <w:rFonts w:hint="eastAsia" w:cs="Times New Roman"/>
                <w:b w:val="0"/>
                <w:bCs/>
                <w:color w:val="auto"/>
                <w:szCs w:val="24"/>
                <w:highlight w:val="none"/>
                <w:lang w:eastAsia="zh-CN"/>
              </w:rPr>
              <w:t>，</w:t>
            </w:r>
            <w:r>
              <w:rPr>
                <w:rFonts w:hint="default" w:ascii="Times New Roman" w:hAnsi="Times New Roman" w:eastAsia="宋体" w:cs="Times New Roman"/>
                <w:b w:val="0"/>
                <w:bCs/>
                <w:color w:val="auto"/>
                <w:szCs w:val="24"/>
              </w:rPr>
              <w:t>污染物浓度</w:t>
            </w:r>
            <w:r>
              <w:rPr>
                <w:rFonts w:hint="default" w:ascii="Times New Roman" w:hAnsi="Times New Roman" w:eastAsia="宋体" w:cs="Times New Roman"/>
                <w:b w:val="0"/>
                <w:bCs/>
                <w:color w:val="auto"/>
                <w:szCs w:val="24"/>
                <w:lang w:val="en-US" w:eastAsia="zh-CN"/>
              </w:rPr>
              <w:t>见下表</w:t>
            </w:r>
            <w:r>
              <w:rPr>
                <w:rFonts w:hint="default" w:ascii="Times New Roman" w:hAnsi="Times New Roman" w:eastAsia="宋体" w:cs="Times New Roman"/>
                <w:b w:val="0"/>
                <w:bCs/>
                <w:color w:val="auto"/>
                <w:szCs w:val="24"/>
              </w:rPr>
              <w:t>，接管至常州</w:t>
            </w:r>
            <w:r>
              <w:rPr>
                <w:rFonts w:hint="eastAsia" w:cs="Times New Roman"/>
                <w:b w:val="0"/>
                <w:bCs/>
                <w:color w:val="auto"/>
                <w:szCs w:val="24"/>
                <w:lang w:eastAsia="zh-CN"/>
              </w:rPr>
              <w:t>金坛溪城污水处理有限公司</w:t>
            </w:r>
            <w:r>
              <w:rPr>
                <w:rFonts w:hint="default" w:ascii="Times New Roman" w:hAnsi="Times New Roman" w:eastAsia="宋体" w:cs="Times New Roman"/>
                <w:b w:val="0"/>
                <w:bCs/>
                <w:color w:val="auto"/>
                <w:szCs w:val="24"/>
              </w:rPr>
              <w:t>集中处理。</w:t>
            </w:r>
          </w:p>
          <w:p w14:paraId="6E3CECF7">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spacing w:val="-10"/>
                <w:sz w:val="21"/>
                <w:szCs w:val="18"/>
                <w:lang w:eastAsia="zh-CN"/>
              </w:rPr>
            </w:pPr>
            <w:r>
              <w:rPr>
                <w:rFonts w:hint="default" w:ascii="Times New Roman" w:hAnsi="Times New Roman" w:eastAsia="宋体" w:cs="Times New Roman"/>
                <w:b/>
                <w:bCs w:val="0"/>
                <w:color w:val="auto"/>
                <w:sz w:val="21"/>
                <w:szCs w:val="21"/>
              </w:rPr>
              <w:t>表4-</w:t>
            </w:r>
            <w:r>
              <w:rPr>
                <w:rFonts w:hint="eastAsia" w:ascii="Times New Roman" w:hAnsi="Times New Roman" w:cs="Times New Roman"/>
                <w:b/>
                <w:bCs w:val="0"/>
                <w:color w:val="auto"/>
                <w:sz w:val="21"/>
                <w:szCs w:val="21"/>
                <w:lang w:val="en-US" w:eastAsia="zh-CN"/>
              </w:rPr>
              <w:t xml:space="preserve">5 </w:t>
            </w:r>
            <w:r>
              <w:rPr>
                <w:rFonts w:hint="default" w:ascii="Times New Roman" w:hAnsi="Times New Roman" w:eastAsia="宋体" w:cs="Times New Roman"/>
                <w:b/>
                <w:bCs w:val="0"/>
                <w:color w:val="auto"/>
                <w:sz w:val="21"/>
                <w:szCs w:val="21"/>
              </w:rPr>
              <w:t>项目</w:t>
            </w:r>
            <w:r>
              <w:rPr>
                <w:rFonts w:hint="eastAsia" w:ascii="Times New Roman" w:hAnsi="Times New Roman" w:cs="Times New Roman"/>
                <w:b/>
                <w:bCs w:val="0"/>
                <w:color w:val="auto"/>
                <w:sz w:val="21"/>
                <w:szCs w:val="21"/>
                <w:lang w:val="en-US" w:eastAsia="zh-CN"/>
              </w:rPr>
              <w:t>生活</w:t>
            </w:r>
            <w:r>
              <w:rPr>
                <w:rFonts w:hint="default" w:ascii="Times New Roman" w:hAnsi="Times New Roman" w:eastAsia="宋体" w:cs="Times New Roman"/>
                <w:b/>
                <w:bCs w:val="0"/>
                <w:color w:val="auto"/>
                <w:sz w:val="21"/>
                <w:szCs w:val="21"/>
              </w:rPr>
              <w:t>污水产生情况</w:t>
            </w:r>
            <w:r>
              <w:rPr>
                <w:rFonts w:hint="default" w:ascii="Times New Roman" w:hAnsi="Times New Roman" w:eastAsia="宋体" w:cs="Times New Roman"/>
                <w:b/>
                <w:bCs w:val="0"/>
                <w:color w:val="auto"/>
                <w:sz w:val="21"/>
                <w:szCs w:val="21"/>
                <w:lang w:eastAsia="zh-CN"/>
              </w:rPr>
              <w:t>（</w:t>
            </w:r>
            <w:r>
              <w:rPr>
                <w:rFonts w:hint="default" w:ascii="Times New Roman" w:hAnsi="Times New Roman" w:eastAsia="宋体" w:cs="Times New Roman"/>
                <w:b/>
                <w:bCs w:val="0"/>
                <w:color w:val="auto"/>
                <w:sz w:val="21"/>
                <w:szCs w:val="21"/>
                <w:lang w:val="en-US" w:eastAsia="zh-CN"/>
              </w:rPr>
              <w:t>pH为无量纲</w:t>
            </w:r>
            <w:r>
              <w:rPr>
                <w:rFonts w:hint="default" w:ascii="Times New Roman" w:hAnsi="Times New Roman" w:eastAsia="宋体" w:cs="Times New Roman"/>
                <w:b/>
                <w:bCs w:val="0"/>
                <w:color w:val="auto"/>
                <w:sz w:val="21"/>
                <w:szCs w:val="21"/>
                <w:lang w:eastAsia="zh-CN"/>
              </w:rPr>
              <w:t>）</w:t>
            </w:r>
          </w:p>
          <w:tbl>
            <w:tblPr>
              <w:tblStyle w:val="17"/>
              <w:tblW w:w="8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242"/>
              <w:gridCol w:w="1649"/>
              <w:gridCol w:w="1906"/>
              <w:gridCol w:w="1795"/>
              <w:gridCol w:w="1906"/>
            </w:tblGrid>
            <w:tr w14:paraId="29FE9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1242" w:type="dxa"/>
                  <w:vMerge w:val="restart"/>
                  <w:tcBorders>
                    <w:tl2br w:val="nil"/>
                    <w:tr2bl w:val="nil"/>
                  </w:tcBorders>
                  <w:noWrap w:val="0"/>
                  <w:vAlign w:val="center"/>
                </w:tcPr>
                <w:p w14:paraId="164423F9">
                  <w:pPr>
                    <w:pStyle w:val="29"/>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废水源</w:t>
                  </w:r>
                </w:p>
              </w:tc>
              <w:tc>
                <w:tcPr>
                  <w:tcW w:w="1649" w:type="dxa"/>
                  <w:vMerge w:val="restart"/>
                  <w:tcBorders>
                    <w:tl2br w:val="nil"/>
                    <w:tr2bl w:val="nil"/>
                  </w:tcBorders>
                  <w:noWrap w:val="0"/>
                  <w:vAlign w:val="center"/>
                </w:tcPr>
                <w:p w14:paraId="4246D12B">
                  <w:pPr>
                    <w:pStyle w:val="29"/>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废水水量</w:t>
                  </w:r>
                  <w:r>
                    <w:rPr>
                      <w:rFonts w:hint="default" w:ascii="Times New Roman" w:hAnsi="Times New Roman" w:eastAsia="宋体" w:cs="Times New Roman"/>
                      <w:b/>
                      <w:bCs w:val="0"/>
                      <w:color w:val="auto"/>
                      <w:szCs w:val="21"/>
                      <w:highlight w:val="none"/>
                    </w:rPr>
                    <w:t>m</w:t>
                  </w:r>
                  <w:r>
                    <w:rPr>
                      <w:rFonts w:hint="default" w:ascii="Times New Roman" w:hAnsi="Times New Roman" w:eastAsia="宋体" w:cs="Times New Roman"/>
                      <w:b/>
                      <w:bCs w:val="0"/>
                      <w:color w:val="auto"/>
                      <w:szCs w:val="21"/>
                      <w:highlight w:val="none"/>
                      <w:vertAlign w:val="superscript"/>
                    </w:rPr>
                    <w:t>3</w:t>
                  </w:r>
                  <w:r>
                    <w:rPr>
                      <w:rFonts w:hint="default" w:ascii="Times New Roman" w:hAnsi="Times New Roman" w:eastAsia="宋体" w:cs="Times New Roman"/>
                      <w:b/>
                      <w:bCs w:val="0"/>
                      <w:color w:val="auto"/>
                      <w:szCs w:val="21"/>
                    </w:rPr>
                    <w:t>/a</w:t>
                  </w:r>
                </w:p>
              </w:tc>
              <w:tc>
                <w:tcPr>
                  <w:tcW w:w="5607" w:type="dxa"/>
                  <w:gridSpan w:val="3"/>
                  <w:tcBorders>
                    <w:tl2br w:val="nil"/>
                    <w:tr2bl w:val="nil"/>
                  </w:tcBorders>
                  <w:noWrap w:val="0"/>
                  <w:vAlign w:val="center"/>
                </w:tcPr>
                <w:p w14:paraId="0CA7E742">
                  <w:pPr>
                    <w:pStyle w:val="29"/>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产生情况</w:t>
                  </w:r>
                </w:p>
              </w:tc>
            </w:tr>
            <w:tr w14:paraId="73D7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1242" w:type="dxa"/>
                  <w:vMerge w:val="continue"/>
                  <w:tcBorders>
                    <w:tl2br w:val="nil"/>
                    <w:tr2bl w:val="nil"/>
                  </w:tcBorders>
                  <w:noWrap w:val="0"/>
                  <w:vAlign w:val="center"/>
                </w:tcPr>
                <w:p w14:paraId="1AFE7BCA">
                  <w:pPr>
                    <w:pStyle w:val="29"/>
                    <w:rPr>
                      <w:rFonts w:hint="default" w:ascii="Times New Roman" w:hAnsi="Times New Roman" w:eastAsia="宋体" w:cs="Times New Roman"/>
                      <w:b/>
                      <w:bCs w:val="0"/>
                      <w:color w:val="auto"/>
                      <w:szCs w:val="21"/>
                    </w:rPr>
                  </w:pPr>
                </w:p>
              </w:tc>
              <w:tc>
                <w:tcPr>
                  <w:tcW w:w="1649" w:type="dxa"/>
                  <w:vMerge w:val="continue"/>
                  <w:tcBorders>
                    <w:tl2br w:val="nil"/>
                    <w:tr2bl w:val="nil"/>
                  </w:tcBorders>
                  <w:noWrap w:val="0"/>
                  <w:vAlign w:val="center"/>
                </w:tcPr>
                <w:p w14:paraId="26672FE3">
                  <w:pPr>
                    <w:pStyle w:val="29"/>
                    <w:rPr>
                      <w:rFonts w:hint="default" w:ascii="Times New Roman" w:hAnsi="Times New Roman" w:eastAsia="宋体" w:cs="Times New Roman"/>
                      <w:b/>
                      <w:bCs w:val="0"/>
                      <w:color w:val="auto"/>
                      <w:szCs w:val="21"/>
                    </w:rPr>
                  </w:pPr>
                </w:p>
              </w:tc>
              <w:tc>
                <w:tcPr>
                  <w:tcW w:w="1906" w:type="dxa"/>
                  <w:tcBorders>
                    <w:tl2br w:val="nil"/>
                    <w:tr2bl w:val="nil"/>
                  </w:tcBorders>
                  <w:noWrap w:val="0"/>
                  <w:vAlign w:val="center"/>
                </w:tcPr>
                <w:p w14:paraId="5B26CDBC">
                  <w:pPr>
                    <w:pStyle w:val="29"/>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污染物名称</w:t>
                  </w:r>
                </w:p>
              </w:tc>
              <w:tc>
                <w:tcPr>
                  <w:tcW w:w="1795" w:type="dxa"/>
                  <w:tcBorders>
                    <w:tl2br w:val="nil"/>
                    <w:tr2bl w:val="nil"/>
                  </w:tcBorders>
                  <w:noWrap w:val="0"/>
                  <w:vAlign w:val="center"/>
                </w:tcPr>
                <w:p w14:paraId="50C05B04">
                  <w:pPr>
                    <w:pStyle w:val="29"/>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产生浓度mg/L</w:t>
                  </w:r>
                </w:p>
              </w:tc>
              <w:tc>
                <w:tcPr>
                  <w:tcW w:w="1906" w:type="dxa"/>
                  <w:tcBorders>
                    <w:tl2br w:val="nil"/>
                    <w:tr2bl w:val="nil"/>
                  </w:tcBorders>
                  <w:noWrap w:val="0"/>
                  <w:vAlign w:val="center"/>
                </w:tcPr>
                <w:p w14:paraId="040C7EF2">
                  <w:pPr>
                    <w:pStyle w:val="29"/>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产生量t/a</w:t>
                  </w:r>
                </w:p>
              </w:tc>
            </w:tr>
            <w:tr w14:paraId="11E8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1242" w:type="dxa"/>
                  <w:vMerge w:val="restart"/>
                  <w:tcBorders>
                    <w:tl2br w:val="nil"/>
                    <w:tr2bl w:val="nil"/>
                  </w:tcBorders>
                  <w:noWrap w:val="0"/>
                  <w:vAlign w:val="center"/>
                </w:tcPr>
                <w:p w14:paraId="054A1C49">
                  <w:pPr>
                    <w:pStyle w:val="29"/>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rPr>
                    <w:t>生活污水</w:t>
                  </w:r>
                </w:p>
              </w:tc>
              <w:tc>
                <w:tcPr>
                  <w:tcW w:w="1649" w:type="dxa"/>
                  <w:vMerge w:val="restart"/>
                  <w:tcBorders>
                    <w:tl2br w:val="nil"/>
                    <w:tr2bl w:val="nil"/>
                  </w:tcBorders>
                  <w:noWrap w:val="0"/>
                  <w:vAlign w:val="center"/>
                </w:tcPr>
                <w:p w14:paraId="2B9710C8">
                  <w:pPr>
                    <w:pStyle w:val="29"/>
                    <w:rPr>
                      <w:rFonts w:hint="default" w:ascii="Times New Roman" w:hAnsi="Times New Roman" w:eastAsia="宋体" w:cs="Times New Roman"/>
                      <w:b w:val="0"/>
                      <w:bCs/>
                      <w:color w:val="auto"/>
                      <w:szCs w:val="21"/>
                      <w:lang w:val="en-US" w:eastAsia="zh-CN"/>
                    </w:rPr>
                  </w:pPr>
                  <w:r>
                    <w:rPr>
                      <w:rFonts w:hint="eastAsia" w:cs="Times New Roman"/>
                      <w:b w:val="0"/>
                      <w:bCs/>
                      <w:color w:val="auto"/>
                      <w:szCs w:val="21"/>
                      <w:lang w:val="en-US" w:eastAsia="zh-CN"/>
                    </w:rPr>
                    <w:t>480</w:t>
                  </w:r>
                </w:p>
              </w:tc>
              <w:tc>
                <w:tcPr>
                  <w:tcW w:w="1906" w:type="dxa"/>
                  <w:tcBorders>
                    <w:tl2br w:val="nil"/>
                    <w:tr2bl w:val="nil"/>
                  </w:tcBorders>
                  <w:noWrap w:val="0"/>
                  <w:vAlign w:val="center"/>
                </w:tcPr>
                <w:p w14:paraId="00558B1B">
                  <w:pPr>
                    <w:pStyle w:val="29"/>
                    <w:rPr>
                      <w:rFonts w:hint="default" w:ascii="Times New Roman" w:hAnsi="Times New Roman" w:eastAsia="宋体" w:cs="Times New Roman"/>
                      <w:b w:val="0"/>
                      <w:bCs/>
                      <w:color w:val="auto"/>
                      <w:szCs w:val="21"/>
                      <w:lang w:val="en-US" w:eastAsia="zh-CN"/>
                    </w:rPr>
                  </w:pPr>
                  <w:r>
                    <w:rPr>
                      <w:rFonts w:hint="default" w:ascii="Times New Roman" w:hAnsi="Times New Roman" w:eastAsia="宋体" w:cs="Times New Roman"/>
                      <w:b w:val="0"/>
                      <w:bCs/>
                      <w:color w:val="auto"/>
                      <w:szCs w:val="21"/>
                      <w:lang w:val="en-US" w:eastAsia="zh-CN"/>
                    </w:rPr>
                    <w:t>pH</w:t>
                  </w:r>
                </w:p>
              </w:tc>
              <w:tc>
                <w:tcPr>
                  <w:tcW w:w="1795" w:type="dxa"/>
                  <w:tcBorders>
                    <w:tl2br w:val="nil"/>
                    <w:tr2bl w:val="nil"/>
                  </w:tcBorders>
                  <w:noWrap w:val="0"/>
                  <w:vAlign w:val="center"/>
                </w:tcPr>
                <w:p w14:paraId="5BDDF0D6">
                  <w:pPr>
                    <w:widowControl/>
                    <w:jc w:val="center"/>
                    <w:textAlignment w:val="center"/>
                    <w:rPr>
                      <w:rFonts w:hint="default" w:ascii="Times New Roman" w:hAnsi="Times New Roman" w:eastAsia="宋体" w:cs="Times New Roman"/>
                      <w:b w:val="0"/>
                      <w:bCs/>
                      <w:color w:val="auto"/>
                      <w:kern w:val="0"/>
                      <w:szCs w:val="21"/>
                      <w:lang w:val="en-US" w:eastAsia="zh-CN" w:bidi="ar"/>
                    </w:rPr>
                  </w:pPr>
                  <w:r>
                    <w:rPr>
                      <w:rFonts w:hint="default" w:ascii="Times New Roman" w:hAnsi="Times New Roman" w:eastAsia="宋体" w:cs="Times New Roman"/>
                      <w:color w:val="auto"/>
                      <w:szCs w:val="21"/>
                    </w:rPr>
                    <w:t>6-9</w:t>
                  </w:r>
                </w:p>
              </w:tc>
              <w:tc>
                <w:tcPr>
                  <w:tcW w:w="1906" w:type="dxa"/>
                  <w:tcBorders>
                    <w:tl2br w:val="nil"/>
                    <w:tr2bl w:val="nil"/>
                  </w:tcBorders>
                  <w:noWrap w:val="0"/>
                  <w:vAlign w:val="center"/>
                </w:tcPr>
                <w:p w14:paraId="028C7F93">
                  <w:pPr>
                    <w:widowControl/>
                    <w:jc w:val="center"/>
                    <w:textAlignment w:val="center"/>
                    <w:rPr>
                      <w:rFonts w:hint="default" w:ascii="Times New Roman" w:hAnsi="Times New Roman" w:eastAsia="宋体" w:cs="Times New Roman"/>
                      <w:b w:val="0"/>
                      <w:bCs/>
                      <w:color w:val="auto"/>
                      <w:kern w:val="0"/>
                      <w:sz w:val="22"/>
                      <w:szCs w:val="22"/>
                      <w:lang w:val="en-US" w:eastAsia="zh-CN" w:bidi="ar"/>
                    </w:rPr>
                  </w:pPr>
                  <w:r>
                    <w:rPr>
                      <w:rFonts w:hint="default" w:ascii="Times New Roman" w:hAnsi="Times New Roman" w:eastAsia="宋体" w:cs="Times New Roman"/>
                      <w:b w:val="0"/>
                      <w:bCs/>
                      <w:color w:val="auto"/>
                      <w:kern w:val="0"/>
                      <w:sz w:val="22"/>
                      <w:szCs w:val="22"/>
                      <w:lang w:val="en-US" w:eastAsia="zh-CN" w:bidi="ar"/>
                    </w:rPr>
                    <w:t>/</w:t>
                  </w:r>
                </w:p>
              </w:tc>
            </w:tr>
            <w:tr w14:paraId="20C0C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1242" w:type="dxa"/>
                  <w:vMerge w:val="continue"/>
                  <w:tcBorders>
                    <w:tl2br w:val="nil"/>
                    <w:tr2bl w:val="nil"/>
                  </w:tcBorders>
                  <w:noWrap w:val="0"/>
                  <w:vAlign w:val="center"/>
                </w:tcPr>
                <w:p w14:paraId="3C1FEE95">
                  <w:pPr>
                    <w:pStyle w:val="29"/>
                    <w:rPr>
                      <w:rFonts w:hint="default" w:ascii="Times New Roman" w:hAnsi="Times New Roman" w:eastAsia="宋体" w:cs="Times New Roman"/>
                      <w:b w:val="0"/>
                      <w:bCs/>
                      <w:color w:val="auto"/>
                      <w:szCs w:val="21"/>
                    </w:rPr>
                  </w:pPr>
                </w:p>
              </w:tc>
              <w:tc>
                <w:tcPr>
                  <w:tcW w:w="1649" w:type="dxa"/>
                  <w:vMerge w:val="continue"/>
                  <w:tcBorders>
                    <w:tl2br w:val="nil"/>
                    <w:tr2bl w:val="nil"/>
                  </w:tcBorders>
                  <w:noWrap w:val="0"/>
                  <w:vAlign w:val="center"/>
                </w:tcPr>
                <w:p w14:paraId="6CBA7268">
                  <w:pPr>
                    <w:pStyle w:val="29"/>
                    <w:rPr>
                      <w:rFonts w:hint="default" w:ascii="Times New Roman" w:hAnsi="Times New Roman" w:eastAsia="宋体" w:cs="Times New Roman"/>
                      <w:b w:val="0"/>
                      <w:bCs/>
                      <w:color w:val="auto"/>
                      <w:szCs w:val="21"/>
                      <w:lang w:val="en-US" w:eastAsia="zh-CN"/>
                    </w:rPr>
                  </w:pPr>
                </w:p>
              </w:tc>
              <w:tc>
                <w:tcPr>
                  <w:tcW w:w="1906" w:type="dxa"/>
                  <w:tcBorders>
                    <w:tl2br w:val="nil"/>
                    <w:tr2bl w:val="nil"/>
                  </w:tcBorders>
                  <w:noWrap w:val="0"/>
                  <w:vAlign w:val="center"/>
                </w:tcPr>
                <w:p w14:paraId="71121494">
                  <w:pPr>
                    <w:pStyle w:val="29"/>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rPr>
                    <w:t>COD</w:t>
                  </w:r>
                </w:p>
              </w:tc>
              <w:tc>
                <w:tcPr>
                  <w:tcW w:w="1795" w:type="dxa"/>
                  <w:tcBorders>
                    <w:tl2br w:val="nil"/>
                    <w:tr2bl w:val="nil"/>
                  </w:tcBorders>
                  <w:noWrap w:val="0"/>
                  <w:vAlign w:val="center"/>
                </w:tcPr>
                <w:p w14:paraId="7C4A72B8">
                  <w:pPr>
                    <w:widowControl/>
                    <w:jc w:val="center"/>
                    <w:textAlignment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kern w:val="0"/>
                      <w:sz w:val="21"/>
                      <w:szCs w:val="21"/>
                      <w:lang w:val="en-US" w:eastAsia="zh-CN" w:bidi="ar"/>
                    </w:rPr>
                    <w:t>300</w:t>
                  </w:r>
                </w:p>
              </w:tc>
              <w:tc>
                <w:tcPr>
                  <w:tcW w:w="1906" w:type="dxa"/>
                  <w:tcBorders>
                    <w:tl2br w:val="nil"/>
                    <w:tr2bl w:val="nil"/>
                  </w:tcBorders>
                  <w:noWrap w:val="0"/>
                  <w:vAlign w:val="center"/>
                </w:tcPr>
                <w:p w14:paraId="0A4F7043">
                  <w:pPr>
                    <w:widowControl/>
                    <w:jc w:val="center"/>
                    <w:textAlignment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kern w:val="0"/>
                      <w:sz w:val="21"/>
                      <w:szCs w:val="21"/>
                      <w:lang w:val="en-US" w:eastAsia="zh-CN" w:bidi="ar"/>
                    </w:rPr>
                    <w:t>0.144</w:t>
                  </w:r>
                </w:p>
              </w:tc>
            </w:tr>
            <w:tr w14:paraId="4521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1242" w:type="dxa"/>
                  <w:vMerge w:val="continue"/>
                  <w:tcBorders>
                    <w:tl2br w:val="nil"/>
                    <w:tr2bl w:val="nil"/>
                  </w:tcBorders>
                  <w:noWrap w:val="0"/>
                  <w:vAlign w:val="center"/>
                </w:tcPr>
                <w:p w14:paraId="5FF060D1">
                  <w:pPr>
                    <w:pStyle w:val="29"/>
                    <w:rPr>
                      <w:rFonts w:hint="default" w:ascii="Times New Roman" w:hAnsi="Times New Roman" w:eastAsia="宋体" w:cs="Times New Roman"/>
                      <w:b w:val="0"/>
                      <w:bCs/>
                      <w:color w:val="auto"/>
                      <w:szCs w:val="21"/>
                    </w:rPr>
                  </w:pPr>
                </w:p>
              </w:tc>
              <w:tc>
                <w:tcPr>
                  <w:tcW w:w="1649" w:type="dxa"/>
                  <w:vMerge w:val="continue"/>
                  <w:tcBorders>
                    <w:tl2br w:val="nil"/>
                    <w:tr2bl w:val="nil"/>
                  </w:tcBorders>
                  <w:noWrap w:val="0"/>
                  <w:vAlign w:val="center"/>
                </w:tcPr>
                <w:p w14:paraId="0EE0C741">
                  <w:pPr>
                    <w:pStyle w:val="29"/>
                    <w:rPr>
                      <w:rFonts w:hint="default" w:ascii="Times New Roman" w:hAnsi="Times New Roman" w:eastAsia="宋体" w:cs="Times New Roman"/>
                      <w:b w:val="0"/>
                      <w:bCs/>
                      <w:color w:val="auto"/>
                      <w:szCs w:val="21"/>
                    </w:rPr>
                  </w:pPr>
                </w:p>
              </w:tc>
              <w:tc>
                <w:tcPr>
                  <w:tcW w:w="1906" w:type="dxa"/>
                  <w:tcBorders>
                    <w:tl2br w:val="nil"/>
                    <w:tr2bl w:val="nil"/>
                  </w:tcBorders>
                  <w:noWrap w:val="0"/>
                  <w:vAlign w:val="center"/>
                </w:tcPr>
                <w:p w14:paraId="55FEA305">
                  <w:pPr>
                    <w:pStyle w:val="29"/>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rPr>
                    <w:t>SS</w:t>
                  </w:r>
                </w:p>
              </w:tc>
              <w:tc>
                <w:tcPr>
                  <w:tcW w:w="1795" w:type="dxa"/>
                  <w:tcBorders>
                    <w:tl2br w:val="nil"/>
                    <w:tr2bl w:val="nil"/>
                  </w:tcBorders>
                  <w:noWrap w:val="0"/>
                  <w:vAlign w:val="center"/>
                </w:tcPr>
                <w:p w14:paraId="66046450">
                  <w:pPr>
                    <w:widowControl/>
                    <w:jc w:val="center"/>
                    <w:textAlignment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kern w:val="0"/>
                      <w:sz w:val="21"/>
                      <w:szCs w:val="21"/>
                      <w:lang w:val="en-US" w:eastAsia="zh-CN" w:bidi="ar"/>
                    </w:rPr>
                    <w:t>200</w:t>
                  </w:r>
                </w:p>
              </w:tc>
              <w:tc>
                <w:tcPr>
                  <w:tcW w:w="1906" w:type="dxa"/>
                  <w:tcBorders>
                    <w:tl2br w:val="nil"/>
                    <w:tr2bl w:val="nil"/>
                  </w:tcBorders>
                  <w:noWrap w:val="0"/>
                  <w:vAlign w:val="center"/>
                </w:tcPr>
                <w:p w14:paraId="59211CD5">
                  <w:pPr>
                    <w:widowControl/>
                    <w:jc w:val="center"/>
                    <w:textAlignment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kern w:val="0"/>
                      <w:sz w:val="21"/>
                      <w:szCs w:val="21"/>
                      <w:lang w:val="en-US" w:eastAsia="zh-CN" w:bidi="ar"/>
                    </w:rPr>
                    <w:t>0.096</w:t>
                  </w:r>
                </w:p>
              </w:tc>
            </w:tr>
            <w:tr w14:paraId="07A08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1242" w:type="dxa"/>
                  <w:vMerge w:val="continue"/>
                  <w:tcBorders>
                    <w:tl2br w:val="nil"/>
                    <w:tr2bl w:val="nil"/>
                  </w:tcBorders>
                  <w:noWrap w:val="0"/>
                  <w:vAlign w:val="center"/>
                </w:tcPr>
                <w:p w14:paraId="00BB3D48">
                  <w:pPr>
                    <w:pStyle w:val="29"/>
                    <w:rPr>
                      <w:rFonts w:hint="default" w:ascii="Times New Roman" w:hAnsi="Times New Roman" w:eastAsia="宋体" w:cs="Times New Roman"/>
                      <w:b w:val="0"/>
                      <w:bCs/>
                      <w:color w:val="auto"/>
                      <w:szCs w:val="21"/>
                    </w:rPr>
                  </w:pPr>
                </w:p>
              </w:tc>
              <w:tc>
                <w:tcPr>
                  <w:tcW w:w="1649" w:type="dxa"/>
                  <w:vMerge w:val="continue"/>
                  <w:tcBorders>
                    <w:tl2br w:val="nil"/>
                    <w:tr2bl w:val="nil"/>
                  </w:tcBorders>
                  <w:noWrap w:val="0"/>
                  <w:vAlign w:val="center"/>
                </w:tcPr>
                <w:p w14:paraId="21633F09">
                  <w:pPr>
                    <w:pStyle w:val="29"/>
                    <w:rPr>
                      <w:rFonts w:hint="default" w:ascii="Times New Roman" w:hAnsi="Times New Roman" w:eastAsia="宋体" w:cs="Times New Roman"/>
                      <w:b w:val="0"/>
                      <w:bCs/>
                      <w:color w:val="auto"/>
                      <w:szCs w:val="21"/>
                    </w:rPr>
                  </w:pPr>
                </w:p>
              </w:tc>
              <w:tc>
                <w:tcPr>
                  <w:tcW w:w="1906" w:type="dxa"/>
                  <w:tcBorders>
                    <w:tl2br w:val="nil"/>
                    <w:tr2bl w:val="nil"/>
                  </w:tcBorders>
                  <w:noWrap w:val="0"/>
                  <w:vAlign w:val="center"/>
                </w:tcPr>
                <w:p w14:paraId="754C729B">
                  <w:pPr>
                    <w:pStyle w:val="29"/>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rPr>
                    <w:t>NH</w:t>
                  </w:r>
                  <w:r>
                    <w:rPr>
                      <w:rFonts w:hint="default" w:ascii="Times New Roman" w:hAnsi="Times New Roman" w:eastAsia="宋体" w:cs="Times New Roman"/>
                      <w:b w:val="0"/>
                      <w:bCs/>
                      <w:color w:val="auto"/>
                      <w:szCs w:val="21"/>
                      <w:vertAlign w:val="subscript"/>
                    </w:rPr>
                    <w:t>3</w:t>
                  </w:r>
                  <w:r>
                    <w:rPr>
                      <w:rFonts w:hint="default" w:ascii="Times New Roman" w:hAnsi="Times New Roman" w:eastAsia="宋体" w:cs="Times New Roman"/>
                      <w:b w:val="0"/>
                      <w:bCs/>
                      <w:color w:val="auto"/>
                      <w:szCs w:val="21"/>
                    </w:rPr>
                    <w:t>-N</w:t>
                  </w:r>
                </w:p>
              </w:tc>
              <w:tc>
                <w:tcPr>
                  <w:tcW w:w="1795" w:type="dxa"/>
                  <w:tcBorders>
                    <w:tl2br w:val="nil"/>
                    <w:tr2bl w:val="nil"/>
                  </w:tcBorders>
                  <w:noWrap w:val="0"/>
                  <w:vAlign w:val="center"/>
                </w:tcPr>
                <w:p w14:paraId="7F34D252">
                  <w:pPr>
                    <w:widowControl/>
                    <w:jc w:val="center"/>
                    <w:textAlignment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kern w:val="0"/>
                      <w:sz w:val="21"/>
                      <w:szCs w:val="21"/>
                      <w:lang w:val="en-US" w:eastAsia="zh-CN" w:bidi="ar"/>
                    </w:rPr>
                    <w:t>30</w:t>
                  </w:r>
                </w:p>
              </w:tc>
              <w:tc>
                <w:tcPr>
                  <w:tcW w:w="1906" w:type="dxa"/>
                  <w:tcBorders>
                    <w:tl2br w:val="nil"/>
                    <w:tr2bl w:val="nil"/>
                  </w:tcBorders>
                  <w:noWrap w:val="0"/>
                  <w:vAlign w:val="center"/>
                </w:tcPr>
                <w:p w14:paraId="19F1A4CE">
                  <w:pPr>
                    <w:widowControl/>
                    <w:jc w:val="center"/>
                    <w:textAlignment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0.0144</w:t>
                  </w:r>
                </w:p>
              </w:tc>
            </w:tr>
            <w:tr w14:paraId="5FFAE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1242" w:type="dxa"/>
                  <w:vMerge w:val="continue"/>
                  <w:tcBorders>
                    <w:tl2br w:val="nil"/>
                    <w:tr2bl w:val="nil"/>
                  </w:tcBorders>
                  <w:noWrap w:val="0"/>
                  <w:vAlign w:val="center"/>
                </w:tcPr>
                <w:p w14:paraId="026BEF98">
                  <w:pPr>
                    <w:pStyle w:val="29"/>
                    <w:rPr>
                      <w:rFonts w:hint="default" w:ascii="Times New Roman" w:hAnsi="Times New Roman" w:eastAsia="宋体" w:cs="Times New Roman"/>
                      <w:b w:val="0"/>
                      <w:bCs/>
                      <w:color w:val="auto"/>
                      <w:szCs w:val="21"/>
                    </w:rPr>
                  </w:pPr>
                </w:p>
              </w:tc>
              <w:tc>
                <w:tcPr>
                  <w:tcW w:w="1649" w:type="dxa"/>
                  <w:vMerge w:val="continue"/>
                  <w:tcBorders>
                    <w:tl2br w:val="nil"/>
                    <w:tr2bl w:val="nil"/>
                  </w:tcBorders>
                  <w:noWrap w:val="0"/>
                  <w:vAlign w:val="center"/>
                </w:tcPr>
                <w:p w14:paraId="088B81A5">
                  <w:pPr>
                    <w:pStyle w:val="29"/>
                    <w:rPr>
                      <w:rFonts w:hint="default" w:ascii="Times New Roman" w:hAnsi="Times New Roman" w:eastAsia="宋体" w:cs="Times New Roman"/>
                      <w:b w:val="0"/>
                      <w:bCs/>
                      <w:color w:val="auto"/>
                      <w:szCs w:val="21"/>
                    </w:rPr>
                  </w:pPr>
                </w:p>
              </w:tc>
              <w:tc>
                <w:tcPr>
                  <w:tcW w:w="1906" w:type="dxa"/>
                  <w:tcBorders>
                    <w:tl2br w:val="nil"/>
                    <w:tr2bl w:val="nil"/>
                  </w:tcBorders>
                  <w:noWrap w:val="0"/>
                  <w:vAlign w:val="center"/>
                </w:tcPr>
                <w:p w14:paraId="2DEA5002">
                  <w:pPr>
                    <w:pStyle w:val="29"/>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rPr>
                    <w:t>TP</w:t>
                  </w:r>
                </w:p>
              </w:tc>
              <w:tc>
                <w:tcPr>
                  <w:tcW w:w="1795" w:type="dxa"/>
                  <w:tcBorders>
                    <w:tl2br w:val="nil"/>
                    <w:tr2bl w:val="nil"/>
                  </w:tcBorders>
                  <w:noWrap w:val="0"/>
                  <w:vAlign w:val="center"/>
                </w:tcPr>
                <w:p w14:paraId="3E565D63">
                  <w:pPr>
                    <w:widowControl/>
                    <w:jc w:val="center"/>
                    <w:textAlignment w:val="center"/>
                    <w:rPr>
                      <w:rFonts w:hint="eastAsia" w:ascii="Times New Roman" w:hAnsi="Times New Roman" w:eastAsia="宋体" w:cs="Times New Roman"/>
                      <w:b w:val="0"/>
                      <w:bCs/>
                      <w:color w:val="auto"/>
                      <w:sz w:val="21"/>
                      <w:szCs w:val="21"/>
                      <w:lang w:eastAsia="zh-CN"/>
                    </w:rPr>
                  </w:pPr>
                  <w:r>
                    <w:rPr>
                      <w:rFonts w:hint="eastAsia" w:cs="Times New Roman"/>
                      <w:b w:val="0"/>
                      <w:bCs/>
                      <w:color w:val="auto"/>
                      <w:kern w:val="0"/>
                      <w:sz w:val="21"/>
                      <w:szCs w:val="21"/>
                      <w:lang w:val="en-US" w:eastAsia="zh-CN" w:bidi="ar"/>
                    </w:rPr>
                    <w:t>3</w:t>
                  </w:r>
                </w:p>
              </w:tc>
              <w:tc>
                <w:tcPr>
                  <w:tcW w:w="1906" w:type="dxa"/>
                  <w:tcBorders>
                    <w:tl2br w:val="nil"/>
                    <w:tr2bl w:val="nil"/>
                  </w:tcBorders>
                  <w:noWrap w:val="0"/>
                  <w:vAlign w:val="center"/>
                </w:tcPr>
                <w:p w14:paraId="70ABCFB0">
                  <w:pPr>
                    <w:widowControl/>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0.001</w:t>
                  </w:r>
                  <w:r>
                    <w:rPr>
                      <w:rFonts w:hint="eastAsia" w:cs="Times New Roman"/>
                      <w:b w:val="0"/>
                      <w:bCs/>
                      <w:color w:val="auto"/>
                      <w:sz w:val="21"/>
                      <w:szCs w:val="21"/>
                      <w:lang w:val="en-US" w:eastAsia="zh-CN"/>
                    </w:rPr>
                    <w:t>4</w:t>
                  </w:r>
                </w:p>
              </w:tc>
            </w:tr>
            <w:tr w14:paraId="36B74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1242" w:type="dxa"/>
                  <w:vMerge w:val="continue"/>
                  <w:tcBorders>
                    <w:tl2br w:val="nil"/>
                    <w:tr2bl w:val="nil"/>
                  </w:tcBorders>
                  <w:noWrap w:val="0"/>
                  <w:vAlign w:val="center"/>
                </w:tcPr>
                <w:p w14:paraId="1393D498">
                  <w:pPr>
                    <w:pStyle w:val="29"/>
                    <w:rPr>
                      <w:rFonts w:hint="default" w:ascii="Times New Roman" w:hAnsi="Times New Roman" w:eastAsia="宋体" w:cs="Times New Roman"/>
                      <w:b w:val="0"/>
                      <w:bCs/>
                      <w:color w:val="auto"/>
                      <w:szCs w:val="21"/>
                    </w:rPr>
                  </w:pPr>
                </w:p>
              </w:tc>
              <w:tc>
                <w:tcPr>
                  <w:tcW w:w="1649" w:type="dxa"/>
                  <w:vMerge w:val="continue"/>
                  <w:tcBorders>
                    <w:tl2br w:val="nil"/>
                    <w:tr2bl w:val="nil"/>
                  </w:tcBorders>
                  <w:noWrap w:val="0"/>
                  <w:vAlign w:val="center"/>
                </w:tcPr>
                <w:p w14:paraId="38536B26">
                  <w:pPr>
                    <w:pStyle w:val="29"/>
                    <w:rPr>
                      <w:rFonts w:hint="default" w:ascii="Times New Roman" w:hAnsi="Times New Roman" w:eastAsia="宋体" w:cs="Times New Roman"/>
                      <w:b w:val="0"/>
                      <w:bCs/>
                      <w:color w:val="auto"/>
                      <w:szCs w:val="21"/>
                    </w:rPr>
                  </w:pPr>
                </w:p>
              </w:tc>
              <w:tc>
                <w:tcPr>
                  <w:tcW w:w="1906" w:type="dxa"/>
                  <w:tcBorders>
                    <w:tl2br w:val="nil"/>
                    <w:tr2bl w:val="nil"/>
                  </w:tcBorders>
                  <w:noWrap w:val="0"/>
                  <w:vAlign w:val="center"/>
                </w:tcPr>
                <w:p w14:paraId="44469B42">
                  <w:pPr>
                    <w:pStyle w:val="29"/>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rPr>
                    <w:t>TN</w:t>
                  </w:r>
                </w:p>
              </w:tc>
              <w:tc>
                <w:tcPr>
                  <w:tcW w:w="1795" w:type="dxa"/>
                  <w:tcBorders>
                    <w:tl2br w:val="nil"/>
                    <w:tr2bl w:val="nil"/>
                  </w:tcBorders>
                  <w:noWrap w:val="0"/>
                  <w:vAlign w:val="center"/>
                </w:tcPr>
                <w:p w14:paraId="53C20BB6">
                  <w:pPr>
                    <w:widowControl/>
                    <w:jc w:val="center"/>
                    <w:textAlignment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kern w:val="0"/>
                      <w:sz w:val="21"/>
                      <w:szCs w:val="21"/>
                      <w:lang w:val="en-US" w:eastAsia="zh-CN" w:bidi="ar"/>
                    </w:rPr>
                    <w:t>40</w:t>
                  </w:r>
                </w:p>
              </w:tc>
              <w:tc>
                <w:tcPr>
                  <w:tcW w:w="1906" w:type="dxa"/>
                  <w:tcBorders>
                    <w:tl2br w:val="nil"/>
                    <w:tr2bl w:val="nil"/>
                  </w:tcBorders>
                  <w:noWrap w:val="0"/>
                  <w:vAlign w:val="center"/>
                </w:tcPr>
                <w:p w14:paraId="180D543B">
                  <w:pPr>
                    <w:widowControl/>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0.0</w:t>
                  </w:r>
                  <w:r>
                    <w:rPr>
                      <w:rFonts w:hint="eastAsia" w:cs="Times New Roman"/>
                      <w:b w:val="0"/>
                      <w:bCs/>
                      <w:color w:val="auto"/>
                      <w:sz w:val="21"/>
                      <w:szCs w:val="21"/>
                      <w:lang w:val="en-US" w:eastAsia="zh-CN"/>
                    </w:rPr>
                    <w:t>192</w:t>
                  </w:r>
                </w:p>
              </w:tc>
            </w:tr>
          </w:tbl>
          <w:p w14:paraId="5427F56B">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pacing w:val="-10"/>
                <w:szCs w:val="21"/>
                <w:lang w:val="en-US" w:eastAsia="zh-CN"/>
              </w:rPr>
              <w:t>4.2.1.2生产废水</w:t>
            </w:r>
          </w:p>
          <w:p w14:paraId="44877E41">
            <w:pPr>
              <w:pStyle w:val="28"/>
              <w:keepNext w:val="0"/>
              <w:keepLines w:val="0"/>
              <w:pageBreakBefore w:val="0"/>
              <w:widowControl w:val="0"/>
              <w:kinsoku/>
              <w:wordWrap/>
              <w:overflowPunct/>
              <w:topLinePunct w:val="0"/>
              <w:bidi w:val="0"/>
              <w:snapToGrid/>
              <w:spacing w:line="360" w:lineRule="auto"/>
              <w:ind w:firstLine="480" w:firstLineChars="200"/>
              <w:textAlignment w:val="auto"/>
              <w:rPr>
                <w:color w:val="auto"/>
              </w:rPr>
            </w:pPr>
            <w:r>
              <w:rPr>
                <w:rFonts w:hint="eastAsia" w:cs="Times New Roman"/>
                <w:b w:val="0"/>
                <w:bCs/>
                <w:color w:val="auto"/>
                <w:szCs w:val="24"/>
                <w:lang w:val="en-US" w:eastAsia="zh-CN"/>
              </w:rPr>
              <w:t>根据前文分析，</w:t>
            </w:r>
            <w:r>
              <w:rPr>
                <w:rFonts w:hint="default" w:ascii="Times New Roman" w:hAnsi="Times New Roman" w:eastAsia="宋体" w:cs="Times New Roman"/>
                <w:b w:val="0"/>
                <w:bCs/>
                <w:color w:val="auto"/>
                <w:szCs w:val="24"/>
              </w:rPr>
              <w:t>项目</w:t>
            </w:r>
            <w:r>
              <w:rPr>
                <w:rFonts w:hint="eastAsia" w:ascii="Times New Roman" w:hAnsi="Times New Roman" w:eastAsia="宋体" w:cs="Times New Roman"/>
                <w:b w:val="0"/>
                <w:bCs/>
                <w:color w:val="auto"/>
                <w:szCs w:val="24"/>
                <w:lang w:val="en-US" w:eastAsia="zh-CN"/>
              </w:rPr>
              <w:t>生产过程产生</w:t>
            </w:r>
            <w:r>
              <w:rPr>
                <w:rFonts w:hint="eastAsia" w:cs="Times New Roman"/>
                <w:b w:val="0"/>
                <w:bCs/>
                <w:color w:val="auto"/>
                <w:szCs w:val="24"/>
                <w:lang w:val="en-US" w:eastAsia="zh-CN"/>
              </w:rPr>
              <w:t>漂洗废水</w:t>
            </w:r>
            <w:r>
              <w:rPr>
                <w:rFonts w:hint="default" w:ascii="Times New Roman" w:hAnsi="Times New Roman" w:eastAsia="宋体" w:cs="Times New Roman"/>
                <w:b w:val="0"/>
                <w:bCs/>
                <w:color w:val="auto"/>
                <w:szCs w:val="24"/>
                <w:highlight w:val="none"/>
              </w:rPr>
              <w:t>（</w:t>
            </w:r>
            <w:r>
              <w:rPr>
                <w:rFonts w:hint="eastAsia" w:cs="Times New Roman"/>
                <w:b w:val="0"/>
                <w:bCs/>
                <w:color w:val="auto"/>
                <w:szCs w:val="24"/>
                <w:lang w:val="en-US" w:eastAsia="zh-CN"/>
              </w:rPr>
              <w:t>243</w:t>
            </w:r>
            <w:r>
              <w:rPr>
                <w:rFonts w:hint="default" w:ascii="Times New Roman" w:hAnsi="Times New Roman" w:eastAsia="宋体" w:cs="Times New Roman"/>
                <w:b w:val="0"/>
                <w:bCs/>
                <w:color w:val="auto"/>
                <w:szCs w:val="24"/>
              </w:rPr>
              <w:t>t/a</w:t>
            </w:r>
            <w:r>
              <w:rPr>
                <w:rFonts w:hint="default" w:ascii="Times New Roman" w:hAnsi="Times New Roman" w:eastAsia="宋体" w:cs="Times New Roman"/>
                <w:b w:val="0"/>
                <w:bCs/>
                <w:color w:val="auto"/>
                <w:szCs w:val="24"/>
                <w:highlight w:val="none"/>
              </w:rPr>
              <w:t>）</w:t>
            </w:r>
            <w:r>
              <w:rPr>
                <w:rFonts w:hint="eastAsia" w:cs="Times New Roman"/>
                <w:b w:val="0"/>
                <w:bCs/>
                <w:color w:val="auto"/>
                <w:szCs w:val="24"/>
                <w:highlight w:val="none"/>
                <w:lang w:val="en-US" w:eastAsia="zh-CN"/>
              </w:rPr>
              <w:t>和MBR反冲洗废水（1.2</w:t>
            </w:r>
            <w:r>
              <w:rPr>
                <w:rFonts w:hint="default" w:ascii="Times New Roman" w:hAnsi="Times New Roman" w:eastAsia="宋体" w:cs="Times New Roman"/>
                <w:b w:val="0"/>
                <w:bCs/>
                <w:color w:val="auto"/>
                <w:szCs w:val="24"/>
              </w:rPr>
              <w:t>t/a</w:t>
            </w:r>
            <w:r>
              <w:rPr>
                <w:rFonts w:hint="eastAsia" w:cs="Times New Roman"/>
                <w:b w:val="0"/>
                <w:bCs/>
                <w:color w:val="auto"/>
                <w:szCs w:val="24"/>
                <w:highlight w:val="none"/>
                <w:lang w:val="en-US" w:eastAsia="zh-CN"/>
              </w:rPr>
              <w:t>）</w:t>
            </w:r>
            <w:r>
              <w:rPr>
                <w:rFonts w:hint="eastAsia" w:cs="Times New Roman"/>
                <w:b w:val="0"/>
                <w:bCs/>
                <w:color w:val="auto"/>
                <w:szCs w:val="24"/>
                <w:lang w:eastAsia="zh-CN"/>
              </w:rPr>
              <w:t>，</w:t>
            </w:r>
            <w:r>
              <w:rPr>
                <w:rFonts w:hint="eastAsia" w:cs="Times New Roman"/>
                <w:b w:val="0"/>
                <w:bCs/>
                <w:color w:val="auto"/>
                <w:szCs w:val="24"/>
                <w:lang w:val="en-US" w:eastAsia="zh-CN"/>
              </w:rPr>
              <w:t>综合污水中</w:t>
            </w:r>
            <w:r>
              <w:rPr>
                <w:rFonts w:hint="eastAsia" w:ascii="Times New Roman" w:hAnsi="Times New Roman" w:eastAsia="宋体" w:cs="Times New Roman"/>
                <w:color w:val="auto"/>
                <w:sz w:val="24"/>
                <w:lang w:eastAsia="zh-CN"/>
              </w:rPr>
              <w:t>主要污染物及浓度分别为</w:t>
            </w:r>
            <w:r>
              <w:rPr>
                <w:rFonts w:hint="eastAsia" w:ascii="Times New Roman" w:hAnsi="Times New Roman" w:eastAsia="宋体" w:cs="Times New Roman"/>
                <w:color w:val="auto"/>
                <w:lang w:val="en-US" w:eastAsia="zh-CN"/>
              </w:rPr>
              <w:t>pH:</w:t>
            </w:r>
            <w:r>
              <w:rPr>
                <w:rFonts w:hint="eastAsia" w:cs="Times New Roman"/>
                <w:color w:val="auto"/>
                <w:lang w:val="en-US" w:eastAsia="zh-CN"/>
              </w:rPr>
              <w:t>6-9</w:t>
            </w:r>
            <w:r>
              <w:rPr>
                <w:rFonts w:hint="eastAsia" w:ascii="Times New Roman" w:hAnsi="Times New Roman" w:eastAsia="宋体" w:cs="Times New Roman"/>
                <w:color w:val="auto"/>
                <w:lang w:val="en-US" w:eastAsia="zh-CN"/>
              </w:rPr>
              <w:t>（无量纲），COD:400</w:t>
            </w:r>
            <w:r>
              <w:rPr>
                <w:rFonts w:hint="default" w:ascii="Times New Roman" w:hAnsi="Times New Roman" w:eastAsia="宋体" w:cs="Times New Roman"/>
                <w:color w:val="auto"/>
              </w:rPr>
              <w:t>mg/L</w:t>
            </w:r>
            <w:r>
              <w:rPr>
                <w:rFonts w:hint="eastAsia" w:ascii="Times New Roman" w:hAnsi="Times New Roman" w:eastAsia="宋体" w:cs="Times New Roman"/>
                <w:color w:val="auto"/>
                <w:lang w:val="en-US" w:eastAsia="zh-CN"/>
              </w:rPr>
              <w:t>，SS:300</w:t>
            </w:r>
            <w:r>
              <w:rPr>
                <w:rFonts w:hint="default" w:ascii="Times New Roman" w:hAnsi="Times New Roman" w:eastAsia="宋体" w:cs="Times New Roman"/>
                <w:color w:val="auto"/>
              </w:rPr>
              <w:t>mg/L</w:t>
            </w:r>
            <w:r>
              <w:rPr>
                <w:rFonts w:hint="eastAsia" w:ascii="Times New Roman" w:hAnsi="Times New Roman" w:eastAsia="宋体" w:cs="Times New Roman"/>
                <w:color w:val="auto"/>
                <w:lang w:val="en-US" w:eastAsia="zh-CN"/>
              </w:rPr>
              <w:t>，石油类：20</w:t>
            </w:r>
            <w:r>
              <w:rPr>
                <w:rFonts w:hint="default" w:ascii="Times New Roman" w:hAnsi="Times New Roman" w:eastAsia="宋体" w:cs="Times New Roman"/>
                <w:color w:val="auto"/>
              </w:rPr>
              <w:t>mg/L</w:t>
            </w:r>
            <w:r>
              <w:rPr>
                <w:rFonts w:hint="default" w:ascii="Times New Roman" w:hAnsi="Times New Roman" w:eastAsia="宋体" w:cs="Times New Roman"/>
                <w:b w:val="0"/>
                <w:bCs/>
                <w:color w:val="auto"/>
                <w:szCs w:val="24"/>
              </w:rPr>
              <w:t>。</w:t>
            </w:r>
          </w:p>
          <w:p w14:paraId="496E8EA8">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spacing w:val="-10"/>
                <w:sz w:val="21"/>
                <w:szCs w:val="18"/>
                <w:lang w:eastAsia="zh-CN"/>
              </w:rPr>
            </w:pPr>
            <w:r>
              <w:rPr>
                <w:rFonts w:hint="default" w:ascii="Times New Roman" w:hAnsi="Times New Roman" w:eastAsia="宋体" w:cs="Times New Roman"/>
                <w:b/>
                <w:bCs w:val="0"/>
                <w:color w:val="auto"/>
                <w:sz w:val="21"/>
                <w:szCs w:val="21"/>
              </w:rPr>
              <w:t>表4-</w:t>
            </w:r>
            <w:r>
              <w:rPr>
                <w:rFonts w:hint="eastAsia" w:ascii="Times New Roman" w:hAnsi="Times New Roman" w:cs="Times New Roman"/>
                <w:b/>
                <w:bCs w:val="0"/>
                <w:color w:val="auto"/>
                <w:sz w:val="21"/>
                <w:szCs w:val="21"/>
                <w:lang w:val="en-US" w:eastAsia="zh-CN"/>
              </w:rPr>
              <w:t xml:space="preserve">6 </w:t>
            </w:r>
            <w:r>
              <w:rPr>
                <w:rFonts w:hint="default" w:ascii="Times New Roman" w:hAnsi="Times New Roman" w:eastAsia="宋体" w:cs="Times New Roman"/>
                <w:b/>
                <w:bCs w:val="0"/>
                <w:color w:val="auto"/>
                <w:sz w:val="21"/>
                <w:szCs w:val="21"/>
              </w:rPr>
              <w:t>项目</w:t>
            </w:r>
            <w:r>
              <w:rPr>
                <w:rFonts w:hint="eastAsia" w:ascii="Times New Roman" w:hAnsi="Times New Roman" w:cs="Times New Roman"/>
                <w:b/>
                <w:bCs w:val="0"/>
                <w:color w:val="auto"/>
                <w:sz w:val="21"/>
                <w:szCs w:val="21"/>
                <w:lang w:val="en-US" w:eastAsia="zh-CN"/>
              </w:rPr>
              <w:t>漂洗废水</w:t>
            </w:r>
            <w:r>
              <w:rPr>
                <w:rFonts w:hint="default" w:ascii="Times New Roman" w:hAnsi="Times New Roman" w:eastAsia="宋体" w:cs="Times New Roman"/>
                <w:b/>
                <w:bCs w:val="0"/>
                <w:color w:val="auto"/>
                <w:sz w:val="21"/>
                <w:szCs w:val="21"/>
              </w:rPr>
              <w:t>产生情况</w:t>
            </w:r>
            <w:r>
              <w:rPr>
                <w:rFonts w:hint="default" w:ascii="Times New Roman" w:hAnsi="Times New Roman" w:eastAsia="宋体" w:cs="Times New Roman"/>
                <w:b/>
                <w:bCs w:val="0"/>
                <w:color w:val="auto"/>
                <w:sz w:val="21"/>
                <w:szCs w:val="21"/>
                <w:lang w:eastAsia="zh-CN"/>
              </w:rPr>
              <w:t>（</w:t>
            </w:r>
            <w:r>
              <w:rPr>
                <w:rFonts w:hint="default" w:ascii="Times New Roman" w:hAnsi="Times New Roman" w:eastAsia="宋体" w:cs="Times New Roman"/>
                <w:b/>
                <w:bCs w:val="0"/>
                <w:color w:val="auto"/>
                <w:sz w:val="21"/>
                <w:szCs w:val="21"/>
                <w:lang w:val="en-US" w:eastAsia="zh-CN"/>
              </w:rPr>
              <w:t>pH为无量纲</w:t>
            </w:r>
            <w:r>
              <w:rPr>
                <w:rFonts w:hint="default" w:ascii="Times New Roman" w:hAnsi="Times New Roman" w:eastAsia="宋体" w:cs="Times New Roman"/>
                <w:b/>
                <w:bCs w:val="0"/>
                <w:color w:val="auto"/>
                <w:sz w:val="21"/>
                <w:szCs w:val="21"/>
                <w:lang w:eastAsia="zh-CN"/>
              </w:rPr>
              <w:t>）</w:t>
            </w:r>
          </w:p>
          <w:tbl>
            <w:tblPr>
              <w:tblStyle w:val="17"/>
              <w:tblW w:w="84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1242"/>
              <w:gridCol w:w="1649"/>
              <w:gridCol w:w="1906"/>
              <w:gridCol w:w="1795"/>
              <w:gridCol w:w="1906"/>
            </w:tblGrid>
            <w:tr w14:paraId="6652C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1242" w:type="dxa"/>
                  <w:vMerge w:val="restart"/>
                  <w:tcBorders>
                    <w:tl2br w:val="nil"/>
                    <w:tr2bl w:val="nil"/>
                  </w:tcBorders>
                  <w:noWrap w:val="0"/>
                  <w:vAlign w:val="center"/>
                </w:tcPr>
                <w:p w14:paraId="47501706">
                  <w:pPr>
                    <w:pStyle w:val="29"/>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废水源</w:t>
                  </w:r>
                </w:p>
              </w:tc>
              <w:tc>
                <w:tcPr>
                  <w:tcW w:w="1649" w:type="dxa"/>
                  <w:vMerge w:val="restart"/>
                  <w:tcBorders>
                    <w:tl2br w:val="nil"/>
                    <w:tr2bl w:val="nil"/>
                  </w:tcBorders>
                  <w:noWrap w:val="0"/>
                  <w:vAlign w:val="center"/>
                </w:tcPr>
                <w:p w14:paraId="7B685D83">
                  <w:pPr>
                    <w:pStyle w:val="29"/>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废水水量</w:t>
                  </w:r>
                  <w:r>
                    <w:rPr>
                      <w:rFonts w:hint="default" w:ascii="Times New Roman" w:hAnsi="Times New Roman" w:eastAsia="宋体" w:cs="Times New Roman"/>
                      <w:b/>
                      <w:bCs w:val="0"/>
                      <w:color w:val="auto"/>
                      <w:szCs w:val="21"/>
                      <w:highlight w:val="none"/>
                    </w:rPr>
                    <w:t>m</w:t>
                  </w:r>
                  <w:r>
                    <w:rPr>
                      <w:rFonts w:hint="default" w:ascii="Times New Roman" w:hAnsi="Times New Roman" w:eastAsia="宋体" w:cs="Times New Roman"/>
                      <w:b/>
                      <w:bCs w:val="0"/>
                      <w:color w:val="auto"/>
                      <w:szCs w:val="21"/>
                      <w:highlight w:val="none"/>
                      <w:vertAlign w:val="superscript"/>
                    </w:rPr>
                    <w:t>3</w:t>
                  </w:r>
                  <w:r>
                    <w:rPr>
                      <w:rFonts w:hint="default" w:ascii="Times New Roman" w:hAnsi="Times New Roman" w:eastAsia="宋体" w:cs="Times New Roman"/>
                      <w:b/>
                      <w:bCs w:val="0"/>
                      <w:color w:val="auto"/>
                      <w:szCs w:val="21"/>
                    </w:rPr>
                    <w:t>/a</w:t>
                  </w:r>
                </w:p>
              </w:tc>
              <w:tc>
                <w:tcPr>
                  <w:tcW w:w="5607" w:type="dxa"/>
                  <w:gridSpan w:val="3"/>
                  <w:tcBorders>
                    <w:tl2br w:val="nil"/>
                    <w:tr2bl w:val="nil"/>
                  </w:tcBorders>
                  <w:noWrap w:val="0"/>
                  <w:vAlign w:val="center"/>
                </w:tcPr>
                <w:p w14:paraId="2DAB3DE2">
                  <w:pPr>
                    <w:pStyle w:val="29"/>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产生情况</w:t>
                  </w:r>
                </w:p>
              </w:tc>
            </w:tr>
            <w:tr w14:paraId="0552A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1242" w:type="dxa"/>
                  <w:vMerge w:val="continue"/>
                  <w:tcBorders>
                    <w:tl2br w:val="nil"/>
                    <w:tr2bl w:val="nil"/>
                  </w:tcBorders>
                  <w:noWrap w:val="0"/>
                  <w:vAlign w:val="center"/>
                </w:tcPr>
                <w:p w14:paraId="68AFD23E">
                  <w:pPr>
                    <w:pStyle w:val="29"/>
                    <w:rPr>
                      <w:rFonts w:hint="default" w:ascii="Times New Roman" w:hAnsi="Times New Roman" w:eastAsia="宋体" w:cs="Times New Roman"/>
                      <w:b/>
                      <w:bCs w:val="0"/>
                      <w:color w:val="auto"/>
                      <w:szCs w:val="21"/>
                    </w:rPr>
                  </w:pPr>
                </w:p>
              </w:tc>
              <w:tc>
                <w:tcPr>
                  <w:tcW w:w="1649" w:type="dxa"/>
                  <w:vMerge w:val="continue"/>
                  <w:tcBorders>
                    <w:tl2br w:val="nil"/>
                    <w:tr2bl w:val="nil"/>
                  </w:tcBorders>
                  <w:noWrap w:val="0"/>
                  <w:vAlign w:val="center"/>
                </w:tcPr>
                <w:p w14:paraId="1E027707">
                  <w:pPr>
                    <w:pStyle w:val="29"/>
                    <w:rPr>
                      <w:rFonts w:hint="default" w:ascii="Times New Roman" w:hAnsi="Times New Roman" w:eastAsia="宋体" w:cs="Times New Roman"/>
                      <w:b/>
                      <w:bCs w:val="0"/>
                      <w:color w:val="auto"/>
                      <w:szCs w:val="21"/>
                    </w:rPr>
                  </w:pPr>
                </w:p>
              </w:tc>
              <w:tc>
                <w:tcPr>
                  <w:tcW w:w="1906" w:type="dxa"/>
                  <w:tcBorders>
                    <w:tl2br w:val="nil"/>
                    <w:tr2bl w:val="nil"/>
                  </w:tcBorders>
                  <w:noWrap w:val="0"/>
                  <w:vAlign w:val="center"/>
                </w:tcPr>
                <w:p w14:paraId="56F01EBE">
                  <w:pPr>
                    <w:pStyle w:val="29"/>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污染物名称</w:t>
                  </w:r>
                </w:p>
              </w:tc>
              <w:tc>
                <w:tcPr>
                  <w:tcW w:w="1795" w:type="dxa"/>
                  <w:tcBorders>
                    <w:tl2br w:val="nil"/>
                    <w:tr2bl w:val="nil"/>
                  </w:tcBorders>
                  <w:noWrap w:val="0"/>
                  <w:vAlign w:val="center"/>
                </w:tcPr>
                <w:p w14:paraId="15FEF49C">
                  <w:pPr>
                    <w:pStyle w:val="29"/>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产生浓度mg/L</w:t>
                  </w:r>
                </w:p>
              </w:tc>
              <w:tc>
                <w:tcPr>
                  <w:tcW w:w="1906" w:type="dxa"/>
                  <w:tcBorders>
                    <w:tl2br w:val="nil"/>
                    <w:tr2bl w:val="nil"/>
                  </w:tcBorders>
                  <w:noWrap w:val="0"/>
                  <w:vAlign w:val="center"/>
                </w:tcPr>
                <w:p w14:paraId="47FF6BC6">
                  <w:pPr>
                    <w:pStyle w:val="29"/>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产生量t/a</w:t>
                  </w:r>
                </w:p>
              </w:tc>
            </w:tr>
            <w:tr w14:paraId="39934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90" w:hRule="atLeast"/>
                <w:jc w:val="center"/>
              </w:trPr>
              <w:tc>
                <w:tcPr>
                  <w:tcW w:w="1242" w:type="dxa"/>
                  <w:vMerge w:val="restart"/>
                  <w:tcBorders>
                    <w:tl2br w:val="nil"/>
                    <w:tr2bl w:val="nil"/>
                  </w:tcBorders>
                  <w:noWrap w:val="0"/>
                  <w:vAlign w:val="center"/>
                </w:tcPr>
                <w:p w14:paraId="1E601556">
                  <w:pPr>
                    <w:pStyle w:val="29"/>
                    <w:rPr>
                      <w:rFonts w:hint="default" w:ascii="Times New Roman" w:hAnsi="Times New Roman" w:eastAsia="宋体" w:cs="Times New Roman"/>
                      <w:b w:val="0"/>
                      <w:bCs/>
                      <w:color w:val="auto"/>
                      <w:szCs w:val="21"/>
                    </w:rPr>
                  </w:pPr>
                  <w:r>
                    <w:rPr>
                      <w:rFonts w:hint="eastAsia" w:cs="Times New Roman"/>
                      <w:b w:val="0"/>
                      <w:bCs/>
                      <w:color w:val="auto"/>
                      <w:szCs w:val="24"/>
                      <w:lang w:val="en-US" w:eastAsia="zh-CN"/>
                    </w:rPr>
                    <w:t>综合废水</w:t>
                  </w:r>
                </w:p>
              </w:tc>
              <w:tc>
                <w:tcPr>
                  <w:tcW w:w="1649" w:type="dxa"/>
                  <w:vMerge w:val="restart"/>
                  <w:tcBorders>
                    <w:tl2br w:val="nil"/>
                    <w:tr2bl w:val="nil"/>
                  </w:tcBorders>
                  <w:noWrap w:val="0"/>
                  <w:vAlign w:val="center"/>
                </w:tcPr>
                <w:p w14:paraId="503D0098">
                  <w:pPr>
                    <w:pStyle w:val="29"/>
                    <w:rPr>
                      <w:rFonts w:hint="default" w:ascii="Times New Roman" w:hAnsi="Times New Roman" w:eastAsia="宋体" w:cs="Times New Roman"/>
                      <w:b w:val="0"/>
                      <w:bCs/>
                      <w:color w:val="auto"/>
                      <w:szCs w:val="21"/>
                      <w:lang w:val="en-US" w:eastAsia="zh-CN"/>
                    </w:rPr>
                  </w:pPr>
                  <w:r>
                    <w:rPr>
                      <w:rFonts w:hint="eastAsia" w:ascii="Times New Roman" w:hAnsi="Times New Roman" w:eastAsia="宋体" w:cs="Times New Roman"/>
                      <w:b w:val="0"/>
                      <w:bCs/>
                      <w:color w:val="auto"/>
                      <w:szCs w:val="21"/>
                      <w:lang w:val="en-US" w:eastAsia="zh-CN"/>
                    </w:rPr>
                    <w:t>24</w:t>
                  </w:r>
                  <w:r>
                    <w:rPr>
                      <w:rFonts w:hint="eastAsia" w:cs="Times New Roman"/>
                      <w:b w:val="0"/>
                      <w:bCs/>
                      <w:color w:val="auto"/>
                      <w:szCs w:val="21"/>
                      <w:lang w:val="en-US" w:eastAsia="zh-CN"/>
                    </w:rPr>
                    <w:t>4.2</w:t>
                  </w:r>
                </w:p>
              </w:tc>
              <w:tc>
                <w:tcPr>
                  <w:tcW w:w="1906" w:type="dxa"/>
                  <w:tcBorders>
                    <w:tl2br w:val="nil"/>
                    <w:tr2bl w:val="nil"/>
                  </w:tcBorders>
                  <w:noWrap w:val="0"/>
                  <w:vAlign w:val="center"/>
                </w:tcPr>
                <w:p w14:paraId="41B09A62">
                  <w:pPr>
                    <w:pStyle w:val="29"/>
                    <w:rPr>
                      <w:rFonts w:hint="default" w:ascii="Times New Roman" w:hAnsi="Times New Roman" w:eastAsia="宋体" w:cs="Times New Roman"/>
                      <w:b w:val="0"/>
                      <w:bCs/>
                      <w:color w:val="auto"/>
                      <w:szCs w:val="21"/>
                      <w:lang w:val="en-US" w:eastAsia="zh-CN"/>
                    </w:rPr>
                  </w:pPr>
                  <w:r>
                    <w:rPr>
                      <w:rFonts w:hint="default" w:ascii="Times New Roman" w:hAnsi="Times New Roman" w:eastAsia="宋体" w:cs="Times New Roman"/>
                      <w:b w:val="0"/>
                      <w:bCs/>
                      <w:color w:val="auto"/>
                      <w:szCs w:val="21"/>
                      <w:lang w:val="en-US" w:eastAsia="zh-CN"/>
                    </w:rPr>
                    <w:t>pH</w:t>
                  </w:r>
                </w:p>
              </w:tc>
              <w:tc>
                <w:tcPr>
                  <w:tcW w:w="1795" w:type="dxa"/>
                  <w:tcBorders>
                    <w:tl2br w:val="nil"/>
                    <w:tr2bl w:val="nil"/>
                  </w:tcBorders>
                  <w:noWrap w:val="0"/>
                  <w:vAlign w:val="center"/>
                </w:tcPr>
                <w:p w14:paraId="65D61A94">
                  <w:pPr>
                    <w:widowControl/>
                    <w:jc w:val="center"/>
                    <w:textAlignment w:val="center"/>
                    <w:rPr>
                      <w:rFonts w:hint="default" w:ascii="Times New Roman" w:hAnsi="Times New Roman" w:eastAsia="宋体" w:cs="Times New Roman"/>
                      <w:b w:val="0"/>
                      <w:bCs/>
                      <w:color w:val="auto"/>
                      <w:kern w:val="0"/>
                      <w:szCs w:val="21"/>
                      <w:lang w:val="en-US" w:eastAsia="zh-CN" w:bidi="ar"/>
                    </w:rPr>
                  </w:pPr>
                  <w:r>
                    <w:rPr>
                      <w:rFonts w:hint="eastAsia" w:cs="Times New Roman"/>
                      <w:color w:val="auto"/>
                      <w:szCs w:val="21"/>
                      <w:lang w:val="en-US" w:eastAsia="zh-CN"/>
                    </w:rPr>
                    <w:t>6-9</w:t>
                  </w:r>
                </w:p>
              </w:tc>
              <w:tc>
                <w:tcPr>
                  <w:tcW w:w="1906" w:type="dxa"/>
                  <w:tcBorders>
                    <w:tl2br w:val="nil"/>
                    <w:tr2bl w:val="nil"/>
                  </w:tcBorders>
                  <w:noWrap w:val="0"/>
                  <w:vAlign w:val="center"/>
                </w:tcPr>
                <w:p w14:paraId="29CB33A6">
                  <w:pPr>
                    <w:widowControl/>
                    <w:jc w:val="center"/>
                    <w:textAlignment w:val="center"/>
                    <w:rPr>
                      <w:rFonts w:hint="default" w:ascii="Times New Roman" w:hAnsi="Times New Roman" w:eastAsia="宋体" w:cs="Times New Roman"/>
                      <w:b w:val="0"/>
                      <w:bCs/>
                      <w:color w:val="auto"/>
                      <w:kern w:val="0"/>
                      <w:sz w:val="22"/>
                      <w:szCs w:val="22"/>
                      <w:lang w:val="en-US" w:eastAsia="zh-CN" w:bidi="ar"/>
                    </w:rPr>
                  </w:pPr>
                  <w:r>
                    <w:rPr>
                      <w:rFonts w:hint="default" w:ascii="Times New Roman" w:hAnsi="Times New Roman" w:eastAsia="宋体" w:cs="Times New Roman"/>
                      <w:b w:val="0"/>
                      <w:bCs/>
                      <w:color w:val="auto"/>
                      <w:kern w:val="0"/>
                      <w:sz w:val="22"/>
                      <w:szCs w:val="22"/>
                      <w:lang w:val="en-US" w:eastAsia="zh-CN" w:bidi="ar"/>
                    </w:rPr>
                    <w:t>/</w:t>
                  </w:r>
                </w:p>
              </w:tc>
            </w:tr>
            <w:tr w14:paraId="010E9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1242" w:type="dxa"/>
                  <w:vMerge w:val="continue"/>
                  <w:tcBorders>
                    <w:tl2br w:val="nil"/>
                    <w:tr2bl w:val="nil"/>
                  </w:tcBorders>
                  <w:noWrap w:val="0"/>
                  <w:vAlign w:val="center"/>
                </w:tcPr>
                <w:p w14:paraId="2A732679">
                  <w:pPr>
                    <w:pStyle w:val="29"/>
                    <w:rPr>
                      <w:rFonts w:hint="default" w:ascii="Times New Roman" w:hAnsi="Times New Roman" w:eastAsia="宋体" w:cs="Times New Roman"/>
                      <w:b w:val="0"/>
                      <w:bCs/>
                      <w:color w:val="auto"/>
                      <w:szCs w:val="21"/>
                    </w:rPr>
                  </w:pPr>
                </w:p>
              </w:tc>
              <w:tc>
                <w:tcPr>
                  <w:tcW w:w="1649" w:type="dxa"/>
                  <w:vMerge w:val="continue"/>
                  <w:tcBorders>
                    <w:tl2br w:val="nil"/>
                    <w:tr2bl w:val="nil"/>
                  </w:tcBorders>
                  <w:noWrap w:val="0"/>
                  <w:vAlign w:val="center"/>
                </w:tcPr>
                <w:p w14:paraId="11141D8B">
                  <w:pPr>
                    <w:pStyle w:val="29"/>
                    <w:rPr>
                      <w:rFonts w:hint="default" w:ascii="Times New Roman" w:hAnsi="Times New Roman" w:eastAsia="宋体" w:cs="Times New Roman"/>
                      <w:b w:val="0"/>
                      <w:bCs/>
                      <w:color w:val="auto"/>
                      <w:szCs w:val="21"/>
                      <w:lang w:val="en-US" w:eastAsia="zh-CN"/>
                    </w:rPr>
                  </w:pPr>
                </w:p>
              </w:tc>
              <w:tc>
                <w:tcPr>
                  <w:tcW w:w="1906" w:type="dxa"/>
                  <w:tcBorders>
                    <w:tl2br w:val="nil"/>
                    <w:tr2bl w:val="nil"/>
                  </w:tcBorders>
                  <w:noWrap w:val="0"/>
                  <w:vAlign w:val="center"/>
                </w:tcPr>
                <w:p w14:paraId="65E8CF27">
                  <w:pPr>
                    <w:pStyle w:val="29"/>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rPr>
                    <w:t>COD</w:t>
                  </w:r>
                </w:p>
              </w:tc>
              <w:tc>
                <w:tcPr>
                  <w:tcW w:w="1795" w:type="dxa"/>
                  <w:tcBorders>
                    <w:tl2br w:val="nil"/>
                    <w:tr2bl w:val="nil"/>
                  </w:tcBorders>
                  <w:noWrap w:val="0"/>
                  <w:vAlign w:val="center"/>
                </w:tcPr>
                <w:p w14:paraId="60F22D00">
                  <w:pPr>
                    <w:widowControl/>
                    <w:jc w:val="center"/>
                    <w:textAlignment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kern w:val="0"/>
                      <w:sz w:val="21"/>
                      <w:szCs w:val="21"/>
                      <w:lang w:val="en-US" w:eastAsia="zh-CN" w:bidi="ar"/>
                    </w:rPr>
                    <w:t>400</w:t>
                  </w:r>
                </w:p>
              </w:tc>
              <w:tc>
                <w:tcPr>
                  <w:tcW w:w="1906" w:type="dxa"/>
                  <w:tcBorders>
                    <w:tl2br w:val="nil"/>
                    <w:tr2bl w:val="nil"/>
                  </w:tcBorders>
                  <w:noWrap w:val="0"/>
                  <w:vAlign w:val="center"/>
                </w:tcPr>
                <w:p w14:paraId="758C9411">
                  <w:pPr>
                    <w:widowControl/>
                    <w:jc w:val="center"/>
                    <w:textAlignment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0.097</w:t>
                  </w:r>
                  <w:r>
                    <w:rPr>
                      <w:rFonts w:hint="eastAsia" w:cs="Times New Roman"/>
                      <w:b w:val="0"/>
                      <w:bCs/>
                      <w:color w:val="auto"/>
                      <w:sz w:val="21"/>
                      <w:szCs w:val="21"/>
                      <w:lang w:val="en-US" w:eastAsia="zh-CN"/>
                    </w:rPr>
                    <w:t>7</w:t>
                  </w:r>
                </w:p>
              </w:tc>
            </w:tr>
            <w:tr w14:paraId="601F0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1242" w:type="dxa"/>
                  <w:vMerge w:val="continue"/>
                  <w:tcBorders>
                    <w:tl2br w:val="nil"/>
                    <w:tr2bl w:val="nil"/>
                  </w:tcBorders>
                  <w:noWrap w:val="0"/>
                  <w:vAlign w:val="center"/>
                </w:tcPr>
                <w:p w14:paraId="3AB49AD6">
                  <w:pPr>
                    <w:pStyle w:val="29"/>
                    <w:rPr>
                      <w:rFonts w:hint="default" w:ascii="Times New Roman" w:hAnsi="Times New Roman" w:eastAsia="宋体" w:cs="Times New Roman"/>
                      <w:b w:val="0"/>
                      <w:bCs/>
                      <w:color w:val="auto"/>
                      <w:szCs w:val="21"/>
                    </w:rPr>
                  </w:pPr>
                </w:p>
              </w:tc>
              <w:tc>
                <w:tcPr>
                  <w:tcW w:w="1649" w:type="dxa"/>
                  <w:vMerge w:val="continue"/>
                  <w:tcBorders>
                    <w:tl2br w:val="nil"/>
                    <w:tr2bl w:val="nil"/>
                  </w:tcBorders>
                  <w:noWrap w:val="0"/>
                  <w:vAlign w:val="center"/>
                </w:tcPr>
                <w:p w14:paraId="4E40868C">
                  <w:pPr>
                    <w:pStyle w:val="29"/>
                    <w:rPr>
                      <w:rFonts w:hint="default" w:ascii="Times New Roman" w:hAnsi="Times New Roman" w:eastAsia="宋体" w:cs="Times New Roman"/>
                      <w:b w:val="0"/>
                      <w:bCs/>
                      <w:color w:val="auto"/>
                      <w:szCs w:val="21"/>
                    </w:rPr>
                  </w:pPr>
                </w:p>
              </w:tc>
              <w:tc>
                <w:tcPr>
                  <w:tcW w:w="1906" w:type="dxa"/>
                  <w:tcBorders>
                    <w:tl2br w:val="nil"/>
                    <w:tr2bl w:val="nil"/>
                  </w:tcBorders>
                  <w:noWrap w:val="0"/>
                  <w:vAlign w:val="center"/>
                </w:tcPr>
                <w:p w14:paraId="31907702">
                  <w:pPr>
                    <w:pStyle w:val="29"/>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rPr>
                    <w:t>SS</w:t>
                  </w:r>
                </w:p>
              </w:tc>
              <w:tc>
                <w:tcPr>
                  <w:tcW w:w="1795" w:type="dxa"/>
                  <w:tcBorders>
                    <w:tl2br w:val="nil"/>
                    <w:tr2bl w:val="nil"/>
                  </w:tcBorders>
                  <w:noWrap w:val="0"/>
                  <w:vAlign w:val="center"/>
                </w:tcPr>
                <w:p w14:paraId="48875C51">
                  <w:pPr>
                    <w:widowControl/>
                    <w:jc w:val="center"/>
                    <w:textAlignment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kern w:val="0"/>
                      <w:sz w:val="21"/>
                      <w:szCs w:val="21"/>
                      <w:lang w:val="en-US" w:eastAsia="zh-CN" w:bidi="ar"/>
                    </w:rPr>
                    <w:t>300</w:t>
                  </w:r>
                </w:p>
              </w:tc>
              <w:tc>
                <w:tcPr>
                  <w:tcW w:w="1906" w:type="dxa"/>
                  <w:tcBorders>
                    <w:tl2br w:val="nil"/>
                    <w:tr2bl w:val="nil"/>
                  </w:tcBorders>
                  <w:noWrap w:val="0"/>
                  <w:vAlign w:val="center"/>
                </w:tcPr>
                <w:p w14:paraId="74ACCCC7">
                  <w:pPr>
                    <w:widowControl/>
                    <w:jc w:val="center"/>
                    <w:textAlignment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0.07</w:t>
                  </w:r>
                  <w:r>
                    <w:rPr>
                      <w:rFonts w:hint="eastAsia" w:cs="Times New Roman"/>
                      <w:b w:val="0"/>
                      <w:bCs/>
                      <w:color w:val="auto"/>
                      <w:sz w:val="21"/>
                      <w:szCs w:val="21"/>
                      <w:lang w:val="en-US" w:eastAsia="zh-CN"/>
                    </w:rPr>
                    <w:t>33</w:t>
                  </w:r>
                </w:p>
              </w:tc>
            </w:tr>
            <w:tr w14:paraId="048AC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1242" w:type="dxa"/>
                  <w:vMerge w:val="continue"/>
                  <w:tcBorders>
                    <w:tl2br w:val="nil"/>
                    <w:tr2bl w:val="nil"/>
                  </w:tcBorders>
                  <w:noWrap w:val="0"/>
                  <w:vAlign w:val="center"/>
                </w:tcPr>
                <w:p w14:paraId="0FF54FF7">
                  <w:pPr>
                    <w:pStyle w:val="29"/>
                    <w:rPr>
                      <w:rFonts w:hint="default" w:ascii="Times New Roman" w:hAnsi="Times New Roman" w:eastAsia="宋体" w:cs="Times New Roman"/>
                      <w:b w:val="0"/>
                      <w:bCs/>
                      <w:color w:val="auto"/>
                      <w:szCs w:val="21"/>
                    </w:rPr>
                  </w:pPr>
                </w:p>
              </w:tc>
              <w:tc>
                <w:tcPr>
                  <w:tcW w:w="1649" w:type="dxa"/>
                  <w:vMerge w:val="continue"/>
                  <w:tcBorders>
                    <w:tl2br w:val="nil"/>
                    <w:tr2bl w:val="nil"/>
                  </w:tcBorders>
                  <w:noWrap w:val="0"/>
                  <w:vAlign w:val="center"/>
                </w:tcPr>
                <w:p w14:paraId="4C08E628">
                  <w:pPr>
                    <w:pStyle w:val="29"/>
                    <w:rPr>
                      <w:rFonts w:hint="default" w:ascii="Times New Roman" w:hAnsi="Times New Roman" w:eastAsia="宋体" w:cs="Times New Roman"/>
                      <w:b w:val="0"/>
                      <w:bCs/>
                      <w:color w:val="auto"/>
                      <w:szCs w:val="21"/>
                    </w:rPr>
                  </w:pPr>
                </w:p>
              </w:tc>
              <w:tc>
                <w:tcPr>
                  <w:tcW w:w="1906" w:type="dxa"/>
                  <w:tcBorders>
                    <w:tl2br w:val="nil"/>
                    <w:tr2bl w:val="nil"/>
                  </w:tcBorders>
                  <w:noWrap w:val="0"/>
                  <w:vAlign w:val="center"/>
                </w:tcPr>
                <w:p w14:paraId="64758D3B">
                  <w:pPr>
                    <w:pStyle w:val="29"/>
                    <w:rPr>
                      <w:rFonts w:hint="eastAsia" w:ascii="Times New Roman" w:hAnsi="Times New Roman" w:eastAsia="宋体" w:cs="Times New Roman"/>
                      <w:b w:val="0"/>
                      <w:bCs/>
                      <w:color w:val="auto"/>
                      <w:szCs w:val="21"/>
                      <w:lang w:eastAsia="zh-CN"/>
                    </w:rPr>
                  </w:pPr>
                  <w:r>
                    <w:rPr>
                      <w:rFonts w:hint="eastAsia" w:ascii="Times New Roman" w:hAnsi="Times New Roman" w:eastAsia="宋体" w:cs="Times New Roman"/>
                      <w:b w:val="0"/>
                      <w:bCs/>
                      <w:color w:val="auto"/>
                      <w:szCs w:val="21"/>
                      <w:lang w:val="en-US" w:eastAsia="zh-CN"/>
                    </w:rPr>
                    <w:t>石油类</w:t>
                  </w:r>
                </w:p>
              </w:tc>
              <w:tc>
                <w:tcPr>
                  <w:tcW w:w="1795" w:type="dxa"/>
                  <w:tcBorders>
                    <w:tl2br w:val="nil"/>
                    <w:tr2bl w:val="nil"/>
                  </w:tcBorders>
                  <w:noWrap w:val="0"/>
                  <w:vAlign w:val="center"/>
                </w:tcPr>
                <w:p w14:paraId="4CF78731">
                  <w:pPr>
                    <w:widowControl/>
                    <w:jc w:val="center"/>
                    <w:textAlignment w:val="center"/>
                    <w:rPr>
                      <w:rFonts w:hint="default" w:ascii="Times New Roman" w:hAnsi="Times New Roman" w:eastAsia="宋体" w:cs="Times New Roman"/>
                      <w:b w:val="0"/>
                      <w:bCs/>
                      <w:color w:val="auto"/>
                      <w:sz w:val="21"/>
                      <w:szCs w:val="21"/>
                      <w:lang w:val="en-US" w:eastAsia="zh-CN"/>
                    </w:rPr>
                  </w:pPr>
                  <w:r>
                    <w:rPr>
                      <w:rFonts w:hint="eastAsia" w:cs="Times New Roman"/>
                      <w:b w:val="0"/>
                      <w:bCs/>
                      <w:color w:val="auto"/>
                      <w:kern w:val="0"/>
                      <w:sz w:val="21"/>
                      <w:szCs w:val="21"/>
                      <w:lang w:val="en-US" w:eastAsia="zh-CN" w:bidi="ar"/>
                    </w:rPr>
                    <w:t>20</w:t>
                  </w:r>
                </w:p>
              </w:tc>
              <w:tc>
                <w:tcPr>
                  <w:tcW w:w="1906" w:type="dxa"/>
                  <w:tcBorders>
                    <w:tl2br w:val="nil"/>
                    <w:tr2bl w:val="nil"/>
                  </w:tcBorders>
                  <w:noWrap w:val="0"/>
                  <w:vAlign w:val="center"/>
                </w:tcPr>
                <w:p w14:paraId="713F1BC5">
                  <w:pPr>
                    <w:widowControl/>
                    <w:jc w:val="center"/>
                    <w:textAlignment w:val="center"/>
                    <w:rPr>
                      <w:rFonts w:hint="default" w:ascii="Times New Roman" w:hAnsi="Times New Roman" w:eastAsia="宋体" w:cs="Times New Roman"/>
                      <w:b w:val="0"/>
                      <w:bCs/>
                      <w:color w:val="auto"/>
                      <w:sz w:val="21"/>
                      <w:szCs w:val="21"/>
                      <w:lang w:val="en-US" w:eastAsia="zh-CN"/>
                    </w:rPr>
                  </w:pPr>
                  <w:r>
                    <w:rPr>
                      <w:rFonts w:hint="eastAsia" w:ascii="Times New Roman" w:hAnsi="Times New Roman" w:eastAsia="宋体" w:cs="Times New Roman"/>
                      <w:b w:val="0"/>
                      <w:bCs/>
                      <w:color w:val="auto"/>
                      <w:sz w:val="21"/>
                      <w:szCs w:val="21"/>
                      <w:lang w:val="en-US" w:eastAsia="zh-CN"/>
                    </w:rPr>
                    <w:t>0.0049</w:t>
                  </w:r>
                </w:p>
              </w:tc>
            </w:tr>
          </w:tbl>
          <w:p w14:paraId="03087623">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pacing w:val="-10"/>
                <w:szCs w:val="21"/>
                <w:lang w:val="en-US" w:eastAsia="zh-CN"/>
              </w:rPr>
              <w:t>4.2.2废水排放情况</w:t>
            </w:r>
          </w:p>
          <w:p w14:paraId="4EA7B382">
            <w:pPr>
              <w:pStyle w:val="25"/>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pacing w:val="-10"/>
                <w:szCs w:val="21"/>
                <w:lang w:val="en-US" w:eastAsia="zh-CN"/>
              </w:rPr>
              <w:t>4.2.</w:t>
            </w:r>
            <w:r>
              <w:rPr>
                <w:rFonts w:hint="eastAsia" w:ascii="Times New Roman" w:hAnsi="Times New Roman" w:cs="Times New Roman"/>
                <w:b/>
                <w:bCs w:val="0"/>
                <w:color w:val="auto"/>
                <w:spacing w:val="-10"/>
                <w:szCs w:val="21"/>
                <w:lang w:val="en-US" w:eastAsia="zh-CN"/>
              </w:rPr>
              <w:t>2</w:t>
            </w:r>
            <w:r>
              <w:rPr>
                <w:rFonts w:hint="default" w:ascii="Times New Roman" w:hAnsi="Times New Roman" w:eastAsia="宋体" w:cs="Times New Roman"/>
                <w:b/>
                <w:bCs w:val="0"/>
                <w:color w:val="auto"/>
                <w:spacing w:val="-10"/>
                <w:szCs w:val="21"/>
                <w:lang w:val="en-US" w:eastAsia="zh-CN"/>
              </w:rPr>
              <w:t>.1生活污水</w:t>
            </w:r>
          </w:p>
          <w:p w14:paraId="37CE7D96">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40" w:firstLineChars="200"/>
              <w:textAlignment w:val="auto"/>
              <w:rPr>
                <w:rFonts w:hint="default" w:ascii="Times New Roman" w:hAnsi="Times New Roman" w:eastAsia="宋体" w:cs="Times New Roman"/>
                <w:b w:val="0"/>
                <w:bCs/>
                <w:color w:val="auto"/>
                <w:spacing w:val="-10"/>
                <w:szCs w:val="21"/>
                <w:lang w:val="en-US" w:eastAsia="zh-CN"/>
              </w:rPr>
            </w:pPr>
            <w:r>
              <w:rPr>
                <w:rFonts w:hint="default" w:ascii="Times New Roman" w:hAnsi="Times New Roman" w:eastAsia="宋体" w:cs="Times New Roman"/>
                <w:b w:val="0"/>
                <w:bCs/>
                <w:color w:val="auto"/>
                <w:spacing w:val="-10"/>
                <w:szCs w:val="21"/>
                <w:lang w:val="en-US" w:eastAsia="zh-CN"/>
              </w:rPr>
              <w:t>本项目生活污水经</w:t>
            </w:r>
            <w:r>
              <w:rPr>
                <w:rFonts w:hint="eastAsia" w:ascii="Times New Roman" w:hAnsi="Times New Roman" w:cs="Times New Roman"/>
                <w:b w:val="0"/>
                <w:bCs/>
                <w:color w:val="auto"/>
                <w:spacing w:val="-10"/>
                <w:szCs w:val="21"/>
                <w:lang w:val="en-US" w:eastAsia="zh-CN"/>
              </w:rPr>
              <w:t>厂区污水管网</w:t>
            </w:r>
            <w:r>
              <w:rPr>
                <w:rFonts w:hint="default" w:ascii="Times New Roman" w:hAnsi="Times New Roman" w:eastAsia="宋体" w:cs="Times New Roman"/>
                <w:b w:val="0"/>
                <w:bCs/>
                <w:color w:val="auto"/>
                <w:spacing w:val="-10"/>
                <w:szCs w:val="21"/>
                <w:lang w:val="en-US" w:eastAsia="zh-CN"/>
              </w:rPr>
              <w:t>接入市政污水管网，进入常州市</w:t>
            </w:r>
            <w:r>
              <w:rPr>
                <w:rFonts w:hint="eastAsia" w:ascii="Times New Roman" w:hAnsi="Times New Roman" w:cs="Times New Roman"/>
                <w:b w:val="0"/>
                <w:bCs/>
                <w:color w:val="auto"/>
                <w:spacing w:val="-10"/>
                <w:szCs w:val="21"/>
                <w:lang w:val="en-US" w:eastAsia="zh-CN"/>
              </w:rPr>
              <w:t>金坛溪城污水处理有限公司</w:t>
            </w:r>
            <w:r>
              <w:rPr>
                <w:rFonts w:hint="default" w:ascii="Times New Roman" w:hAnsi="Times New Roman" w:eastAsia="宋体" w:cs="Times New Roman"/>
                <w:b w:val="0"/>
                <w:bCs/>
                <w:color w:val="auto"/>
                <w:spacing w:val="-10"/>
                <w:szCs w:val="21"/>
                <w:lang w:val="en-US" w:eastAsia="zh-CN"/>
              </w:rPr>
              <w:t>集中处理，</w:t>
            </w:r>
            <w:r>
              <w:rPr>
                <w:rFonts w:hint="eastAsia" w:ascii="Times New Roman" w:hAnsi="Times New Roman" w:cs="Times New Roman"/>
                <w:b w:val="0"/>
                <w:bCs/>
                <w:color w:val="auto"/>
                <w:spacing w:val="-10"/>
                <w:szCs w:val="21"/>
                <w:lang w:val="en-US" w:eastAsia="zh-CN"/>
              </w:rPr>
              <w:t>生活污水</w:t>
            </w:r>
            <w:r>
              <w:rPr>
                <w:rFonts w:hint="default" w:ascii="Times New Roman" w:hAnsi="Times New Roman" w:eastAsia="宋体" w:cs="Times New Roman"/>
                <w:b w:val="0"/>
                <w:bCs/>
                <w:color w:val="auto"/>
                <w:spacing w:val="-10"/>
                <w:szCs w:val="21"/>
                <w:lang w:val="en-US" w:eastAsia="zh-CN"/>
              </w:rPr>
              <w:t>污染物产生及排放情况见下表。</w:t>
            </w:r>
          </w:p>
          <w:p w14:paraId="3BF52DEC">
            <w:pPr>
              <w:pStyle w:val="25"/>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spacing w:val="-10"/>
                <w:szCs w:val="21"/>
                <w:lang w:eastAsia="zh-CN"/>
              </w:rPr>
            </w:pPr>
            <w:r>
              <w:rPr>
                <w:rFonts w:hint="default" w:ascii="Times New Roman" w:hAnsi="Times New Roman" w:eastAsia="宋体" w:cs="Times New Roman"/>
                <w:b/>
                <w:bCs w:val="0"/>
                <w:color w:val="auto"/>
                <w:sz w:val="21"/>
                <w:szCs w:val="21"/>
              </w:rPr>
              <w:t>表4-</w:t>
            </w:r>
            <w:r>
              <w:rPr>
                <w:rFonts w:hint="eastAsia" w:ascii="Times New Roman" w:hAnsi="Times New Roman" w:cs="Times New Roman"/>
                <w:b/>
                <w:bCs w:val="0"/>
                <w:color w:val="auto"/>
                <w:sz w:val="21"/>
                <w:szCs w:val="21"/>
                <w:lang w:val="en-US" w:eastAsia="zh-CN"/>
              </w:rPr>
              <w:t xml:space="preserve">7 </w:t>
            </w:r>
            <w:r>
              <w:rPr>
                <w:rFonts w:hint="default" w:ascii="Times New Roman" w:hAnsi="Times New Roman" w:eastAsia="宋体" w:cs="Times New Roman"/>
                <w:b/>
                <w:bCs w:val="0"/>
                <w:color w:val="auto"/>
                <w:sz w:val="21"/>
                <w:szCs w:val="21"/>
              </w:rPr>
              <w:t>项目</w:t>
            </w:r>
            <w:r>
              <w:rPr>
                <w:rFonts w:hint="eastAsia" w:ascii="Times New Roman" w:hAnsi="Times New Roman" w:cs="Times New Roman"/>
                <w:b/>
                <w:bCs w:val="0"/>
                <w:color w:val="auto"/>
                <w:sz w:val="21"/>
                <w:szCs w:val="21"/>
                <w:lang w:val="en-US" w:eastAsia="zh-CN"/>
              </w:rPr>
              <w:t>生活污水</w:t>
            </w:r>
            <w:r>
              <w:rPr>
                <w:rFonts w:hint="default" w:ascii="Times New Roman" w:hAnsi="Times New Roman" w:eastAsia="宋体" w:cs="Times New Roman"/>
                <w:b/>
                <w:bCs w:val="0"/>
                <w:color w:val="auto"/>
                <w:sz w:val="21"/>
                <w:szCs w:val="21"/>
                <w:lang w:val="en-US" w:eastAsia="zh-CN"/>
              </w:rPr>
              <w:t>污染物</w:t>
            </w:r>
            <w:r>
              <w:rPr>
                <w:rFonts w:hint="default" w:ascii="Times New Roman" w:hAnsi="Times New Roman" w:eastAsia="宋体" w:cs="Times New Roman"/>
                <w:b/>
                <w:bCs w:val="0"/>
                <w:color w:val="auto"/>
                <w:sz w:val="21"/>
                <w:szCs w:val="21"/>
              </w:rPr>
              <w:t>产生及排放情况</w:t>
            </w:r>
            <w:r>
              <w:rPr>
                <w:rFonts w:hint="default" w:ascii="Times New Roman" w:hAnsi="Times New Roman" w:eastAsia="宋体" w:cs="Times New Roman"/>
                <w:b/>
                <w:bCs w:val="0"/>
                <w:color w:val="auto"/>
                <w:sz w:val="21"/>
                <w:szCs w:val="21"/>
                <w:lang w:eastAsia="zh-CN"/>
              </w:rPr>
              <w:t>（</w:t>
            </w:r>
            <w:r>
              <w:rPr>
                <w:rFonts w:hint="default" w:ascii="Times New Roman" w:hAnsi="Times New Roman" w:eastAsia="宋体" w:cs="Times New Roman"/>
                <w:b/>
                <w:bCs w:val="0"/>
                <w:color w:val="auto"/>
                <w:sz w:val="21"/>
                <w:szCs w:val="21"/>
                <w:lang w:val="en-US" w:eastAsia="zh-CN"/>
              </w:rPr>
              <w:t>pH为无量纲</w:t>
            </w:r>
            <w:r>
              <w:rPr>
                <w:rFonts w:hint="default" w:ascii="Times New Roman" w:hAnsi="Times New Roman" w:eastAsia="宋体" w:cs="Times New Roman"/>
                <w:b/>
                <w:bCs w:val="0"/>
                <w:color w:val="auto"/>
                <w:sz w:val="21"/>
                <w:szCs w:val="21"/>
                <w:lang w:eastAsia="zh-CN"/>
              </w:rPr>
              <w:t>）</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540"/>
              <w:gridCol w:w="716"/>
              <w:gridCol w:w="828"/>
              <w:gridCol w:w="789"/>
              <w:gridCol w:w="817"/>
              <w:gridCol w:w="509"/>
              <w:gridCol w:w="638"/>
              <w:gridCol w:w="828"/>
              <w:gridCol w:w="789"/>
              <w:gridCol w:w="863"/>
              <w:gridCol w:w="1181"/>
            </w:tblGrid>
            <w:tr w14:paraId="4F4D9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540" w:type="dxa"/>
                  <w:vMerge w:val="restart"/>
                  <w:tcBorders>
                    <w:tl2br w:val="nil"/>
                    <w:tr2bl w:val="nil"/>
                  </w:tcBorders>
                  <w:noWrap w:val="0"/>
                  <w:vAlign w:val="center"/>
                </w:tcPr>
                <w:p w14:paraId="2089747C">
                  <w:pPr>
                    <w:pStyle w:val="29"/>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废水源</w:t>
                  </w:r>
                </w:p>
              </w:tc>
              <w:tc>
                <w:tcPr>
                  <w:tcW w:w="716" w:type="dxa"/>
                  <w:vMerge w:val="restart"/>
                  <w:tcBorders>
                    <w:tl2br w:val="nil"/>
                    <w:tr2bl w:val="nil"/>
                  </w:tcBorders>
                  <w:noWrap w:val="0"/>
                  <w:vAlign w:val="center"/>
                </w:tcPr>
                <w:p w14:paraId="30A953DD">
                  <w:pPr>
                    <w:pStyle w:val="29"/>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废水水量</w:t>
                  </w:r>
                  <w:r>
                    <w:rPr>
                      <w:rFonts w:hint="default" w:ascii="Times New Roman" w:hAnsi="Times New Roman" w:eastAsia="宋体" w:cs="Times New Roman"/>
                      <w:b/>
                      <w:bCs w:val="0"/>
                      <w:color w:val="auto"/>
                      <w:szCs w:val="21"/>
                      <w:highlight w:val="none"/>
                    </w:rPr>
                    <w:t>m</w:t>
                  </w:r>
                  <w:r>
                    <w:rPr>
                      <w:rFonts w:hint="default" w:ascii="Times New Roman" w:hAnsi="Times New Roman" w:eastAsia="宋体" w:cs="Times New Roman"/>
                      <w:b/>
                      <w:bCs w:val="0"/>
                      <w:color w:val="auto"/>
                      <w:szCs w:val="21"/>
                      <w:highlight w:val="none"/>
                      <w:vertAlign w:val="superscript"/>
                    </w:rPr>
                    <w:t>3</w:t>
                  </w:r>
                  <w:r>
                    <w:rPr>
                      <w:rFonts w:hint="default" w:ascii="Times New Roman" w:hAnsi="Times New Roman" w:eastAsia="宋体" w:cs="Times New Roman"/>
                      <w:b/>
                      <w:bCs w:val="0"/>
                      <w:color w:val="auto"/>
                      <w:szCs w:val="21"/>
                    </w:rPr>
                    <w:t>/a</w:t>
                  </w:r>
                </w:p>
              </w:tc>
              <w:tc>
                <w:tcPr>
                  <w:tcW w:w="2434" w:type="dxa"/>
                  <w:gridSpan w:val="3"/>
                  <w:tcBorders>
                    <w:tl2br w:val="nil"/>
                    <w:tr2bl w:val="nil"/>
                  </w:tcBorders>
                  <w:noWrap w:val="0"/>
                  <w:vAlign w:val="center"/>
                </w:tcPr>
                <w:p w14:paraId="7B712F37">
                  <w:pPr>
                    <w:pStyle w:val="29"/>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产生情况</w:t>
                  </w:r>
                </w:p>
              </w:tc>
              <w:tc>
                <w:tcPr>
                  <w:tcW w:w="509" w:type="dxa"/>
                  <w:vMerge w:val="restart"/>
                  <w:tcBorders>
                    <w:tl2br w:val="nil"/>
                    <w:tr2bl w:val="nil"/>
                  </w:tcBorders>
                  <w:noWrap w:val="0"/>
                  <w:vAlign w:val="center"/>
                </w:tcPr>
                <w:p w14:paraId="13131C27">
                  <w:pPr>
                    <w:pStyle w:val="29"/>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lang w:val="en-US" w:eastAsia="zh-CN"/>
                    </w:rPr>
                    <w:t>治理</w:t>
                  </w:r>
                  <w:r>
                    <w:rPr>
                      <w:rFonts w:hint="default" w:ascii="Times New Roman" w:hAnsi="Times New Roman" w:eastAsia="宋体" w:cs="Times New Roman"/>
                      <w:b/>
                      <w:bCs w:val="0"/>
                      <w:color w:val="auto"/>
                      <w:szCs w:val="21"/>
                    </w:rPr>
                    <w:t>措施</w:t>
                  </w:r>
                </w:p>
              </w:tc>
              <w:tc>
                <w:tcPr>
                  <w:tcW w:w="3118" w:type="dxa"/>
                  <w:gridSpan w:val="4"/>
                  <w:tcBorders>
                    <w:tl2br w:val="nil"/>
                    <w:tr2bl w:val="nil"/>
                  </w:tcBorders>
                  <w:noWrap w:val="0"/>
                  <w:vAlign w:val="center"/>
                </w:tcPr>
                <w:p w14:paraId="44B8ADAD">
                  <w:pPr>
                    <w:pStyle w:val="29"/>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排放情况</w:t>
                  </w:r>
                </w:p>
              </w:tc>
              <w:tc>
                <w:tcPr>
                  <w:tcW w:w="1181" w:type="dxa"/>
                  <w:vMerge w:val="restart"/>
                  <w:tcBorders>
                    <w:tl2br w:val="nil"/>
                    <w:tr2bl w:val="nil"/>
                  </w:tcBorders>
                  <w:noWrap w:val="0"/>
                  <w:vAlign w:val="center"/>
                </w:tcPr>
                <w:p w14:paraId="5A445C1B">
                  <w:pPr>
                    <w:pStyle w:val="29"/>
                    <w:rPr>
                      <w:rFonts w:hint="default" w:ascii="Times New Roman" w:hAnsi="Times New Roman" w:eastAsia="宋体" w:cs="Times New Roman"/>
                      <w:b w:val="0"/>
                      <w:bCs/>
                      <w:color w:val="auto"/>
                      <w:szCs w:val="21"/>
                    </w:rPr>
                  </w:pPr>
                  <w:r>
                    <w:rPr>
                      <w:rFonts w:hint="default" w:ascii="Times New Roman" w:hAnsi="Times New Roman" w:eastAsia="宋体" w:cs="Times New Roman"/>
                      <w:b/>
                      <w:bCs w:val="0"/>
                      <w:color w:val="auto"/>
                      <w:szCs w:val="21"/>
                    </w:rPr>
                    <w:t>排放去向</w:t>
                  </w:r>
                </w:p>
              </w:tc>
            </w:tr>
            <w:tr w14:paraId="07F1E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540" w:type="dxa"/>
                  <w:vMerge w:val="continue"/>
                  <w:tcBorders>
                    <w:tl2br w:val="nil"/>
                    <w:tr2bl w:val="nil"/>
                  </w:tcBorders>
                  <w:noWrap w:val="0"/>
                  <w:vAlign w:val="center"/>
                </w:tcPr>
                <w:p w14:paraId="429DA495">
                  <w:pPr>
                    <w:pStyle w:val="29"/>
                    <w:rPr>
                      <w:rFonts w:hint="default" w:ascii="Times New Roman" w:hAnsi="Times New Roman" w:eastAsia="宋体" w:cs="Times New Roman"/>
                      <w:b/>
                      <w:bCs w:val="0"/>
                      <w:color w:val="auto"/>
                      <w:szCs w:val="21"/>
                    </w:rPr>
                  </w:pPr>
                </w:p>
              </w:tc>
              <w:tc>
                <w:tcPr>
                  <w:tcW w:w="716" w:type="dxa"/>
                  <w:vMerge w:val="continue"/>
                  <w:tcBorders>
                    <w:tl2br w:val="nil"/>
                    <w:tr2bl w:val="nil"/>
                  </w:tcBorders>
                  <w:noWrap w:val="0"/>
                  <w:vAlign w:val="center"/>
                </w:tcPr>
                <w:p w14:paraId="00A9778B">
                  <w:pPr>
                    <w:pStyle w:val="29"/>
                    <w:rPr>
                      <w:rFonts w:hint="default" w:ascii="Times New Roman" w:hAnsi="Times New Roman" w:eastAsia="宋体" w:cs="Times New Roman"/>
                      <w:b/>
                      <w:bCs w:val="0"/>
                      <w:color w:val="auto"/>
                      <w:szCs w:val="21"/>
                    </w:rPr>
                  </w:pPr>
                </w:p>
              </w:tc>
              <w:tc>
                <w:tcPr>
                  <w:tcW w:w="828" w:type="dxa"/>
                  <w:tcBorders>
                    <w:tl2br w:val="nil"/>
                    <w:tr2bl w:val="nil"/>
                  </w:tcBorders>
                  <w:noWrap w:val="0"/>
                  <w:vAlign w:val="center"/>
                </w:tcPr>
                <w:p w14:paraId="49F8486C">
                  <w:pPr>
                    <w:pStyle w:val="29"/>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污染物名称</w:t>
                  </w:r>
                </w:p>
              </w:tc>
              <w:tc>
                <w:tcPr>
                  <w:tcW w:w="789" w:type="dxa"/>
                  <w:tcBorders>
                    <w:tl2br w:val="nil"/>
                    <w:tr2bl w:val="nil"/>
                  </w:tcBorders>
                  <w:noWrap w:val="0"/>
                  <w:vAlign w:val="center"/>
                </w:tcPr>
                <w:p w14:paraId="2B1BB5F9">
                  <w:pPr>
                    <w:pStyle w:val="29"/>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产生浓度mg/L</w:t>
                  </w:r>
                </w:p>
              </w:tc>
              <w:tc>
                <w:tcPr>
                  <w:tcW w:w="817" w:type="dxa"/>
                  <w:tcBorders>
                    <w:tl2br w:val="nil"/>
                    <w:tr2bl w:val="nil"/>
                  </w:tcBorders>
                  <w:noWrap w:val="0"/>
                  <w:vAlign w:val="center"/>
                </w:tcPr>
                <w:p w14:paraId="28DDE348">
                  <w:pPr>
                    <w:pStyle w:val="29"/>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产生量</w:t>
                  </w:r>
                </w:p>
                <w:p w14:paraId="728B918E">
                  <w:pPr>
                    <w:pStyle w:val="29"/>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t/a</w:t>
                  </w:r>
                </w:p>
              </w:tc>
              <w:tc>
                <w:tcPr>
                  <w:tcW w:w="509" w:type="dxa"/>
                  <w:vMerge w:val="continue"/>
                  <w:tcBorders>
                    <w:tl2br w:val="nil"/>
                    <w:tr2bl w:val="nil"/>
                  </w:tcBorders>
                  <w:noWrap w:val="0"/>
                  <w:vAlign w:val="center"/>
                </w:tcPr>
                <w:p w14:paraId="19BDCA92">
                  <w:pPr>
                    <w:pStyle w:val="29"/>
                    <w:rPr>
                      <w:rFonts w:hint="default" w:ascii="Times New Roman" w:hAnsi="Times New Roman" w:eastAsia="宋体" w:cs="Times New Roman"/>
                      <w:b/>
                      <w:bCs w:val="0"/>
                      <w:color w:val="auto"/>
                      <w:szCs w:val="21"/>
                    </w:rPr>
                  </w:pPr>
                </w:p>
              </w:tc>
              <w:tc>
                <w:tcPr>
                  <w:tcW w:w="638" w:type="dxa"/>
                  <w:tcBorders>
                    <w:tl2br w:val="nil"/>
                    <w:tr2bl w:val="nil"/>
                  </w:tcBorders>
                  <w:noWrap w:val="0"/>
                  <w:vAlign w:val="center"/>
                </w:tcPr>
                <w:p w14:paraId="4F87CAC6">
                  <w:pPr>
                    <w:pStyle w:val="29"/>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水量</w:t>
                  </w:r>
                  <w:r>
                    <w:rPr>
                      <w:rFonts w:hint="default" w:ascii="Times New Roman" w:hAnsi="Times New Roman" w:eastAsia="宋体" w:cs="Times New Roman"/>
                      <w:b/>
                      <w:bCs w:val="0"/>
                      <w:color w:val="auto"/>
                      <w:szCs w:val="21"/>
                      <w:highlight w:val="none"/>
                    </w:rPr>
                    <w:t>m</w:t>
                  </w:r>
                  <w:r>
                    <w:rPr>
                      <w:rFonts w:hint="default" w:ascii="Times New Roman" w:hAnsi="Times New Roman" w:eastAsia="宋体" w:cs="Times New Roman"/>
                      <w:b/>
                      <w:bCs w:val="0"/>
                      <w:color w:val="auto"/>
                      <w:szCs w:val="21"/>
                      <w:highlight w:val="none"/>
                      <w:vertAlign w:val="superscript"/>
                    </w:rPr>
                    <w:t>3</w:t>
                  </w:r>
                  <w:r>
                    <w:rPr>
                      <w:rFonts w:hint="default" w:ascii="Times New Roman" w:hAnsi="Times New Roman" w:eastAsia="宋体" w:cs="Times New Roman"/>
                      <w:b/>
                      <w:bCs w:val="0"/>
                      <w:color w:val="auto"/>
                      <w:szCs w:val="21"/>
                    </w:rPr>
                    <w:t>/a</w:t>
                  </w:r>
                </w:p>
              </w:tc>
              <w:tc>
                <w:tcPr>
                  <w:tcW w:w="828" w:type="dxa"/>
                  <w:tcBorders>
                    <w:tl2br w:val="nil"/>
                    <w:tr2bl w:val="nil"/>
                  </w:tcBorders>
                  <w:noWrap w:val="0"/>
                  <w:vAlign w:val="center"/>
                </w:tcPr>
                <w:p w14:paraId="17F19487">
                  <w:pPr>
                    <w:pStyle w:val="29"/>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污染物名称</w:t>
                  </w:r>
                </w:p>
              </w:tc>
              <w:tc>
                <w:tcPr>
                  <w:tcW w:w="789" w:type="dxa"/>
                  <w:tcBorders>
                    <w:tl2br w:val="nil"/>
                    <w:tr2bl w:val="nil"/>
                  </w:tcBorders>
                  <w:noWrap w:val="0"/>
                  <w:vAlign w:val="center"/>
                </w:tcPr>
                <w:p w14:paraId="05D3004A">
                  <w:pPr>
                    <w:pStyle w:val="29"/>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接管浓度mg/L</w:t>
                  </w:r>
                </w:p>
              </w:tc>
              <w:tc>
                <w:tcPr>
                  <w:tcW w:w="863" w:type="dxa"/>
                  <w:tcBorders>
                    <w:tl2br w:val="nil"/>
                    <w:tr2bl w:val="nil"/>
                  </w:tcBorders>
                  <w:noWrap w:val="0"/>
                  <w:vAlign w:val="center"/>
                </w:tcPr>
                <w:p w14:paraId="3DDA35D2">
                  <w:pPr>
                    <w:pStyle w:val="29"/>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接管量</w:t>
                  </w:r>
                </w:p>
                <w:p w14:paraId="65139856">
                  <w:pPr>
                    <w:pStyle w:val="29"/>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t/a</w:t>
                  </w:r>
                </w:p>
              </w:tc>
              <w:tc>
                <w:tcPr>
                  <w:tcW w:w="1181" w:type="dxa"/>
                  <w:vMerge w:val="continue"/>
                  <w:tcBorders>
                    <w:tl2br w:val="nil"/>
                    <w:tr2bl w:val="nil"/>
                  </w:tcBorders>
                  <w:noWrap w:val="0"/>
                  <w:vAlign w:val="center"/>
                </w:tcPr>
                <w:p w14:paraId="16215DFF">
                  <w:pPr>
                    <w:pStyle w:val="29"/>
                    <w:rPr>
                      <w:rFonts w:hint="default" w:ascii="Times New Roman" w:hAnsi="Times New Roman" w:eastAsia="宋体" w:cs="Times New Roman"/>
                      <w:b w:val="0"/>
                      <w:bCs/>
                      <w:color w:val="auto"/>
                      <w:szCs w:val="21"/>
                    </w:rPr>
                  </w:pPr>
                </w:p>
              </w:tc>
            </w:tr>
            <w:tr w14:paraId="0BAA0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540" w:type="dxa"/>
                  <w:vMerge w:val="restart"/>
                  <w:tcBorders>
                    <w:tl2br w:val="nil"/>
                    <w:tr2bl w:val="nil"/>
                  </w:tcBorders>
                  <w:noWrap w:val="0"/>
                  <w:vAlign w:val="center"/>
                </w:tcPr>
                <w:p w14:paraId="041F76B5">
                  <w:pPr>
                    <w:pStyle w:val="29"/>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rPr>
                    <w:t>生活污水</w:t>
                  </w:r>
                </w:p>
              </w:tc>
              <w:tc>
                <w:tcPr>
                  <w:tcW w:w="716" w:type="dxa"/>
                  <w:vMerge w:val="restart"/>
                  <w:tcBorders>
                    <w:tl2br w:val="nil"/>
                    <w:tr2bl w:val="nil"/>
                  </w:tcBorders>
                  <w:noWrap w:val="0"/>
                  <w:vAlign w:val="center"/>
                </w:tcPr>
                <w:p w14:paraId="68FCCFF1">
                  <w:pPr>
                    <w:pStyle w:val="29"/>
                    <w:rPr>
                      <w:rFonts w:hint="default" w:ascii="Times New Roman" w:hAnsi="Times New Roman" w:eastAsia="宋体" w:cs="Times New Roman"/>
                      <w:b w:val="0"/>
                      <w:bCs/>
                      <w:color w:val="auto"/>
                      <w:szCs w:val="21"/>
                      <w:lang w:val="en-US" w:eastAsia="zh-CN"/>
                    </w:rPr>
                  </w:pPr>
                  <w:r>
                    <w:rPr>
                      <w:rFonts w:hint="eastAsia" w:cs="Times New Roman"/>
                      <w:b w:val="0"/>
                      <w:bCs/>
                      <w:color w:val="auto"/>
                      <w:szCs w:val="21"/>
                      <w:lang w:val="en-US" w:eastAsia="zh-CN"/>
                    </w:rPr>
                    <w:t>480</w:t>
                  </w:r>
                </w:p>
              </w:tc>
              <w:tc>
                <w:tcPr>
                  <w:tcW w:w="828" w:type="dxa"/>
                  <w:tcBorders>
                    <w:tl2br w:val="nil"/>
                    <w:tr2bl w:val="nil"/>
                  </w:tcBorders>
                  <w:noWrap w:val="0"/>
                  <w:vAlign w:val="center"/>
                </w:tcPr>
                <w:p w14:paraId="270774F9">
                  <w:pPr>
                    <w:pStyle w:val="29"/>
                    <w:rPr>
                      <w:rFonts w:hint="default" w:ascii="Times New Roman" w:hAnsi="Times New Roman" w:eastAsia="宋体" w:cs="Times New Roman"/>
                      <w:b w:val="0"/>
                      <w:bCs/>
                      <w:color w:val="auto"/>
                      <w:szCs w:val="21"/>
                      <w:lang w:val="en-US" w:eastAsia="zh-CN"/>
                    </w:rPr>
                  </w:pPr>
                  <w:r>
                    <w:rPr>
                      <w:rFonts w:hint="default" w:ascii="Times New Roman" w:hAnsi="Times New Roman" w:eastAsia="宋体" w:cs="Times New Roman"/>
                      <w:b w:val="0"/>
                      <w:bCs/>
                      <w:color w:val="auto"/>
                      <w:szCs w:val="21"/>
                      <w:lang w:val="en-US" w:eastAsia="zh-CN"/>
                    </w:rPr>
                    <w:t>pH</w:t>
                  </w:r>
                </w:p>
              </w:tc>
              <w:tc>
                <w:tcPr>
                  <w:tcW w:w="789" w:type="dxa"/>
                  <w:tcBorders>
                    <w:tl2br w:val="nil"/>
                    <w:tr2bl w:val="nil"/>
                  </w:tcBorders>
                  <w:noWrap w:val="0"/>
                  <w:vAlign w:val="center"/>
                </w:tcPr>
                <w:p w14:paraId="1786F4FD">
                  <w:pPr>
                    <w:widowControl/>
                    <w:jc w:val="center"/>
                    <w:textAlignment w:val="center"/>
                    <w:rPr>
                      <w:rFonts w:hint="default" w:ascii="Times New Roman" w:hAnsi="Times New Roman" w:eastAsia="宋体" w:cs="Times New Roman"/>
                      <w:b w:val="0"/>
                      <w:bCs/>
                      <w:color w:val="auto"/>
                      <w:kern w:val="0"/>
                      <w:szCs w:val="21"/>
                      <w:lang w:val="en-US" w:eastAsia="zh-CN" w:bidi="ar"/>
                    </w:rPr>
                  </w:pPr>
                  <w:r>
                    <w:rPr>
                      <w:rFonts w:hint="default" w:ascii="Times New Roman" w:hAnsi="Times New Roman" w:eastAsia="宋体" w:cs="Times New Roman"/>
                      <w:color w:val="auto"/>
                      <w:szCs w:val="21"/>
                    </w:rPr>
                    <w:t>6-9</w:t>
                  </w:r>
                </w:p>
              </w:tc>
              <w:tc>
                <w:tcPr>
                  <w:tcW w:w="817" w:type="dxa"/>
                  <w:tcBorders>
                    <w:tl2br w:val="nil"/>
                    <w:tr2bl w:val="nil"/>
                  </w:tcBorders>
                  <w:noWrap w:val="0"/>
                  <w:vAlign w:val="center"/>
                </w:tcPr>
                <w:p w14:paraId="64C7B9E3">
                  <w:pPr>
                    <w:widowControl/>
                    <w:jc w:val="center"/>
                    <w:textAlignment w:val="center"/>
                    <w:rPr>
                      <w:rFonts w:hint="default" w:ascii="Times New Roman" w:hAnsi="Times New Roman" w:eastAsia="宋体" w:cs="Times New Roman"/>
                      <w:b w:val="0"/>
                      <w:bCs/>
                      <w:color w:val="auto"/>
                      <w:kern w:val="0"/>
                      <w:sz w:val="22"/>
                      <w:szCs w:val="22"/>
                      <w:lang w:val="en-US" w:eastAsia="zh-CN" w:bidi="ar"/>
                    </w:rPr>
                  </w:pPr>
                  <w:r>
                    <w:rPr>
                      <w:rFonts w:hint="default" w:ascii="Times New Roman" w:hAnsi="Times New Roman" w:eastAsia="宋体" w:cs="Times New Roman"/>
                      <w:b w:val="0"/>
                      <w:bCs/>
                      <w:color w:val="auto"/>
                      <w:kern w:val="0"/>
                      <w:sz w:val="22"/>
                      <w:szCs w:val="22"/>
                      <w:lang w:val="en-US" w:eastAsia="zh-CN" w:bidi="ar"/>
                    </w:rPr>
                    <w:t>/</w:t>
                  </w:r>
                </w:p>
              </w:tc>
              <w:tc>
                <w:tcPr>
                  <w:tcW w:w="509" w:type="dxa"/>
                  <w:vMerge w:val="restart"/>
                  <w:tcBorders>
                    <w:tl2br w:val="nil"/>
                    <w:tr2bl w:val="nil"/>
                  </w:tcBorders>
                  <w:noWrap w:val="0"/>
                  <w:vAlign w:val="center"/>
                </w:tcPr>
                <w:p w14:paraId="5CDCEF3D">
                  <w:pPr>
                    <w:pStyle w:val="29"/>
                    <w:rPr>
                      <w:rFonts w:hint="default" w:ascii="Times New Roman" w:hAnsi="Times New Roman" w:eastAsia="宋体" w:cs="Times New Roman"/>
                      <w:b w:val="0"/>
                      <w:bCs/>
                      <w:color w:val="auto"/>
                      <w:szCs w:val="21"/>
                      <w:lang w:eastAsia="zh-CN"/>
                    </w:rPr>
                  </w:pPr>
                  <w:r>
                    <w:rPr>
                      <w:rFonts w:hint="default" w:ascii="Times New Roman" w:hAnsi="Times New Roman" w:eastAsia="宋体" w:cs="Times New Roman"/>
                      <w:b w:val="0"/>
                      <w:bCs/>
                      <w:color w:val="auto"/>
                      <w:szCs w:val="21"/>
                      <w:lang w:val="en-US" w:eastAsia="zh-CN"/>
                    </w:rPr>
                    <w:t>化粪池</w:t>
                  </w:r>
                </w:p>
              </w:tc>
              <w:tc>
                <w:tcPr>
                  <w:tcW w:w="638" w:type="dxa"/>
                  <w:vMerge w:val="restart"/>
                  <w:tcBorders>
                    <w:tl2br w:val="nil"/>
                    <w:tr2bl w:val="nil"/>
                  </w:tcBorders>
                  <w:noWrap w:val="0"/>
                  <w:vAlign w:val="center"/>
                </w:tcPr>
                <w:p w14:paraId="245B80C6">
                  <w:pPr>
                    <w:pStyle w:val="29"/>
                    <w:rPr>
                      <w:rFonts w:hint="default" w:ascii="Times New Roman" w:hAnsi="Times New Roman" w:eastAsia="宋体" w:cs="Times New Roman"/>
                      <w:b w:val="0"/>
                      <w:bCs/>
                      <w:color w:val="auto"/>
                      <w:szCs w:val="21"/>
                      <w:lang w:val="en-US" w:eastAsia="zh-CN"/>
                    </w:rPr>
                  </w:pPr>
                  <w:r>
                    <w:rPr>
                      <w:rFonts w:hint="eastAsia" w:cs="Times New Roman"/>
                      <w:b w:val="0"/>
                      <w:bCs/>
                      <w:color w:val="auto"/>
                      <w:szCs w:val="21"/>
                      <w:lang w:val="en-US" w:eastAsia="zh-CN"/>
                    </w:rPr>
                    <w:t>480</w:t>
                  </w:r>
                </w:p>
              </w:tc>
              <w:tc>
                <w:tcPr>
                  <w:tcW w:w="828" w:type="dxa"/>
                  <w:tcBorders>
                    <w:tl2br w:val="nil"/>
                    <w:tr2bl w:val="nil"/>
                  </w:tcBorders>
                  <w:noWrap w:val="0"/>
                  <w:vAlign w:val="center"/>
                </w:tcPr>
                <w:p w14:paraId="59973365">
                  <w:pPr>
                    <w:pStyle w:val="29"/>
                    <w:ind w:firstLine="0" w:firstLineChars="0"/>
                    <w:rPr>
                      <w:rFonts w:hint="default" w:ascii="Times New Roman" w:hAnsi="Times New Roman" w:eastAsia="宋体" w:cs="Times New Roman"/>
                      <w:b w:val="0"/>
                      <w:bCs/>
                      <w:color w:val="auto"/>
                      <w:szCs w:val="21"/>
                      <w:lang w:val="en-US" w:eastAsia="zh-CN"/>
                    </w:rPr>
                  </w:pPr>
                  <w:r>
                    <w:rPr>
                      <w:rFonts w:hint="default" w:ascii="Times New Roman" w:hAnsi="Times New Roman" w:eastAsia="宋体" w:cs="Times New Roman"/>
                      <w:b w:val="0"/>
                      <w:bCs/>
                      <w:color w:val="auto"/>
                      <w:szCs w:val="21"/>
                      <w:lang w:val="en-US" w:eastAsia="zh-CN"/>
                    </w:rPr>
                    <w:t>pH</w:t>
                  </w:r>
                </w:p>
              </w:tc>
              <w:tc>
                <w:tcPr>
                  <w:tcW w:w="789" w:type="dxa"/>
                  <w:tcBorders>
                    <w:tl2br w:val="nil"/>
                    <w:tr2bl w:val="nil"/>
                  </w:tcBorders>
                  <w:noWrap w:val="0"/>
                  <w:vAlign w:val="center"/>
                </w:tcPr>
                <w:p w14:paraId="59120C93">
                  <w:pPr>
                    <w:widowControl/>
                    <w:jc w:val="center"/>
                    <w:textAlignment w:val="center"/>
                    <w:rPr>
                      <w:rFonts w:hint="default" w:ascii="Times New Roman" w:hAnsi="Times New Roman" w:eastAsia="宋体" w:cs="Times New Roman"/>
                      <w:b w:val="0"/>
                      <w:bCs/>
                      <w:color w:val="auto"/>
                      <w:szCs w:val="21"/>
                      <w:lang w:val="en-US"/>
                    </w:rPr>
                  </w:pPr>
                  <w:r>
                    <w:rPr>
                      <w:rFonts w:hint="default" w:ascii="Times New Roman" w:hAnsi="Times New Roman" w:eastAsia="宋体" w:cs="Times New Roman"/>
                      <w:color w:val="auto"/>
                      <w:szCs w:val="21"/>
                    </w:rPr>
                    <w:t>6-9</w:t>
                  </w:r>
                </w:p>
              </w:tc>
              <w:tc>
                <w:tcPr>
                  <w:tcW w:w="863" w:type="dxa"/>
                  <w:tcBorders>
                    <w:tl2br w:val="nil"/>
                    <w:tr2bl w:val="nil"/>
                  </w:tcBorders>
                  <w:noWrap w:val="0"/>
                  <w:vAlign w:val="center"/>
                </w:tcPr>
                <w:p w14:paraId="396D9F13">
                  <w:pPr>
                    <w:widowControl/>
                    <w:jc w:val="center"/>
                    <w:textAlignment w:val="center"/>
                    <w:rPr>
                      <w:rFonts w:hint="default" w:ascii="Times New Roman" w:hAnsi="Times New Roman" w:eastAsia="宋体" w:cs="Times New Roman"/>
                      <w:b w:val="0"/>
                      <w:bCs/>
                      <w:color w:val="auto"/>
                      <w:szCs w:val="21"/>
                      <w:lang w:val="en-US" w:eastAsia="zh-CN"/>
                    </w:rPr>
                  </w:pPr>
                  <w:r>
                    <w:rPr>
                      <w:rFonts w:hint="default" w:ascii="Times New Roman" w:hAnsi="Times New Roman" w:eastAsia="宋体" w:cs="Times New Roman"/>
                      <w:b w:val="0"/>
                      <w:bCs/>
                      <w:color w:val="auto"/>
                      <w:szCs w:val="21"/>
                      <w:lang w:val="en-US" w:eastAsia="zh-CN"/>
                    </w:rPr>
                    <w:t>/</w:t>
                  </w:r>
                </w:p>
              </w:tc>
              <w:tc>
                <w:tcPr>
                  <w:tcW w:w="1181" w:type="dxa"/>
                  <w:vMerge w:val="restart"/>
                  <w:tcBorders>
                    <w:tl2br w:val="nil"/>
                    <w:tr2bl w:val="nil"/>
                  </w:tcBorders>
                  <w:noWrap w:val="0"/>
                  <w:vAlign w:val="center"/>
                </w:tcPr>
                <w:p w14:paraId="3F148914">
                  <w:pPr>
                    <w:pStyle w:val="29"/>
                    <w:rPr>
                      <w:rFonts w:hint="default" w:ascii="Times New Roman" w:hAnsi="Times New Roman" w:eastAsia="宋体" w:cs="Times New Roman"/>
                      <w:b w:val="0"/>
                      <w:bCs/>
                      <w:color w:val="auto"/>
                      <w:szCs w:val="21"/>
                    </w:rPr>
                  </w:pPr>
                  <w:r>
                    <w:rPr>
                      <w:rFonts w:hint="eastAsia" w:cs="Times New Roman"/>
                      <w:b w:val="0"/>
                      <w:bCs/>
                      <w:color w:val="auto"/>
                      <w:szCs w:val="21"/>
                      <w:lang w:val="en-US" w:eastAsia="zh-CN"/>
                    </w:rPr>
                    <w:t>接管</w:t>
                  </w:r>
                  <w:r>
                    <w:rPr>
                      <w:rFonts w:hint="default" w:ascii="Times New Roman" w:hAnsi="Times New Roman" w:eastAsia="宋体" w:cs="Times New Roman"/>
                      <w:b w:val="0"/>
                      <w:bCs/>
                      <w:color w:val="auto"/>
                      <w:szCs w:val="21"/>
                    </w:rPr>
                    <w:t>至常州</w:t>
                  </w:r>
                  <w:r>
                    <w:rPr>
                      <w:rFonts w:hint="eastAsia" w:cs="Times New Roman"/>
                      <w:b w:val="0"/>
                      <w:bCs/>
                      <w:color w:val="auto"/>
                      <w:szCs w:val="21"/>
                      <w:lang w:eastAsia="zh-CN"/>
                    </w:rPr>
                    <w:t>金坛溪城污水处理有限公司</w:t>
                  </w:r>
                  <w:r>
                    <w:rPr>
                      <w:rFonts w:hint="default" w:ascii="Times New Roman" w:hAnsi="Times New Roman" w:eastAsia="宋体" w:cs="Times New Roman"/>
                      <w:b w:val="0"/>
                      <w:bCs/>
                      <w:color w:val="auto"/>
                      <w:szCs w:val="21"/>
                    </w:rPr>
                    <w:t>处理</w:t>
                  </w:r>
                </w:p>
              </w:tc>
            </w:tr>
            <w:tr w14:paraId="7E532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540" w:type="dxa"/>
                  <w:vMerge w:val="continue"/>
                  <w:tcBorders>
                    <w:tl2br w:val="nil"/>
                    <w:tr2bl w:val="nil"/>
                  </w:tcBorders>
                  <w:noWrap w:val="0"/>
                  <w:vAlign w:val="center"/>
                </w:tcPr>
                <w:p w14:paraId="5473B885">
                  <w:pPr>
                    <w:pStyle w:val="29"/>
                    <w:rPr>
                      <w:rFonts w:hint="default" w:ascii="Times New Roman" w:hAnsi="Times New Roman" w:eastAsia="宋体" w:cs="Times New Roman"/>
                      <w:b w:val="0"/>
                      <w:bCs/>
                      <w:color w:val="auto"/>
                      <w:szCs w:val="21"/>
                    </w:rPr>
                  </w:pPr>
                </w:p>
              </w:tc>
              <w:tc>
                <w:tcPr>
                  <w:tcW w:w="716" w:type="dxa"/>
                  <w:vMerge w:val="continue"/>
                  <w:tcBorders>
                    <w:tl2br w:val="nil"/>
                    <w:tr2bl w:val="nil"/>
                  </w:tcBorders>
                  <w:noWrap w:val="0"/>
                  <w:vAlign w:val="center"/>
                </w:tcPr>
                <w:p w14:paraId="6255AD63">
                  <w:pPr>
                    <w:pStyle w:val="29"/>
                    <w:rPr>
                      <w:rFonts w:hint="default" w:ascii="Times New Roman" w:hAnsi="Times New Roman" w:eastAsia="宋体" w:cs="Times New Roman"/>
                      <w:b w:val="0"/>
                      <w:bCs/>
                      <w:color w:val="auto"/>
                      <w:szCs w:val="21"/>
                      <w:lang w:val="en-US" w:eastAsia="zh-CN"/>
                    </w:rPr>
                  </w:pPr>
                </w:p>
              </w:tc>
              <w:tc>
                <w:tcPr>
                  <w:tcW w:w="828" w:type="dxa"/>
                  <w:tcBorders>
                    <w:tl2br w:val="nil"/>
                    <w:tr2bl w:val="nil"/>
                  </w:tcBorders>
                  <w:noWrap w:val="0"/>
                  <w:vAlign w:val="center"/>
                </w:tcPr>
                <w:p w14:paraId="161EE63D">
                  <w:pPr>
                    <w:pStyle w:val="29"/>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rPr>
                    <w:t>COD</w:t>
                  </w:r>
                </w:p>
              </w:tc>
              <w:tc>
                <w:tcPr>
                  <w:tcW w:w="789" w:type="dxa"/>
                  <w:tcBorders>
                    <w:tl2br w:val="nil"/>
                    <w:tr2bl w:val="nil"/>
                  </w:tcBorders>
                  <w:noWrap w:val="0"/>
                  <w:vAlign w:val="center"/>
                </w:tcPr>
                <w:p w14:paraId="5B1C46F9">
                  <w:pPr>
                    <w:widowControl/>
                    <w:jc w:val="center"/>
                    <w:textAlignment w:val="center"/>
                    <w:rPr>
                      <w:rFonts w:hint="default" w:ascii="Times New Roman" w:hAnsi="Times New Roman" w:eastAsia="宋体" w:cs="Times New Roman"/>
                      <w:b w:val="0"/>
                      <w:bCs/>
                      <w:color w:val="auto"/>
                      <w:szCs w:val="21"/>
                    </w:rPr>
                  </w:pPr>
                  <w:r>
                    <w:rPr>
                      <w:rFonts w:hint="eastAsia" w:cs="Times New Roman"/>
                      <w:b w:val="0"/>
                      <w:bCs/>
                      <w:color w:val="auto"/>
                      <w:kern w:val="0"/>
                      <w:sz w:val="21"/>
                      <w:szCs w:val="21"/>
                      <w:lang w:val="en-US" w:eastAsia="zh-CN" w:bidi="ar"/>
                    </w:rPr>
                    <w:t>300</w:t>
                  </w:r>
                </w:p>
              </w:tc>
              <w:tc>
                <w:tcPr>
                  <w:tcW w:w="817" w:type="dxa"/>
                  <w:tcBorders>
                    <w:tl2br w:val="nil"/>
                    <w:tr2bl w:val="nil"/>
                  </w:tcBorders>
                  <w:noWrap w:val="0"/>
                  <w:vAlign w:val="center"/>
                </w:tcPr>
                <w:p w14:paraId="0F657E42">
                  <w:pPr>
                    <w:widowControl/>
                    <w:jc w:val="center"/>
                    <w:textAlignment w:val="center"/>
                    <w:rPr>
                      <w:rFonts w:hint="default" w:ascii="Times New Roman" w:hAnsi="Times New Roman" w:eastAsia="宋体" w:cs="Times New Roman"/>
                      <w:b w:val="0"/>
                      <w:bCs/>
                      <w:color w:val="auto"/>
                      <w:szCs w:val="21"/>
                      <w:lang w:val="en-US" w:eastAsia="zh-CN"/>
                    </w:rPr>
                  </w:pPr>
                  <w:r>
                    <w:rPr>
                      <w:rFonts w:hint="eastAsia" w:cs="Times New Roman"/>
                      <w:b w:val="0"/>
                      <w:bCs/>
                      <w:color w:val="auto"/>
                      <w:kern w:val="0"/>
                      <w:sz w:val="21"/>
                      <w:szCs w:val="21"/>
                      <w:lang w:val="en-US" w:eastAsia="zh-CN" w:bidi="ar"/>
                    </w:rPr>
                    <w:t>0.144</w:t>
                  </w:r>
                </w:p>
              </w:tc>
              <w:tc>
                <w:tcPr>
                  <w:tcW w:w="509" w:type="dxa"/>
                  <w:vMerge w:val="continue"/>
                  <w:tcBorders>
                    <w:tl2br w:val="nil"/>
                    <w:tr2bl w:val="nil"/>
                  </w:tcBorders>
                  <w:noWrap w:val="0"/>
                  <w:vAlign w:val="center"/>
                </w:tcPr>
                <w:p w14:paraId="19933A73">
                  <w:pPr>
                    <w:pStyle w:val="29"/>
                    <w:rPr>
                      <w:rFonts w:hint="default" w:ascii="Times New Roman" w:hAnsi="Times New Roman" w:eastAsia="宋体" w:cs="Times New Roman"/>
                      <w:b w:val="0"/>
                      <w:bCs/>
                      <w:color w:val="auto"/>
                      <w:szCs w:val="21"/>
                      <w:lang w:eastAsia="zh-CN"/>
                    </w:rPr>
                  </w:pPr>
                </w:p>
              </w:tc>
              <w:tc>
                <w:tcPr>
                  <w:tcW w:w="638" w:type="dxa"/>
                  <w:vMerge w:val="continue"/>
                  <w:tcBorders>
                    <w:tl2br w:val="nil"/>
                    <w:tr2bl w:val="nil"/>
                  </w:tcBorders>
                  <w:noWrap w:val="0"/>
                  <w:vAlign w:val="center"/>
                </w:tcPr>
                <w:p w14:paraId="7E7A0BB0">
                  <w:pPr>
                    <w:pStyle w:val="29"/>
                    <w:rPr>
                      <w:rFonts w:hint="default" w:ascii="Times New Roman" w:hAnsi="Times New Roman" w:eastAsia="宋体" w:cs="Times New Roman"/>
                      <w:b w:val="0"/>
                      <w:bCs/>
                      <w:color w:val="auto"/>
                      <w:szCs w:val="21"/>
                      <w:lang w:val="en-US" w:eastAsia="zh-CN"/>
                    </w:rPr>
                  </w:pPr>
                </w:p>
              </w:tc>
              <w:tc>
                <w:tcPr>
                  <w:tcW w:w="828" w:type="dxa"/>
                  <w:tcBorders>
                    <w:tl2br w:val="nil"/>
                    <w:tr2bl w:val="nil"/>
                  </w:tcBorders>
                  <w:noWrap w:val="0"/>
                  <w:vAlign w:val="center"/>
                </w:tcPr>
                <w:p w14:paraId="5CF0D3DB">
                  <w:pPr>
                    <w:pStyle w:val="29"/>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rPr>
                    <w:t>COD</w:t>
                  </w:r>
                </w:p>
              </w:tc>
              <w:tc>
                <w:tcPr>
                  <w:tcW w:w="789" w:type="dxa"/>
                  <w:tcBorders>
                    <w:tl2br w:val="nil"/>
                    <w:tr2bl w:val="nil"/>
                  </w:tcBorders>
                  <w:noWrap w:val="0"/>
                  <w:vAlign w:val="center"/>
                </w:tcPr>
                <w:p w14:paraId="037F55DE">
                  <w:pPr>
                    <w:widowControl/>
                    <w:jc w:val="center"/>
                    <w:textAlignment w:val="center"/>
                    <w:rPr>
                      <w:rFonts w:hint="default" w:ascii="Times New Roman" w:hAnsi="Times New Roman" w:eastAsia="宋体" w:cs="Times New Roman"/>
                      <w:b w:val="0"/>
                      <w:bCs/>
                      <w:color w:val="auto"/>
                      <w:szCs w:val="21"/>
                    </w:rPr>
                  </w:pPr>
                  <w:r>
                    <w:rPr>
                      <w:rFonts w:hint="eastAsia" w:cs="Times New Roman"/>
                      <w:b w:val="0"/>
                      <w:bCs/>
                      <w:color w:val="auto"/>
                      <w:kern w:val="0"/>
                      <w:sz w:val="21"/>
                      <w:szCs w:val="21"/>
                      <w:lang w:val="en-US" w:eastAsia="zh-CN" w:bidi="ar"/>
                    </w:rPr>
                    <w:t>300</w:t>
                  </w:r>
                </w:p>
              </w:tc>
              <w:tc>
                <w:tcPr>
                  <w:tcW w:w="863" w:type="dxa"/>
                  <w:tcBorders>
                    <w:tl2br w:val="nil"/>
                    <w:tr2bl w:val="nil"/>
                  </w:tcBorders>
                  <w:noWrap w:val="0"/>
                  <w:vAlign w:val="center"/>
                </w:tcPr>
                <w:p w14:paraId="4319303A">
                  <w:pPr>
                    <w:widowControl/>
                    <w:jc w:val="center"/>
                    <w:textAlignment w:val="center"/>
                    <w:rPr>
                      <w:rFonts w:hint="default" w:ascii="Times New Roman" w:hAnsi="Times New Roman" w:eastAsia="宋体" w:cs="Times New Roman"/>
                      <w:b w:val="0"/>
                      <w:bCs/>
                      <w:color w:val="auto"/>
                      <w:szCs w:val="21"/>
                      <w:lang w:val="en-US" w:eastAsia="zh-CN"/>
                    </w:rPr>
                  </w:pPr>
                  <w:r>
                    <w:rPr>
                      <w:rFonts w:hint="eastAsia" w:cs="Times New Roman"/>
                      <w:b w:val="0"/>
                      <w:bCs/>
                      <w:color w:val="auto"/>
                      <w:kern w:val="0"/>
                      <w:sz w:val="21"/>
                      <w:szCs w:val="21"/>
                      <w:lang w:val="en-US" w:eastAsia="zh-CN" w:bidi="ar"/>
                    </w:rPr>
                    <w:t>0.144</w:t>
                  </w:r>
                </w:p>
              </w:tc>
              <w:tc>
                <w:tcPr>
                  <w:tcW w:w="1181" w:type="dxa"/>
                  <w:vMerge w:val="continue"/>
                  <w:tcBorders>
                    <w:tl2br w:val="nil"/>
                    <w:tr2bl w:val="nil"/>
                  </w:tcBorders>
                  <w:noWrap w:val="0"/>
                  <w:vAlign w:val="center"/>
                </w:tcPr>
                <w:p w14:paraId="2232067B">
                  <w:pPr>
                    <w:pStyle w:val="29"/>
                    <w:rPr>
                      <w:rFonts w:hint="default" w:ascii="Times New Roman" w:hAnsi="Times New Roman" w:eastAsia="宋体" w:cs="Times New Roman"/>
                      <w:b w:val="0"/>
                      <w:bCs/>
                      <w:color w:val="auto"/>
                      <w:szCs w:val="21"/>
                    </w:rPr>
                  </w:pPr>
                </w:p>
              </w:tc>
            </w:tr>
            <w:tr w14:paraId="78D28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540" w:type="dxa"/>
                  <w:vMerge w:val="continue"/>
                  <w:tcBorders>
                    <w:tl2br w:val="nil"/>
                    <w:tr2bl w:val="nil"/>
                  </w:tcBorders>
                  <w:noWrap w:val="0"/>
                  <w:vAlign w:val="center"/>
                </w:tcPr>
                <w:p w14:paraId="76F26AFE">
                  <w:pPr>
                    <w:pStyle w:val="29"/>
                    <w:rPr>
                      <w:rFonts w:hint="default" w:ascii="Times New Roman" w:hAnsi="Times New Roman" w:eastAsia="宋体" w:cs="Times New Roman"/>
                      <w:b w:val="0"/>
                      <w:bCs/>
                      <w:color w:val="auto"/>
                      <w:szCs w:val="21"/>
                    </w:rPr>
                  </w:pPr>
                </w:p>
              </w:tc>
              <w:tc>
                <w:tcPr>
                  <w:tcW w:w="716" w:type="dxa"/>
                  <w:vMerge w:val="continue"/>
                  <w:tcBorders>
                    <w:tl2br w:val="nil"/>
                    <w:tr2bl w:val="nil"/>
                  </w:tcBorders>
                  <w:noWrap w:val="0"/>
                  <w:vAlign w:val="center"/>
                </w:tcPr>
                <w:p w14:paraId="38C3D55E">
                  <w:pPr>
                    <w:pStyle w:val="29"/>
                    <w:rPr>
                      <w:rFonts w:hint="default" w:ascii="Times New Roman" w:hAnsi="Times New Roman" w:eastAsia="宋体" w:cs="Times New Roman"/>
                      <w:b w:val="0"/>
                      <w:bCs/>
                      <w:color w:val="auto"/>
                      <w:szCs w:val="21"/>
                    </w:rPr>
                  </w:pPr>
                </w:p>
              </w:tc>
              <w:tc>
                <w:tcPr>
                  <w:tcW w:w="828" w:type="dxa"/>
                  <w:tcBorders>
                    <w:tl2br w:val="nil"/>
                    <w:tr2bl w:val="nil"/>
                  </w:tcBorders>
                  <w:noWrap w:val="0"/>
                  <w:vAlign w:val="center"/>
                </w:tcPr>
                <w:p w14:paraId="00399F69">
                  <w:pPr>
                    <w:pStyle w:val="29"/>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rPr>
                    <w:t>SS</w:t>
                  </w:r>
                </w:p>
              </w:tc>
              <w:tc>
                <w:tcPr>
                  <w:tcW w:w="789" w:type="dxa"/>
                  <w:tcBorders>
                    <w:tl2br w:val="nil"/>
                    <w:tr2bl w:val="nil"/>
                  </w:tcBorders>
                  <w:noWrap w:val="0"/>
                  <w:vAlign w:val="center"/>
                </w:tcPr>
                <w:p w14:paraId="0738E28D">
                  <w:pPr>
                    <w:widowControl/>
                    <w:jc w:val="center"/>
                    <w:textAlignment w:val="center"/>
                    <w:rPr>
                      <w:rFonts w:hint="default" w:ascii="Times New Roman" w:hAnsi="Times New Roman" w:eastAsia="宋体" w:cs="Times New Roman"/>
                      <w:b w:val="0"/>
                      <w:bCs/>
                      <w:color w:val="auto"/>
                      <w:szCs w:val="21"/>
                    </w:rPr>
                  </w:pPr>
                  <w:r>
                    <w:rPr>
                      <w:rFonts w:hint="eastAsia" w:cs="Times New Roman"/>
                      <w:b w:val="0"/>
                      <w:bCs/>
                      <w:color w:val="auto"/>
                      <w:kern w:val="0"/>
                      <w:sz w:val="21"/>
                      <w:szCs w:val="21"/>
                      <w:lang w:val="en-US" w:eastAsia="zh-CN" w:bidi="ar"/>
                    </w:rPr>
                    <w:t>200</w:t>
                  </w:r>
                </w:p>
              </w:tc>
              <w:tc>
                <w:tcPr>
                  <w:tcW w:w="817" w:type="dxa"/>
                  <w:tcBorders>
                    <w:tl2br w:val="nil"/>
                    <w:tr2bl w:val="nil"/>
                  </w:tcBorders>
                  <w:noWrap w:val="0"/>
                  <w:vAlign w:val="center"/>
                </w:tcPr>
                <w:p w14:paraId="69E906B7">
                  <w:pPr>
                    <w:widowControl/>
                    <w:jc w:val="center"/>
                    <w:textAlignment w:val="center"/>
                    <w:rPr>
                      <w:rFonts w:hint="default" w:ascii="Times New Roman" w:hAnsi="Times New Roman" w:eastAsia="宋体" w:cs="Times New Roman"/>
                      <w:b w:val="0"/>
                      <w:bCs/>
                      <w:color w:val="auto"/>
                      <w:szCs w:val="21"/>
                      <w:lang w:val="en-US" w:eastAsia="zh-CN"/>
                    </w:rPr>
                  </w:pPr>
                  <w:r>
                    <w:rPr>
                      <w:rFonts w:hint="eastAsia" w:cs="Times New Roman"/>
                      <w:b w:val="0"/>
                      <w:bCs/>
                      <w:color w:val="auto"/>
                      <w:kern w:val="0"/>
                      <w:sz w:val="21"/>
                      <w:szCs w:val="21"/>
                      <w:lang w:val="en-US" w:eastAsia="zh-CN" w:bidi="ar"/>
                    </w:rPr>
                    <w:t>0.096</w:t>
                  </w:r>
                </w:p>
              </w:tc>
              <w:tc>
                <w:tcPr>
                  <w:tcW w:w="509" w:type="dxa"/>
                  <w:vMerge w:val="continue"/>
                  <w:tcBorders>
                    <w:tl2br w:val="nil"/>
                    <w:tr2bl w:val="nil"/>
                  </w:tcBorders>
                  <w:noWrap w:val="0"/>
                  <w:vAlign w:val="center"/>
                </w:tcPr>
                <w:p w14:paraId="511CDA6D">
                  <w:pPr>
                    <w:pStyle w:val="29"/>
                    <w:rPr>
                      <w:rFonts w:hint="default" w:ascii="Times New Roman" w:hAnsi="Times New Roman" w:eastAsia="宋体" w:cs="Times New Roman"/>
                      <w:b w:val="0"/>
                      <w:bCs/>
                      <w:color w:val="auto"/>
                      <w:szCs w:val="21"/>
                    </w:rPr>
                  </w:pPr>
                </w:p>
              </w:tc>
              <w:tc>
                <w:tcPr>
                  <w:tcW w:w="638" w:type="dxa"/>
                  <w:vMerge w:val="continue"/>
                  <w:tcBorders>
                    <w:tl2br w:val="nil"/>
                    <w:tr2bl w:val="nil"/>
                  </w:tcBorders>
                  <w:noWrap w:val="0"/>
                  <w:vAlign w:val="center"/>
                </w:tcPr>
                <w:p w14:paraId="2C953636">
                  <w:pPr>
                    <w:pStyle w:val="29"/>
                    <w:rPr>
                      <w:rFonts w:hint="default" w:ascii="Times New Roman" w:hAnsi="Times New Roman" w:eastAsia="宋体" w:cs="Times New Roman"/>
                      <w:b w:val="0"/>
                      <w:bCs/>
                      <w:color w:val="auto"/>
                      <w:szCs w:val="21"/>
                    </w:rPr>
                  </w:pPr>
                </w:p>
              </w:tc>
              <w:tc>
                <w:tcPr>
                  <w:tcW w:w="828" w:type="dxa"/>
                  <w:tcBorders>
                    <w:tl2br w:val="nil"/>
                    <w:tr2bl w:val="nil"/>
                  </w:tcBorders>
                  <w:noWrap w:val="0"/>
                  <w:vAlign w:val="center"/>
                </w:tcPr>
                <w:p w14:paraId="5F6C5673">
                  <w:pPr>
                    <w:pStyle w:val="29"/>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rPr>
                    <w:t>SS</w:t>
                  </w:r>
                </w:p>
              </w:tc>
              <w:tc>
                <w:tcPr>
                  <w:tcW w:w="789" w:type="dxa"/>
                  <w:tcBorders>
                    <w:tl2br w:val="nil"/>
                    <w:tr2bl w:val="nil"/>
                  </w:tcBorders>
                  <w:noWrap w:val="0"/>
                  <w:vAlign w:val="center"/>
                </w:tcPr>
                <w:p w14:paraId="2E78D1C3">
                  <w:pPr>
                    <w:widowControl/>
                    <w:jc w:val="center"/>
                    <w:textAlignment w:val="center"/>
                    <w:rPr>
                      <w:rFonts w:hint="default" w:ascii="Times New Roman" w:hAnsi="Times New Roman" w:eastAsia="宋体" w:cs="Times New Roman"/>
                      <w:b w:val="0"/>
                      <w:bCs/>
                      <w:color w:val="auto"/>
                      <w:szCs w:val="21"/>
                    </w:rPr>
                  </w:pPr>
                  <w:r>
                    <w:rPr>
                      <w:rFonts w:hint="eastAsia" w:cs="Times New Roman"/>
                      <w:b w:val="0"/>
                      <w:bCs/>
                      <w:color w:val="auto"/>
                      <w:kern w:val="0"/>
                      <w:sz w:val="21"/>
                      <w:szCs w:val="21"/>
                      <w:lang w:val="en-US" w:eastAsia="zh-CN" w:bidi="ar"/>
                    </w:rPr>
                    <w:t>200</w:t>
                  </w:r>
                </w:p>
              </w:tc>
              <w:tc>
                <w:tcPr>
                  <w:tcW w:w="863" w:type="dxa"/>
                  <w:tcBorders>
                    <w:tl2br w:val="nil"/>
                    <w:tr2bl w:val="nil"/>
                  </w:tcBorders>
                  <w:noWrap w:val="0"/>
                  <w:vAlign w:val="center"/>
                </w:tcPr>
                <w:p w14:paraId="17CA3ECF">
                  <w:pPr>
                    <w:widowControl/>
                    <w:jc w:val="center"/>
                    <w:textAlignment w:val="center"/>
                    <w:rPr>
                      <w:rFonts w:hint="default" w:ascii="Times New Roman" w:hAnsi="Times New Roman" w:eastAsia="宋体" w:cs="Times New Roman"/>
                      <w:b w:val="0"/>
                      <w:bCs/>
                      <w:color w:val="auto"/>
                      <w:szCs w:val="21"/>
                      <w:lang w:val="en-US" w:eastAsia="zh-CN"/>
                    </w:rPr>
                  </w:pPr>
                  <w:r>
                    <w:rPr>
                      <w:rFonts w:hint="eastAsia" w:cs="Times New Roman"/>
                      <w:b w:val="0"/>
                      <w:bCs/>
                      <w:color w:val="auto"/>
                      <w:kern w:val="0"/>
                      <w:sz w:val="21"/>
                      <w:szCs w:val="21"/>
                      <w:lang w:val="en-US" w:eastAsia="zh-CN" w:bidi="ar"/>
                    </w:rPr>
                    <w:t>0.096</w:t>
                  </w:r>
                </w:p>
              </w:tc>
              <w:tc>
                <w:tcPr>
                  <w:tcW w:w="1181" w:type="dxa"/>
                  <w:vMerge w:val="continue"/>
                  <w:tcBorders>
                    <w:tl2br w:val="nil"/>
                    <w:tr2bl w:val="nil"/>
                  </w:tcBorders>
                  <w:noWrap w:val="0"/>
                  <w:vAlign w:val="center"/>
                </w:tcPr>
                <w:p w14:paraId="11ECE729">
                  <w:pPr>
                    <w:pStyle w:val="29"/>
                    <w:rPr>
                      <w:rFonts w:hint="default" w:ascii="Times New Roman" w:hAnsi="Times New Roman" w:eastAsia="宋体" w:cs="Times New Roman"/>
                      <w:b w:val="0"/>
                      <w:bCs/>
                      <w:color w:val="auto"/>
                      <w:szCs w:val="21"/>
                    </w:rPr>
                  </w:pPr>
                </w:p>
              </w:tc>
            </w:tr>
            <w:tr w14:paraId="672E8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540" w:type="dxa"/>
                  <w:vMerge w:val="continue"/>
                  <w:tcBorders>
                    <w:tl2br w:val="nil"/>
                    <w:tr2bl w:val="nil"/>
                  </w:tcBorders>
                  <w:noWrap w:val="0"/>
                  <w:vAlign w:val="center"/>
                </w:tcPr>
                <w:p w14:paraId="2BFAF945">
                  <w:pPr>
                    <w:pStyle w:val="29"/>
                    <w:rPr>
                      <w:rFonts w:hint="default" w:ascii="Times New Roman" w:hAnsi="Times New Roman" w:eastAsia="宋体" w:cs="Times New Roman"/>
                      <w:b w:val="0"/>
                      <w:bCs/>
                      <w:color w:val="auto"/>
                      <w:szCs w:val="21"/>
                    </w:rPr>
                  </w:pPr>
                </w:p>
              </w:tc>
              <w:tc>
                <w:tcPr>
                  <w:tcW w:w="716" w:type="dxa"/>
                  <w:vMerge w:val="continue"/>
                  <w:tcBorders>
                    <w:tl2br w:val="nil"/>
                    <w:tr2bl w:val="nil"/>
                  </w:tcBorders>
                  <w:noWrap w:val="0"/>
                  <w:vAlign w:val="center"/>
                </w:tcPr>
                <w:p w14:paraId="6068A134">
                  <w:pPr>
                    <w:pStyle w:val="29"/>
                    <w:rPr>
                      <w:rFonts w:hint="default" w:ascii="Times New Roman" w:hAnsi="Times New Roman" w:eastAsia="宋体" w:cs="Times New Roman"/>
                      <w:b w:val="0"/>
                      <w:bCs/>
                      <w:color w:val="auto"/>
                      <w:szCs w:val="21"/>
                    </w:rPr>
                  </w:pPr>
                </w:p>
              </w:tc>
              <w:tc>
                <w:tcPr>
                  <w:tcW w:w="828" w:type="dxa"/>
                  <w:tcBorders>
                    <w:tl2br w:val="nil"/>
                    <w:tr2bl w:val="nil"/>
                  </w:tcBorders>
                  <w:noWrap w:val="0"/>
                  <w:vAlign w:val="center"/>
                </w:tcPr>
                <w:p w14:paraId="77A5AD40">
                  <w:pPr>
                    <w:pStyle w:val="29"/>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rPr>
                    <w:t>NH</w:t>
                  </w:r>
                  <w:r>
                    <w:rPr>
                      <w:rFonts w:hint="default" w:ascii="Times New Roman" w:hAnsi="Times New Roman" w:eastAsia="宋体" w:cs="Times New Roman"/>
                      <w:b w:val="0"/>
                      <w:bCs/>
                      <w:color w:val="auto"/>
                      <w:szCs w:val="21"/>
                      <w:vertAlign w:val="subscript"/>
                    </w:rPr>
                    <w:t>3</w:t>
                  </w:r>
                  <w:r>
                    <w:rPr>
                      <w:rFonts w:hint="default" w:ascii="Times New Roman" w:hAnsi="Times New Roman" w:eastAsia="宋体" w:cs="Times New Roman"/>
                      <w:b w:val="0"/>
                      <w:bCs/>
                      <w:color w:val="auto"/>
                      <w:szCs w:val="21"/>
                    </w:rPr>
                    <w:t>-N</w:t>
                  </w:r>
                </w:p>
              </w:tc>
              <w:tc>
                <w:tcPr>
                  <w:tcW w:w="789" w:type="dxa"/>
                  <w:tcBorders>
                    <w:tl2br w:val="nil"/>
                    <w:tr2bl w:val="nil"/>
                  </w:tcBorders>
                  <w:noWrap w:val="0"/>
                  <w:vAlign w:val="center"/>
                </w:tcPr>
                <w:p w14:paraId="0CAF55B5">
                  <w:pPr>
                    <w:widowControl/>
                    <w:jc w:val="center"/>
                    <w:textAlignment w:val="center"/>
                    <w:rPr>
                      <w:rFonts w:hint="default" w:ascii="Times New Roman" w:hAnsi="Times New Roman" w:eastAsia="宋体" w:cs="Times New Roman"/>
                      <w:b w:val="0"/>
                      <w:bCs/>
                      <w:color w:val="auto"/>
                      <w:szCs w:val="21"/>
                    </w:rPr>
                  </w:pPr>
                  <w:r>
                    <w:rPr>
                      <w:rFonts w:hint="eastAsia" w:cs="Times New Roman"/>
                      <w:b w:val="0"/>
                      <w:bCs/>
                      <w:color w:val="auto"/>
                      <w:kern w:val="0"/>
                      <w:sz w:val="21"/>
                      <w:szCs w:val="21"/>
                      <w:lang w:val="en-US" w:eastAsia="zh-CN" w:bidi="ar"/>
                    </w:rPr>
                    <w:t>30</w:t>
                  </w:r>
                </w:p>
              </w:tc>
              <w:tc>
                <w:tcPr>
                  <w:tcW w:w="817" w:type="dxa"/>
                  <w:tcBorders>
                    <w:tl2br w:val="nil"/>
                    <w:tr2bl w:val="nil"/>
                  </w:tcBorders>
                  <w:noWrap w:val="0"/>
                  <w:vAlign w:val="center"/>
                </w:tcPr>
                <w:p w14:paraId="7AB9ECCA">
                  <w:pPr>
                    <w:widowControl/>
                    <w:jc w:val="center"/>
                    <w:textAlignment w:val="center"/>
                    <w:rPr>
                      <w:rFonts w:hint="default" w:ascii="Times New Roman" w:hAnsi="Times New Roman" w:eastAsia="宋体" w:cs="Times New Roman"/>
                      <w:b w:val="0"/>
                      <w:bCs/>
                      <w:color w:val="auto"/>
                      <w:szCs w:val="21"/>
                      <w:lang w:val="en-US" w:eastAsia="zh-CN"/>
                    </w:rPr>
                  </w:pPr>
                  <w:r>
                    <w:rPr>
                      <w:rFonts w:hint="eastAsia" w:cs="Times New Roman"/>
                      <w:b w:val="0"/>
                      <w:bCs/>
                      <w:color w:val="auto"/>
                      <w:sz w:val="21"/>
                      <w:szCs w:val="21"/>
                      <w:lang w:val="en-US" w:eastAsia="zh-CN"/>
                    </w:rPr>
                    <w:t>0.0144</w:t>
                  </w:r>
                </w:p>
              </w:tc>
              <w:tc>
                <w:tcPr>
                  <w:tcW w:w="509" w:type="dxa"/>
                  <w:vMerge w:val="continue"/>
                  <w:tcBorders>
                    <w:tl2br w:val="nil"/>
                    <w:tr2bl w:val="nil"/>
                  </w:tcBorders>
                  <w:noWrap w:val="0"/>
                  <w:vAlign w:val="center"/>
                </w:tcPr>
                <w:p w14:paraId="75DB55C7">
                  <w:pPr>
                    <w:pStyle w:val="29"/>
                    <w:rPr>
                      <w:rFonts w:hint="default" w:ascii="Times New Roman" w:hAnsi="Times New Roman" w:eastAsia="宋体" w:cs="Times New Roman"/>
                      <w:b w:val="0"/>
                      <w:bCs/>
                      <w:color w:val="auto"/>
                      <w:szCs w:val="21"/>
                    </w:rPr>
                  </w:pPr>
                </w:p>
              </w:tc>
              <w:tc>
                <w:tcPr>
                  <w:tcW w:w="638" w:type="dxa"/>
                  <w:vMerge w:val="continue"/>
                  <w:tcBorders>
                    <w:tl2br w:val="nil"/>
                    <w:tr2bl w:val="nil"/>
                  </w:tcBorders>
                  <w:noWrap w:val="0"/>
                  <w:vAlign w:val="center"/>
                </w:tcPr>
                <w:p w14:paraId="3AB90FEB">
                  <w:pPr>
                    <w:pStyle w:val="29"/>
                    <w:rPr>
                      <w:rFonts w:hint="default" w:ascii="Times New Roman" w:hAnsi="Times New Roman" w:eastAsia="宋体" w:cs="Times New Roman"/>
                      <w:b w:val="0"/>
                      <w:bCs/>
                      <w:color w:val="auto"/>
                      <w:szCs w:val="21"/>
                    </w:rPr>
                  </w:pPr>
                </w:p>
              </w:tc>
              <w:tc>
                <w:tcPr>
                  <w:tcW w:w="828" w:type="dxa"/>
                  <w:tcBorders>
                    <w:tl2br w:val="nil"/>
                    <w:tr2bl w:val="nil"/>
                  </w:tcBorders>
                  <w:noWrap w:val="0"/>
                  <w:vAlign w:val="center"/>
                </w:tcPr>
                <w:p w14:paraId="1E3FB6EA">
                  <w:pPr>
                    <w:pStyle w:val="29"/>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rPr>
                    <w:t>NH</w:t>
                  </w:r>
                  <w:r>
                    <w:rPr>
                      <w:rFonts w:hint="default" w:ascii="Times New Roman" w:hAnsi="Times New Roman" w:eastAsia="宋体" w:cs="Times New Roman"/>
                      <w:b w:val="0"/>
                      <w:bCs/>
                      <w:color w:val="auto"/>
                      <w:szCs w:val="21"/>
                      <w:vertAlign w:val="subscript"/>
                    </w:rPr>
                    <w:t>3</w:t>
                  </w:r>
                  <w:r>
                    <w:rPr>
                      <w:rFonts w:hint="default" w:ascii="Times New Roman" w:hAnsi="Times New Roman" w:eastAsia="宋体" w:cs="Times New Roman"/>
                      <w:b w:val="0"/>
                      <w:bCs/>
                      <w:color w:val="auto"/>
                      <w:szCs w:val="21"/>
                    </w:rPr>
                    <w:t>-N</w:t>
                  </w:r>
                </w:p>
              </w:tc>
              <w:tc>
                <w:tcPr>
                  <w:tcW w:w="789" w:type="dxa"/>
                  <w:tcBorders>
                    <w:tl2br w:val="nil"/>
                    <w:tr2bl w:val="nil"/>
                  </w:tcBorders>
                  <w:noWrap w:val="0"/>
                  <w:vAlign w:val="center"/>
                </w:tcPr>
                <w:p w14:paraId="31F60791">
                  <w:pPr>
                    <w:widowControl/>
                    <w:jc w:val="center"/>
                    <w:textAlignment w:val="center"/>
                    <w:rPr>
                      <w:rFonts w:hint="default" w:ascii="Times New Roman" w:hAnsi="Times New Roman" w:eastAsia="宋体" w:cs="Times New Roman"/>
                      <w:b w:val="0"/>
                      <w:bCs/>
                      <w:color w:val="auto"/>
                      <w:szCs w:val="21"/>
                    </w:rPr>
                  </w:pPr>
                  <w:r>
                    <w:rPr>
                      <w:rFonts w:hint="eastAsia" w:cs="Times New Roman"/>
                      <w:b w:val="0"/>
                      <w:bCs/>
                      <w:color w:val="auto"/>
                      <w:kern w:val="0"/>
                      <w:sz w:val="21"/>
                      <w:szCs w:val="21"/>
                      <w:lang w:val="en-US" w:eastAsia="zh-CN" w:bidi="ar"/>
                    </w:rPr>
                    <w:t>30</w:t>
                  </w:r>
                </w:p>
              </w:tc>
              <w:tc>
                <w:tcPr>
                  <w:tcW w:w="863" w:type="dxa"/>
                  <w:tcBorders>
                    <w:tl2br w:val="nil"/>
                    <w:tr2bl w:val="nil"/>
                  </w:tcBorders>
                  <w:noWrap w:val="0"/>
                  <w:vAlign w:val="center"/>
                </w:tcPr>
                <w:p w14:paraId="041CCD29">
                  <w:pPr>
                    <w:widowControl/>
                    <w:jc w:val="center"/>
                    <w:textAlignment w:val="center"/>
                    <w:rPr>
                      <w:rFonts w:hint="default" w:ascii="Times New Roman" w:hAnsi="Times New Roman" w:eastAsia="宋体" w:cs="Times New Roman"/>
                      <w:b w:val="0"/>
                      <w:bCs/>
                      <w:color w:val="auto"/>
                      <w:szCs w:val="21"/>
                      <w:lang w:val="en-US" w:eastAsia="zh-CN"/>
                    </w:rPr>
                  </w:pPr>
                  <w:r>
                    <w:rPr>
                      <w:rFonts w:hint="eastAsia" w:cs="Times New Roman"/>
                      <w:b w:val="0"/>
                      <w:bCs/>
                      <w:color w:val="auto"/>
                      <w:sz w:val="21"/>
                      <w:szCs w:val="21"/>
                      <w:lang w:val="en-US" w:eastAsia="zh-CN"/>
                    </w:rPr>
                    <w:t>0.0144</w:t>
                  </w:r>
                </w:p>
              </w:tc>
              <w:tc>
                <w:tcPr>
                  <w:tcW w:w="1181" w:type="dxa"/>
                  <w:vMerge w:val="continue"/>
                  <w:tcBorders>
                    <w:tl2br w:val="nil"/>
                    <w:tr2bl w:val="nil"/>
                  </w:tcBorders>
                  <w:noWrap w:val="0"/>
                  <w:vAlign w:val="center"/>
                </w:tcPr>
                <w:p w14:paraId="05C2AA41">
                  <w:pPr>
                    <w:pStyle w:val="29"/>
                    <w:rPr>
                      <w:rFonts w:hint="default" w:ascii="Times New Roman" w:hAnsi="Times New Roman" w:eastAsia="宋体" w:cs="Times New Roman"/>
                      <w:b w:val="0"/>
                      <w:bCs/>
                      <w:color w:val="auto"/>
                      <w:szCs w:val="21"/>
                    </w:rPr>
                  </w:pPr>
                </w:p>
              </w:tc>
            </w:tr>
            <w:tr w14:paraId="29378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540" w:type="dxa"/>
                  <w:vMerge w:val="continue"/>
                  <w:tcBorders>
                    <w:tl2br w:val="nil"/>
                    <w:tr2bl w:val="nil"/>
                  </w:tcBorders>
                  <w:noWrap w:val="0"/>
                  <w:vAlign w:val="center"/>
                </w:tcPr>
                <w:p w14:paraId="1C4CE173">
                  <w:pPr>
                    <w:pStyle w:val="29"/>
                    <w:rPr>
                      <w:rFonts w:hint="default" w:ascii="Times New Roman" w:hAnsi="Times New Roman" w:eastAsia="宋体" w:cs="Times New Roman"/>
                      <w:b w:val="0"/>
                      <w:bCs/>
                      <w:color w:val="auto"/>
                      <w:szCs w:val="21"/>
                    </w:rPr>
                  </w:pPr>
                </w:p>
              </w:tc>
              <w:tc>
                <w:tcPr>
                  <w:tcW w:w="716" w:type="dxa"/>
                  <w:vMerge w:val="continue"/>
                  <w:tcBorders>
                    <w:tl2br w:val="nil"/>
                    <w:tr2bl w:val="nil"/>
                  </w:tcBorders>
                  <w:noWrap w:val="0"/>
                  <w:vAlign w:val="center"/>
                </w:tcPr>
                <w:p w14:paraId="6B25658C">
                  <w:pPr>
                    <w:pStyle w:val="29"/>
                    <w:rPr>
                      <w:rFonts w:hint="default" w:ascii="Times New Roman" w:hAnsi="Times New Roman" w:eastAsia="宋体" w:cs="Times New Roman"/>
                      <w:b w:val="0"/>
                      <w:bCs/>
                      <w:color w:val="auto"/>
                      <w:szCs w:val="21"/>
                    </w:rPr>
                  </w:pPr>
                </w:p>
              </w:tc>
              <w:tc>
                <w:tcPr>
                  <w:tcW w:w="828" w:type="dxa"/>
                  <w:tcBorders>
                    <w:tl2br w:val="nil"/>
                    <w:tr2bl w:val="nil"/>
                  </w:tcBorders>
                  <w:noWrap w:val="0"/>
                  <w:vAlign w:val="center"/>
                </w:tcPr>
                <w:p w14:paraId="44E23BB8">
                  <w:pPr>
                    <w:pStyle w:val="29"/>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rPr>
                    <w:t>TP</w:t>
                  </w:r>
                </w:p>
              </w:tc>
              <w:tc>
                <w:tcPr>
                  <w:tcW w:w="789" w:type="dxa"/>
                  <w:tcBorders>
                    <w:tl2br w:val="nil"/>
                    <w:tr2bl w:val="nil"/>
                  </w:tcBorders>
                  <w:noWrap w:val="0"/>
                  <w:vAlign w:val="center"/>
                </w:tcPr>
                <w:p w14:paraId="0F640612">
                  <w:pPr>
                    <w:widowControl/>
                    <w:jc w:val="center"/>
                    <w:textAlignment w:val="center"/>
                    <w:rPr>
                      <w:rFonts w:hint="default" w:ascii="Times New Roman" w:hAnsi="Times New Roman" w:eastAsia="宋体" w:cs="Times New Roman"/>
                      <w:b w:val="0"/>
                      <w:bCs/>
                      <w:color w:val="auto"/>
                      <w:szCs w:val="21"/>
                    </w:rPr>
                  </w:pPr>
                  <w:r>
                    <w:rPr>
                      <w:rFonts w:hint="eastAsia" w:cs="Times New Roman"/>
                      <w:b w:val="0"/>
                      <w:bCs/>
                      <w:color w:val="auto"/>
                      <w:kern w:val="0"/>
                      <w:sz w:val="21"/>
                      <w:szCs w:val="21"/>
                      <w:lang w:val="en-US" w:eastAsia="zh-CN" w:bidi="ar"/>
                    </w:rPr>
                    <w:t>3</w:t>
                  </w:r>
                </w:p>
              </w:tc>
              <w:tc>
                <w:tcPr>
                  <w:tcW w:w="817" w:type="dxa"/>
                  <w:tcBorders>
                    <w:tl2br w:val="nil"/>
                    <w:tr2bl w:val="nil"/>
                  </w:tcBorders>
                  <w:noWrap w:val="0"/>
                  <w:vAlign w:val="center"/>
                </w:tcPr>
                <w:p w14:paraId="4A24F2B7">
                  <w:pPr>
                    <w:widowControl/>
                    <w:jc w:val="center"/>
                    <w:textAlignment w:val="center"/>
                    <w:rPr>
                      <w:rFonts w:hint="default" w:ascii="Times New Roman" w:hAnsi="Times New Roman" w:eastAsia="宋体" w:cs="Times New Roman"/>
                      <w:b w:val="0"/>
                      <w:bCs/>
                      <w:color w:val="auto"/>
                      <w:szCs w:val="21"/>
                      <w:lang w:val="en-US" w:eastAsia="zh-CN"/>
                    </w:rPr>
                  </w:pPr>
                  <w:r>
                    <w:rPr>
                      <w:rFonts w:hint="default" w:ascii="Times New Roman" w:hAnsi="Times New Roman" w:eastAsia="宋体" w:cs="Times New Roman"/>
                      <w:b w:val="0"/>
                      <w:bCs/>
                      <w:color w:val="auto"/>
                      <w:sz w:val="21"/>
                      <w:szCs w:val="21"/>
                      <w:lang w:val="en-US" w:eastAsia="zh-CN"/>
                    </w:rPr>
                    <w:t>0.001</w:t>
                  </w:r>
                  <w:r>
                    <w:rPr>
                      <w:rFonts w:hint="eastAsia" w:cs="Times New Roman"/>
                      <w:b w:val="0"/>
                      <w:bCs/>
                      <w:color w:val="auto"/>
                      <w:sz w:val="21"/>
                      <w:szCs w:val="21"/>
                      <w:lang w:val="en-US" w:eastAsia="zh-CN"/>
                    </w:rPr>
                    <w:t>4</w:t>
                  </w:r>
                </w:p>
              </w:tc>
              <w:tc>
                <w:tcPr>
                  <w:tcW w:w="509" w:type="dxa"/>
                  <w:vMerge w:val="continue"/>
                  <w:tcBorders>
                    <w:tl2br w:val="nil"/>
                    <w:tr2bl w:val="nil"/>
                  </w:tcBorders>
                  <w:noWrap w:val="0"/>
                  <w:vAlign w:val="center"/>
                </w:tcPr>
                <w:p w14:paraId="726F7A56">
                  <w:pPr>
                    <w:pStyle w:val="29"/>
                    <w:rPr>
                      <w:rFonts w:hint="default" w:ascii="Times New Roman" w:hAnsi="Times New Roman" w:eastAsia="宋体" w:cs="Times New Roman"/>
                      <w:b w:val="0"/>
                      <w:bCs/>
                      <w:color w:val="auto"/>
                      <w:szCs w:val="21"/>
                    </w:rPr>
                  </w:pPr>
                </w:p>
              </w:tc>
              <w:tc>
                <w:tcPr>
                  <w:tcW w:w="638" w:type="dxa"/>
                  <w:vMerge w:val="continue"/>
                  <w:tcBorders>
                    <w:tl2br w:val="nil"/>
                    <w:tr2bl w:val="nil"/>
                  </w:tcBorders>
                  <w:noWrap w:val="0"/>
                  <w:vAlign w:val="center"/>
                </w:tcPr>
                <w:p w14:paraId="37BBA570">
                  <w:pPr>
                    <w:pStyle w:val="29"/>
                    <w:rPr>
                      <w:rFonts w:hint="default" w:ascii="Times New Roman" w:hAnsi="Times New Roman" w:eastAsia="宋体" w:cs="Times New Roman"/>
                      <w:b w:val="0"/>
                      <w:bCs/>
                      <w:color w:val="auto"/>
                      <w:szCs w:val="21"/>
                    </w:rPr>
                  </w:pPr>
                </w:p>
              </w:tc>
              <w:tc>
                <w:tcPr>
                  <w:tcW w:w="828" w:type="dxa"/>
                  <w:tcBorders>
                    <w:tl2br w:val="nil"/>
                    <w:tr2bl w:val="nil"/>
                  </w:tcBorders>
                  <w:noWrap w:val="0"/>
                  <w:vAlign w:val="center"/>
                </w:tcPr>
                <w:p w14:paraId="4C9D5352">
                  <w:pPr>
                    <w:pStyle w:val="29"/>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rPr>
                    <w:t>TP</w:t>
                  </w:r>
                </w:p>
              </w:tc>
              <w:tc>
                <w:tcPr>
                  <w:tcW w:w="789" w:type="dxa"/>
                  <w:tcBorders>
                    <w:tl2br w:val="nil"/>
                    <w:tr2bl w:val="nil"/>
                  </w:tcBorders>
                  <w:noWrap w:val="0"/>
                  <w:vAlign w:val="center"/>
                </w:tcPr>
                <w:p w14:paraId="0CD9F5B2">
                  <w:pPr>
                    <w:widowControl/>
                    <w:jc w:val="center"/>
                    <w:textAlignment w:val="center"/>
                    <w:rPr>
                      <w:rFonts w:hint="default" w:ascii="Times New Roman" w:hAnsi="Times New Roman" w:eastAsia="宋体" w:cs="Times New Roman"/>
                      <w:b w:val="0"/>
                      <w:bCs/>
                      <w:color w:val="auto"/>
                      <w:szCs w:val="21"/>
                    </w:rPr>
                  </w:pPr>
                  <w:r>
                    <w:rPr>
                      <w:rFonts w:hint="eastAsia" w:cs="Times New Roman"/>
                      <w:b w:val="0"/>
                      <w:bCs/>
                      <w:color w:val="auto"/>
                      <w:kern w:val="0"/>
                      <w:sz w:val="21"/>
                      <w:szCs w:val="21"/>
                      <w:lang w:val="en-US" w:eastAsia="zh-CN" w:bidi="ar"/>
                    </w:rPr>
                    <w:t>3</w:t>
                  </w:r>
                </w:p>
              </w:tc>
              <w:tc>
                <w:tcPr>
                  <w:tcW w:w="863" w:type="dxa"/>
                  <w:tcBorders>
                    <w:tl2br w:val="nil"/>
                    <w:tr2bl w:val="nil"/>
                  </w:tcBorders>
                  <w:noWrap w:val="0"/>
                  <w:vAlign w:val="center"/>
                </w:tcPr>
                <w:p w14:paraId="577C69F8">
                  <w:pPr>
                    <w:widowControl/>
                    <w:jc w:val="center"/>
                    <w:textAlignment w:val="center"/>
                    <w:rPr>
                      <w:rFonts w:hint="default" w:ascii="Times New Roman" w:hAnsi="Times New Roman" w:eastAsia="宋体" w:cs="Times New Roman"/>
                      <w:b w:val="0"/>
                      <w:bCs/>
                      <w:color w:val="auto"/>
                      <w:szCs w:val="21"/>
                      <w:lang w:val="en-US" w:eastAsia="zh-CN"/>
                    </w:rPr>
                  </w:pPr>
                  <w:r>
                    <w:rPr>
                      <w:rFonts w:hint="default" w:ascii="Times New Roman" w:hAnsi="Times New Roman" w:eastAsia="宋体" w:cs="Times New Roman"/>
                      <w:b w:val="0"/>
                      <w:bCs/>
                      <w:color w:val="auto"/>
                      <w:sz w:val="21"/>
                      <w:szCs w:val="21"/>
                      <w:lang w:val="en-US" w:eastAsia="zh-CN"/>
                    </w:rPr>
                    <w:t>0.001</w:t>
                  </w:r>
                  <w:r>
                    <w:rPr>
                      <w:rFonts w:hint="eastAsia" w:cs="Times New Roman"/>
                      <w:b w:val="0"/>
                      <w:bCs/>
                      <w:color w:val="auto"/>
                      <w:sz w:val="21"/>
                      <w:szCs w:val="21"/>
                      <w:lang w:val="en-US" w:eastAsia="zh-CN"/>
                    </w:rPr>
                    <w:t>4</w:t>
                  </w:r>
                </w:p>
              </w:tc>
              <w:tc>
                <w:tcPr>
                  <w:tcW w:w="1181" w:type="dxa"/>
                  <w:vMerge w:val="continue"/>
                  <w:tcBorders>
                    <w:tl2br w:val="nil"/>
                    <w:tr2bl w:val="nil"/>
                  </w:tcBorders>
                  <w:noWrap w:val="0"/>
                  <w:vAlign w:val="center"/>
                </w:tcPr>
                <w:p w14:paraId="11DB3216">
                  <w:pPr>
                    <w:pStyle w:val="29"/>
                    <w:rPr>
                      <w:rFonts w:hint="default" w:ascii="Times New Roman" w:hAnsi="Times New Roman" w:eastAsia="宋体" w:cs="Times New Roman"/>
                      <w:b w:val="0"/>
                      <w:bCs/>
                      <w:color w:val="auto"/>
                      <w:szCs w:val="21"/>
                    </w:rPr>
                  </w:pPr>
                </w:p>
              </w:tc>
            </w:tr>
            <w:tr w14:paraId="17178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70" w:hRule="atLeast"/>
                <w:jc w:val="center"/>
              </w:trPr>
              <w:tc>
                <w:tcPr>
                  <w:tcW w:w="540" w:type="dxa"/>
                  <w:vMerge w:val="continue"/>
                  <w:tcBorders>
                    <w:tl2br w:val="nil"/>
                    <w:tr2bl w:val="nil"/>
                  </w:tcBorders>
                  <w:noWrap w:val="0"/>
                  <w:vAlign w:val="center"/>
                </w:tcPr>
                <w:p w14:paraId="645EF113">
                  <w:pPr>
                    <w:pStyle w:val="29"/>
                    <w:rPr>
                      <w:rFonts w:hint="default" w:ascii="Times New Roman" w:hAnsi="Times New Roman" w:eastAsia="宋体" w:cs="Times New Roman"/>
                      <w:b w:val="0"/>
                      <w:bCs/>
                      <w:color w:val="auto"/>
                      <w:szCs w:val="21"/>
                    </w:rPr>
                  </w:pPr>
                </w:p>
              </w:tc>
              <w:tc>
                <w:tcPr>
                  <w:tcW w:w="716" w:type="dxa"/>
                  <w:vMerge w:val="continue"/>
                  <w:tcBorders>
                    <w:tl2br w:val="nil"/>
                    <w:tr2bl w:val="nil"/>
                  </w:tcBorders>
                  <w:noWrap w:val="0"/>
                  <w:vAlign w:val="center"/>
                </w:tcPr>
                <w:p w14:paraId="1F9DB834">
                  <w:pPr>
                    <w:pStyle w:val="29"/>
                    <w:rPr>
                      <w:rFonts w:hint="default" w:ascii="Times New Roman" w:hAnsi="Times New Roman" w:eastAsia="宋体" w:cs="Times New Roman"/>
                      <w:b w:val="0"/>
                      <w:bCs/>
                      <w:color w:val="auto"/>
                      <w:szCs w:val="21"/>
                    </w:rPr>
                  </w:pPr>
                </w:p>
              </w:tc>
              <w:tc>
                <w:tcPr>
                  <w:tcW w:w="828" w:type="dxa"/>
                  <w:tcBorders>
                    <w:tl2br w:val="nil"/>
                    <w:tr2bl w:val="nil"/>
                  </w:tcBorders>
                  <w:noWrap w:val="0"/>
                  <w:vAlign w:val="center"/>
                </w:tcPr>
                <w:p w14:paraId="7C8D2258">
                  <w:pPr>
                    <w:pStyle w:val="29"/>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rPr>
                    <w:t>TN</w:t>
                  </w:r>
                </w:p>
              </w:tc>
              <w:tc>
                <w:tcPr>
                  <w:tcW w:w="789" w:type="dxa"/>
                  <w:tcBorders>
                    <w:tl2br w:val="nil"/>
                    <w:tr2bl w:val="nil"/>
                  </w:tcBorders>
                  <w:noWrap w:val="0"/>
                  <w:vAlign w:val="center"/>
                </w:tcPr>
                <w:p w14:paraId="339C4108">
                  <w:pPr>
                    <w:widowControl/>
                    <w:jc w:val="center"/>
                    <w:textAlignment w:val="center"/>
                    <w:rPr>
                      <w:rFonts w:hint="default" w:ascii="Times New Roman" w:hAnsi="Times New Roman" w:eastAsia="宋体" w:cs="Times New Roman"/>
                      <w:b w:val="0"/>
                      <w:bCs/>
                      <w:color w:val="auto"/>
                      <w:szCs w:val="21"/>
                    </w:rPr>
                  </w:pPr>
                  <w:r>
                    <w:rPr>
                      <w:rFonts w:hint="eastAsia" w:cs="Times New Roman"/>
                      <w:b w:val="0"/>
                      <w:bCs/>
                      <w:color w:val="auto"/>
                      <w:kern w:val="0"/>
                      <w:sz w:val="21"/>
                      <w:szCs w:val="21"/>
                      <w:lang w:val="en-US" w:eastAsia="zh-CN" w:bidi="ar"/>
                    </w:rPr>
                    <w:t>40</w:t>
                  </w:r>
                </w:p>
              </w:tc>
              <w:tc>
                <w:tcPr>
                  <w:tcW w:w="817" w:type="dxa"/>
                  <w:tcBorders>
                    <w:tl2br w:val="nil"/>
                    <w:tr2bl w:val="nil"/>
                  </w:tcBorders>
                  <w:noWrap w:val="0"/>
                  <w:vAlign w:val="center"/>
                </w:tcPr>
                <w:p w14:paraId="561E65B3">
                  <w:pPr>
                    <w:widowControl/>
                    <w:jc w:val="center"/>
                    <w:textAlignment w:val="center"/>
                    <w:rPr>
                      <w:rFonts w:hint="default" w:ascii="Times New Roman" w:hAnsi="Times New Roman" w:eastAsia="宋体" w:cs="Times New Roman"/>
                      <w:b w:val="0"/>
                      <w:bCs/>
                      <w:color w:val="auto"/>
                      <w:szCs w:val="21"/>
                      <w:lang w:val="en-US" w:eastAsia="zh-CN"/>
                    </w:rPr>
                  </w:pPr>
                  <w:r>
                    <w:rPr>
                      <w:rFonts w:hint="default" w:ascii="Times New Roman" w:hAnsi="Times New Roman" w:eastAsia="宋体" w:cs="Times New Roman"/>
                      <w:b w:val="0"/>
                      <w:bCs/>
                      <w:color w:val="auto"/>
                      <w:sz w:val="21"/>
                      <w:szCs w:val="21"/>
                      <w:lang w:val="en-US" w:eastAsia="zh-CN"/>
                    </w:rPr>
                    <w:t>0.0</w:t>
                  </w:r>
                  <w:r>
                    <w:rPr>
                      <w:rFonts w:hint="eastAsia" w:cs="Times New Roman"/>
                      <w:b w:val="0"/>
                      <w:bCs/>
                      <w:color w:val="auto"/>
                      <w:sz w:val="21"/>
                      <w:szCs w:val="21"/>
                      <w:lang w:val="en-US" w:eastAsia="zh-CN"/>
                    </w:rPr>
                    <w:t>192</w:t>
                  </w:r>
                </w:p>
              </w:tc>
              <w:tc>
                <w:tcPr>
                  <w:tcW w:w="509" w:type="dxa"/>
                  <w:vMerge w:val="continue"/>
                  <w:tcBorders>
                    <w:tl2br w:val="nil"/>
                    <w:tr2bl w:val="nil"/>
                  </w:tcBorders>
                  <w:noWrap w:val="0"/>
                  <w:vAlign w:val="center"/>
                </w:tcPr>
                <w:p w14:paraId="3947E960">
                  <w:pPr>
                    <w:pStyle w:val="29"/>
                    <w:rPr>
                      <w:rFonts w:hint="default" w:ascii="Times New Roman" w:hAnsi="Times New Roman" w:eastAsia="宋体" w:cs="Times New Roman"/>
                      <w:b w:val="0"/>
                      <w:bCs/>
                      <w:color w:val="auto"/>
                      <w:szCs w:val="21"/>
                    </w:rPr>
                  </w:pPr>
                </w:p>
              </w:tc>
              <w:tc>
                <w:tcPr>
                  <w:tcW w:w="638" w:type="dxa"/>
                  <w:vMerge w:val="continue"/>
                  <w:tcBorders>
                    <w:tl2br w:val="nil"/>
                    <w:tr2bl w:val="nil"/>
                  </w:tcBorders>
                  <w:noWrap w:val="0"/>
                  <w:vAlign w:val="center"/>
                </w:tcPr>
                <w:p w14:paraId="6C048E25">
                  <w:pPr>
                    <w:pStyle w:val="29"/>
                    <w:rPr>
                      <w:rFonts w:hint="default" w:ascii="Times New Roman" w:hAnsi="Times New Roman" w:eastAsia="宋体" w:cs="Times New Roman"/>
                      <w:b w:val="0"/>
                      <w:bCs/>
                      <w:color w:val="auto"/>
                      <w:szCs w:val="21"/>
                    </w:rPr>
                  </w:pPr>
                </w:p>
              </w:tc>
              <w:tc>
                <w:tcPr>
                  <w:tcW w:w="828" w:type="dxa"/>
                  <w:tcBorders>
                    <w:tl2br w:val="nil"/>
                    <w:tr2bl w:val="nil"/>
                  </w:tcBorders>
                  <w:noWrap w:val="0"/>
                  <w:vAlign w:val="center"/>
                </w:tcPr>
                <w:p w14:paraId="5695D53D">
                  <w:pPr>
                    <w:pStyle w:val="29"/>
                    <w:rPr>
                      <w:rFonts w:hint="default" w:ascii="Times New Roman" w:hAnsi="Times New Roman" w:eastAsia="宋体" w:cs="Times New Roman"/>
                      <w:b w:val="0"/>
                      <w:bCs/>
                      <w:color w:val="auto"/>
                      <w:szCs w:val="21"/>
                    </w:rPr>
                  </w:pPr>
                  <w:r>
                    <w:rPr>
                      <w:rFonts w:hint="default" w:ascii="Times New Roman" w:hAnsi="Times New Roman" w:eastAsia="宋体" w:cs="Times New Roman"/>
                      <w:b w:val="0"/>
                      <w:bCs/>
                      <w:color w:val="auto"/>
                      <w:szCs w:val="21"/>
                    </w:rPr>
                    <w:t>TN</w:t>
                  </w:r>
                </w:p>
              </w:tc>
              <w:tc>
                <w:tcPr>
                  <w:tcW w:w="789" w:type="dxa"/>
                  <w:tcBorders>
                    <w:tl2br w:val="nil"/>
                    <w:tr2bl w:val="nil"/>
                  </w:tcBorders>
                  <w:noWrap w:val="0"/>
                  <w:vAlign w:val="center"/>
                </w:tcPr>
                <w:p w14:paraId="25DEC9D3">
                  <w:pPr>
                    <w:widowControl/>
                    <w:jc w:val="center"/>
                    <w:textAlignment w:val="center"/>
                    <w:rPr>
                      <w:rFonts w:hint="default" w:ascii="Times New Roman" w:hAnsi="Times New Roman" w:eastAsia="宋体" w:cs="Times New Roman"/>
                      <w:b w:val="0"/>
                      <w:bCs/>
                      <w:color w:val="auto"/>
                      <w:szCs w:val="21"/>
                    </w:rPr>
                  </w:pPr>
                  <w:r>
                    <w:rPr>
                      <w:rFonts w:hint="eastAsia" w:cs="Times New Roman"/>
                      <w:b w:val="0"/>
                      <w:bCs/>
                      <w:color w:val="auto"/>
                      <w:kern w:val="0"/>
                      <w:sz w:val="21"/>
                      <w:szCs w:val="21"/>
                      <w:lang w:val="en-US" w:eastAsia="zh-CN" w:bidi="ar"/>
                    </w:rPr>
                    <w:t>40</w:t>
                  </w:r>
                </w:p>
              </w:tc>
              <w:tc>
                <w:tcPr>
                  <w:tcW w:w="863" w:type="dxa"/>
                  <w:tcBorders>
                    <w:tl2br w:val="nil"/>
                    <w:tr2bl w:val="nil"/>
                  </w:tcBorders>
                  <w:noWrap w:val="0"/>
                  <w:vAlign w:val="center"/>
                </w:tcPr>
                <w:p w14:paraId="111ABB46">
                  <w:pPr>
                    <w:widowControl/>
                    <w:jc w:val="center"/>
                    <w:textAlignment w:val="center"/>
                    <w:rPr>
                      <w:rFonts w:hint="default" w:ascii="Times New Roman" w:hAnsi="Times New Roman" w:eastAsia="宋体" w:cs="Times New Roman"/>
                      <w:b w:val="0"/>
                      <w:bCs/>
                      <w:color w:val="auto"/>
                      <w:szCs w:val="21"/>
                      <w:lang w:val="en-US" w:eastAsia="zh-CN"/>
                    </w:rPr>
                  </w:pPr>
                  <w:r>
                    <w:rPr>
                      <w:rFonts w:hint="default" w:ascii="Times New Roman" w:hAnsi="Times New Roman" w:eastAsia="宋体" w:cs="Times New Roman"/>
                      <w:b w:val="0"/>
                      <w:bCs/>
                      <w:color w:val="auto"/>
                      <w:sz w:val="21"/>
                      <w:szCs w:val="21"/>
                      <w:lang w:val="en-US" w:eastAsia="zh-CN"/>
                    </w:rPr>
                    <w:t>0.0</w:t>
                  </w:r>
                  <w:r>
                    <w:rPr>
                      <w:rFonts w:hint="eastAsia" w:cs="Times New Roman"/>
                      <w:b w:val="0"/>
                      <w:bCs/>
                      <w:color w:val="auto"/>
                      <w:sz w:val="21"/>
                      <w:szCs w:val="21"/>
                      <w:lang w:val="en-US" w:eastAsia="zh-CN"/>
                    </w:rPr>
                    <w:t>192</w:t>
                  </w:r>
                </w:p>
              </w:tc>
              <w:tc>
                <w:tcPr>
                  <w:tcW w:w="1181" w:type="dxa"/>
                  <w:vMerge w:val="continue"/>
                  <w:tcBorders>
                    <w:tl2br w:val="nil"/>
                    <w:tr2bl w:val="nil"/>
                  </w:tcBorders>
                  <w:noWrap w:val="0"/>
                  <w:vAlign w:val="center"/>
                </w:tcPr>
                <w:p w14:paraId="419180F0">
                  <w:pPr>
                    <w:pStyle w:val="29"/>
                    <w:rPr>
                      <w:rFonts w:hint="default" w:ascii="Times New Roman" w:hAnsi="Times New Roman" w:eastAsia="宋体" w:cs="Times New Roman"/>
                      <w:b w:val="0"/>
                      <w:bCs/>
                      <w:color w:val="auto"/>
                      <w:szCs w:val="21"/>
                    </w:rPr>
                  </w:pPr>
                </w:p>
              </w:tc>
            </w:tr>
          </w:tbl>
          <w:p w14:paraId="5AB8459C">
            <w:pPr>
              <w:pStyle w:val="25"/>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pacing w:val="-10"/>
                <w:szCs w:val="21"/>
                <w:lang w:val="en-US" w:eastAsia="zh-CN"/>
              </w:rPr>
              <w:t>4.2.</w:t>
            </w:r>
            <w:r>
              <w:rPr>
                <w:rFonts w:hint="eastAsia" w:ascii="Times New Roman" w:hAnsi="Times New Roman" w:cs="Times New Roman"/>
                <w:b/>
                <w:bCs w:val="0"/>
                <w:color w:val="auto"/>
                <w:spacing w:val="-10"/>
                <w:szCs w:val="21"/>
                <w:lang w:val="en-US" w:eastAsia="zh-CN"/>
              </w:rPr>
              <w:t>2</w:t>
            </w:r>
            <w:r>
              <w:rPr>
                <w:rFonts w:hint="default" w:ascii="Times New Roman" w:hAnsi="Times New Roman" w:eastAsia="宋体" w:cs="Times New Roman"/>
                <w:b/>
                <w:bCs w:val="0"/>
                <w:color w:val="auto"/>
                <w:spacing w:val="-10"/>
                <w:szCs w:val="21"/>
                <w:lang w:val="en-US" w:eastAsia="zh-CN"/>
              </w:rPr>
              <w:t>.</w:t>
            </w:r>
            <w:r>
              <w:rPr>
                <w:rFonts w:hint="eastAsia" w:ascii="Times New Roman" w:hAnsi="Times New Roman" w:cs="Times New Roman"/>
                <w:b/>
                <w:bCs w:val="0"/>
                <w:color w:val="auto"/>
                <w:spacing w:val="-10"/>
                <w:szCs w:val="21"/>
                <w:lang w:val="en-US" w:eastAsia="zh-CN"/>
              </w:rPr>
              <w:t>2</w:t>
            </w:r>
            <w:r>
              <w:rPr>
                <w:rFonts w:hint="default" w:ascii="Times New Roman" w:hAnsi="Times New Roman" w:eastAsia="宋体" w:cs="Times New Roman"/>
                <w:b/>
                <w:bCs w:val="0"/>
                <w:color w:val="auto"/>
                <w:spacing w:val="-10"/>
                <w:szCs w:val="21"/>
                <w:lang w:val="en-US" w:eastAsia="zh-CN"/>
              </w:rPr>
              <w:t>生产废水</w:t>
            </w:r>
          </w:p>
          <w:p w14:paraId="6C80D290">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40" w:firstLineChars="200"/>
              <w:textAlignment w:val="auto"/>
              <w:rPr>
                <w:rFonts w:hint="default" w:ascii="Times New Roman" w:hAnsi="Times New Roman" w:cs="Times New Roman"/>
                <w:b w:val="0"/>
                <w:bCs/>
                <w:color w:val="auto"/>
                <w:spacing w:val="-10"/>
                <w:szCs w:val="21"/>
                <w:lang w:val="en-US" w:eastAsia="zh-CN"/>
              </w:rPr>
            </w:pPr>
            <w:r>
              <w:rPr>
                <w:rFonts w:hint="eastAsia" w:ascii="Times New Roman" w:hAnsi="Times New Roman" w:cs="Times New Roman"/>
                <w:b w:val="0"/>
                <w:bCs/>
                <w:color w:val="auto"/>
                <w:spacing w:val="-10"/>
                <w:szCs w:val="21"/>
                <w:lang w:val="en-US" w:eastAsia="zh-CN"/>
              </w:rPr>
              <w:t>项目生产废水经厂区污水站处理后全部回用，不外排。</w:t>
            </w:r>
          </w:p>
          <w:p w14:paraId="6976A46D">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40" w:firstLineChars="200"/>
              <w:textAlignment w:val="auto"/>
              <w:rPr>
                <w:rFonts w:hint="default" w:ascii="Times New Roman" w:hAnsi="Times New Roman" w:eastAsia="宋体" w:cs="Times New Roman"/>
                <w:b w:val="0"/>
                <w:bCs/>
                <w:color w:val="auto"/>
                <w:spacing w:val="-10"/>
                <w:szCs w:val="21"/>
                <w:lang w:val="en-US" w:eastAsia="zh-CN"/>
              </w:rPr>
            </w:pPr>
            <w:r>
              <w:rPr>
                <w:rFonts w:hint="eastAsia" w:ascii="Times New Roman" w:hAnsi="Times New Roman" w:cs="Times New Roman"/>
                <w:b w:val="0"/>
                <w:bCs/>
                <w:color w:val="auto"/>
                <w:spacing w:val="-10"/>
                <w:szCs w:val="21"/>
                <w:lang w:val="en-US" w:eastAsia="zh-CN"/>
              </w:rPr>
              <w:t>项目</w:t>
            </w:r>
            <w:r>
              <w:rPr>
                <w:rFonts w:hint="default" w:ascii="Times New Roman" w:hAnsi="Times New Roman" w:eastAsia="宋体" w:cs="Times New Roman"/>
                <w:b w:val="0"/>
                <w:bCs/>
                <w:color w:val="auto"/>
                <w:spacing w:val="-10"/>
                <w:szCs w:val="21"/>
                <w:lang w:val="en-US" w:eastAsia="zh-CN"/>
              </w:rPr>
              <w:t>废水类别、污染物及污染治理设施情况见下表。</w:t>
            </w:r>
          </w:p>
          <w:p w14:paraId="6FA87DC1">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val="0"/>
                <w:bCs/>
                <w:color w:val="auto"/>
                <w:spacing w:val="-10"/>
                <w:sz w:val="21"/>
                <w:szCs w:val="18"/>
                <w:lang w:val="en-US" w:eastAsia="zh-CN"/>
              </w:rPr>
            </w:pPr>
            <w:r>
              <w:rPr>
                <w:rFonts w:hint="default" w:ascii="Times New Roman" w:hAnsi="Times New Roman" w:eastAsia="宋体" w:cs="Times New Roman"/>
                <w:b/>
                <w:bCs w:val="0"/>
                <w:color w:val="auto"/>
                <w:spacing w:val="-10"/>
                <w:sz w:val="21"/>
                <w:szCs w:val="18"/>
                <w:lang w:val="en-US" w:eastAsia="zh-CN"/>
              </w:rPr>
              <w:t>表4-</w:t>
            </w:r>
            <w:r>
              <w:rPr>
                <w:rFonts w:hint="eastAsia" w:ascii="Times New Roman" w:hAnsi="Times New Roman" w:cs="Times New Roman"/>
                <w:b/>
                <w:bCs w:val="0"/>
                <w:color w:val="auto"/>
                <w:spacing w:val="-10"/>
                <w:sz w:val="21"/>
                <w:szCs w:val="18"/>
                <w:lang w:val="en-US" w:eastAsia="zh-CN"/>
              </w:rPr>
              <w:t>8</w:t>
            </w:r>
            <w:r>
              <w:rPr>
                <w:rFonts w:hint="default" w:ascii="Times New Roman" w:hAnsi="Times New Roman" w:eastAsia="宋体" w:cs="Times New Roman"/>
                <w:b/>
                <w:bCs w:val="0"/>
                <w:color w:val="auto"/>
                <w:spacing w:val="-10"/>
                <w:sz w:val="21"/>
                <w:szCs w:val="18"/>
                <w:lang w:val="en-US" w:eastAsia="zh-CN"/>
              </w:rPr>
              <w:t xml:space="preserve"> 废水类别、污染物及污染治理设施信息表</w:t>
            </w:r>
          </w:p>
          <w:tbl>
            <w:tblPr>
              <w:tblStyle w:val="17"/>
              <w:tblW w:w="83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336"/>
              <w:gridCol w:w="663"/>
              <w:gridCol w:w="734"/>
              <w:gridCol w:w="1612"/>
              <w:gridCol w:w="826"/>
              <w:gridCol w:w="444"/>
              <w:gridCol w:w="621"/>
              <w:gridCol w:w="718"/>
              <w:gridCol w:w="767"/>
              <w:gridCol w:w="967"/>
              <w:gridCol w:w="709"/>
            </w:tblGrid>
            <w:tr w14:paraId="3B939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339" w:type="dxa"/>
                  <w:vMerge w:val="restart"/>
                  <w:noWrap w:val="0"/>
                  <w:vAlign w:val="center"/>
                </w:tcPr>
                <w:p w14:paraId="0DD19E3F">
                  <w:pPr>
                    <w:pStyle w:val="42"/>
                    <w:jc w:val="center"/>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序号</w:t>
                  </w:r>
                </w:p>
              </w:tc>
              <w:tc>
                <w:tcPr>
                  <w:tcW w:w="700" w:type="dxa"/>
                  <w:vMerge w:val="restart"/>
                  <w:noWrap w:val="0"/>
                  <w:vAlign w:val="center"/>
                </w:tcPr>
                <w:p w14:paraId="027E106A">
                  <w:pPr>
                    <w:pStyle w:val="42"/>
                    <w:jc w:val="center"/>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废水</w:t>
                  </w:r>
                </w:p>
                <w:p w14:paraId="4C1211A6">
                  <w:pPr>
                    <w:pStyle w:val="42"/>
                    <w:jc w:val="center"/>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类别</w:t>
                  </w:r>
                </w:p>
              </w:tc>
              <w:tc>
                <w:tcPr>
                  <w:tcW w:w="778" w:type="dxa"/>
                  <w:vMerge w:val="restart"/>
                  <w:noWrap w:val="0"/>
                  <w:vAlign w:val="center"/>
                </w:tcPr>
                <w:p w14:paraId="72F59410">
                  <w:pPr>
                    <w:pStyle w:val="42"/>
                    <w:jc w:val="center"/>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排放</w:t>
                  </w:r>
                </w:p>
                <w:p w14:paraId="0E25A161">
                  <w:pPr>
                    <w:pStyle w:val="42"/>
                    <w:jc w:val="center"/>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去向</w:t>
                  </w:r>
                </w:p>
              </w:tc>
              <w:tc>
                <w:tcPr>
                  <w:tcW w:w="1726" w:type="dxa"/>
                  <w:vMerge w:val="restart"/>
                  <w:noWrap w:val="0"/>
                  <w:vAlign w:val="center"/>
                </w:tcPr>
                <w:p w14:paraId="3B0B9F12">
                  <w:pPr>
                    <w:pStyle w:val="42"/>
                    <w:jc w:val="center"/>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排放规律</w:t>
                  </w:r>
                </w:p>
              </w:tc>
              <w:tc>
                <w:tcPr>
                  <w:tcW w:w="2397" w:type="dxa"/>
                  <w:gridSpan w:val="4"/>
                  <w:noWrap w:val="0"/>
                  <w:vAlign w:val="center"/>
                </w:tcPr>
                <w:p w14:paraId="024B706E">
                  <w:pPr>
                    <w:pStyle w:val="42"/>
                    <w:jc w:val="center"/>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污染治理设施</w:t>
                  </w:r>
                </w:p>
              </w:tc>
              <w:tc>
                <w:tcPr>
                  <w:tcW w:w="671" w:type="dxa"/>
                  <w:vMerge w:val="restart"/>
                  <w:noWrap w:val="0"/>
                  <w:vAlign w:val="center"/>
                </w:tcPr>
                <w:p w14:paraId="6C8E0505">
                  <w:pPr>
                    <w:pStyle w:val="42"/>
                    <w:jc w:val="center"/>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排放口编号</w:t>
                  </w:r>
                </w:p>
              </w:tc>
              <w:tc>
                <w:tcPr>
                  <w:tcW w:w="1036" w:type="dxa"/>
                  <w:vMerge w:val="restart"/>
                  <w:noWrap w:val="0"/>
                  <w:vAlign w:val="center"/>
                </w:tcPr>
                <w:p w14:paraId="56291745">
                  <w:pPr>
                    <w:pStyle w:val="42"/>
                    <w:jc w:val="center"/>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排放口设置是否符合要求</w:t>
                  </w:r>
                </w:p>
              </w:tc>
              <w:tc>
                <w:tcPr>
                  <w:tcW w:w="750" w:type="dxa"/>
                  <w:vMerge w:val="restart"/>
                  <w:noWrap w:val="0"/>
                  <w:vAlign w:val="center"/>
                </w:tcPr>
                <w:p w14:paraId="7C8013FC">
                  <w:pPr>
                    <w:pStyle w:val="42"/>
                    <w:jc w:val="center"/>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排放口类型</w:t>
                  </w:r>
                </w:p>
              </w:tc>
            </w:tr>
            <w:tr w14:paraId="5FE37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339" w:type="dxa"/>
                  <w:vMerge w:val="continue"/>
                  <w:noWrap w:val="0"/>
                  <w:vAlign w:val="center"/>
                </w:tcPr>
                <w:p w14:paraId="5DBCC584">
                  <w:pPr>
                    <w:pStyle w:val="42"/>
                    <w:jc w:val="center"/>
                    <w:rPr>
                      <w:rFonts w:hint="default" w:ascii="Times New Roman" w:hAnsi="Times New Roman" w:eastAsia="宋体" w:cs="Times New Roman"/>
                      <w:color w:val="auto"/>
                      <w:szCs w:val="21"/>
                      <w:lang w:val="en-US" w:eastAsia="zh-CN"/>
                    </w:rPr>
                  </w:pPr>
                </w:p>
              </w:tc>
              <w:tc>
                <w:tcPr>
                  <w:tcW w:w="700" w:type="dxa"/>
                  <w:vMerge w:val="continue"/>
                  <w:noWrap w:val="0"/>
                  <w:vAlign w:val="center"/>
                </w:tcPr>
                <w:p w14:paraId="2E34CB73">
                  <w:pPr>
                    <w:pStyle w:val="42"/>
                    <w:jc w:val="center"/>
                    <w:rPr>
                      <w:rFonts w:hint="default" w:ascii="Times New Roman" w:hAnsi="Times New Roman" w:eastAsia="宋体" w:cs="Times New Roman"/>
                      <w:color w:val="auto"/>
                      <w:szCs w:val="21"/>
                      <w:lang w:val="en-US" w:eastAsia="zh-CN"/>
                    </w:rPr>
                  </w:pPr>
                </w:p>
              </w:tc>
              <w:tc>
                <w:tcPr>
                  <w:tcW w:w="778" w:type="dxa"/>
                  <w:vMerge w:val="continue"/>
                  <w:noWrap w:val="0"/>
                  <w:vAlign w:val="center"/>
                </w:tcPr>
                <w:p w14:paraId="1063AF16">
                  <w:pPr>
                    <w:pStyle w:val="42"/>
                    <w:jc w:val="center"/>
                    <w:rPr>
                      <w:rFonts w:hint="default" w:ascii="Times New Roman" w:hAnsi="Times New Roman" w:eastAsia="宋体" w:cs="Times New Roman"/>
                      <w:color w:val="auto"/>
                      <w:szCs w:val="21"/>
                      <w:lang w:val="en-US" w:eastAsia="zh-CN"/>
                    </w:rPr>
                  </w:pPr>
                </w:p>
              </w:tc>
              <w:tc>
                <w:tcPr>
                  <w:tcW w:w="1726" w:type="dxa"/>
                  <w:vMerge w:val="continue"/>
                  <w:noWrap w:val="0"/>
                  <w:vAlign w:val="center"/>
                </w:tcPr>
                <w:p w14:paraId="1A167927">
                  <w:pPr>
                    <w:pStyle w:val="42"/>
                    <w:jc w:val="center"/>
                    <w:rPr>
                      <w:rFonts w:hint="default" w:ascii="Times New Roman" w:hAnsi="Times New Roman" w:eastAsia="宋体" w:cs="Times New Roman"/>
                      <w:color w:val="auto"/>
                      <w:szCs w:val="21"/>
                      <w:lang w:val="en-US" w:eastAsia="zh-CN"/>
                    </w:rPr>
                  </w:pPr>
                </w:p>
              </w:tc>
              <w:tc>
                <w:tcPr>
                  <w:tcW w:w="526" w:type="dxa"/>
                  <w:noWrap w:val="0"/>
                  <w:vAlign w:val="center"/>
                </w:tcPr>
                <w:p w14:paraId="6542C786">
                  <w:pPr>
                    <w:pStyle w:val="42"/>
                    <w:jc w:val="center"/>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编号</w:t>
                  </w:r>
                </w:p>
              </w:tc>
              <w:tc>
                <w:tcPr>
                  <w:tcW w:w="458" w:type="dxa"/>
                  <w:noWrap w:val="0"/>
                  <w:vAlign w:val="center"/>
                </w:tcPr>
                <w:p w14:paraId="3726B942">
                  <w:pPr>
                    <w:pStyle w:val="42"/>
                    <w:jc w:val="center"/>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名称</w:t>
                  </w:r>
                </w:p>
              </w:tc>
              <w:tc>
                <w:tcPr>
                  <w:tcW w:w="653" w:type="dxa"/>
                  <w:noWrap w:val="0"/>
                  <w:vAlign w:val="center"/>
                </w:tcPr>
                <w:p w14:paraId="08AAA4B6">
                  <w:pPr>
                    <w:pStyle w:val="42"/>
                    <w:jc w:val="center"/>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治理</w:t>
                  </w:r>
                </w:p>
                <w:p w14:paraId="027CE5CE">
                  <w:pPr>
                    <w:pStyle w:val="42"/>
                    <w:jc w:val="center"/>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工艺</w:t>
                  </w:r>
                </w:p>
              </w:tc>
              <w:tc>
                <w:tcPr>
                  <w:tcW w:w="760" w:type="dxa"/>
                  <w:noWrap w:val="0"/>
                  <w:vAlign w:val="center"/>
                </w:tcPr>
                <w:p w14:paraId="6425A482">
                  <w:pPr>
                    <w:pStyle w:val="42"/>
                    <w:jc w:val="center"/>
                    <w:rPr>
                      <w:rFonts w:hint="default" w:ascii="Times New Roman" w:hAnsi="Times New Roman" w:eastAsia="宋体" w:cs="Times New Roman"/>
                      <w:b/>
                      <w:color w:val="auto"/>
                      <w:szCs w:val="21"/>
                      <w:lang w:val="en-US" w:eastAsia="zh-CN"/>
                    </w:rPr>
                  </w:pPr>
                  <w:r>
                    <w:rPr>
                      <w:rFonts w:hint="default" w:ascii="Times New Roman" w:hAnsi="Times New Roman" w:eastAsia="宋体" w:cs="Times New Roman"/>
                      <w:b/>
                      <w:color w:val="auto"/>
                      <w:szCs w:val="21"/>
                      <w:lang w:val="en-US" w:eastAsia="zh-CN"/>
                    </w:rPr>
                    <w:t>治理效率</w:t>
                  </w:r>
                </w:p>
              </w:tc>
              <w:tc>
                <w:tcPr>
                  <w:tcW w:w="671" w:type="dxa"/>
                  <w:vMerge w:val="continue"/>
                  <w:noWrap w:val="0"/>
                  <w:vAlign w:val="center"/>
                </w:tcPr>
                <w:p w14:paraId="6914D20A">
                  <w:pPr>
                    <w:pStyle w:val="42"/>
                    <w:jc w:val="center"/>
                    <w:rPr>
                      <w:rFonts w:hint="default" w:ascii="Times New Roman" w:hAnsi="Times New Roman" w:eastAsia="宋体" w:cs="Times New Roman"/>
                      <w:color w:val="auto"/>
                      <w:szCs w:val="21"/>
                      <w:lang w:val="en-US" w:eastAsia="zh-CN"/>
                    </w:rPr>
                  </w:pPr>
                </w:p>
              </w:tc>
              <w:tc>
                <w:tcPr>
                  <w:tcW w:w="1036" w:type="dxa"/>
                  <w:vMerge w:val="continue"/>
                  <w:noWrap w:val="0"/>
                  <w:vAlign w:val="center"/>
                </w:tcPr>
                <w:p w14:paraId="70C93C66">
                  <w:pPr>
                    <w:pStyle w:val="42"/>
                    <w:jc w:val="center"/>
                    <w:rPr>
                      <w:rFonts w:hint="default" w:ascii="Times New Roman" w:hAnsi="Times New Roman" w:eastAsia="宋体" w:cs="Times New Roman"/>
                      <w:color w:val="auto"/>
                      <w:szCs w:val="21"/>
                      <w:lang w:val="en-US" w:eastAsia="zh-CN"/>
                    </w:rPr>
                  </w:pPr>
                </w:p>
              </w:tc>
              <w:tc>
                <w:tcPr>
                  <w:tcW w:w="750" w:type="dxa"/>
                  <w:vMerge w:val="continue"/>
                  <w:noWrap w:val="0"/>
                  <w:vAlign w:val="center"/>
                </w:tcPr>
                <w:p w14:paraId="307DFD79">
                  <w:pPr>
                    <w:pStyle w:val="42"/>
                    <w:jc w:val="center"/>
                    <w:rPr>
                      <w:rFonts w:hint="default" w:ascii="Times New Roman" w:hAnsi="Times New Roman" w:eastAsia="宋体" w:cs="Times New Roman"/>
                      <w:color w:val="auto"/>
                      <w:szCs w:val="21"/>
                      <w:lang w:val="en-US" w:eastAsia="zh-CN"/>
                    </w:rPr>
                  </w:pPr>
                </w:p>
              </w:tc>
            </w:tr>
            <w:tr w14:paraId="0FE6A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339" w:type="dxa"/>
                  <w:noWrap w:val="0"/>
                  <w:vAlign w:val="center"/>
                </w:tcPr>
                <w:p w14:paraId="16158A38">
                  <w:pPr>
                    <w:pStyle w:val="42"/>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c>
                <w:tcPr>
                  <w:tcW w:w="700" w:type="dxa"/>
                  <w:noWrap w:val="0"/>
                  <w:vAlign w:val="center"/>
                </w:tcPr>
                <w:p w14:paraId="75C96262">
                  <w:pPr>
                    <w:pStyle w:val="42"/>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生活污水</w:t>
                  </w:r>
                </w:p>
              </w:tc>
              <w:tc>
                <w:tcPr>
                  <w:tcW w:w="778" w:type="dxa"/>
                  <w:noWrap w:val="0"/>
                  <w:vAlign w:val="center"/>
                </w:tcPr>
                <w:p w14:paraId="459EB5B3">
                  <w:pPr>
                    <w:pStyle w:val="42"/>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b w:val="0"/>
                      <w:bCs/>
                      <w:color w:val="auto"/>
                      <w:szCs w:val="21"/>
                    </w:rPr>
                    <w:t>常州</w:t>
                  </w:r>
                  <w:r>
                    <w:rPr>
                      <w:rFonts w:hint="eastAsia" w:ascii="Times New Roman" w:hAnsi="Times New Roman" w:eastAsia="宋体" w:cs="Times New Roman"/>
                      <w:b w:val="0"/>
                      <w:bCs/>
                      <w:color w:val="auto"/>
                      <w:szCs w:val="21"/>
                      <w:lang w:eastAsia="zh-CN"/>
                    </w:rPr>
                    <w:t>金坛溪城污水处理有限公司</w:t>
                  </w:r>
                </w:p>
              </w:tc>
              <w:tc>
                <w:tcPr>
                  <w:tcW w:w="1726" w:type="dxa"/>
                  <w:noWrap w:val="0"/>
                  <w:vAlign w:val="center"/>
                </w:tcPr>
                <w:p w14:paraId="1152A93C">
                  <w:pPr>
                    <w:pStyle w:val="42"/>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间断排放，排放期间流量不稳定且无规律，但不属于冲击</w:t>
                  </w:r>
                  <w:r>
                    <w:rPr>
                      <w:rFonts w:hint="default" w:ascii="Times New Roman" w:hAnsi="Times New Roman" w:eastAsia="宋体" w:cs="Times New Roman"/>
                      <w:color w:val="auto"/>
                      <w:szCs w:val="21"/>
                      <w:shd w:val="clear" w:fill="auto"/>
                      <w:lang w:val="en-US" w:eastAsia="zh-CN"/>
                    </w:rPr>
                    <w:t>型</w:t>
                  </w:r>
                  <w:r>
                    <w:rPr>
                      <w:rFonts w:hint="default" w:ascii="Times New Roman" w:hAnsi="Times New Roman" w:eastAsia="宋体" w:cs="Times New Roman"/>
                      <w:color w:val="auto"/>
                      <w:szCs w:val="21"/>
                      <w:lang w:val="en-US" w:eastAsia="zh-CN"/>
                    </w:rPr>
                    <w:t>排放</w:t>
                  </w:r>
                </w:p>
              </w:tc>
              <w:tc>
                <w:tcPr>
                  <w:tcW w:w="526" w:type="dxa"/>
                  <w:noWrap w:val="0"/>
                  <w:vAlign w:val="center"/>
                </w:tcPr>
                <w:p w14:paraId="2A88D3C9">
                  <w:pPr>
                    <w:pStyle w:val="42"/>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HFC001</w:t>
                  </w:r>
                </w:p>
              </w:tc>
              <w:tc>
                <w:tcPr>
                  <w:tcW w:w="458" w:type="dxa"/>
                  <w:noWrap w:val="0"/>
                  <w:vAlign w:val="center"/>
                </w:tcPr>
                <w:p w14:paraId="53CC8833">
                  <w:pPr>
                    <w:pStyle w:val="42"/>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化粪池</w:t>
                  </w:r>
                </w:p>
              </w:tc>
              <w:tc>
                <w:tcPr>
                  <w:tcW w:w="653" w:type="dxa"/>
                  <w:noWrap w:val="0"/>
                  <w:vAlign w:val="center"/>
                </w:tcPr>
                <w:p w14:paraId="3560C460">
                  <w:pPr>
                    <w:pStyle w:val="42"/>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760" w:type="dxa"/>
                  <w:noWrap w:val="0"/>
                  <w:vAlign w:val="center"/>
                </w:tcPr>
                <w:p w14:paraId="68BF8907">
                  <w:pPr>
                    <w:pStyle w:val="42"/>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671" w:type="dxa"/>
                  <w:noWrap w:val="0"/>
                  <w:vAlign w:val="center"/>
                </w:tcPr>
                <w:p w14:paraId="095113B3">
                  <w:pPr>
                    <w:pStyle w:val="42"/>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DW001</w:t>
                  </w:r>
                </w:p>
              </w:tc>
              <w:tc>
                <w:tcPr>
                  <w:tcW w:w="1036" w:type="dxa"/>
                  <w:noWrap w:val="0"/>
                  <w:vAlign w:val="center"/>
                </w:tcPr>
                <w:p w14:paraId="26591133">
                  <w:pPr>
                    <w:pStyle w:val="42"/>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是</w:t>
                  </w:r>
                </w:p>
              </w:tc>
              <w:tc>
                <w:tcPr>
                  <w:tcW w:w="750" w:type="dxa"/>
                  <w:noWrap w:val="0"/>
                  <w:vAlign w:val="center"/>
                </w:tcPr>
                <w:p w14:paraId="3C00B003">
                  <w:pPr>
                    <w:pStyle w:val="42"/>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一般排放口</w:t>
                  </w:r>
                </w:p>
              </w:tc>
            </w:tr>
          </w:tbl>
          <w:p w14:paraId="034BE41A">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40" w:firstLineChars="200"/>
              <w:textAlignment w:val="auto"/>
              <w:rPr>
                <w:rFonts w:hint="default" w:ascii="Times New Roman" w:hAnsi="Times New Roman" w:eastAsia="宋体" w:cs="Times New Roman"/>
                <w:b w:val="0"/>
                <w:bCs/>
                <w:color w:val="auto"/>
                <w:spacing w:val="-10"/>
                <w:szCs w:val="21"/>
                <w:lang w:val="en-US" w:eastAsia="zh-CN"/>
              </w:rPr>
            </w:pPr>
            <w:r>
              <w:rPr>
                <w:rFonts w:hint="default" w:ascii="Times New Roman" w:hAnsi="Times New Roman" w:eastAsia="宋体" w:cs="Times New Roman"/>
                <w:b w:val="0"/>
                <w:bCs/>
                <w:color w:val="auto"/>
                <w:spacing w:val="-10"/>
                <w:szCs w:val="21"/>
                <w:lang w:val="en-US" w:eastAsia="zh-CN"/>
              </w:rPr>
              <w:t>本项目废水污染物排放执行标准见下表。</w:t>
            </w:r>
          </w:p>
          <w:p w14:paraId="782CBE37">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before="95" w:beforeLines="30" w:line="240" w:lineRule="auto"/>
              <w:ind w:firstLine="382" w:firstLineChars="200"/>
              <w:jc w:val="center"/>
              <w:textAlignment w:val="auto"/>
              <w:rPr>
                <w:rFonts w:hint="default" w:ascii="Times New Roman" w:hAnsi="Times New Roman" w:eastAsia="宋体" w:cs="Times New Roman"/>
                <w:b/>
                <w:bCs w:val="0"/>
                <w:color w:val="auto"/>
                <w:spacing w:val="-10"/>
                <w:sz w:val="21"/>
                <w:szCs w:val="18"/>
                <w:lang w:val="en-US" w:eastAsia="zh-CN"/>
              </w:rPr>
            </w:pPr>
          </w:p>
          <w:p w14:paraId="4849EB48">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before="95" w:beforeLines="30" w:line="240" w:lineRule="auto"/>
              <w:ind w:firstLine="382" w:firstLineChars="200"/>
              <w:jc w:val="center"/>
              <w:textAlignment w:val="auto"/>
              <w:rPr>
                <w:rFonts w:hint="default" w:ascii="Times New Roman" w:hAnsi="Times New Roman" w:eastAsia="宋体" w:cs="Times New Roman"/>
                <w:b/>
                <w:bCs w:val="0"/>
                <w:color w:val="auto"/>
                <w:spacing w:val="-10"/>
                <w:sz w:val="21"/>
                <w:szCs w:val="18"/>
                <w:lang w:val="en-US" w:eastAsia="zh-CN"/>
              </w:rPr>
            </w:pPr>
            <w:r>
              <w:rPr>
                <w:rFonts w:hint="default" w:ascii="Times New Roman" w:hAnsi="Times New Roman" w:eastAsia="宋体" w:cs="Times New Roman"/>
                <w:b/>
                <w:bCs w:val="0"/>
                <w:color w:val="auto"/>
                <w:spacing w:val="-10"/>
                <w:sz w:val="21"/>
                <w:szCs w:val="18"/>
                <w:lang w:val="en-US" w:eastAsia="zh-CN"/>
              </w:rPr>
              <w:t>表4-</w:t>
            </w:r>
            <w:r>
              <w:rPr>
                <w:rFonts w:hint="eastAsia" w:ascii="Times New Roman" w:hAnsi="Times New Roman" w:cs="Times New Roman"/>
                <w:b/>
                <w:bCs w:val="0"/>
                <w:color w:val="auto"/>
                <w:spacing w:val="-10"/>
                <w:sz w:val="21"/>
                <w:szCs w:val="18"/>
                <w:lang w:val="en-US" w:eastAsia="zh-CN"/>
              </w:rPr>
              <w:t xml:space="preserve">9 </w:t>
            </w:r>
            <w:r>
              <w:rPr>
                <w:rFonts w:hint="default" w:ascii="Times New Roman" w:hAnsi="Times New Roman" w:eastAsia="宋体" w:cs="Times New Roman"/>
                <w:b/>
                <w:bCs w:val="0"/>
                <w:color w:val="auto"/>
                <w:spacing w:val="-10"/>
                <w:sz w:val="21"/>
                <w:szCs w:val="18"/>
                <w:lang w:val="en-US" w:eastAsia="zh-CN"/>
              </w:rPr>
              <w:t>本项目废水污染物排放执行标准表</w:t>
            </w:r>
          </w:p>
          <w:tbl>
            <w:tblPr>
              <w:tblStyle w:val="17"/>
              <w:tblW w:w="84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689"/>
              <w:gridCol w:w="1373"/>
              <w:gridCol w:w="2825"/>
              <w:gridCol w:w="970"/>
              <w:gridCol w:w="1210"/>
              <w:gridCol w:w="1371"/>
            </w:tblGrid>
            <w:tr w14:paraId="12CEA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689" w:type="dxa"/>
                  <w:noWrap w:val="0"/>
                  <w:vAlign w:val="center"/>
                </w:tcPr>
                <w:p w14:paraId="46BE6CAE">
                  <w:pPr>
                    <w:pStyle w:val="7"/>
                    <w:numPr>
                      <w:ilvl w:val="0"/>
                      <w:numId w:val="0"/>
                    </w:numPr>
                    <w:tabs>
                      <w:tab w:val="clear" w:pos="2040"/>
                    </w:tabs>
                    <w:spacing w:line="240" w:lineRule="atLeast"/>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val="en-US" w:eastAsia="zh-CN"/>
                    </w:rPr>
                    <w:t>序号</w:t>
                  </w:r>
                </w:p>
              </w:tc>
              <w:tc>
                <w:tcPr>
                  <w:tcW w:w="1373" w:type="dxa"/>
                  <w:noWrap w:val="0"/>
                  <w:vAlign w:val="center"/>
                </w:tcPr>
                <w:p w14:paraId="2A8A2A11">
                  <w:pPr>
                    <w:pStyle w:val="7"/>
                    <w:numPr>
                      <w:ilvl w:val="0"/>
                      <w:numId w:val="0"/>
                    </w:numPr>
                    <w:tabs>
                      <w:tab w:val="clear" w:pos="2040"/>
                    </w:tabs>
                    <w:spacing w:line="240" w:lineRule="atLeas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排放口编号</w:t>
                  </w:r>
                </w:p>
              </w:tc>
              <w:tc>
                <w:tcPr>
                  <w:tcW w:w="2825" w:type="dxa"/>
                  <w:noWrap w:val="0"/>
                  <w:vAlign w:val="center"/>
                </w:tcPr>
                <w:p w14:paraId="6D1B90E6">
                  <w:pPr>
                    <w:pStyle w:val="7"/>
                    <w:numPr>
                      <w:ilvl w:val="0"/>
                      <w:numId w:val="0"/>
                    </w:numPr>
                    <w:tabs>
                      <w:tab w:val="clear" w:pos="2040"/>
                    </w:tabs>
                    <w:spacing w:line="240" w:lineRule="atLeas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执行标准</w:t>
                  </w:r>
                </w:p>
              </w:tc>
              <w:tc>
                <w:tcPr>
                  <w:tcW w:w="970" w:type="dxa"/>
                  <w:noWrap w:val="0"/>
                  <w:vAlign w:val="center"/>
                </w:tcPr>
                <w:p w14:paraId="5CD7E070">
                  <w:pPr>
                    <w:pStyle w:val="7"/>
                    <w:numPr>
                      <w:ilvl w:val="0"/>
                      <w:numId w:val="0"/>
                    </w:numPr>
                    <w:tabs>
                      <w:tab w:val="clear" w:pos="2040"/>
                    </w:tabs>
                    <w:spacing w:line="240" w:lineRule="atLeas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标准级别</w:t>
                  </w:r>
                </w:p>
              </w:tc>
              <w:tc>
                <w:tcPr>
                  <w:tcW w:w="1210" w:type="dxa"/>
                  <w:noWrap w:val="0"/>
                  <w:vAlign w:val="center"/>
                </w:tcPr>
                <w:p w14:paraId="18691EC4">
                  <w:pPr>
                    <w:pStyle w:val="7"/>
                    <w:numPr>
                      <w:ilvl w:val="0"/>
                      <w:numId w:val="0"/>
                    </w:numPr>
                    <w:tabs>
                      <w:tab w:val="clear" w:pos="2040"/>
                    </w:tabs>
                    <w:spacing w:line="240" w:lineRule="atLeas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指标</w:t>
                  </w:r>
                </w:p>
              </w:tc>
              <w:tc>
                <w:tcPr>
                  <w:tcW w:w="1371" w:type="dxa"/>
                  <w:noWrap w:val="0"/>
                  <w:vAlign w:val="center"/>
                </w:tcPr>
                <w:p w14:paraId="3CCA4D31">
                  <w:pPr>
                    <w:pStyle w:val="7"/>
                    <w:numPr>
                      <w:ilvl w:val="0"/>
                      <w:numId w:val="0"/>
                    </w:numPr>
                    <w:tabs>
                      <w:tab w:val="clear" w:pos="2040"/>
                    </w:tabs>
                    <w:spacing w:line="240" w:lineRule="atLeast"/>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标准限值</w:t>
                  </w:r>
                </w:p>
              </w:tc>
            </w:tr>
            <w:tr w14:paraId="0D554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689" w:type="dxa"/>
                  <w:vMerge w:val="restart"/>
                  <w:noWrap w:val="0"/>
                  <w:vAlign w:val="center"/>
                </w:tcPr>
                <w:p w14:paraId="2EF32A30">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1</w:t>
                  </w:r>
                </w:p>
              </w:tc>
              <w:tc>
                <w:tcPr>
                  <w:tcW w:w="1373" w:type="dxa"/>
                  <w:vMerge w:val="restart"/>
                  <w:noWrap w:val="0"/>
                  <w:vAlign w:val="center"/>
                </w:tcPr>
                <w:p w14:paraId="1745A369">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DW001</w:t>
                  </w:r>
                </w:p>
              </w:tc>
              <w:tc>
                <w:tcPr>
                  <w:tcW w:w="2825" w:type="dxa"/>
                  <w:vMerge w:val="restart"/>
                  <w:noWrap w:val="0"/>
                  <w:vAlign w:val="center"/>
                </w:tcPr>
                <w:p w14:paraId="3774978A">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eastAsia="zh-CN"/>
                    </w:rPr>
                    <w:t>常州</w:t>
                  </w:r>
                  <w:r>
                    <w:rPr>
                      <w:rFonts w:hint="eastAsia" w:cs="Times New Roman"/>
                      <w:color w:val="auto"/>
                      <w:szCs w:val="21"/>
                      <w:lang w:eastAsia="zh-CN"/>
                    </w:rPr>
                    <w:t>金坛溪城污水处理有限公司</w:t>
                  </w:r>
                  <w:r>
                    <w:rPr>
                      <w:rFonts w:hint="eastAsia" w:cs="Times New Roman"/>
                      <w:color w:val="auto"/>
                      <w:szCs w:val="21"/>
                      <w:lang w:val="en-US" w:eastAsia="zh-CN"/>
                    </w:rPr>
                    <w:t>污水</w:t>
                  </w:r>
                  <w:r>
                    <w:rPr>
                      <w:rFonts w:hint="default" w:ascii="Times New Roman" w:hAnsi="Times New Roman" w:eastAsia="宋体" w:cs="Times New Roman"/>
                      <w:color w:val="auto"/>
                      <w:szCs w:val="24"/>
                    </w:rPr>
                    <w:t>接管</w:t>
                  </w:r>
                  <w:r>
                    <w:rPr>
                      <w:rFonts w:hint="eastAsia" w:cs="Times New Roman"/>
                      <w:color w:val="auto"/>
                      <w:szCs w:val="24"/>
                      <w:lang w:val="en-US" w:eastAsia="zh-CN"/>
                    </w:rPr>
                    <w:t>水质要求</w:t>
                  </w:r>
                  <w:r>
                    <w:rPr>
                      <w:rFonts w:hint="default" w:ascii="Times New Roman" w:hAnsi="Times New Roman" w:eastAsia="宋体" w:cs="Times New Roman"/>
                      <w:color w:val="auto"/>
                      <w:szCs w:val="21"/>
                    </w:rPr>
                    <w:t>》</w:t>
                  </w:r>
                </w:p>
              </w:tc>
              <w:tc>
                <w:tcPr>
                  <w:tcW w:w="970" w:type="dxa"/>
                  <w:vMerge w:val="restart"/>
                  <w:noWrap w:val="0"/>
                  <w:vAlign w:val="center"/>
                </w:tcPr>
                <w:p w14:paraId="4334DD3C">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w:t>
                  </w:r>
                </w:p>
              </w:tc>
              <w:tc>
                <w:tcPr>
                  <w:tcW w:w="1210" w:type="dxa"/>
                  <w:noWrap w:val="0"/>
                  <w:vAlign w:val="center"/>
                </w:tcPr>
                <w:p w14:paraId="0B82B421">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pH</w:t>
                  </w:r>
                </w:p>
              </w:tc>
              <w:tc>
                <w:tcPr>
                  <w:tcW w:w="1371" w:type="dxa"/>
                  <w:noWrap w:val="0"/>
                  <w:vAlign w:val="center"/>
                </w:tcPr>
                <w:p w14:paraId="2852739D">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6-9</w:t>
                  </w:r>
                </w:p>
              </w:tc>
            </w:tr>
            <w:tr w14:paraId="334CB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689" w:type="dxa"/>
                  <w:vMerge w:val="continue"/>
                  <w:noWrap w:val="0"/>
                  <w:vAlign w:val="center"/>
                </w:tcPr>
                <w:p w14:paraId="46FD52C3">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373" w:type="dxa"/>
                  <w:vMerge w:val="continue"/>
                  <w:noWrap w:val="0"/>
                  <w:vAlign w:val="center"/>
                </w:tcPr>
                <w:p w14:paraId="64E42F15">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2825" w:type="dxa"/>
                  <w:vMerge w:val="continue"/>
                  <w:noWrap w:val="0"/>
                  <w:vAlign w:val="center"/>
                </w:tcPr>
                <w:p w14:paraId="65053F0D">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970" w:type="dxa"/>
                  <w:vMerge w:val="continue"/>
                  <w:noWrap w:val="0"/>
                  <w:vAlign w:val="center"/>
                </w:tcPr>
                <w:p w14:paraId="4924EB62">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210" w:type="dxa"/>
                  <w:noWrap w:val="0"/>
                  <w:vAlign w:val="center"/>
                </w:tcPr>
                <w:p w14:paraId="7DE8218B">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w:t>
                  </w:r>
                </w:p>
              </w:tc>
              <w:tc>
                <w:tcPr>
                  <w:tcW w:w="1371" w:type="dxa"/>
                  <w:noWrap w:val="0"/>
                  <w:vAlign w:val="center"/>
                </w:tcPr>
                <w:p w14:paraId="32638CD8">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500</w:t>
                  </w:r>
                  <w:r>
                    <w:rPr>
                      <w:rFonts w:hint="default" w:ascii="Times New Roman" w:hAnsi="Times New Roman" w:eastAsia="宋体" w:cs="Times New Roman"/>
                      <w:color w:val="auto"/>
                      <w:szCs w:val="21"/>
                    </w:rPr>
                    <w:t>mg/L</w:t>
                  </w:r>
                </w:p>
              </w:tc>
            </w:tr>
            <w:tr w14:paraId="2FC73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689" w:type="dxa"/>
                  <w:vMerge w:val="continue"/>
                  <w:noWrap w:val="0"/>
                  <w:vAlign w:val="center"/>
                </w:tcPr>
                <w:p w14:paraId="1418C564">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373" w:type="dxa"/>
                  <w:vMerge w:val="continue"/>
                  <w:noWrap w:val="0"/>
                  <w:vAlign w:val="center"/>
                </w:tcPr>
                <w:p w14:paraId="3F80D1BC">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2825" w:type="dxa"/>
                  <w:vMerge w:val="continue"/>
                  <w:noWrap w:val="0"/>
                  <w:vAlign w:val="center"/>
                </w:tcPr>
                <w:p w14:paraId="40C6189B">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970" w:type="dxa"/>
                  <w:vMerge w:val="continue"/>
                  <w:noWrap w:val="0"/>
                  <w:vAlign w:val="center"/>
                </w:tcPr>
                <w:p w14:paraId="05A26ACF">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210" w:type="dxa"/>
                  <w:noWrap w:val="0"/>
                  <w:vAlign w:val="center"/>
                </w:tcPr>
                <w:p w14:paraId="6AFE470B">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SS</w:t>
                  </w:r>
                </w:p>
              </w:tc>
              <w:tc>
                <w:tcPr>
                  <w:tcW w:w="1371" w:type="dxa"/>
                  <w:noWrap w:val="0"/>
                  <w:vAlign w:val="center"/>
                </w:tcPr>
                <w:p w14:paraId="0C974ECB">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400mg/L</w:t>
                  </w:r>
                </w:p>
              </w:tc>
            </w:tr>
            <w:tr w14:paraId="152FB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689" w:type="dxa"/>
                  <w:vMerge w:val="continue"/>
                  <w:noWrap w:val="0"/>
                  <w:vAlign w:val="center"/>
                </w:tcPr>
                <w:p w14:paraId="440DD635">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373" w:type="dxa"/>
                  <w:vMerge w:val="continue"/>
                  <w:noWrap w:val="0"/>
                  <w:vAlign w:val="center"/>
                </w:tcPr>
                <w:p w14:paraId="5472D7CD">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2825" w:type="dxa"/>
                  <w:vMerge w:val="continue"/>
                  <w:noWrap w:val="0"/>
                  <w:vAlign w:val="center"/>
                </w:tcPr>
                <w:p w14:paraId="005DB932">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970" w:type="dxa"/>
                  <w:vMerge w:val="continue"/>
                  <w:noWrap w:val="0"/>
                  <w:vAlign w:val="center"/>
                </w:tcPr>
                <w:p w14:paraId="6A1709F7">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210" w:type="dxa"/>
                  <w:noWrap w:val="0"/>
                  <w:vAlign w:val="center"/>
                </w:tcPr>
                <w:p w14:paraId="38AFA4D4">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-N</w:t>
                  </w:r>
                </w:p>
              </w:tc>
              <w:tc>
                <w:tcPr>
                  <w:tcW w:w="1371" w:type="dxa"/>
                  <w:noWrap w:val="0"/>
                  <w:vAlign w:val="center"/>
                </w:tcPr>
                <w:p w14:paraId="0DA43383">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45</w:t>
                  </w:r>
                  <w:r>
                    <w:rPr>
                      <w:rFonts w:hint="default" w:ascii="Times New Roman" w:hAnsi="Times New Roman" w:eastAsia="宋体" w:cs="Times New Roman"/>
                      <w:color w:val="auto"/>
                      <w:szCs w:val="21"/>
                    </w:rPr>
                    <w:t>mg/L</w:t>
                  </w:r>
                </w:p>
              </w:tc>
            </w:tr>
            <w:tr w14:paraId="7B549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85" w:hRule="atLeast"/>
              </w:trPr>
              <w:tc>
                <w:tcPr>
                  <w:tcW w:w="689" w:type="dxa"/>
                  <w:vMerge w:val="continue"/>
                  <w:noWrap w:val="0"/>
                  <w:vAlign w:val="center"/>
                </w:tcPr>
                <w:p w14:paraId="367D5B75">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373" w:type="dxa"/>
                  <w:vMerge w:val="continue"/>
                  <w:noWrap w:val="0"/>
                  <w:vAlign w:val="center"/>
                </w:tcPr>
                <w:p w14:paraId="410DEBDF">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2825" w:type="dxa"/>
                  <w:vMerge w:val="continue"/>
                  <w:noWrap w:val="0"/>
                  <w:vAlign w:val="center"/>
                </w:tcPr>
                <w:p w14:paraId="5F1B5A8D">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970" w:type="dxa"/>
                  <w:vMerge w:val="continue"/>
                  <w:noWrap w:val="0"/>
                  <w:vAlign w:val="center"/>
                </w:tcPr>
                <w:p w14:paraId="29D00A3E">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210" w:type="dxa"/>
                  <w:noWrap w:val="0"/>
                  <w:vAlign w:val="center"/>
                </w:tcPr>
                <w:p w14:paraId="42B4BDBB">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TP</w:t>
                  </w:r>
                </w:p>
              </w:tc>
              <w:tc>
                <w:tcPr>
                  <w:tcW w:w="1371" w:type="dxa"/>
                  <w:noWrap w:val="0"/>
                  <w:vAlign w:val="center"/>
                </w:tcPr>
                <w:p w14:paraId="7BF3570A">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8mg/L</w:t>
                  </w:r>
                </w:p>
              </w:tc>
            </w:tr>
            <w:tr w14:paraId="5FD9E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170" w:hRule="atLeast"/>
              </w:trPr>
              <w:tc>
                <w:tcPr>
                  <w:tcW w:w="689" w:type="dxa"/>
                  <w:vMerge w:val="continue"/>
                  <w:noWrap w:val="0"/>
                  <w:vAlign w:val="center"/>
                </w:tcPr>
                <w:p w14:paraId="1656C3EE">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373" w:type="dxa"/>
                  <w:vMerge w:val="continue"/>
                  <w:noWrap w:val="0"/>
                  <w:vAlign w:val="center"/>
                </w:tcPr>
                <w:p w14:paraId="27092CB0">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2825" w:type="dxa"/>
                  <w:vMerge w:val="continue"/>
                  <w:noWrap w:val="0"/>
                  <w:vAlign w:val="center"/>
                </w:tcPr>
                <w:p w14:paraId="6D29666E">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970" w:type="dxa"/>
                  <w:vMerge w:val="continue"/>
                  <w:noWrap w:val="0"/>
                  <w:vAlign w:val="center"/>
                </w:tcPr>
                <w:p w14:paraId="63F5035A">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p>
              </w:tc>
              <w:tc>
                <w:tcPr>
                  <w:tcW w:w="1210" w:type="dxa"/>
                  <w:noWrap w:val="0"/>
                  <w:vAlign w:val="center"/>
                </w:tcPr>
                <w:p w14:paraId="1537633A">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TN</w:t>
                  </w:r>
                </w:p>
              </w:tc>
              <w:tc>
                <w:tcPr>
                  <w:tcW w:w="1371" w:type="dxa"/>
                  <w:noWrap w:val="0"/>
                  <w:vAlign w:val="center"/>
                </w:tcPr>
                <w:p w14:paraId="6AA4D78F">
                  <w:pPr>
                    <w:pStyle w:val="7"/>
                    <w:numPr>
                      <w:ilvl w:val="0"/>
                      <w:numId w:val="0"/>
                    </w:numPr>
                    <w:tabs>
                      <w:tab w:val="clear" w:pos="2040"/>
                    </w:tabs>
                    <w:spacing w:line="240" w:lineRule="atLeas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70</w:t>
                  </w:r>
                  <w:r>
                    <w:rPr>
                      <w:rFonts w:hint="default" w:ascii="Times New Roman" w:hAnsi="Times New Roman" w:eastAsia="宋体" w:cs="Times New Roman"/>
                      <w:color w:val="auto"/>
                      <w:szCs w:val="21"/>
                    </w:rPr>
                    <w:t>mg/L</w:t>
                  </w:r>
                </w:p>
              </w:tc>
            </w:tr>
          </w:tbl>
          <w:p w14:paraId="0E6214A5">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本项目依托的常州</w:t>
            </w:r>
            <w:r>
              <w:rPr>
                <w:rFonts w:hint="eastAsia" w:cs="Times New Roman"/>
                <w:color w:val="auto"/>
                <w:kern w:val="0"/>
                <w:sz w:val="24"/>
                <w:szCs w:val="24"/>
                <w:lang w:val="en-US" w:eastAsia="zh-CN" w:bidi="ar"/>
              </w:rPr>
              <w:t>金坛溪城污水处理有限公司</w:t>
            </w:r>
            <w:r>
              <w:rPr>
                <w:rFonts w:hint="default" w:ascii="Times New Roman" w:hAnsi="Times New Roman" w:eastAsia="宋体" w:cs="Times New Roman"/>
                <w:color w:val="auto"/>
                <w:kern w:val="0"/>
                <w:sz w:val="24"/>
                <w:szCs w:val="24"/>
                <w:lang w:val="en-US" w:eastAsia="zh-CN" w:bidi="ar"/>
              </w:rPr>
              <w:t>废水间接排放</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接管）口基本情况见下表。</w:t>
            </w:r>
          </w:p>
          <w:p w14:paraId="1D76AB89">
            <w:pPr>
              <w:pStyle w:val="29"/>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表4-</w:t>
            </w:r>
            <w:r>
              <w:rPr>
                <w:rFonts w:hint="eastAsia" w:cs="Times New Roman"/>
                <w:b/>
                <w:color w:val="auto"/>
                <w:sz w:val="21"/>
                <w:szCs w:val="21"/>
                <w:lang w:val="en-US" w:eastAsia="zh-CN"/>
              </w:rPr>
              <w:t>10</w:t>
            </w:r>
            <w:r>
              <w:rPr>
                <w:rFonts w:hint="default" w:ascii="Times New Roman" w:hAnsi="Times New Roman" w:eastAsia="宋体" w:cs="Times New Roman"/>
                <w:b/>
                <w:color w:val="auto"/>
                <w:sz w:val="21"/>
                <w:szCs w:val="21"/>
              </w:rPr>
              <w:t xml:space="preserve"> 废水间接排放口基本情况表</w:t>
            </w:r>
          </w:p>
          <w:tbl>
            <w:tblPr>
              <w:tblStyle w:val="17"/>
              <w:tblW w:w="4999"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 w:type="dxa"/>
                <w:bottom w:w="0" w:type="dxa"/>
                <w:right w:w="11" w:type="dxa"/>
              </w:tblCellMar>
            </w:tblPr>
            <w:tblGrid>
              <w:gridCol w:w="320"/>
              <w:gridCol w:w="567"/>
              <w:gridCol w:w="1012"/>
              <w:gridCol w:w="915"/>
              <w:gridCol w:w="759"/>
              <w:gridCol w:w="582"/>
              <w:gridCol w:w="1165"/>
              <w:gridCol w:w="541"/>
              <w:gridCol w:w="485"/>
              <w:gridCol w:w="778"/>
              <w:gridCol w:w="1372"/>
            </w:tblGrid>
            <w:tr w14:paraId="1FF95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trPr>
              <w:tc>
                <w:tcPr>
                  <w:tcW w:w="327" w:type="dxa"/>
                  <w:vMerge w:val="restart"/>
                  <w:noWrap w:val="0"/>
                  <w:vAlign w:val="center"/>
                </w:tcPr>
                <w:p w14:paraId="53F62C6C">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序号</w:t>
                  </w:r>
                </w:p>
              </w:tc>
              <w:tc>
                <w:tcPr>
                  <w:tcW w:w="584" w:type="dxa"/>
                  <w:vMerge w:val="restart"/>
                  <w:noWrap w:val="0"/>
                  <w:vAlign w:val="center"/>
                </w:tcPr>
                <w:p w14:paraId="3DAA7BFA">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排放口编号</w:t>
                  </w:r>
                </w:p>
              </w:tc>
              <w:tc>
                <w:tcPr>
                  <w:tcW w:w="1573" w:type="dxa"/>
                  <w:gridSpan w:val="2"/>
                  <w:noWrap w:val="0"/>
                  <w:vAlign w:val="center"/>
                </w:tcPr>
                <w:p w14:paraId="6593B9E1">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地理坐标</w:t>
                  </w:r>
                </w:p>
              </w:tc>
              <w:tc>
                <w:tcPr>
                  <w:tcW w:w="766" w:type="dxa"/>
                  <w:vMerge w:val="restart"/>
                  <w:noWrap w:val="0"/>
                  <w:vAlign w:val="center"/>
                </w:tcPr>
                <w:p w14:paraId="45E273DD">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废水排放量（t/a）</w:t>
                  </w:r>
                </w:p>
              </w:tc>
              <w:tc>
                <w:tcPr>
                  <w:tcW w:w="612" w:type="dxa"/>
                  <w:vMerge w:val="restart"/>
                  <w:noWrap w:val="0"/>
                  <w:vAlign w:val="center"/>
                </w:tcPr>
                <w:p w14:paraId="6CD00D99">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排放</w:t>
                  </w:r>
                </w:p>
                <w:p w14:paraId="60A1567D">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去向</w:t>
                  </w:r>
                </w:p>
              </w:tc>
              <w:tc>
                <w:tcPr>
                  <w:tcW w:w="1226" w:type="dxa"/>
                  <w:vMerge w:val="restart"/>
                  <w:noWrap w:val="0"/>
                  <w:vAlign w:val="center"/>
                </w:tcPr>
                <w:p w14:paraId="401B798E">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排放</w:t>
                  </w:r>
                </w:p>
                <w:p w14:paraId="71D99DE7">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规律</w:t>
                  </w:r>
                </w:p>
              </w:tc>
              <w:tc>
                <w:tcPr>
                  <w:tcW w:w="567" w:type="dxa"/>
                  <w:vMerge w:val="restart"/>
                  <w:noWrap w:val="0"/>
                  <w:vAlign w:val="center"/>
                </w:tcPr>
                <w:p w14:paraId="3A346760">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间歇排放时段</w:t>
                  </w:r>
                </w:p>
              </w:tc>
              <w:tc>
                <w:tcPr>
                  <w:tcW w:w="2708" w:type="dxa"/>
                  <w:gridSpan w:val="3"/>
                  <w:noWrap w:val="0"/>
                  <w:vAlign w:val="center"/>
                </w:tcPr>
                <w:p w14:paraId="377F1414">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受纳污水厂信息</w:t>
                  </w:r>
                </w:p>
              </w:tc>
            </w:tr>
            <w:tr w14:paraId="35A56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trPr>
              <w:tc>
                <w:tcPr>
                  <w:tcW w:w="327" w:type="dxa"/>
                  <w:vMerge w:val="continue"/>
                  <w:noWrap w:val="0"/>
                  <w:vAlign w:val="center"/>
                </w:tcPr>
                <w:p w14:paraId="75218A51">
                  <w:pPr>
                    <w:adjustRightInd w:val="0"/>
                    <w:snapToGrid w:val="0"/>
                    <w:jc w:val="center"/>
                    <w:rPr>
                      <w:rFonts w:hint="default" w:ascii="Times New Roman" w:hAnsi="Times New Roman" w:eastAsia="宋体" w:cs="Times New Roman"/>
                      <w:b/>
                      <w:color w:val="auto"/>
                      <w:szCs w:val="21"/>
                    </w:rPr>
                  </w:pPr>
                </w:p>
              </w:tc>
              <w:tc>
                <w:tcPr>
                  <w:tcW w:w="584" w:type="dxa"/>
                  <w:vMerge w:val="continue"/>
                  <w:noWrap w:val="0"/>
                  <w:vAlign w:val="center"/>
                </w:tcPr>
                <w:p w14:paraId="4FD1F5C4">
                  <w:pPr>
                    <w:adjustRightInd w:val="0"/>
                    <w:snapToGrid w:val="0"/>
                    <w:jc w:val="center"/>
                    <w:rPr>
                      <w:rFonts w:hint="default" w:ascii="Times New Roman" w:hAnsi="Times New Roman" w:eastAsia="宋体" w:cs="Times New Roman"/>
                      <w:b/>
                      <w:color w:val="auto"/>
                      <w:szCs w:val="21"/>
                    </w:rPr>
                  </w:pPr>
                </w:p>
              </w:tc>
              <w:tc>
                <w:tcPr>
                  <w:tcW w:w="808" w:type="dxa"/>
                  <w:noWrap w:val="0"/>
                  <w:vAlign w:val="center"/>
                </w:tcPr>
                <w:p w14:paraId="66D2EF18">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lang w:val="en-US" w:eastAsia="zh-CN"/>
                    </w:rPr>
                    <w:t>东</w:t>
                  </w:r>
                  <w:r>
                    <w:rPr>
                      <w:rFonts w:hint="default" w:ascii="Times New Roman" w:hAnsi="Times New Roman" w:eastAsia="宋体" w:cs="Times New Roman"/>
                      <w:b/>
                      <w:color w:val="auto"/>
                      <w:szCs w:val="21"/>
                    </w:rPr>
                    <w:t>经</w:t>
                  </w:r>
                </w:p>
                <w:p w14:paraId="124601D9">
                  <w:pPr>
                    <w:adjustRightInd w:val="0"/>
                    <w:snapToGrid w:val="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w:t>
                  </w:r>
                </w:p>
              </w:tc>
              <w:tc>
                <w:tcPr>
                  <w:tcW w:w="765" w:type="dxa"/>
                  <w:noWrap w:val="0"/>
                  <w:vAlign w:val="center"/>
                </w:tcPr>
                <w:p w14:paraId="002F86BD">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lang w:val="en-US" w:eastAsia="zh-CN"/>
                    </w:rPr>
                    <w:t>北</w:t>
                  </w:r>
                  <w:r>
                    <w:rPr>
                      <w:rFonts w:hint="default" w:ascii="Times New Roman" w:hAnsi="Times New Roman" w:eastAsia="宋体" w:cs="Times New Roman"/>
                      <w:b/>
                      <w:color w:val="auto"/>
                      <w:szCs w:val="21"/>
                    </w:rPr>
                    <w:t>纬（°）</w:t>
                  </w:r>
                </w:p>
              </w:tc>
              <w:tc>
                <w:tcPr>
                  <w:tcW w:w="766" w:type="dxa"/>
                  <w:vMerge w:val="continue"/>
                  <w:noWrap w:val="0"/>
                  <w:vAlign w:val="center"/>
                </w:tcPr>
                <w:p w14:paraId="0D83F0CA">
                  <w:pPr>
                    <w:adjustRightInd w:val="0"/>
                    <w:snapToGrid w:val="0"/>
                    <w:jc w:val="center"/>
                    <w:rPr>
                      <w:rFonts w:hint="default" w:ascii="Times New Roman" w:hAnsi="Times New Roman" w:eastAsia="宋体" w:cs="Times New Roman"/>
                      <w:b/>
                      <w:color w:val="auto"/>
                      <w:szCs w:val="21"/>
                    </w:rPr>
                  </w:pPr>
                </w:p>
              </w:tc>
              <w:tc>
                <w:tcPr>
                  <w:tcW w:w="612" w:type="dxa"/>
                  <w:vMerge w:val="continue"/>
                  <w:noWrap w:val="0"/>
                  <w:vAlign w:val="center"/>
                </w:tcPr>
                <w:p w14:paraId="4D4BBD12">
                  <w:pPr>
                    <w:adjustRightInd w:val="0"/>
                    <w:snapToGrid w:val="0"/>
                    <w:jc w:val="center"/>
                    <w:rPr>
                      <w:rFonts w:hint="default" w:ascii="Times New Roman" w:hAnsi="Times New Roman" w:eastAsia="宋体" w:cs="Times New Roman"/>
                      <w:b/>
                      <w:color w:val="auto"/>
                      <w:szCs w:val="21"/>
                    </w:rPr>
                  </w:pPr>
                </w:p>
              </w:tc>
              <w:tc>
                <w:tcPr>
                  <w:tcW w:w="1226" w:type="dxa"/>
                  <w:vMerge w:val="continue"/>
                  <w:noWrap w:val="0"/>
                  <w:vAlign w:val="center"/>
                </w:tcPr>
                <w:p w14:paraId="7B89200B">
                  <w:pPr>
                    <w:adjustRightInd w:val="0"/>
                    <w:snapToGrid w:val="0"/>
                    <w:jc w:val="center"/>
                    <w:rPr>
                      <w:rFonts w:hint="default" w:ascii="Times New Roman" w:hAnsi="Times New Roman" w:eastAsia="宋体" w:cs="Times New Roman"/>
                      <w:b/>
                      <w:color w:val="auto"/>
                      <w:szCs w:val="21"/>
                    </w:rPr>
                  </w:pPr>
                </w:p>
              </w:tc>
              <w:tc>
                <w:tcPr>
                  <w:tcW w:w="567" w:type="dxa"/>
                  <w:vMerge w:val="continue"/>
                  <w:noWrap w:val="0"/>
                  <w:vAlign w:val="center"/>
                </w:tcPr>
                <w:p w14:paraId="68C38C51">
                  <w:pPr>
                    <w:adjustRightInd w:val="0"/>
                    <w:snapToGrid w:val="0"/>
                    <w:jc w:val="center"/>
                    <w:rPr>
                      <w:rFonts w:hint="default" w:ascii="Times New Roman" w:hAnsi="Times New Roman" w:eastAsia="宋体" w:cs="Times New Roman"/>
                      <w:b/>
                      <w:color w:val="auto"/>
                      <w:szCs w:val="21"/>
                    </w:rPr>
                  </w:pPr>
                </w:p>
              </w:tc>
              <w:tc>
                <w:tcPr>
                  <w:tcW w:w="506" w:type="dxa"/>
                  <w:noWrap w:val="0"/>
                  <w:vAlign w:val="center"/>
                </w:tcPr>
                <w:p w14:paraId="1AB3F2D8">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名称</w:t>
                  </w:r>
                </w:p>
              </w:tc>
              <w:tc>
                <w:tcPr>
                  <w:tcW w:w="792" w:type="dxa"/>
                  <w:noWrap w:val="0"/>
                  <w:vAlign w:val="center"/>
                </w:tcPr>
                <w:p w14:paraId="6A629C3F">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污染物种类</w:t>
                  </w:r>
                </w:p>
              </w:tc>
              <w:tc>
                <w:tcPr>
                  <w:tcW w:w="1410" w:type="dxa"/>
                  <w:noWrap w:val="0"/>
                  <w:vAlign w:val="center"/>
                </w:tcPr>
                <w:p w14:paraId="64F10430">
                  <w:pPr>
                    <w:adjustRightInd w:val="0"/>
                    <w:snapToGrid w:val="0"/>
                    <w:jc w:val="center"/>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shd w:val="clear" w:fill="auto"/>
                    </w:rPr>
                    <w:t>国家</w:t>
                  </w:r>
                  <w:r>
                    <w:rPr>
                      <w:rFonts w:hint="default" w:ascii="Times New Roman" w:hAnsi="Times New Roman" w:eastAsia="宋体" w:cs="Times New Roman"/>
                      <w:b/>
                      <w:color w:val="auto"/>
                      <w:szCs w:val="21"/>
                    </w:rPr>
                    <w:t>或地方污染物排放标准浓度限值</w:t>
                  </w:r>
                  <w:r>
                    <w:rPr>
                      <w:rFonts w:hint="default" w:ascii="Times New Roman" w:hAnsi="Times New Roman" w:eastAsia="宋体" w:cs="Times New Roman"/>
                      <w:b/>
                      <w:color w:val="auto"/>
                      <w:szCs w:val="21"/>
                      <w:shd w:val="clear" w:fill="auto"/>
                      <w:lang w:eastAsia="zh-CN"/>
                    </w:rPr>
                    <w:t>（</w:t>
                  </w:r>
                  <w:r>
                    <w:rPr>
                      <w:rFonts w:hint="default" w:ascii="Times New Roman" w:hAnsi="Times New Roman" w:eastAsia="宋体" w:cs="Times New Roman"/>
                      <w:b/>
                      <w:color w:val="auto"/>
                      <w:szCs w:val="21"/>
                    </w:rPr>
                    <w:t>mg/L</w:t>
                  </w:r>
                  <w:r>
                    <w:rPr>
                      <w:rFonts w:hint="eastAsia" w:cs="Times New Roman"/>
                      <w:b/>
                      <w:color w:val="auto"/>
                      <w:szCs w:val="21"/>
                      <w:lang w:eastAsia="zh-CN"/>
                    </w:rPr>
                    <w:t>）</w:t>
                  </w:r>
                </w:p>
              </w:tc>
            </w:tr>
            <w:tr w14:paraId="1A15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trPr>
              <w:tc>
                <w:tcPr>
                  <w:tcW w:w="327" w:type="dxa"/>
                  <w:vMerge w:val="restart"/>
                  <w:noWrap w:val="0"/>
                  <w:vAlign w:val="center"/>
                </w:tcPr>
                <w:p w14:paraId="0CA4DD60">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584" w:type="dxa"/>
                  <w:vMerge w:val="restart"/>
                  <w:noWrap w:val="0"/>
                  <w:vAlign w:val="center"/>
                </w:tcPr>
                <w:p w14:paraId="7DE5F7BD">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DW</w:t>
                  </w:r>
                </w:p>
                <w:p w14:paraId="5EA705A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001</w:t>
                  </w:r>
                </w:p>
              </w:tc>
              <w:tc>
                <w:tcPr>
                  <w:tcW w:w="808" w:type="dxa"/>
                  <w:vMerge w:val="restart"/>
                  <w:noWrap w:val="0"/>
                  <w:vAlign w:val="center"/>
                </w:tcPr>
                <w:p w14:paraId="3841AFC4">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119.454898</w:t>
                  </w:r>
                </w:p>
              </w:tc>
              <w:tc>
                <w:tcPr>
                  <w:tcW w:w="765" w:type="dxa"/>
                  <w:vMerge w:val="restart"/>
                  <w:noWrap w:val="0"/>
                  <w:vAlign w:val="center"/>
                </w:tcPr>
                <w:p w14:paraId="67F1C50F">
                  <w:pPr>
                    <w:adjustRightInd w:val="0"/>
                    <w:snapToGrid w:val="0"/>
                    <w:jc w:val="center"/>
                    <w:rPr>
                      <w:rFonts w:hint="default" w:cs="Times New Roman"/>
                      <w:color w:val="auto"/>
                      <w:szCs w:val="21"/>
                      <w:lang w:val="en-US" w:eastAsia="zh-CN"/>
                    </w:rPr>
                  </w:pPr>
                  <w:r>
                    <w:rPr>
                      <w:rFonts w:hint="eastAsia" w:cs="Times New Roman"/>
                      <w:color w:val="auto"/>
                      <w:szCs w:val="21"/>
                      <w:lang w:val="en-US" w:eastAsia="zh-CN"/>
                    </w:rPr>
                    <w:t>31.788608</w:t>
                  </w:r>
                </w:p>
              </w:tc>
              <w:tc>
                <w:tcPr>
                  <w:tcW w:w="766" w:type="dxa"/>
                  <w:vMerge w:val="restart"/>
                  <w:noWrap w:val="0"/>
                  <w:vAlign w:val="center"/>
                </w:tcPr>
                <w:p w14:paraId="51B0B19D">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480</w:t>
                  </w:r>
                </w:p>
              </w:tc>
              <w:tc>
                <w:tcPr>
                  <w:tcW w:w="612" w:type="dxa"/>
                  <w:vMerge w:val="restart"/>
                  <w:noWrap w:val="0"/>
                  <w:vAlign w:val="center"/>
                </w:tcPr>
                <w:p w14:paraId="06ADF055">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进入城市污水</w:t>
                  </w:r>
                  <w:r>
                    <w:rPr>
                      <w:rFonts w:hint="eastAsia" w:cs="Times New Roman"/>
                      <w:color w:val="auto"/>
                      <w:szCs w:val="21"/>
                      <w:lang w:eastAsia="zh-CN"/>
                    </w:rPr>
                    <w:t>处理有限公司</w:t>
                  </w:r>
                </w:p>
              </w:tc>
              <w:tc>
                <w:tcPr>
                  <w:tcW w:w="1226" w:type="dxa"/>
                  <w:vMerge w:val="restart"/>
                  <w:noWrap w:val="0"/>
                  <w:vAlign w:val="center"/>
                </w:tcPr>
                <w:p w14:paraId="462AA66E">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间断排放，排放期间流量不稳定且无规律，但不属于冲击型排放</w:t>
                  </w:r>
                </w:p>
              </w:tc>
              <w:tc>
                <w:tcPr>
                  <w:tcW w:w="567" w:type="dxa"/>
                  <w:vMerge w:val="restart"/>
                  <w:noWrap w:val="0"/>
                  <w:vAlign w:val="center"/>
                </w:tcPr>
                <w:p w14:paraId="1D253460">
                  <w:pPr>
                    <w:adjustRightInd w:val="0"/>
                    <w:snapToGrid w:val="0"/>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 w:val="21"/>
                      <w:szCs w:val="21"/>
                      <w:vertAlign w:val="baseline"/>
                      <w:lang w:val="en-US" w:eastAsia="zh-CN"/>
                    </w:rPr>
                    <w:t>企业运营时间</w:t>
                  </w:r>
                </w:p>
              </w:tc>
              <w:tc>
                <w:tcPr>
                  <w:tcW w:w="506" w:type="dxa"/>
                  <w:vMerge w:val="restart"/>
                  <w:noWrap w:val="0"/>
                  <w:vAlign w:val="center"/>
                </w:tcPr>
                <w:p w14:paraId="0F95A96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常州</w:t>
                  </w:r>
                  <w:r>
                    <w:rPr>
                      <w:rFonts w:hint="eastAsia" w:cs="Times New Roman"/>
                      <w:color w:val="auto"/>
                      <w:szCs w:val="21"/>
                      <w:lang w:eastAsia="zh-CN"/>
                    </w:rPr>
                    <w:t>金坛溪城污水处理有限公司</w:t>
                  </w:r>
                </w:p>
              </w:tc>
              <w:tc>
                <w:tcPr>
                  <w:tcW w:w="792" w:type="dxa"/>
                  <w:noWrap w:val="0"/>
                  <w:vAlign w:val="center"/>
                </w:tcPr>
                <w:p w14:paraId="3DE740B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pH</w:t>
                  </w:r>
                </w:p>
              </w:tc>
              <w:tc>
                <w:tcPr>
                  <w:tcW w:w="1410" w:type="dxa"/>
                  <w:noWrap w:val="0"/>
                  <w:vAlign w:val="center"/>
                </w:tcPr>
                <w:p w14:paraId="5F17929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6-9</w:t>
                  </w:r>
                </w:p>
              </w:tc>
            </w:tr>
            <w:tr w14:paraId="34EC9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trPr>
              <w:tc>
                <w:tcPr>
                  <w:tcW w:w="327" w:type="dxa"/>
                  <w:vMerge w:val="continue"/>
                  <w:noWrap w:val="0"/>
                  <w:vAlign w:val="center"/>
                </w:tcPr>
                <w:p w14:paraId="16AA04AF">
                  <w:pPr>
                    <w:adjustRightInd w:val="0"/>
                    <w:snapToGrid w:val="0"/>
                    <w:jc w:val="center"/>
                    <w:rPr>
                      <w:rFonts w:hint="default" w:ascii="Times New Roman" w:hAnsi="Times New Roman" w:eastAsia="宋体" w:cs="Times New Roman"/>
                      <w:color w:val="auto"/>
                      <w:szCs w:val="21"/>
                    </w:rPr>
                  </w:pPr>
                </w:p>
              </w:tc>
              <w:tc>
                <w:tcPr>
                  <w:tcW w:w="584" w:type="dxa"/>
                  <w:vMerge w:val="continue"/>
                  <w:noWrap w:val="0"/>
                  <w:vAlign w:val="center"/>
                </w:tcPr>
                <w:p w14:paraId="4A9A0C60">
                  <w:pPr>
                    <w:adjustRightInd w:val="0"/>
                    <w:snapToGrid w:val="0"/>
                    <w:jc w:val="center"/>
                    <w:rPr>
                      <w:rFonts w:hint="default" w:ascii="Times New Roman" w:hAnsi="Times New Roman" w:eastAsia="宋体" w:cs="Times New Roman"/>
                      <w:color w:val="auto"/>
                      <w:szCs w:val="21"/>
                    </w:rPr>
                  </w:pPr>
                </w:p>
              </w:tc>
              <w:tc>
                <w:tcPr>
                  <w:tcW w:w="808" w:type="dxa"/>
                  <w:vMerge w:val="continue"/>
                  <w:noWrap w:val="0"/>
                  <w:vAlign w:val="center"/>
                </w:tcPr>
                <w:p w14:paraId="45C0842A">
                  <w:pPr>
                    <w:adjustRightInd w:val="0"/>
                    <w:snapToGrid w:val="0"/>
                    <w:jc w:val="center"/>
                    <w:rPr>
                      <w:rFonts w:hint="default" w:ascii="Times New Roman" w:hAnsi="Times New Roman" w:eastAsia="宋体" w:cs="Times New Roman"/>
                      <w:color w:val="auto"/>
                      <w:szCs w:val="21"/>
                    </w:rPr>
                  </w:pPr>
                </w:p>
              </w:tc>
              <w:tc>
                <w:tcPr>
                  <w:tcW w:w="765" w:type="dxa"/>
                  <w:vMerge w:val="continue"/>
                  <w:noWrap w:val="0"/>
                  <w:vAlign w:val="center"/>
                </w:tcPr>
                <w:p w14:paraId="578B8FB3">
                  <w:pPr>
                    <w:adjustRightInd w:val="0"/>
                    <w:snapToGrid w:val="0"/>
                    <w:jc w:val="center"/>
                    <w:rPr>
                      <w:rFonts w:hint="default" w:ascii="Times New Roman" w:hAnsi="Times New Roman" w:eastAsia="宋体" w:cs="Times New Roman"/>
                      <w:color w:val="auto"/>
                      <w:szCs w:val="21"/>
                    </w:rPr>
                  </w:pPr>
                </w:p>
              </w:tc>
              <w:tc>
                <w:tcPr>
                  <w:tcW w:w="766" w:type="dxa"/>
                  <w:vMerge w:val="continue"/>
                  <w:noWrap w:val="0"/>
                  <w:vAlign w:val="center"/>
                </w:tcPr>
                <w:p w14:paraId="449B2022">
                  <w:pPr>
                    <w:adjustRightInd w:val="0"/>
                    <w:snapToGrid w:val="0"/>
                    <w:jc w:val="center"/>
                    <w:rPr>
                      <w:rFonts w:hint="default" w:ascii="Times New Roman" w:hAnsi="Times New Roman" w:eastAsia="宋体" w:cs="Times New Roman"/>
                      <w:color w:val="auto"/>
                      <w:szCs w:val="21"/>
                    </w:rPr>
                  </w:pPr>
                </w:p>
              </w:tc>
              <w:tc>
                <w:tcPr>
                  <w:tcW w:w="612" w:type="dxa"/>
                  <w:vMerge w:val="continue"/>
                  <w:noWrap w:val="0"/>
                  <w:vAlign w:val="center"/>
                </w:tcPr>
                <w:p w14:paraId="1674F088">
                  <w:pPr>
                    <w:adjustRightInd w:val="0"/>
                    <w:snapToGrid w:val="0"/>
                    <w:jc w:val="center"/>
                    <w:rPr>
                      <w:rFonts w:hint="default" w:ascii="Times New Roman" w:hAnsi="Times New Roman" w:eastAsia="宋体" w:cs="Times New Roman"/>
                      <w:color w:val="auto"/>
                      <w:szCs w:val="21"/>
                    </w:rPr>
                  </w:pPr>
                </w:p>
              </w:tc>
              <w:tc>
                <w:tcPr>
                  <w:tcW w:w="1226" w:type="dxa"/>
                  <w:vMerge w:val="continue"/>
                  <w:noWrap w:val="0"/>
                  <w:vAlign w:val="center"/>
                </w:tcPr>
                <w:p w14:paraId="047EE80E">
                  <w:pPr>
                    <w:adjustRightInd w:val="0"/>
                    <w:snapToGrid w:val="0"/>
                    <w:jc w:val="center"/>
                    <w:rPr>
                      <w:rFonts w:hint="default" w:ascii="Times New Roman" w:hAnsi="Times New Roman" w:eastAsia="宋体" w:cs="Times New Roman"/>
                      <w:color w:val="auto"/>
                      <w:szCs w:val="21"/>
                    </w:rPr>
                  </w:pPr>
                </w:p>
              </w:tc>
              <w:tc>
                <w:tcPr>
                  <w:tcW w:w="567" w:type="dxa"/>
                  <w:vMerge w:val="continue"/>
                  <w:noWrap w:val="0"/>
                  <w:vAlign w:val="center"/>
                </w:tcPr>
                <w:p w14:paraId="3CA3DEE5">
                  <w:pPr>
                    <w:adjustRightInd w:val="0"/>
                    <w:snapToGrid w:val="0"/>
                    <w:jc w:val="center"/>
                    <w:rPr>
                      <w:rFonts w:hint="default" w:ascii="Times New Roman" w:hAnsi="Times New Roman" w:eastAsia="宋体" w:cs="Times New Roman"/>
                      <w:color w:val="auto"/>
                      <w:szCs w:val="21"/>
                    </w:rPr>
                  </w:pPr>
                </w:p>
              </w:tc>
              <w:tc>
                <w:tcPr>
                  <w:tcW w:w="506" w:type="dxa"/>
                  <w:vMerge w:val="continue"/>
                  <w:noWrap w:val="0"/>
                  <w:vAlign w:val="center"/>
                </w:tcPr>
                <w:p w14:paraId="0823968B">
                  <w:pPr>
                    <w:adjustRightInd w:val="0"/>
                    <w:snapToGrid w:val="0"/>
                    <w:jc w:val="center"/>
                    <w:rPr>
                      <w:rFonts w:hint="default" w:ascii="Times New Roman" w:hAnsi="Times New Roman" w:eastAsia="宋体" w:cs="Times New Roman"/>
                      <w:color w:val="auto"/>
                      <w:szCs w:val="21"/>
                    </w:rPr>
                  </w:pPr>
                </w:p>
              </w:tc>
              <w:tc>
                <w:tcPr>
                  <w:tcW w:w="792" w:type="dxa"/>
                  <w:noWrap w:val="0"/>
                  <w:vAlign w:val="center"/>
                </w:tcPr>
                <w:p w14:paraId="22A93A12">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SS</w:t>
                  </w:r>
                </w:p>
              </w:tc>
              <w:tc>
                <w:tcPr>
                  <w:tcW w:w="1410" w:type="dxa"/>
                  <w:noWrap w:val="0"/>
                  <w:vAlign w:val="center"/>
                </w:tcPr>
                <w:p w14:paraId="6409F302">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10</w:t>
                  </w:r>
                </w:p>
              </w:tc>
            </w:tr>
            <w:tr w14:paraId="73F95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trPr>
              <w:tc>
                <w:tcPr>
                  <w:tcW w:w="327" w:type="dxa"/>
                  <w:vMerge w:val="continue"/>
                  <w:noWrap w:val="0"/>
                  <w:vAlign w:val="center"/>
                </w:tcPr>
                <w:p w14:paraId="23C46CE8">
                  <w:pPr>
                    <w:adjustRightInd w:val="0"/>
                    <w:snapToGrid w:val="0"/>
                    <w:jc w:val="center"/>
                    <w:rPr>
                      <w:rFonts w:hint="default" w:ascii="Times New Roman" w:hAnsi="Times New Roman" w:eastAsia="宋体" w:cs="Times New Roman"/>
                      <w:color w:val="auto"/>
                      <w:szCs w:val="21"/>
                    </w:rPr>
                  </w:pPr>
                </w:p>
              </w:tc>
              <w:tc>
                <w:tcPr>
                  <w:tcW w:w="584" w:type="dxa"/>
                  <w:vMerge w:val="continue"/>
                  <w:noWrap w:val="0"/>
                  <w:vAlign w:val="center"/>
                </w:tcPr>
                <w:p w14:paraId="78223CAA">
                  <w:pPr>
                    <w:adjustRightInd w:val="0"/>
                    <w:snapToGrid w:val="0"/>
                    <w:jc w:val="center"/>
                    <w:rPr>
                      <w:rFonts w:hint="default" w:ascii="Times New Roman" w:hAnsi="Times New Roman" w:eastAsia="宋体" w:cs="Times New Roman"/>
                      <w:color w:val="auto"/>
                      <w:szCs w:val="21"/>
                    </w:rPr>
                  </w:pPr>
                </w:p>
              </w:tc>
              <w:tc>
                <w:tcPr>
                  <w:tcW w:w="808" w:type="dxa"/>
                  <w:vMerge w:val="continue"/>
                  <w:noWrap w:val="0"/>
                  <w:vAlign w:val="center"/>
                </w:tcPr>
                <w:p w14:paraId="17398512">
                  <w:pPr>
                    <w:adjustRightInd w:val="0"/>
                    <w:snapToGrid w:val="0"/>
                    <w:jc w:val="center"/>
                    <w:rPr>
                      <w:rFonts w:hint="default" w:ascii="Times New Roman" w:hAnsi="Times New Roman" w:eastAsia="宋体" w:cs="Times New Roman"/>
                      <w:color w:val="auto"/>
                      <w:szCs w:val="21"/>
                    </w:rPr>
                  </w:pPr>
                </w:p>
              </w:tc>
              <w:tc>
                <w:tcPr>
                  <w:tcW w:w="765" w:type="dxa"/>
                  <w:vMerge w:val="continue"/>
                  <w:noWrap w:val="0"/>
                  <w:vAlign w:val="center"/>
                </w:tcPr>
                <w:p w14:paraId="226140E9">
                  <w:pPr>
                    <w:adjustRightInd w:val="0"/>
                    <w:snapToGrid w:val="0"/>
                    <w:jc w:val="center"/>
                    <w:rPr>
                      <w:rFonts w:hint="default" w:ascii="Times New Roman" w:hAnsi="Times New Roman" w:eastAsia="宋体" w:cs="Times New Roman"/>
                      <w:color w:val="auto"/>
                      <w:szCs w:val="21"/>
                    </w:rPr>
                  </w:pPr>
                </w:p>
              </w:tc>
              <w:tc>
                <w:tcPr>
                  <w:tcW w:w="766" w:type="dxa"/>
                  <w:vMerge w:val="continue"/>
                  <w:noWrap w:val="0"/>
                  <w:vAlign w:val="center"/>
                </w:tcPr>
                <w:p w14:paraId="79240C95">
                  <w:pPr>
                    <w:adjustRightInd w:val="0"/>
                    <w:snapToGrid w:val="0"/>
                    <w:jc w:val="center"/>
                    <w:rPr>
                      <w:rFonts w:hint="default" w:ascii="Times New Roman" w:hAnsi="Times New Roman" w:eastAsia="宋体" w:cs="Times New Roman"/>
                      <w:color w:val="auto"/>
                      <w:szCs w:val="21"/>
                    </w:rPr>
                  </w:pPr>
                </w:p>
              </w:tc>
              <w:tc>
                <w:tcPr>
                  <w:tcW w:w="612" w:type="dxa"/>
                  <w:vMerge w:val="continue"/>
                  <w:noWrap w:val="0"/>
                  <w:vAlign w:val="center"/>
                </w:tcPr>
                <w:p w14:paraId="22493D50">
                  <w:pPr>
                    <w:adjustRightInd w:val="0"/>
                    <w:snapToGrid w:val="0"/>
                    <w:jc w:val="center"/>
                    <w:rPr>
                      <w:rFonts w:hint="default" w:ascii="Times New Roman" w:hAnsi="Times New Roman" w:eastAsia="宋体" w:cs="Times New Roman"/>
                      <w:color w:val="auto"/>
                      <w:szCs w:val="21"/>
                    </w:rPr>
                  </w:pPr>
                </w:p>
              </w:tc>
              <w:tc>
                <w:tcPr>
                  <w:tcW w:w="1226" w:type="dxa"/>
                  <w:vMerge w:val="continue"/>
                  <w:noWrap w:val="0"/>
                  <w:vAlign w:val="center"/>
                </w:tcPr>
                <w:p w14:paraId="0F5C83BB">
                  <w:pPr>
                    <w:adjustRightInd w:val="0"/>
                    <w:snapToGrid w:val="0"/>
                    <w:jc w:val="center"/>
                    <w:rPr>
                      <w:rFonts w:hint="default" w:ascii="Times New Roman" w:hAnsi="Times New Roman" w:eastAsia="宋体" w:cs="Times New Roman"/>
                      <w:color w:val="auto"/>
                      <w:szCs w:val="21"/>
                    </w:rPr>
                  </w:pPr>
                </w:p>
              </w:tc>
              <w:tc>
                <w:tcPr>
                  <w:tcW w:w="567" w:type="dxa"/>
                  <w:vMerge w:val="continue"/>
                  <w:noWrap w:val="0"/>
                  <w:vAlign w:val="center"/>
                </w:tcPr>
                <w:p w14:paraId="7DE7F83C">
                  <w:pPr>
                    <w:adjustRightInd w:val="0"/>
                    <w:snapToGrid w:val="0"/>
                    <w:jc w:val="center"/>
                    <w:rPr>
                      <w:rFonts w:hint="default" w:ascii="Times New Roman" w:hAnsi="Times New Roman" w:eastAsia="宋体" w:cs="Times New Roman"/>
                      <w:color w:val="auto"/>
                      <w:szCs w:val="21"/>
                    </w:rPr>
                  </w:pPr>
                </w:p>
              </w:tc>
              <w:tc>
                <w:tcPr>
                  <w:tcW w:w="506" w:type="dxa"/>
                  <w:vMerge w:val="continue"/>
                  <w:noWrap w:val="0"/>
                  <w:vAlign w:val="center"/>
                </w:tcPr>
                <w:p w14:paraId="618FBAE8">
                  <w:pPr>
                    <w:adjustRightInd w:val="0"/>
                    <w:snapToGrid w:val="0"/>
                    <w:jc w:val="center"/>
                    <w:rPr>
                      <w:rFonts w:hint="default" w:ascii="Times New Roman" w:hAnsi="Times New Roman" w:eastAsia="宋体" w:cs="Times New Roman"/>
                      <w:color w:val="auto"/>
                      <w:szCs w:val="21"/>
                    </w:rPr>
                  </w:pPr>
                </w:p>
              </w:tc>
              <w:tc>
                <w:tcPr>
                  <w:tcW w:w="792" w:type="dxa"/>
                  <w:noWrap w:val="0"/>
                  <w:vAlign w:val="center"/>
                </w:tcPr>
                <w:p w14:paraId="237E257B">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w:t>
                  </w:r>
                </w:p>
              </w:tc>
              <w:tc>
                <w:tcPr>
                  <w:tcW w:w="1410" w:type="dxa"/>
                  <w:noWrap w:val="0"/>
                  <w:vAlign w:val="center"/>
                </w:tcPr>
                <w:p w14:paraId="7A044246">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50</w:t>
                  </w:r>
                </w:p>
              </w:tc>
            </w:tr>
            <w:tr w14:paraId="27927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trPr>
              <w:tc>
                <w:tcPr>
                  <w:tcW w:w="327" w:type="dxa"/>
                  <w:vMerge w:val="continue"/>
                  <w:noWrap w:val="0"/>
                  <w:vAlign w:val="center"/>
                </w:tcPr>
                <w:p w14:paraId="0AA02D94">
                  <w:pPr>
                    <w:adjustRightInd w:val="0"/>
                    <w:snapToGrid w:val="0"/>
                    <w:jc w:val="center"/>
                    <w:rPr>
                      <w:rFonts w:hint="default" w:ascii="Times New Roman" w:hAnsi="Times New Roman" w:eastAsia="宋体" w:cs="Times New Roman"/>
                      <w:color w:val="auto"/>
                      <w:szCs w:val="21"/>
                    </w:rPr>
                  </w:pPr>
                </w:p>
              </w:tc>
              <w:tc>
                <w:tcPr>
                  <w:tcW w:w="584" w:type="dxa"/>
                  <w:vMerge w:val="continue"/>
                  <w:noWrap w:val="0"/>
                  <w:vAlign w:val="center"/>
                </w:tcPr>
                <w:p w14:paraId="189F4B5D">
                  <w:pPr>
                    <w:adjustRightInd w:val="0"/>
                    <w:snapToGrid w:val="0"/>
                    <w:jc w:val="center"/>
                    <w:rPr>
                      <w:rFonts w:hint="default" w:ascii="Times New Roman" w:hAnsi="Times New Roman" w:eastAsia="宋体" w:cs="Times New Roman"/>
                      <w:color w:val="auto"/>
                      <w:szCs w:val="21"/>
                    </w:rPr>
                  </w:pPr>
                </w:p>
              </w:tc>
              <w:tc>
                <w:tcPr>
                  <w:tcW w:w="808" w:type="dxa"/>
                  <w:vMerge w:val="continue"/>
                  <w:noWrap w:val="0"/>
                  <w:vAlign w:val="center"/>
                </w:tcPr>
                <w:p w14:paraId="341860E7">
                  <w:pPr>
                    <w:adjustRightInd w:val="0"/>
                    <w:snapToGrid w:val="0"/>
                    <w:jc w:val="center"/>
                    <w:rPr>
                      <w:rFonts w:hint="default" w:ascii="Times New Roman" w:hAnsi="Times New Roman" w:eastAsia="宋体" w:cs="Times New Roman"/>
                      <w:color w:val="auto"/>
                      <w:szCs w:val="21"/>
                    </w:rPr>
                  </w:pPr>
                </w:p>
              </w:tc>
              <w:tc>
                <w:tcPr>
                  <w:tcW w:w="765" w:type="dxa"/>
                  <w:vMerge w:val="continue"/>
                  <w:noWrap w:val="0"/>
                  <w:vAlign w:val="center"/>
                </w:tcPr>
                <w:p w14:paraId="7795118E">
                  <w:pPr>
                    <w:adjustRightInd w:val="0"/>
                    <w:snapToGrid w:val="0"/>
                    <w:jc w:val="center"/>
                    <w:rPr>
                      <w:rFonts w:hint="default" w:ascii="Times New Roman" w:hAnsi="Times New Roman" w:eastAsia="宋体" w:cs="Times New Roman"/>
                      <w:color w:val="auto"/>
                      <w:szCs w:val="21"/>
                    </w:rPr>
                  </w:pPr>
                </w:p>
              </w:tc>
              <w:tc>
                <w:tcPr>
                  <w:tcW w:w="766" w:type="dxa"/>
                  <w:vMerge w:val="continue"/>
                  <w:noWrap w:val="0"/>
                  <w:vAlign w:val="center"/>
                </w:tcPr>
                <w:p w14:paraId="392393EA">
                  <w:pPr>
                    <w:adjustRightInd w:val="0"/>
                    <w:snapToGrid w:val="0"/>
                    <w:jc w:val="center"/>
                    <w:rPr>
                      <w:rFonts w:hint="default" w:ascii="Times New Roman" w:hAnsi="Times New Roman" w:eastAsia="宋体" w:cs="Times New Roman"/>
                      <w:color w:val="auto"/>
                      <w:szCs w:val="21"/>
                    </w:rPr>
                  </w:pPr>
                </w:p>
              </w:tc>
              <w:tc>
                <w:tcPr>
                  <w:tcW w:w="612" w:type="dxa"/>
                  <w:vMerge w:val="continue"/>
                  <w:noWrap w:val="0"/>
                  <w:vAlign w:val="center"/>
                </w:tcPr>
                <w:p w14:paraId="5A3E0EC7">
                  <w:pPr>
                    <w:adjustRightInd w:val="0"/>
                    <w:snapToGrid w:val="0"/>
                    <w:jc w:val="center"/>
                    <w:rPr>
                      <w:rFonts w:hint="default" w:ascii="Times New Roman" w:hAnsi="Times New Roman" w:eastAsia="宋体" w:cs="Times New Roman"/>
                      <w:color w:val="auto"/>
                      <w:szCs w:val="21"/>
                    </w:rPr>
                  </w:pPr>
                </w:p>
              </w:tc>
              <w:tc>
                <w:tcPr>
                  <w:tcW w:w="1226" w:type="dxa"/>
                  <w:vMerge w:val="continue"/>
                  <w:noWrap w:val="0"/>
                  <w:vAlign w:val="center"/>
                </w:tcPr>
                <w:p w14:paraId="0D83A3DD">
                  <w:pPr>
                    <w:adjustRightInd w:val="0"/>
                    <w:snapToGrid w:val="0"/>
                    <w:jc w:val="center"/>
                    <w:rPr>
                      <w:rFonts w:hint="default" w:ascii="Times New Roman" w:hAnsi="Times New Roman" w:eastAsia="宋体" w:cs="Times New Roman"/>
                      <w:color w:val="auto"/>
                      <w:szCs w:val="21"/>
                    </w:rPr>
                  </w:pPr>
                </w:p>
              </w:tc>
              <w:tc>
                <w:tcPr>
                  <w:tcW w:w="567" w:type="dxa"/>
                  <w:vMerge w:val="continue"/>
                  <w:noWrap w:val="0"/>
                  <w:vAlign w:val="center"/>
                </w:tcPr>
                <w:p w14:paraId="2C1C8536">
                  <w:pPr>
                    <w:adjustRightInd w:val="0"/>
                    <w:snapToGrid w:val="0"/>
                    <w:jc w:val="center"/>
                    <w:rPr>
                      <w:rFonts w:hint="default" w:ascii="Times New Roman" w:hAnsi="Times New Roman" w:eastAsia="宋体" w:cs="Times New Roman"/>
                      <w:color w:val="auto"/>
                      <w:szCs w:val="21"/>
                    </w:rPr>
                  </w:pPr>
                </w:p>
              </w:tc>
              <w:tc>
                <w:tcPr>
                  <w:tcW w:w="506" w:type="dxa"/>
                  <w:vMerge w:val="continue"/>
                  <w:noWrap w:val="0"/>
                  <w:vAlign w:val="center"/>
                </w:tcPr>
                <w:p w14:paraId="3DE2C214">
                  <w:pPr>
                    <w:adjustRightInd w:val="0"/>
                    <w:snapToGrid w:val="0"/>
                    <w:jc w:val="center"/>
                    <w:rPr>
                      <w:rFonts w:hint="default" w:ascii="Times New Roman" w:hAnsi="Times New Roman" w:eastAsia="宋体" w:cs="Times New Roman"/>
                      <w:color w:val="auto"/>
                      <w:szCs w:val="21"/>
                    </w:rPr>
                  </w:pPr>
                </w:p>
              </w:tc>
              <w:tc>
                <w:tcPr>
                  <w:tcW w:w="792" w:type="dxa"/>
                  <w:noWrap w:val="0"/>
                  <w:vAlign w:val="center"/>
                </w:tcPr>
                <w:p w14:paraId="60D91DE3">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NH</w:t>
                  </w:r>
                  <w:r>
                    <w:rPr>
                      <w:rFonts w:hint="default" w:ascii="Times New Roman" w:hAnsi="Times New Roman" w:eastAsia="宋体" w:cs="Times New Roman"/>
                      <w:color w:val="auto"/>
                      <w:szCs w:val="21"/>
                      <w:vertAlign w:val="subscript"/>
                    </w:rPr>
                    <w:t>3</w:t>
                  </w:r>
                  <w:r>
                    <w:rPr>
                      <w:rFonts w:hint="default" w:ascii="Times New Roman" w:hAnsi="Times New Roman" w:eastAsia="宋体" w:cs="Times New Roman"/>
                      <w:color w:val="auto"/>
                      <w:szCs w:val="21"/>
                    </w:rPr>
                    <w:t>-H</w:t>
                  </w:r>
                </w:p>
              </w:tc>
              <w:tc>
                <w:tcPr>
                  <w:tcW w:w="1410" w:type="dxa"/>
                  <w:noWrap w:val="0"/>
                  <w:vAlign w:val="center"/>
                </w:tcPr>
                <w:p w14:paraId="724DB8CC">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4（6）</w:t>
                  </w:r>
                </w:p>
              </w:tc>
            </w:tr>
            <w:tr w14:paraId="0DAE0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trPr>
              <w:tc>
                <w:tcPr>
                  <w:tcW w:w="327" w:type="dxa"/>
                  <w:vMerge w:val="continue"/>
                  <w:noWrap w:val="0"/>
                  <w:vAlign w:val="center"/>
                </w:tcPr>
                <w:p w14:paraId="723012AF">
                  <w:pPr>
                    <w:adjustRightInd w:val="0"/>
                    <w:snapToGrid w:val="0"/>
                    <w:jc w:val="center"/>
                    <w:rPr>
                      <w:rFonts w:hint="default" w:ascii="Times New Roman" w:hAnsi="Times New Roman" w:eastAsia="宋体" w:cs="Times New Roman"/>
                      <w:color w:val="auto"/>
                      <w:szCs w:val="21"/>
                    </w:rPr>
                  </w:pPr>
                </w:p>
              </w:tc>
              <w:tc>
                <w:tcPr>
                  <w:tcW w:w="584" w:type="dxa"/>
                  <w:vMerge w:val="continue"/>
                  <w:noWrap w:val="0"/>
                  <w:vAlign w:val="center"/>
                </w:tcPr>
                <w:p w14:paraId="474B6E97">
                  <w:pPr>
                    <w:adjustRightInd w:val="0"/>
                    <w:snapToGrid w:val="0"/>
                    <w:jc w:val="center"/>
                    <w:rPr>
                      <w:rFonts w:hint="default" w:ascii="Times New Roman" w:hAnsi="Times New Roman" w:eastAsia="宋体" w:cs="Times New Roman"/>
                      <w:color w:val="auto"/>
                      <w:szCs w:val="21"/>
                    </w:rPr>
                  </w:pPr>
                </w:p>
              </w:tc>
              <w:tc>
                <w:tcPr>
                  <w:tcW w:w="808" w:type="dxa"/>
                  <w:vMerge w:val="continue"/>
                  <w:noWrap w:val="0"/>
                  <w:vAlign w:val="center"/>
                </w:tcPr>
                <w:p w14:paraId="72F3313A">
                  <w:pPr>
                    <w:adjustRightInd w:val="0"/>
                    <w:snapToGrid w:val="0"/>
                    <w:jc w:val="center"/>
                    <w:rPr>
                      <w:rFonts w:hint="default" w:ascii="Times New Roman" w:hAnsi="Times New Roman" w:eastAsia="宋体" w:cs="Times New Roman"/>
                      <w:color w:val="auto"/>
                      <w:szCs w:val="21"/>
                    </w:rPr>
                  </w:pPr>
                </w:p>
              </w:tc>
              <w:tc>
                <w:tcPr>
                  <w:tcW w:w="765" w:type="dxa"/>
                  <w:vMerge w:val="continue"/>
                  <w:noWrap w:val="0"/>
                  <w:vAlign w:val="center"/>
                </w:tcPr>
                <w:p w14:paraId="23F7A519">
                  <w:pPr>
                    <w:adjustRightInd w:val="0"/>
                    <w:snapToGrid w:val="0"/>
                    <w:jc w:val="center"/>
                    <w:rPr>
                      <w:rFonts w:hint="default" w:ascii="Times New Roman" w:hAnsi="Times New Roman" w:eastAsia="宋体" w:cs="Times New Roman"/>
                      <w:color w:val="auto"/>
                      <w:szCs w:val="21"/>
                    </w:rPr>
                  </w:pPr>
                </w:p>
              </w:tc>
              <w:tc>
                <w:tcPr>
                  <w:tcW w:w="766" w:type="dxa"/>
                  <w:vMerge w:val="continue"/>
                  <w:noWrap w:val="0"/>
                  <w:vAlign w:val="center"/>
                </w:tcPr>
                <w:p w14:paraId="48B98DFE">
                  <w:pPr>
                    <w:adjustRightInd w:val="0"/>
                    <w:snapToGrid w:val="0"/>
                    <w:jc w:val="center"/>
                    <w:rPr>
                      <w:rFonts w:hint="default" w:ascii="Times New Roman" w:hAnsi="Times New Roman" w:eastAsia="宋体" w:cs="Times New Roman"/>
                      <w:color w:val="auto"/>
                      <w:szCs w:val="21"/>
                    </w:rPr>
                  </w:pPr>
                </w:p>
              </w:tc>
              <w:tc>
                <w:tcPr>
                  <w:tcW w:w="612" w:type="dxa"/>
                  <w:vMerge w:val="continue"/>
                  <w:noWrap w:val="0"/>
                  <w:vAlign w:val="center"/>
                </w:tcPr>
                <w:p w14:paraId="703CD54D">
                  <w:pPr>
                    <w:adjustRightInd w:val="0"/>
                    <w:snapToGrid w:val="0"/>
                    <w:jc w:val="center"/>
                    <w:rPr>
                      <w:rFonts w:hint="default" w:ascii="Times New Roman" w:hAnsi="Times New Roman" w:eastAsia="宋体" w:cs="Times New Roman"/>
                      <w:color w:val="auto"/>
                      <w:szCs w:val="21"/>
                    </w:rPr>
                  </w:pPr>
                </w:p>
              </w:tc>
              <w:tc>
                <w:tcPr>
                  <w:tcW w:w="1226" w:type="dxa"/>
                  <w:vMerge w:val="continue"/>
                  <w:noWrap w:val="0"/>
                  <w:vAlign w:val="center"/>
                </w:tcPr>
                <w:p w14:paraId="37CE4835">
                  <w:pPr>
                    <w:adjustRightInd w:val="0"/>
                    <w:snapToGrid w:val="0"/>
                    <w:jc w:val="center"/>
                    <w:rPr>
                      <w:rFonts w:hint="default" w:ascii="Times New Roman" w:hAnsi="Times New Roman" w:eastAsia="宋体" w:cs="Times New Roman"/>
                      <w:color w:val="auto"/>
                      <w:szCs w:val="21"/>
                    </w:rPr>
                  </w:pPr>
                </w:p>
              </w:tc>
              <w:tc>
                <w:tcPr>
                  <w:tcW w:w="567" w:type="dxa"/>
                  <w:vMerge w:val="continue"/>
                  <w:noWrap w:val="0"/>
                  <w:vAlign w:val="center"/>
                </w:tcPr>
                <w:p w14:paraId="67ACD5EC">
                  <w:pPr>
                    <w:adjustRightInd w:val="0"/>
                    <w:snapToGrid w:val="0"/>
                    <w:jc w:val="center"/>
                    <w:rPr>
                      <w:rFonts w:hint="default" w:ascii="Times New Roman" w:hAnsi="Times New Roman" w:eastAsia="宋体" w:cs="Times New Roman"/>
                      <w:color w:val="auto"/>
                      <w:szCs w:val="21"/>
                    </w:rPr>
                  </w:pPr>
                </w:p>
              </w:tc>
              <w:tc>
                <w:tcPr>
                  <w:tcW w:w="506" w:type="dxa"/>
                  <w:vMerge w:val="continue"/>
                  <w:noWrap w:val="0"/>
                  <w:vAlign w:val="center"/>
                </w:tcPr>
                <w:p w14:paraId="6F75611D">
                  <w:pPr>
                    <w:adjustRightInd w:val="0"/>
                    <w:snapToGrid w:val="0"/>
                    <w:jc w:val="center"/>
                    <w:rPr>
                      <w:rFonts w:hint="default" w:ascii="Times New Roman" w:hAnsi="Times New Roman" w:eastAsia="宋体" w:cs="Times New Roman"/>
                      <w:color w:val="auto"/>
                      <w:szCs w:val="21"/>
                    </w:rPr>
                  </w:pPr>
                </w:p>
              </w:tc>
              <w:tc>
                <w:tcPr>
                  <w:tcW w:w="792" w:type="dxa"/>
                  <w:noWrap w:val="0"/>
                  <w:vAlign w:val="center"/>
                </w:tcPr>
                <w:p w14:paraId="6B4EC0E4">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TP</w:t>
                  </w:r>
                </w:p>
              </w:tc>
              <w:tc>
                <w:tcPr>
                  <w:tcW w:w="1410" w:type="dxa"/>
                  <w:noWrap w:val="0"/>
                  <w:vAlign w:val="center"/>
                </w:tcPr>
                <w:p w14:paraId="76C6191A">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0.5</w:t>
                  </w:r>
                </w:p>
              </w:tc>
            </w:tr>
            <w:tr w14:paraId="7C763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170" w:hRule="atLeast"/>
              </w:trPr>
              <w:tc>
                <w:tcPr>
                  <w:tcW w:w="327" w:type="dxa"/>
                  <w:vMerge w:val="continue"/>
                  <w:noWrap w:val="0"/>
                  <w:vAlign w:val="center"/>
                </w:tcPr>
                <w:p w14:paraId="32143F65">
                  <w:pPr>
                    <w:adjustRightInd w:val="0"/>
                    <w:snapToGrid w:val="0"/>
                    <w:jc w:val="center"/>
                    <w:rPr>
                      <w:rFonts w:hint="default" w:ascii="Times New Roman" w:hAnsi="Times New Roman" w:eastAsia="宋体" w:cs="Times New Roman"/>
                      <w:color w:val="auto"/>
                      <w:szCs w:val="21"/>
                    </w:rPr>
                  </w:pPr>
                </w:p>
              </w:tc>
              <w:tc>
                <w:tcPr>
                  <w:tcW w:w="584" w:type="dxa"/>
                  <w:vMerge w:val="continue"/>
                  <w:noWrap w:val="0"/>
                  <w:vAlign w:val="center"/>
                </w:tcPr>
                <w:p w14:paraId="6D8A5AAF">
                  <w:pPr>
                    <w:adjustRightInd w:val="0"/>
                    <w:snapToGrid w:val="0"/>
                    <w:jc w:val="center"/>
                    <w:rPr>
                      <w:rFonts w:hint="default" w:ascii="Times New Roman" w:hAnsi="Times New Roman" w:eastAsia="宋体" w:cs="Times New Roman"/>
                      <w:color w:val="auto"/>
                      <w:szCs w:val="21"/>
                    </w:rPr>
                  </w:pPr>
                </w:p>
              </w:tc>
              <w:tc>
                <w:tcPr>
                  <w:tcW w:w="808" w:type="dxa"/>
                  <w:vMerge w:val="continue"/>
                  <w:noWrap w:val="0"/>
                  <w:vAlign w:val="center"/>
                </w:tcPr>
                <w:p w14:paraId="28FCB646">
                  <w:pPr>
                    <w:adjustRightInd w:val="0"/>
                    <w:snapToGrid w:val="0"/>
                    <w:jc w:val="center"/>
                    <w:rPr>
                      <w:rFonts w:hint="default" w:ascii="Times New Roman" w:hAnsi="Times New Roman" w:eastAsia="宋体" w:cs="Times New Roman"/>
                      <w:color w:val="auto"/>
                      <w:szCs w:val="21"/>
                    </w:rPr>
                  </w:pPr>
                </w:p>
              </w:tc>
              <w:tc>
                <w:tcPr>
                  <w:tcW w:w="765" w:type="dxa"/>
                  <w:vMerge w:val="continue"/>
                  <w:noWrap w:val="0"/>
                  <w:vAlign w:val="center"/>
                </w:tcPr>
                <w:p w14:paraId="6CE04CA2">
                  <w:pPr>
                    <w:adjustRightInd w:val="0"/>
                    <w:snapToGrid w:val="0"/>
                    <w:jc w:val="center"/>
                    <w:rPr>
                      <w:rFonts w:hint="default" w:ascii="Times New Roman" w:hAnsi="Times New Roman" w:eastAsia="宋体" w:cs="Times New Roman"/>
                      <w:color w:val="auto"/>
                      <w:szCs w:val="21"/>
                    </w:rPr>
                  </w:pPr>
                </w:p>
              </w:tc>
              <w:tc>
                <w:tcPr>
                  <w:tcW w:w="766" w:type="dxa"/>
                  <w:vMerge w:val="continue"/>
                  <w:noWrap w:val="0"/>
                  <w:vAlign w:val="center"/>
                </w:tcPr>
                <w:p w14:paraId="093F047C">
                  <w:pPr>
                    <w:adjustRightInd w:val="0"/>
                    <w:snapToGrid w:val="0"/>
                    <w:jc w:val="center"/>
                    <w:rPr>
                      <w:rFonts w:hint="default" w:ascii="Times New Roman" w:hAnsi="Times New Roman" w:eastAsia="宋体" w:cs="Times New Roman"/>
                      <w:color w:val="auto"/>
                      <w:szCs w:val="21"/>
                    </w:rPr>
                  </w:pPr>
                </w:p>
              </w:tc>
              <w:tc>
                <w:tcPr>
                  <w:tcW w:w="612" w:type="dxa"/>
                  <w:vMerge w:val="continue"/>
                  <w:noWrap w:val="0"/>
                  <w:vAlign w:val="center"/>
                </w:tcPr>
                <w:p w14:paraId="5DF2DF01">
                  <w:pPr>
                    <w:adjustRightInd w:val="0"/>
                    <w:snapToGrid w:val="0"/>
                    <w:jc w:val="center"/>
                    <w:rPr>
                      <w:rFonts w:hint="default" w:ascii="Times New Roman" w:hAnsi="Times New Roman" w:eastAsia="宋体" w:cs="Times New Roman"/>
                      <w:color w:val="auto"/>
                      <w:szCs w:val="21"/>
                    </w:rPr>
                  </w:pPr>
                </w:p>
              </w:tc>
              <w:tc>
                <w:tcPr>
                  <w:tcW w:w="1226" w:type="dxa"/>
                  <w:vMerge w:val="continue"/>
                  <w:noWrap w:val="0"/>
                  <w:vAlign w:val="center"/>
                </w:tcPr>
                <w:p w14:paraId="17358A28">
                  <w:pPr>
                    <w:adjustRightInd w:val="0"/>
                    <w:snapToGrid w:val="0"/>
                    <w:jc w:val="center"/>
                    <w:rPr>
                      <w:rFonts w:hint="default" w:ascii="Times New Roman" w:hAnsi="Times New Roman" w:eastAsia="宋体" w:cs="Times New Roman"/>
                      <w:color w:val="auto"/>
                      <w:szCs w:val="21"/>
                    </w:rPr>
                  </w:pPr>
                </w:p>
              </w:tc>
              <w:tc>
                <w:tcPr>
                  <w:tcW w:w="567" w:type="dxa"/>
                  <w:vMerge w:val="continue"/>
                  <w:noWrap w:val="0"/>
                  <w:vAlign w:val="center"/>
                </w:tcPr>
                <w:p w14:paraId="63EDAB8D">
                  <w:pPr>
                    <w:adjustRightInd w:val="0"/>
                    <w:snapToGrid w:val="0"/>
                    <w:jc w:val="center"/>
                    <w:rPr>
                      <w:rFonts w:hint="default" w:ascii="Times New Roman" w:hAnsi="Times New Roman" w:eastAsia="宋体" w:cs="Times New Roman"/>
                      <w:color w:val="auto"/>
                      <w:szCs w:val="21"/>
                    </w:rPr>
                  </w:pPr>
                </w:p>
              </w:tc>
              <w:tc>
                <w:tcPr>
                  <w:tcW w:w="506" w:type="dxa"/>
                  <w:vMerge w:val="continue"/>
                  <w:noWrap w:val="0"/>
                  <w:vAlign w:val="center"/>
                </w:tcPr>
                <w:p w14:paraId="338CA3A3">
                  <w:pPr>
                    <w:adjustRightInd w:val="0"/>
                    <w:snapToGrid w:val="0"/>
                    <w:jc w:val="center"/>
                    <w:rPr>
                      <w:rFonts w:hint="default" w:ascii="Times New Roman" w:hAnsi="Times New Roman" w:eastAsia="宋体" w:cs="Times New Roman"/>
                      <w:color w:val="auto"/>
                      <w:szCs w:val="21"/>
                    </w:rPr>
                  </w:pPr>
                </w:p>
              </w:tc>
              <w:tc>
                <w:tcPr>
                  <w:tcW w:w="792" w:type="dxa"/>
                  <w:noWrap w:val="0"/>
                  <w:vAlign w:val="center"/>
                </w:tcPr>
                <w:p w14:paraId="6F4CC59F">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TN</w:t>
                  </w:r>
                </w:p>
              </w:tc>
              <w:tc>
                <w:tcPr>
                  <w:tcW w:w="1410" w:type="dxa"/>
                  <w:noWrap w:val="0"/>
                  <w:vAlign w:val="center"/>
                </w:tcPr>
                <w:p w14:paraId="167828D7">
                  <w:pPr>
                    <w:adjustRightInd w:val="0"/>
                    <w:snapToGrid w:val="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12（15）</w:t>
                  </w:r>
                </w:p>
              </w:tc>
            </w:tr>
          </w:tbl>
          <w:p w14:paraId="5B1C3A92">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eastAsia="宋体" w:cs="Times New Roman"/>
                <w:b w:val="0"/>
                <w:bCs/>
                <w:color w:val="auto"/>
                <w:spacing w:val="-10"/>
                <w:sz w:val="21"/>
                <w:szCs w:val="18"/>
              </w:rPr>
            </w:pPr>
            <w:r>
              <w:rPr>
                <w:rFonts w:hint="default" w:ascii="Times New Roman" w:hAnsi="Times New Roman" w:eastAsia="宋体" w:cs="Times New Roman"/>
                <w:b w:val="0"/>
                <w:bCs/>
                <w:color w:val="auto"/>
                <w:spacing w:val="-10"/>
                <w:sz w:val="21"/>
                <w:szCs w:val="18"/>
              </w:rPr>
              <w:t>注：括号外数值为水温＞12℃时的控制指标，括号内数值为水温≤12℃时的控制指标。</w:t>
            </w:r>
          </w:p>
          <w:p w14:paraId="4F3D94FB">
            <w:pPr>
              <w:spacing w:before="156" w:beforeLines="50"/>
              <w:jc w:val="center"/>
              <w:rPr>
                <w:b/>
                <w:bCs/>
                <w:color w:val="auto"/>
                <w:sz w:val="21"/>
                <w:szCs w:val="21"/>
              </w:rPr>
            </w:pPr>
            <w:r>
              <w:rPr>
                <w:b/>
                <w:bCs/>
                <w:color w:val="auto"/>
                <w:sz w:val="21"/>
                <w:szCs w:val="21"/>
              </w:rPr>
              <w:t>表</w:t>
            </w:r>
            <w:r>
              <w:rPr>
                <w:rFonts w:hint="default" w:ascii="Times New Roman" w:hAnsi="Times New Roman" w:eastAsia="宋体" w:cs="Times New Roman"/>
                <w:b/>
                <w:color w:val="auto"/>
                <w:sz w:val="21"/>
                <w:szCs w:val="21"/>
              </w:rPr>
              <w:t>4-</w:t>
            </w:r>
            <w:r>
              <w:rPr>
                <w:rFonts w:hint="eastAsia" w:cs="Times New Roman"/>
                <w:b/>
                <w:color w:val="auto"/>
                <w:sz w:val="21"/>
                <w:szCs w:val="21"/>
                <w:lang w:val="en-US" w:eastAsia="zh-CN"/>
              </w:rPr>
              <w:t xml:space="preserve">11 </w:t>
            </w:r>
            <w:r>
              <w:rPr>
                <w:b/>
                <w:bCs/>
                <w:color w:val="auto"/>
                <w:sz w:val="21"/>
                <w:szCs w:val="21"/>
              </w:rPr>
              <w:t>废水污染物排放信息表</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9"/>
              <w:gridCol w:w="1072"/>
              <w:gridCol w:w="1351"/>
              <w:gridCol w:w="1922"/>
              <w:gridCol w:w="1800"/>
              <w:gridCol w:w="1801"/>
            </w:tblGrid>
            <w:tr w14:paraId="41308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23" w:type="pct"/>
                  <w:noWrap w:val="0"/>
                  <w:vAlign w:val="center"/>
                </w:tcPr>
                <w:p w14:paraId="4101B9D7">
                  <w:pPr>
                    <w:pStyle w:val="54"/>
                    <w:rPr>
                      <w:rFonts w:ascii="Times New Roman"/>
                      <w:color w:val="auto"/>
                      <w:sz w:val="21"/>
                      <w:szCs w:val="21"/>
                    </w:rPr>
                  </w:pPr>
                  <w:r>
                    <w:rPr>
                      <w:rFonts w:ascii="Times New Roman"/>
                      <w:color w:val="auto"/>
                      <w:sz w:val="21"/>
                      <w:szCs w:val="21"/>
                    </w:rPr>
                    <w:t>序号</w:t>
                  </w:r>
                </w:p>
              </w:tc>
              <w:tc>
                <w:tcPr>
                  <w:tcW w:w="630" w:type="pct"/>
                  <w:noWrap w:val="0"/>
                  <w:vAlign w:val="center"/>
                </w:tcPr>
                <w:p w14:paraId="76AECF22">
                  <w:pPr>
                    <w:pStyle w:val="54"/>
                    <w:rPr>
                      <w:rFonts w:ascii="Times New Roman"/>
                      <w:color w:val="auto"/>
                      <w:sz w:val="21"/>
                      <w:szCs w:val="21"/>
                    </w:rPr>
                  </w:pPr>
                  <w:r>
                    <w:rPr>
                      <w:rFonts w:ascii="Times New Roman"/>
                      <w:color w:val="auto"/>
                      <w:sz w:val="21"/>
                      <w:szCs w:val="21"/>
                    </w:rPr>
                    <w:t>排放口编号</w:t>
                  </w:r>
                </w:p>
              </w:tc>
              <w:tc>
                <w:tcPr>
                  <w:tcW w:w="795" w:type="pct"/>
                  <w:noWrap w:val="0"/>
                  <w:vAlign w:val="center"/>
                </w:tcPr>
                <w:p w14:paraId="31A40DAF">
                  <w:pPr>
                    <w:pStyle w:val="54"/>
                    <w:rPr>
                      <w:rFonts w:ascii="Times New Roman"/>
                      <w:color w:val="auto"/>
                      <w:sz w:val="21"/>
                      <w:szCs w:val="21"/>
                    </w:rPr>
                  </w:pPr>
                  <w:r>
                    <w:rPr>
                      <w:rFonts w:ascii="Times New Roman"/>
                      <w:color w:val="auto"/>
                      <w:sz w:val="21"/>
                      <w:szCs w:val="21"/>
                    </w:rPr>
                    <w:t>污染物种类</w:t>
                  </w:r>
                </w:p>
              </w:tc>
              <w:tc>
                <w:tcPr>
                  <w:tcW w:w="1131" w:type="pct"/>
                  <w:noWrap w:val="0"/>
                  <w:vAlign w:val="center"/>
                </w:tcPr>
                <w:p w14:paraId="2F644600">
                  <w:pPr>
                    <w:pStyle w:val="54"/>
                    <w:rPr>
                      <w:rFonts w:ascii="Times New Roman"/>
                      <w:color w:val="auto"/>
                      <w:sz w:val="21"/>
                      <w:szCs w:val="21"/>
                    </w:rPr>
                  </w:pPr>
                  <w:r>
                    <w:rPr>
                      <w:rFonts w:ascii="Times New Roman"/>
                      <w:color w:val="auto"/>
                      <w:sz w:val="21"/>
                      <w:szCs w:val="21"/>
                    </w:rPr>
                    <w:t>排放浓度(mg/L)</w:t>
                  </w:r>
                </w:p>
              </w:tc>
              <w:tc>
                <w:tcPr>
                  <w:tcW w:w="1059" w:type="pct"/>
                  <w:noWrap w:val="0"/>
                  <w:vAlign w:val="center"/>
                </w:tcPr>
                <w:p w14:paraId="2C133F87">
                  <w:pPr>
                    <w:pStyle w:val="54"/>
                    <w:rPr>
                      <w:rFonts w:ascii="Times New Roman"/>
                      <w:color w:val="auto"/>
                      <w:sz w:val="21"/>
                      <w:szCs w:val="21"/>
                    </w:rPr>
                  </w:pPr>
                  <w:r>
                    <w:rPr>
                      <w:rFonts w:ascii="Times New Roman"/>
                      <w:color w:val="auto"/>
                      <w:sz w:val="21"/>
                      <w:szCs w:val="21"/>
                    </w:rPr>
                    <w:t>日排放量（kg/d）</w:t>
                  </w:r>
                </w:p>
              </w:tc>
              <w:tc>
                <w:tcPr>
                  <w:tcW w:w="1060" w:type="pct"/>
                  <w:noWrap w:val="0"/>
                  <w:vAlign w:val="center"/>
                </w:tcPr>
                <w:p w14:paraId="46B54290">
                  <w:pPr>
                    <w:pStyle w:val="54"/>
                    <w:rPr>
                      <w:rFonts w:ascii="Times New Roman"/>
                      <w:color w:val="auto"/>
                      <w:sz w:val="21"/>
                      <w:szCs w:val="21"/>
                    </w:rPr>
                  </w:pPr>
                  <w:r>
                    <w:rPr>
                      <w:rFonts w:ascii="Times New Roman"/>
                      <w:color w:val="auto"/>
                      <w:sz w:val="21"/>
                      <w:szCs w:val="21"/>
                    </w:rPr>
                    <w:t>年排放量（t/a）</w:t>
                  </w:r>
                </w:p>
              </w:tc>
            </w:tr>
            <w:tr w14:paraId="7B962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restart"/>
                  <w:noWrap w:val="0"/>
                  <w:vAlign w:val="center"/>
                </w:tcPr>
                <w:p w14:paraId="657D02ED">
                  <w:pPr>
                    <w:pStyle w:val="54"/>
                    <w:rPr>
                      <w:rFonts w:hint="eastAsia" w:ascii="Times New Roman" w:eastAsia="宋体"/>
                      <w:color w:val="auto"/>
                      <w:sz w:val="21"/>
                      <w:szCs w:val="21"/>
                      <w:lang w:val="en-US" w:eastAsia="zh-CN"/>
                    </w:rPr>
                  </w:pPr>
                  <w:r>
                    <w:rPr>
                      <w:rFonts w:hint="eastAsia" w:ascii="Times New Roman"/>
                      <w:color w:val="auto"/>
                      <w:sz w:val="21"/>
                      <w:szCs w:val="21"/>
                      <w:lang w:val="en-US" w:eastAsia="zh-CN"/>
                    </w:rPr>
                    <w:t>1</w:t>
                  </w:r>
                </w:p>
              </w:tc>
              <w:tc>
                <w:tcPr>
                  <w:tcW w:w="630" w:type="pct"/>
                  <w:vMerge w:val="restart"/>
                  <w:noWrap w:val="0"/>
                  <w:vAlign w:val="center"/>
                </w:tcPr>
                <w:p w14:paraId="73C236D1">
                  <w:pPr>
                    <w:pStyle w:val="54"/>
                    <w:rPr>
                      <w:rFonts w:ascii="Times New Roman"/>
                      <w:color w:val="auto"/>
                      <w:sz w:val="21"/>
                      <w:szCs w:val="21"/>
                    </w:rPr>
                  </w:pPr>
                  <w:r>
                    <w:rPr>
                      <w:rFonts w:ascii="Times New Roman"/>
                      <w:color w:val="auto"/>
                      <w:sz w:val="21"/>
                      <w:szCs w:val="21"/>
                    </w:rPr>
                    <w:t>DW001</w:t>
                  </w:r>
                </w:p>
              </w:tc>
              <w:tc>
                <w:tcPr>
                  <w:tcW w:w="795" w:type="pct"/>
                  <w:noWrap w:val="0"/>
                  <w:vAlign w:val="center"/>
                </w:tcPr>
                <w:p w14:paraId="7C61BC8B">
                  <w:pPr>
                    <w:jc w:val="center"/>
                    <w:rPr>
                      <w:color w:val="auto"/>
                      <w:sz w:val="21"/>
                      <w:szCs w:val="21"/>
                    </w:rPr>
                  </w:pPr>
                  <w:r>
                    <w:rPr>
                      <w:rFonts w:hint="default" w:ascii="Times New Roman" w:hAnsi="Times New Roman" w:eastAsia="宋体" w:cs="Times New Roman"/>
                      <w:bCs/>
                      <w:color w:val="auto"/>
                      <w:sz w:val="21"/>
                      <w:szCs w:val="21"/>
                    </w:rPr>
                    <w:t>COD</w:t>
                  </w:r>
                </w:p>
              </w:tc>
              <w:tc>
                <w:tcPr>
                  <w:tcW w:w="1131" w:type="pct"/>
                  <w:noWrap w:val="0"/>
                  <w:vAlign w:val="center"/>
                </w:tcPr>
                <w:p w14:paraId="363AFD8A">
                  <w:pPr>
                    <w:widowControl/>
                    <w:jc w:val="center"/>
                    <w:textAlignment w:val="center"/>
                    <w:rPr>
                      <w:color w:val="auto"/>
                      <w:sz w:val="21"/>
                      <w:szCs w:val="21"/>
                    </w:rPr>
                  </w:pPr>
                  <w:r>
                    <w:rPr>
                      <w:rFonts w:hint="eastAsia" w:cs="Times New Roman"/>
                      <w:b w:val="0"/>
                      <w:bCs/>
                      <w:color w:val="auto"/>
                      <w:kern w:val="0"/>
                      <w:sz w:val="21"/>
                      <w:szCs w:val="21"/>
                      <w:lang w:val="en-US" w:eastAsia="zh-CN" w:bidi="ar"/>
                    </w:rPr>
                    <w:t>300</w:t>
                  </w:r>
                </w:p>
              </w:tc>
              <w:tc>
                <w:tcPr>
                  <w:tcW w:w="1059" w:type="pct"/>
                  <w:noWrap w:val="0"/>
                  <w:vAlign w:val="center"/>
                </w:tcPr>
                <w:p w14:paraId="02167D90">
                  <w:pPr>
                    <w:widowControl/>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cs="Times New Roman"/>
                      <w:b w:val="0"/>
                      <w:bCs/>
                      <w:color w:val="auto"/>
                      <w:kern w:val="0"/>
                      <w:sz w:val="21"/>
                      <w:szCs w:val="21"/>
                      <w:lang w:val="en-US" w:eastAsia="zh-CN" w:bidi="ar"/>
                    </w:rPr>
                    <w:t>0.48</w:t>
                  </w:r>
                  <w:r>
                    <w:rPr>
                      <w:rFonts w:hint="eastAsia" w:ascii="Times New Roman" w:hAnsi="Times New Roman" w:eastAsia="宋体" w:cs="Times New Roman"/>
                      <w:b w:val="0"/>
                      <w:bCs/>
                      <w:color w:val="auto"/>
                      <w:kern w:val="0"/>
                      <w:sz w:val="21"/>
                      <w:szCs w:val="21"/>
                      <w:lang w:val="en-US" w:eastAsia="zh-CN" w:bidi="ar"/>
                    </w:rPr>
                    <w:t xml:space="preserve"> </w:t>
                  </w:r>
                </w:p>
              </w:tc>
              <w:tc>
                <w:tcPr>
                  <w:tcW w:w="1801" w:type="dxa"/>
                  <w:noWrap w:val="0"/>
                  <w:vAlign w:val="center"/>
                </w:tcPr>
                <w:p w14:paraId="02B7E66C">
                  <w:pPr>
                    <w:widowControl/>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cs="Times New Roman"/>
                      <w:b w:val="0"/>
                      <w:bCs/>
                      <w:color w:val="auto"/>
                      <w:kern w:val="0"/>
                      <w:sz w:val="21"/>
                      <w:szCs w:val="21"/>
                      <w:lang w:val="en-US" w:eastAsia="zh-CN" w:bidi="ar"/>
                    </w:rPr>
                    <w:t>0.144</w:t>
                  </w:r>
                </w:p>
              </w:tc>
            </w:tr>
            <w:tr w14:paraId="095C5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continue"/>
                  <w:noWrap w:val="0"/>
                  <w:vAlign w:val="center"/>
                </w:tcPr>
                <w:p w14:paraId="49794DBE">
                  <w:pPr>
                    <w:pStyle w:val="54"/>
                    <w:rPr>
                      <w:rFonts w:ascii="Times New Roman"/>
                      <w:color w:val="auto"/>
                      <w:sz w:val="21"/>
                      <w:szCs w:val="21"/>
                    </w:rPr>
                  </w:pPr>
                </w:p>
              </w:tc>
              <w:tc>
                <w:tcPr>
                  <w:tcW w:w="630" w:type="pct"/>
                  <w:vMerge w:val="continue"/>
                  <w:noWrap w:val="0"/>
                  <w:vAlign w:val="center"/>
                </w:tcPr>
                <w:p w14:paraId="327FE3D4">
                  <w:pPr>
                    <w:pStyle w:val="54"/>
                    <w:rPr>
                      <w:rFonts w:ascii="Times New Roman"/>
                      <w:color w:val="auto"/>
                      <w:sz w:val="21"/>
                      <w:szCs w:val="21"/>
                    </w:rPr>
                  </w:pPr>
                </w:p>
              </w:tc>
              <w:tc>
                <w:tcPr>
                  <w:tcW w:w="795" w:type="pct"/>
                  <w:noWrap w:val="0"/>
                  <w:vAlign w:val="center"/>
                </w:tcPr>
                <w:p w14:paraId="77C86CF7">
                  <w:pPr>
                    <w:jc w:val="center"/>
                    <w:rPr>
                      <w:color w:val="auto"/>
                      <w:sz w:val="21"/>
                      <w:szCs w:val="21"/>
                    </w:rPr>
                  </w:pPr>
                  <w:r>
                    <w:rPr>
                      <w:rFonts w:hint="default" w:ascii="Times New Roman" w:hAnsi="Times New Roman" w:eastAsia="宋体" w:cs="Times New Roman"/>
                      <w:bCs/>
                      <w:color w:val="auto"/>
                      <w:sz w:val="21"/>
                      <w:szCs w:val="21"/>
                    </w:rPr>
                    <w:t>SS</w:t>
                  </w:r>
                </w:p>
              </w:tc>
              <w:tc>
                <w:tcPr>
                  <w:tcW w:w="1131" w:type="pct"/>
                  <w:noWrap w:val="0"/>
                  <w:vAlign w:val="center"/>
                </w:tcPr>
                <w:p w14:paraId="33160317">
                  <w:pPr>
                    <w:widowControl/>
                    <w:jc w:val="center"/>
                    <w:textAlignment w:val="center"/>
                    <w:rPr>
                      <w:color w:val="auto"/>
                      <w:sz w:val="21"/>
                      <w:szCs w:val="21"/>
                    </w:rPr>
                  </w:pPr>
                  <w:r>
                    <w:rPr>
                      <w:rFonts w:hint="eastAsia" w:cs="Times New Roman"/>
                      <w:b w:val="0"/>
                      <w:bCs/>
                      <w:color w:val="auto"/>
                      <w:kern w:val="0"/>
                      <w:sz w:val="21"/>
                      <w:szCs w:val="21"/>
                      <w:lang w:val="en-US" w:eastAsia="zh-CN" w:bidi="ar"/>
                    </w:rPr>
                    <w:t>200</w:t>
                  </w:r>
                </w:p>
              </w:tc>
              <w:tc>
                <w:tcPr>
                  <w:tcW w:w="1059" w:type="pct"/>
                  <w:noWrap w:val="0"/>
                  <w:vAlign w:val="center"/>
                </w:tcPr>
                <w:p w14:paraId="2A9FD221">
                  <w:pPr>
                    <w:widowControl/>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cs="Times New Roman"/>
                      <w:b w:val="0"/>
                      <w:bCs/>
                      <w:color w:val="auto"/>
                      <w:kern w:val="0"/>
                      <w:sz w:val="21"/>
                      <w:szCs w:val="21"/>
                      <w:lang w:val="en-US" w:eastAsia="zh-CN" w:bidi="ar"/>
                    </w:rPr>
                    <w:t>0.32</w:t>
                  </w:r>
                </w:p>
              </w:tc>
              <w:tc>
                <w:tcPr>
                  <w:tcW w:w="1801" w:type="dxa"/>
                  <w:noWrap w:val="0"/>
                  <w:vAlign w:val="center"/>
                </w:tcPr>
                <w:p w14:paraId="3014C897">
                  <w:pPr>
                    <w:widowControl/>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cs="Times New Roman"/>
                      <w:b w:val="0"/>
                      <w:bCs/>
                      <w:color w:val="auto"/>
                      <w:kern w:val="0"/>
                      <w:sz w:val="21"/>
                      <w:szCs w:val="21"/>
                      <w:lang w:val="en-US" w:eastAsia="zh-CN" w:bidi="ar"/>
                    </w:rPr>
                    <w:t>0.096</w:t>
                  </w:r>
                </w:p>
              </w:tc>
            </w:tr>
            <w:tr w14:paraId="57747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continue"/>
                  <w:noWrap w:val="0"/>
                  <w:vAlign w:val="center"/>
                </w:tcPr>
                <w:p w14:paraId="1A914C45">
                  <w:pPr>
                    <w:pStyle w:val="54"/>
                    <w:rPr>
                      <w:rFonts w:ascii="Times New Roman"/>
                      <w:color w:val="auto"/>
                      <w:sz w:val="21"/>
                      <w:szCs w:val="21"/>
                    </w:rPr>
                  </w:pPr>
                </w:p>
              </w:tc>
              <w:tc>
                <w:tcPr>
                  <w:tcW w:w="630" w:type="pct"/>
                  <w:vMerge w:val="continue"/>
                  <w:noWrap w:val="0"/>
                  <w:vAlign w:val="center"/>
                </w:tcPr>
                <w:p w14:paraId="529A3CE3">
                  <w:pPr>
                    <w:pStyle w:val="54"/>
                    <w:rPr>
                      <w:rFonts w:ascii="Times New Roman"/>
                      <w:color w:val="auto"/>
                      <w:sz w:val="21"/>
                      <w:szCs w:val="21"/>
                    </w:rPr>
                  </w:pPr>
                </w:p>
              </w:tc>
              <w:tc>
                <w:tcPr>
                  <w:tcW w:w="795" w:type="pct"/>
                  <w:noWrap w:val="0"/>
                  <w:vAlign w:val="center"/>
                </w:tcPr>
                <w:p w14:paraId="4179CF14">
                  <w:pPr>
                    <w:widowControl/>
                    <w:jc w:val="center"/>
                    <w:rPr>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131" w:type="pct"/>
                  <w:noWrap w:val="0"/>
                  <w:vAlign w:val="center"/>
                </w:tcPr>
                <w:p w14:paraId="7F514D38">
                  <w:pPr>
                    <w:widowControl/>
                    <w:jc w:val="center"/>
                    <w:textAlignment w:val="center"/>
                    <w:rPr>
                      <w:color w:val="auto"/>
                      <w:sz w:val="21"/>
                      <w:szCs w:val="21"/>
                    </w:rPr>
                  </w:pPr>
                  <w:r>
                    <w:rPr>
                      <w:rFonts w:hint="eastAsia" w:cs="Times New Roman"/>
                      <w:b w:val="0"/>
                      <w:bCs/>
                      <w:color w:val="auto"/>
                      <w:kern w:val="0"/>
                      <w:sz w:val="21"/>
                      <w:szCs w:val="21"/>
                      <w:lang w:val="en-US" w:eastAsia="zh-CN" w:bidi="ar"/>
                    </w:rPr>
                    <w:t>30</w:t>
                  </w:r>
                </w:p>
              </w:tc>
              <w:tc>
                <w:tcPr>
                  <w:tcW w:w="1059" w:type="pct"/>
                  <w:noWrap w:val="0"/>
                  <w:vAlign w:val="center"/>
                </w:tcPr>
                <w:p w14:paraId="1AD3DB94">
                  <w:pPr>
                    <w:widowControl/>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b w:val="0"/>
                      <w:bCs/>
                      <w:color w:val="auto"/>
                      <w:kern w:val="0"/>
                      <w:sz w:val="21"/>
                      <w:szCs w:val="21"/>
                      <w:lang w:val="en-US" w:eastAsia="zh-CN" w:bidi="ar"/>
                    </w:rPr>
                    <w:t>0.0</w:t>
                  </w:r>
                  <w:r>
                    <w:rPr>
                      <w:rFonts w:hint="eastAsia" w:cs="Times New Roman"/>
                      <w:b w:val="0"/>
                      <w:bCs/>
                      <w:color w:val="auto"/>
                      <w:kern w:val="0"/>
                      <w:sz w:val="21"/>
                      <w:szCs w:val="21"/>
                      <w:lang w:val="en-US" w:eastAsia="zh-CN" w:bidi="ar"/>
                    </w:rPr>
                    <w:t>48</w:t>
                  </w:r>
                </w:p>
              </w:tc>
              <w:tc>
                <w:tcPr>
                  <w:tcW w:w="1801" w:type="dxa"/>
                  <w:noWrap w:val="0"/>
                  <w:vAlign w:val="center"/>
                </w:tcPr>
                <w:p w14:paraId="565C9B43">
                  <w:pPr>
                    <w:widowControl/>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cs="Times New Roman"/>
                      <w:b w:val="0"/>
                      <w:bCs/>
                      <w:color w:val="auto"/>
                      <w:sz w:val="21"/>
                      <w:szCs w:val="21"/>
                      <w:lang w:val="en-US" w:eastAsia="zh-CN"/>
                    </w:rPr>
                    <w:t>0.0144</w:t>
                  </w:r>
                </w:p>
              </w:tc>
            </w:tr>
            <w:tr w14:paraId="0FA87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continue"/>
                  <w:noWrap w:val="0"/>
                  <w:vAlign w:val="center"/>
                </w:tcPr>
                <w:p w14:paraId="6D648C8F">
                  <w:pPr>
                    <w:pStyle w:val="54"/>
                    <w:rPr>
                      <w:rFonts w:ascii="Times New Roman"/>
                      <w:color w:val="auto"/>
                      <w:sz w:val="21"/>
                      <w:szCs w:val="21"/>
                    </w:rPr>
                  </w:pPr>
                </w:p>
              </w:tc>
              <w:tc>
                <w:tcPr>
                  <w:tcW w:w="630" w:type="pct"/>
                  <w:vMerge w:val="continue"/>
                  <w:noWrap w:val="0"/>
                  <w:vAlign w:val="center"/>
                </w:tcPr>
                <w:p w14:paraId="415891EC">
                  <w:pPr>
                    <w:pStyle w:val="54"/>
                    <w:rPr>
                      <w:rFonts w:ascii="Times New Roman"/>
                      <w:color w:val="auto"/>
                      <w:sz w:val="21"/>
                      <w:szCs w:val="21"/>
                    </w:rPr>
                  </w:pPr>
                </w:p>
              </w:tc>
              <w:tc>
                <w:tcPr>
                  <w:tcW w:w="795" w:type="pct"/>
                  <w:noWrap w:val="0"/>
                  <w:vAlign w:val="center"/>
                </w:tcPr>
                <w:p w14:paraId="0FD4E2C2">
                  <w:pPr>
                    <w:widowControl/>
                    <w:jc w:val="center"/>
                    <w:rPr>
                      <w:color w:val="auto"/>
                      <w:sz w:val="21"/>
                      <w:szCs w:val="21"/>
                    </w:rPr>
                  </w:pPr>
                  <w:r>
                    <w:rPr>
                      <w:rFonts w:hint="default" w:ascii="Times New Roman" w:hAnsi="Times New Roman" w:eastAsia="宋体" w:cs="Times New Roman"/>
                      <w:color w:val="auto"/>
                      <w:sz w:val="21"/>
                      <w:szCs w:val="21"/>
                    </w:rPr>
                    <w:t>TP</w:t>
                  </w:r>
                </w:p>
              </w:tc>
              <w:tc>
                <w:tcPr>
                  <w:tcW w:w="1131" w:type="pct"/>
                  <w:noWrap w:val="0"/>
                  <w:vAlign w:val="center"/>
                </w:tcPr>
                <w:p w14:paraId="43AFFAAC">
                  <w:pPr>
                    <w:widowControl/>
                    <w:jc w:val="center"/>
                    <w:textAlignment w:val="center"/>
                    <w:rPr>
                      <w:color w:val="auto"/>
                      <w:sz w:val="21"/>
                      <w:szCs w:val="21"/>
                    </w:rPr>
                  </w:pPr>
                  <w:r>
                    <w:rPr>
                      <w:rFonts w:hint="eastAsia" w:cs="Times New Roman"/>
                      <w:b w:val="0"/>
                      <w:bCs/>
                      <w:color w:val="auto"/>
                      <w:kern w:val="0"/>
                      <w:sz w:val="21"/>
                      <w:szCs w:val="21"/>
                      <w:lang w:val="en-US" w:eastAsia="zh-CN" w:bidi="ar"/>
                    </w:rPr>
                    <w:t>3</w:t>
                  </w:r>
                </w:p>
              </w:tc>
              <w:tc>
                <w:tcPr>
                  <w:tcW w:w="1059" w:type="pct"/>
                  <w:noWrap w:val="0"/>
                  <w:vAlign w:val="center"/>
                </w:tcPr>
                <w:p w14:paraId="65A12BA0">
                  <w:pPr>
                    <w:widowControl/>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b w:val="0"/>
                      <w:bCs/>
                      <w:color w:val="auto"/>
                      <w:kern w:val="0"/>
                      <w:sz w:val="21"/>
                      <w:szCs w:val="21"/>
                      <w:lang w:val="en-US" w:eastAsia="zh-CN" w:bidi="ar"/>
                    </w:rPr>
                    <w:t>0.00</w:t>
                  </w:r>
                  <w:r>
                    <w:rPr>
                      <w:rFonts w:hint="eastAsia" w:cs="Times New Roman"/>
                      <w:b w:val="0"/>
                      <w:bCs/>
                      <w:color w:val="auto"/>
                      <w:kern w:val="0"/>
                      <w:sz w:val="21"/>
                      <w:szCs w:val="21"/>
                      <w:lang w:val="en-US" w:eastAsia="zh-CN" w:bidi="ar"/>
                    </w:rPr>
                    <w:t>5</w:t>
                  </w:r>
                  <w:r>
                    <w:rPr>
                      <w:rFonts w:hint="eastAsia" w:ascii="Times New Roman" w:hAnsi="Times New Roman" w:eastAsia="宋体" w:cs="Times New Roman"/>
                      <w:b w:val="0"/>
                      <w:bCs/>
                      <w:color w:val="auto"/>
                      <w:kern w:val="0"/>
                      <w:sz w:val="21"/>
                      <w:szCs w:val="21"/>
                      <w:lang w:val="en-US" w:eastAsia="zh-CN" w:bidi="ar"/>
                    </w:rPr>
                    <w:t xml:space="preserve"> </w:t>
                  </w:r>
                </w:p>
              </w:tc>
              <w:tc>
                <w:tcPr>
                  <w:tcW w:w="1801" w:type="dxa"/>
                  <w:noWrap w:val="0"/>
                  <w:vAlign w:val="center"/>
                </w:tcPr>
                <w:p w14:paraId="0E883FC7">
                  <w:pPr>
                    <w:widowControl/>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sz w:val="21"/>
                      <w:szCs w:val="21"/>
                      <w:lang w:val="en-US" w:eastAsia="zh-CN"/>
                    </w:rPr>
                    <w:t>0.001</w:t>
                  </w:r>
                  <w:r>
                    <w:rPr>
                      <w:rFonts w:hint="eastAsia" w:cs="Times New Roman"/>
                      <w:b w:val="0"/>
                      <w:bCs/>
                      <w:color w:val="auto"/>
                      <w:sz w:val="21"/>
                      <w:szCs w:val="21"/>
                      <w:lang w:val="en-US" w:eastAsia="zh-CN"/>
                    </w:rPr>
                    <w:t>4</w:t>
                  </w:r>
                </w:p>
              </w:tc>
            </w:tr>
            <w:tr w14:paraId="7F944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23" w:type="pct"/>
                  <w:vMerge w:val="continue"/>
                  <w:noWrap w:val="0"/>
                  <w:vAlign w:val="center"/>
                </w:tcPr>
                <w:p w14:paraId="3168A239">
                  <w:pPr>
                    <w:pStyle w:val="54"/>
                    <w:rPr>
                      <w:rFonts w:ascii="Times New Roman"/>
                      <w:color w:val="auto"/>
                      <w:sz w:val="21"/>
                      <w:szCs w:val="21"/>
                    </w:rPr>
                  </w:pPr>
                </w:p>
              </w:tc>
              <w:tc>
                <w:tcPr>
                  <w:tcW w:w="630" w:type="pct"/>
                  <w:vMerge w:val="continue"/>
                  <w:noWrap w:val="0"/>
                  <w:vAlign w:val="center"/>
                </w:tcPr>
                <w:p w14:paraId="149247E5">
                  <w:pPr>
                    <w:pStyle w:val="54"/>
                    <w:rPr>
                      <w:rFonts w:ascii="Times New Roman"/>
                      <w:color w:val="auto"/>
                      <w:sz w:val="21"/>
                      <w:szCs w:val="21"/>
                    </w:rPr>
                  </w:pPr>
                </w:p>
              </w:tc>
              <w:tc>
                <w:tcPr>
                  <w:tcW w:w="795" w:type="pct"/>
                  <w:noWrap w:val="0"/>
                  <w:vAlign w:val="center"/>
                </w:tcPr>
                <w:p w14:paraId="121C6391">
                  <w:pPr>
                    <w:widowControl/>
                    <w:jc w:val="center"/>
                    <w:rPr>
                      <w:color w:val="auto"/>
                      <w:sz w:val="21"/>
                      <w:szCs w:val="21"/>
                    </w:rPr>
                  </w:pPr>
                  <w:r>
                    <w:rPr>
                      <w:rFonts w:hint="default" w:ascii="Times New Roman" w:hAnsi="Times New Roman" w:eastAsia="宋体" w:cs="Times New Roman"/>
                      <w:color w:val="auto"/>
                      <w:sz w:val="21"/>
                      <w:szCs w:val="21"/>
                    </w:rPr>
                    <w:t>TN</w:t>
                  </w:r>
                </w:p>
              </w:tc>
              <w:tc>
                <w:tcPr>
                  <w:tcW w:w="1131" w:type="pct"/>
                  <w:noWrap w:val="0"/>
                  <w:vAlign w:val="center"/>
                </w:tcPr>
                <w:p w14:paraId="25496778">
                  <w:pPr>
                    <w:widowControl/>
                    <w:jc w:val="center"/>
                    <w:textAlignment w:val="center"/>
                    <w:rPr>
                      <w:color w:val="auto"/>
                      <w:sz w:val="21"/>
                      <w:szCs w:val="21"/>
                    </w:rPr>
                  </w:pPr>
                  <w:r>
                    <w:rPr>
                      <w:rFonts w:hint="eastAsia" w:cs="Times New Roman"/>
                      <w:b w:val="0"/>
                      <w:bCs/>
                      <w:color w:val="auto"/>
                      <w:kern w:val="0"/>
                      <w:sz w:val="21"/>
                      <w:szCs w:val="21"/>
                      <w:lang w:val="en-US" w:eastAsia="zh-CN" w:bidi="ar"/>
                    </w:rPr>
                    <w:t>40</w:t>
                  </w:r>
                </w:p>
              </w:tc>
              <w:tc>
                <w:tcPr>
                  <w:tcW w:w="1059" w:type="pct"/>
                  <w:noWrap w:val="0"/>
                  <w:vAlign w:val="center"/>
                </w:tcPr>
                <w:p w14:paraId="09F7BA83">
                  <w:pPr>
                    <w:widowControl/>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eastAsia" w:ascii="Times New Roman" w:hAnsi="Times New Roman" w:eastAsia="宋体" w:cs="Times New Roman"/>
                      <w:b w:val="0"/>
                      <w:bCs/>
                      <w:color w:val="auto"/>
                      <w:kern w:val="0"/>
                      <w:sz w:val="21"/>
                      <w:szCs w:val="21"/>
                      <w:lang w:val="en-US" w:eastAsia="zh-CN" w:bidi="ar"/>
                    </w:rPr>
                    <w:t>0.0</w:t>
                  </w:r>
                  <w:r>
                    <w:rPr>
                      <w:rFonts w:hint="eastAsia" w:cs="Times New Roman"/>
                      <w:b w:val="0"/>
                      <w:bCs/>
                      <w:color w:val="auto"/>
                      <w:kern w:val="0"/>
                      <w:sz w:val="21"/>
                      <w:szCs w:val="21"/>
                      <w:lang w:val="en-US" w:eastAsia="zh-CN" w:bidi="ar"/>
                    </w:rPr>
                    <w:t>64</w:t>
                  </w:r>
                  <w:r>
                    <w:rPr>
                      <w:rFonts w:hint="eastAsia" w:ascii="Times New Roman" w:hAnsi="Times New Roman" w:eastAsia="宋体" w:cs="Times New Roman"/>
                      <w:b w:val="0"/>
                      <w:bCs/>
                      <w:color w:val="auto"/>
                      <w:kern w:val="0"/>
                      <w:sz w:val="21"/>
                      <w:szCs w:val="21"/>
                      <w:lang w:val="en-US" w:eastAsia="zh-CN" w:bidi="ar"/>
                    </w:rPr>
                    <w:t xml:space="preserve"> </w:t>
                  </w:r>
                </w:p>
              </w:tc>
              <w:tc>
                <w:tcPr>
                  <w:tcW w:w="1801" w:type="dxa"/>
                  <w:noWrap w:val="0"/>
                  <w:vAlign w:val="center"/>
                </w:tcPr>
                <w:p w14:paraId="0C6C8B32">
                  <w:pPr>
                    <w:widowControl/>
                    <w:jc w:val="center"/>
                    <w:textAlignment w:val="center"/>
                    <w:rPr>
                      <w:rFonts w:hint="default" w:ascii="Times New Roman" w:hAnsi="Times New Roman" w:eastAsia="宋体" w:cs="Times New Roman"/>
                      <w:b w:val="0"/>
                      <w:bCs/>
                      <w:color w:val="auto"/>
                      <w:kern w:val="0"/>
                      <w:sz w:val="21"/>
                      <w:szCs w:val="21"/>
                      <w:lang w:val="en-US" w:eastAsia="zh-CN" w:bidi="ar"/>
                    </w:rPr>
                  </w:pPr>
                  <w:r>
                    <w:rPr>
                      <w:rFonts w:hint="default" w:ascii="Times New Roman" w:hAnsi="Times New Roman" w:eastAsia="宋体" w:cs="Times New Roman"/>
                      <w:b w:val="0"/>
                      <w:bCs/>
                      <w:color w:val="auto"/>
                      <w:sz w:val="21"/>
                      <w:szCs w:val="21"/>
                      <w:lang w:val="en-US" w:eastAsia="zh-CN"/>
                    </w:rPr>
                    <w:t>0.0</w:t>
                  </w:r>
                  <w:r>
                    <w:rPr>
                      <w:rFonts w:hint="eastAsia" w:cs="Times New Roman"/>
                      <w:b w:val="0"/>
                      <w:bCs/>
                      <w:color w:val="auto"/>
                      <w:sz w:val="21"/>
                      <w:szCs w:val="21"/>
                      <w:lang w:val="en-US" w:eastAsia="zh-CN"/>
                    </w:rPr>
                    <w:t>192</w:t>
                  </w:r>
                </w:p>
              </w:tc>
            </w:tr>
            <w:tr w14:paraId="6923D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4" w:type="pct"/>
                  <w:gridSpan w:val="2"/>
                  <w:vMerge w:val="restart"/>
                  <w:noWrap w:val="0"/>
                  <w:vAlign w:val="center"/>
                </w:tcPr>
                <w:p w14:paraId="3F19ACBF">
                  <w:pPr>
                    <w:pStyle w:val="54"/>
                    <w:rPr>
                      <w:rFonts w:ascii="Times New Roman"/>
                      <w:color w:val="auto"/>
                      <w:sz w:val="21"/>
                      <w:szCs w:val="21"/>
                    </w:rPr>
                  </w:pPr>
                  <w:r>
                    <w:rPr>
                      <w:rFonts w:ascii="Times New Roman"/>
                      <w:color w:val="auto"/>
                      <w:sz w:val="21"/>
                      <w:szCs w:val="21"/>
                    </w:rPr>
                    <w:t>全厂排放口合计</w:t>
                  </w:r>
                </w:p>
              </w:tc>
              <w:tc>
                <w:tcPr>
                  <w:tcW w:w="2985" w:type="pct"/>
                  <w:gridSpan w:val="3"/>
                  <w:noWrap w:val="0"/>
                  <w:vAlign w:val="center"/>
                </w:tcPr>
                <w:p w14:paraId="08CC6AB5">
                  <w:pPr>
                    <w:jc w:val="center"/>
                    <w:rPr>
                      <w:color w:val="auto"/>
                      <w:sz w:val="21"/>
                      <w:szCs w:val="21"/>
                    </w:rPr>
                  </w:pPr>
                  <w:r>
                    <w:rPr>
                      <w:rFonts w:hint="default" w:ascii="Times New Roman" w:hAnsi="Times New Roman" w:eastAsia="宋体" w:cs="Times New Roman"/>
                      <w:bCs/>
                      <w:color w:val="auto"/>
                      <w:sz w:val="21"/>
                      <w:szCs w:val="21"/>
                    </w:rPr>
                    <w:t>COD</w:t>
                  </w:r>
                </w:p>
              </w:tc>
              <w:tc>
                <w:tcPr>
                  <w:tcW w:w="1801" w:type="dxa"/>
                  <w:noWrap w:val="0"/>
                  <w:vAlign w:val="center"/>
                </w:tcPr>
                <w:p w14:paraId="05004403">
                  <w:pPr>
                    <w:widowControl/>
                    <w:jc w:val="center"/>
                    <w:textAlignment w:val="center"/>
                    <w:rPr>
                      <w:color w:val="auto"/>
                      <w:sz w:val="21"/>
                      <w:szCs w:val="21"/>
                    </w:rPr>
                  </w:pPr>
                  <w:r>
                    <w:rPr>
                      <w:rFonts w:hint="eastAsia" w:cs="Times New Roman"/>
                      <w:b w:val="0"/>
                      <w:bCs/>
                      <w:color w:val="auto"/>
                      <w:kern w:val="0"/>
                      <w:sz w:val="21"/>
                      <w:szCs w:val="21"/>
                      <w:lang w:val="en-US" w:eastAsia="zh-CN" w:bidi="ar"/>
                    </w:rPr>
                    <w:t>0.144</w:t>
                  </w:r>
                </w:p>
              </w:tc>
            </w:tr>
            <w:tr w14:paraId="007B7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4" w:type="pct"/>
                  <w:gridSpan w:val="2"/>
                  <w:vMerge w:val="continue"/>
                  <w:noWrap w:val="0"/>
                  <w:vAlign w:val="center"/>
                </w:tcPr>
                <w:p w14:paraId="2CE0E411">
                  <w:pPr>
                    <w:pStyle w:val="54"/>
                    <w:rPr>
                      <w:rFonts w:ascii="Times New Roman"/>
                      <w:color w:val="auto"/>
                      <w:sz w:val="21"/>
                      <w:szCs w:val="21"/>
                    </w:rPr>
                  </w:pPr>
                </w:p>
              </w:tc>
              <w:tc>
                <w:tcPr>
                  <w:tcW w:w="2985" w:type="pct"/>
                  <w:gridSpan w:val="3"/>
                  <w:noWrap w:val="0"/>
                  <w:vAlign w:val="center"/>
                </w:tcPr>
                <w:p w14:paraId="47DCE6B3">
                  <w:pPr>
                    <w:jc w:val="center"/>
                    <w:rPr>
                      <w:color w:val="auto"/>
                      <w:sz w:val="21"/>
                      <w:szCs w:val="21"/>
                    </w:rPr>
                  </w:pPr>
                  <w:r>
                    <w:rPr>
                      <w:rFonts w:hint="default" w:ascii="Times New Roman" w:hAnsi="Times New Roman" w:eastAsia="宋体" w:cs="Times New Roman"/>
                      <w:bCs/>
                      <w:color w:val="auto"/>
                      <w:sz w:val="21"/>
                      <w:szCs w:val="21"/>
                    </w:rPr>
                    <w:t>SS</w:t>
                  </w:r>
                </w:p>
              </w:tc>
              <w:tc>
                <w:tcPr>
                  <w:tcW w:w="1801" w:type="dxa"/>
                  <w:noWrap w:val="0"/>
                  <w:vAlign w:val="center"/>
                </w:tcPr>
                <w:p w14:paraId="5142EAC0">
                  <w:pPr>
                    <w:widowControl/>
                    <w:jc w:val="center"/>
                    <w:textAlignment w:val="center"/>
                    <w:rPr>
                      <w:color w:val="auto"/>
                      <w:sz w:val="21"/>
                      <w:szCs w:val="21"/>
                    </w:rPr>
                  </w:pPr>
                  <w:r>
                    <w:rPr>
                      <w:rFonts w:hint="eastAsia" w:cs="Times New Roman"/>
                      <w:b w:val="0"/>
                      <w:bCs/>
                      <w:color w:val="auto"/>
                      <w:kern w:val="0"/>
                      <w:sz w:val="21"/>
                      <w:szCs w:val="21"/>
                      <w:lang w:val="en-US" w:eastAsia="zh-CN" w:bidi="ar"/>
                    </w:rPr>
                    <w:t>0.096</w:t>
                  </w:r>
                </w:p>
              </w:tc>
            </w:tr>
            <w:tr w14:paraId="08C14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4" w:type="pct"/>
                  <w:gridSpan w:val="2"/>
                  <w:vMerge w:val="continue"/>
                  <w:noWrap w:val="0"/>
                  <w:vAlign w:val="center"/>
                </w:tcPr>
                <w:p w14:paraId="6834F302">
                  <w:pPr>
                    <w:pStyle w:val="54"/>
                    <w:rPr>
                      <w:rFonts w:ascii="Times New Roman"/>
                      <w:color w:val="auto"/>
                      <w:sz w:val="21"/>
                      <w:szCs w:val="21"/>
                    </w:rPr>
                  </w:pPr>
                </w:p>
              </w:tc>
              <w:tc>
                <w:tcPr>
                  <w:tcW w:w="2985" w:type="pct"/>
                  <w:gridSpan w:val="3"/>
                  <w:noWrap w:val="0"/>
                  <w:vAlign w:val="center"/>
                </w:tcPr>
                <w:p w14:paraId="4C1E5198">
                  <w:pPr>
                    <w:widowControl/>
                    <w:jc w:val="center"/>
                    <w:rPr>
                      <w:color w:val="auto"/>
                      <w:sz w:val="21"/>
                      <w:szCs w:val="21"/>
                    </w:rPr>
                  </w:pPr>
                  <w:r>
                    <w:rPr>
                      <w:rFonts w:hint="default" w:ascii="Times New Roman" w:hAnsi="Times New Roman" w:eastAsia="宋体" w:cs="Times New Roman"/>
                      <w:color w:val="auto"/>
                      <w:sz w:val="21"/>
                      <w:szCs w:val="21"/>
                    </w:rPr>
                    <w:t>NH</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-N</w:t>
                  </w:r>
                </w:p>
              </w:tc>
              <w:tc>
                <w:tcPr>
                  <w:tcW w:w="1801" w:type="dxa"/>
                  <w:noWrap w:val="0"/>
                  <w:vAlign w:val="center"/>
                </w:tcPr>
                <w:p w14:paraId="232442F4">
                  <w:pPr>
                    <w:widowControl/>
                    <w:jc w:val="center"/>
                    <w:textAlignment w:val="center"/>
                    <w:rPr>
                      <w:color w:val="auto"/>
                      <w:sz w:val="21"/>
                      <w:szCs w:val="21"/>
                    </w:rPr>
                  </w:pPr>
                  <w:r>
                    <w:rPr>
                      <w:rFonts w:hint="eastAsia" w:cs="Times New Roman"/>
                      <w:b w:val="0"/>
                      <w:bCs/>
                      <w:color w:val="auto"/>
                      <w:sz w:val="21"/>
                      <w:szCs w:val="21"/>
                      <w:lang w:val="en-US" w:eastAsia="zh-CN"/>
                    </w:rPr>
                    <w:t>0.0144</w:t>
                  </w:r>
                </w:p>
              </w:tc>
            </w:tr>
            <w:tr w14:paraId="7F589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54" w:type="pct"/>
                  <w:gridSpan w:val="2"/>
                  <w:vMerge w:val="continue"/>
                  <w:noWrap w:val="0"/>
                  <w:vAlign w:val="center"/>
                </w:tcPr>
                <w:p w14:paraId="0BCEB8DA">
                  <w:pPr>
                    <w:pStyle w:val="54"/>
                    <w:rPr>
                      <w:rFonts w:ascii="Times New Roman"/>
                      <w:color w:val="auto"/>
                      <w:sz w:val="21"/>
                      <w:szCs w:val="21"/>
                    </w:rPr>
                  </w:pPr>
                </w:p>
              </w:tc>
              <w:tc>
                <w:tcPr>
                  <w:tcW w:w="2985" w:type="pct"/>
                  <w:gridSpan w:val="3"/>
                  <w:noWrap w:val="0"/>
                  <w:vAlign w:val="center"/>
                </w:tcPr>
                <w:p w14:paraId="0424C7A2">
                  <w:pPr>
                    <w:widowControl/>
                    <w:jc w:val="center"/>
                    <w:rPr>
                      <w:color w:val="auto"/>
                      <w:sz w:val="21"/>
                      <w:szCs w:val="21"/>
                    </w:rPr>
                  </w:pPr>
                  <w:r>
                    <w:rPr>
                      <w:rFonts w:hint="default" w:ascii="Times New Roman" w:hAnsi="Times New Roman" w:eastAsia="宋体" w:cs="Times New Roman"/>
                      <w:color w:val="auto"/>
                      <w:sz w:val="21"/>
                      <w:szCs w:val="21"/>
                    </w:rPr>
                    <w:t>TP</w:t>
                  </w:r>
                </w:p>
              </w:tc>
              <w:tc>
                <w:tcPr>
                  <w:tcW w:w="1801" w:type="dxa"/>
                  <w:noWrap w:val="0"/>
                  <w:vAlign w:val="center"/>
                </w:tcPr>
                <w:p w14:paraId="530766D6">
                  <w:pPr>
                    <w:widowControl/>
                    <w:jc w:val="center"/>
                    <w:textAlignment w:val="center"/>
                    <w:rPr>
                      <w:color w:val="auto"/>
                      <w:sz w:val="21"/>
                      <w:szCs w:val="21"/>
                    </w:rPr>
                  </w:pPr>
                  <w:r>
                    <w:rPr>
                      <w:rFonts w:hint="default" w:ascii="Times New Roman" w:hAnsi="Times New Roman" w:eastAsia="宋体" w:cs="Times New Roman"/>
                      <w:b w:val="0"/>
                      <w:bCs/>
                      <w:color w:val="auto"/>
                      <w:sz w:val="21"/>
                      <w:szCs w:val="21"/>
                      <w:lang w:val="en-US" w:eastAsia="zh-CN"/>
                    </w:rPr>
                    <w:t>0.001</w:t>
                  </w:r>
                  <w:r>
                    <w:rPr>
                      <w:rFonts w:hint="eastAsia" w:cs="Times New Roman"/>
                      <w:b w:val="0"/>
                      <w:bCs/>
                      <w:color w:val="auto"/>
                      <w:sz w:val="21"/>
                      <w:szCs w:val="21"/>
                      <w:lang w:val="en-US" w:eastAsia="zh-CN"/>
                    </w:rPr>
                    <w:t>4</w:t>
                  </w:r>
                </w:p>
              </w:tc>
            </w:tr>
            <w:tr w14:paraId="50F52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54" w:type="pct"/>
                  <w:gridSpan w:val="2"/>
                  <w:vMerge w:val="continue"/>
                  <w:noWrap w:val="0"/>
                  <w:vAlign w:val="center"/>
                </w:tcPr>
                <w:p w14:paraId="049B43DD">
                  <w:pPr>
                    <w:pStyle w:val="54"/>
                    <w:rPr>
                      <w:rFonts w:ascii="Times New Roman"/>
                      <w:color w:val="auto"/>
                      <w:sz w:val="21"/>
                      <w:szCs w:val="21"/>
                    </w:rPr>
                  </w:pPr>
                </w:p>
              </w:tc>
              <w:tc>
                <w:tcPr>
                  <w:tcW w:w="2985" w:type="pct"/>
                  <w:gridSpan w:val="3"/>
                  <w:noWrap w:val="0"/>
                  <w:vAlign w:val="center"/>
                </w:tcPr>
                <w:p w14:paraId="69E59B9F">
                  <w:pPr>
                    <w:widowControl/>
                    <w:jc w:val="center"/>
                    <w:rPr>
                      <w:color w:val="auto"/>
                      <w:sz w:val="21"/>
                      <w:szCs w:val="21"/>
                    </w:rPr>
                  </w:pPr>
                  <w:r>
                    <w:rPr>
                      <w:rFonts w:hint="default" w:ascii="Times New Roman" w:hAnsi="Times New Roman" w:eastAsia="宋体" w:cs="Times New Roman"/>
                      <w:color w:val="auto"/>
                      <w:sz w:val="21"/>
                      <w:szCs w:val="21"/>
                    </w:rPr>
                    <w:t>TN</w:t>
                  </w:r>
                </w:p>
              </w:tc>
              <w:tc>
                <w:tcPr>
                  <w:tcW w:w="1801" w:type="dxa"/>
                  <w:noWrap w:val="0"/>
                  <w:vAlign w:val="center"/>
                </w:tcPr>
                <w:p w14:paraId="10750CD3">
                  <w:pPr>
                    <w:widowControl/>
                    <w:jc w:val="center"/>
                    <w:textAlignment w:val="center"/>
                    <w:rPr>
                      <w:color w:val="auto"/>
                      <w:sz w:val="21"/>
                      <w:szCs w:val="21"/>
                    </w:rPr>
                  </w:pPr>
                  <w:r>
                    <w:rPr>
                      <w:rFonts w:hint="default" w:ascii="Times New Roman" w:hAnsi="Times New Roman" w:eastAsia="宋体" w:cs="Times New Roman"/>
                      <w:b w:val="0"/>
                      <w:bCs/>
                      <w:color w:val="auto"/>
                      <w:sz w:val="21"/>
                      <w:szCs w:val="21"/>
                      <w:lang w:val="en-US" w:eastAsia="zh-CN"/>
                    </w:rPr>
                    <w:t>0.0</w:t>
                  </w:r>
                  <w:r>
                    <w:rPr>
                      <w:rFonts w:hint="eastAsia" w:cs="Times New Roman"/>
                      <w:b w:val="0"/>
                      <w:bCs/>
                      <w:color w:val="auto"/>
                      <w:sz w:val="21"/>
                      <w:szCs w:val="21"/>
                      <w:lang w:val="en-US" w:eastAsia="zh-CN"/>
                    </w:rPr>
                    <w:t>192</w:t>
                  </w:r>
                </w:p>
              </w:tc>
            </w:tr>
          </w:tbl>
          <w:p w14:paraId="6B55BB49">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pacing w:val="-10"/>
                <w:szCs w:val="21"/>
                <w:lang w:val="en-US" w:eastAsia="zh-CN"/>
              </w:rPr>
              <w:t>4.2.3</w:t>
            </w:r>
            <w:r>
              <w:rPr>
                <w:rFonts w:hint="eastAsia" w:ascii="Times New Roman" w:hAnsi="Times New Roman" w:cs="Times New Roman"/>
                <w:b/>
                <w:bCs w:val="0"/>
                <w:color w:val="auto"/>
                <w:spacing w:val="-10"/>
                <w:szCs w:val="21"/>
                <w:lang w:val="en-US" w:eastAsia="zh-CN"/>
              </w:rPr>
              <w:t>生活污水</w:t>
            </w:r>
            <w:r>
              <w:rPr>
                <w:rFonts w:hint="default" w:ascii="Times New Roman" w:hAnsi="Times New Roman" w:eastAsia="宋体" w:cs="Times New Roman"/>
                <w:b/>
                <w:bCs w:val="0"/>
                <w:color w:val="auto"/>
                <w:spacing w:val="-10"/>
                <w:szCs w:val="21"/>
                <w:lang w:val="en-US" w:eastAsia="zh-CN"/>
              </w:rPr>
              <w:t>依托污水处理厂处理可行性分析</w:t>
            </w:r>
          </w:p>
          <w:p w14:paraId="5E63455A">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40" w:firstLineChars="200"/>
              <w:textAlignment w:val="auto"/>
              <w:rPr>
                <w:rFonts w:hint="default" w:ascii="Times New Roman" w:hAnsi="Times New Roman" w:eastAsia="宋体" w:cs="Times New Roman"/>
                <w:b w:val="0"/>
                <w:bCs/>
                <w:color w:val="auto"/>
                <w:spacing w:val="-10"/>
                <w:szCs w:val="21"/>
                <w:lang w:val="en-US" w:eastAsia="zh-CN"/>
              </w:rPr>
            </w:pPr>
            <w:r>
              <w:rPr>
                <w:rFonts w:hint="default" w:ascii="Times New Roman" w:hAnsi="Times New Roman" w:eastAsia="宋体" w:cs="Times New Roman"/>
                <w:b w:val="0"/>
                <w:bCs/>
                <w:color w:val="auto"/>
                <w:spacing w:val="-10"/>
                <w:szCs w:val="21"/>
                <w:lang w:val="en-US" w:eastAsia="zh-CN"/>
              </w:rPr>
              <w:t>本项目生活污水经生活污水管网-园区生活污水管网接管至常州</w:t>
            </w:r>
            <w:r>
              <w:rPr>
                <w:rFonts w:hint="eastAsia" w:ascii="Times New Roman" w:hAnsi="Times New Roman" w:eastAsia="宋体" w:cs="Times New Roman"/>
                <w:b w:val="0"/>
                <w:bCs/>
                <w:color w:val="auto"/>
                <w:spacing w:val="-10"/>
                <w:szCs w:val="21"/>
                <w:lang w:val="en-US" w:eastAsia="zh-CN"/>
              </w:rPr>
              <w:t>金</w:t>
            </w:r>
            <w:r>
              <w:rPr>
                <w:rFonts w:hint="eastAsia" w:ascii="Times New Roman" w:hAnsi="Times New Roman" w:cs="Times New Roman"/>
                <w:b w:val="0"/>
                <w:bCs/>
                <w:color w:val="auto"/>
                <w:spacing w:val="-10"/>
                <w:szCs w:val="21"/>
                <w:lang w:val="en-US" w:eastAsia="zh-CN"/>
              </w:rPr>
              <w:t>坛溪城污水处理有限公司</w:t>
            </w:r>
            <w:r>
              <w:rPr>
                <w:rFonts w:hint="default" w:ascii="Times New Roman" w:hAnsi="Times New Roman" w:eastAsia="宋体" w:cs="Times New Roman"/>
                <w:b w:val="0"/>
                <w:bCs/>
                <w:color w:val="auto"/>
                <w:spacing w:val="-10"/>
                <w:szCs w:val="21"/>
                <w:lang w:val="en-US" w:eastAsia="zh-CN"/>
              </w:rPr>
              <w:t>集中处理。</w:t>
            </w:r>
          </w:p>
          <w:p w14:paraId="7094FB39">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pacing w:val="-10"/>
                <w:szCs w:val="21"/>
                <w:lang w:val="en-US" w:eastAsia="zh-CN"/>
              </w:rPr>
              <w:t>4.2.3.1常州市</w:t>
            </w:r>
            <w:r>
              <w:rPr>
                <w:rFonts w:hint="eastAsia" w:ascii="Times New Roman" w:hAnsi="Times New Roman" w:cs="Times New Roman"/>
                <w:b/>
                <w:bCs w:val="0"/>
                <w:color w:val="auto"/>
                <w:spacing w:val="-10"/>
                <w:szCs w:val="21"/>
                <w:lang w:val="en-US" w:eastAsia="zh-CN"/>
              </w:rPr>
              <w:t>金坛溪城污水处理有限公司</w:t>
            </w:r>
            <w:r>
              <w:rPr>
                <w:rFonts w:hint="default" w:ascii="Times New Roman" w:hAnsi="Times New Roman" w:eastAsia="宋体" w:cs="Times New Roman"/>
                <w:b/>
                <w:bCs w:val="0"/>
                <w:color w:val="auto"/>
                <w:spacing w:val="-10"/>
                <w:szCs w:val="21"/>
                <w:lang w:val="en-US" w:eastAsia="zh-CN"/>
              </w:rPr>
              <w:t>简介</w:t>
            </w:r>
          </w:p>
          <w:p w14:paraId="03CA7CD8">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b w:val="0"/>
                <w:bCs/>
                <w:color w:val="auto"/>
                <w:spacing w:val="-10"/>
                <w:kern w:val="2"/>
                <w:sz w:val="24"/>
                <w:szCs w:val="21"/>
                <w:lang w:val="en-US" w:eastAsia="zh-CN" w:bidi="ar-SA"/>
              </w:rPr>
            </w:pPr>
            <w:r>
              <w:rPr>
                <w:rFonts w:hint="default" w:ascii="Times New Roman" w:hAnsi="Times New Roman" w:eastAsia="宋体" w:cs="Times New Roman"/>
                <w:b w:val="0"/>
                <w:bCs/>
                <w:color w:val="auto"/>
                <w:spacing w:val="-10"/>
                <w:kern w:val="2"/>
                <w:sz w:val="24"/>
                <w:szCs w:val="21"/>
                <w:lang w:val="en-US" w:eastAsia="zh-CN" w:bidi="ar-SA"/>
              </w:rPr>
              <w:t>常州市</w:t>
            </w:r>
            <w:r>
              <w:rPr>
                <w:rFonts w:hint="eastAsia" w:ascii="Times New Roman" w:hAnsi="Times New Roman" w:eastAsia="宋体" w:cs="Times New Roman"/>
                <w:b w:val="0"/>
                <w:bCs/>
                <w:color w:val="auto"/>
                <w:spacing w:val="-10"/>
                <w:kern w:val="2"/>
                <w:sz w:val="24"/>
                <w:szCs w:val="21"/>
                <w:lang w:val="en-US" w:eastAsia="zh-CN" w:bidi="ar-SA"/>
              </w:rPr>
              <w:t>金坛溪城污水</w:t>
            </w:r>
            <w:r>
              <w:rPr>
                <w:rFonts w:hint="eastAsia" w:cs="Times New Roman"/>
                <w:b w:val="0"/>
                <w:bCs/>
                <w:color w:val="auto"/>
                <w:spacing w:val="-10"/>
                <w:kern w:val="2"/>
                <w:sz w:val="24"/>
                <w:szCs w:val="21"/>
                <w:lang w:val="en-US" w:eastAsia="zh-CN" w:bidi="ar-SA"/>
              </w:rPr>
              <w:t>处理有限公司</w:t>
            </w:r>
            <w:r>
              <w:rPr>
                <w:rFonts w:hint="default" w:ascii="Times New Roman" w:hAnsi="Times New Roman" w:eastAsia="宋体" w:cs="Times New Roman"/>
                <w:b w:val="0"/>
                <w:bCs/>
                <w:color w:val="auto"/>
                <w:spacing w:val="-10"/>
                <w:kern w:val="2"/>
                <w:sz w:val="24"/>
                <w:szCs w:val="21"/>
                <w:lang w:val="en-US" w:eastAsia="zh-CN" w:bidi="ar-SA"/>
              </w:rPr>
              <w:t>位于金坛区直溪工业区张地墩</w:t>
            </w:r>
            <w:r>
              <w:rPr>
                <w:rFonts w:hint="eastAsia" w:ascii="Times New Roman" w:hAnsi="Times New Roman" w:eastAsia="宋体" w:cs="Times New Roman"/>
                <w:b w:val="0"/>
                <w:bCs/>
                <w:color w:val="auto"/>
                <w:spacing w:val="-10"/>
                <w:kern w:val="2"/>
                <w:sz w:val="24"/>
                <w:szCs w:val="21"/>
                <w:lang w:val="en-US" w:eastAsia="zh-CN" w:bidi="ar-SA"/>
              </w:rPr>
              <w:t>，</w:t>
            </w:r>
            <w:r>
              <w:rPr>
                <w:rFonts w:hint="default" w:ascii="Times New Roman" w:hAnsi="Times New Roman" w:eastAsia="宋体" w:cs="Times New Roman"/>
                <w:b w:val="0"/>
                <w:bCs/>
                <w:color w:val="auto"/>
                <w:spacing w:val="-10"/>
                <w:kern w:val="2"/>
                <w:sz w:val="24"/>
                <w:szCs w:val="21"/>
                <w:lang w:val="en-US" w:eastAsia="zh-CN" w:bidi="ar-SA"/>
              </w:rPr>
              <w:t>主要收纳金坛区直溪镇以及朱林金西工业园生活污水和少量工业废水</w:t>
            </w:r>
            <w:r>
              <w:rPr>
                <w:rFonts w:hint="eastAsia" w:ascii="Times New Roman" w:hAnsi="Times New Roman" w:eastAsia="宋体" w:cs="Times New Roman"/>
                <w:b w:val="0"/>
                <w:bCs/>
                <w:color w:val="auto"/>
                <w:spacing w:val="-10"/>
                <w:kern w:val="2"/>
                <w:sz w:val="24"/>
                <w:szCs w:val="21"/>
                <w:lang w:val="en-US" w:eastAsia="zh-CN" w:bidi="ar-SA"/>
              </w:rPr>
              <w:t>，覆盖面积约40平方公里，服务人口约7.3万人</w:t>
            </w:r>
            <w:r>
              <w:rPr>
                <w:rFonts w:hint="default" w:ascii="Times New Roman" w:hAnsi="Times New Roman" w:eastAsia="宋体" w:cs="Times New Roman"/>
                <w:b w:val="0"/>
                <w:bCs/>
                <w:color w:val="auto"/>
                <w:spacing w:val="-10"/>
                <w:kern w:val="2"/>
                <w:sz w:val="24"/>
                <w:szCs w:val="21"/>
                <w:lang w:val="en-US" w:eastAsia="zh-CN" w:bidi="ar-SA"/>
              </w:rPr>
              <w:t>。已批复处理能力为</w:t>
            </w:r>
            <w:r>
              <w:rPr>
                <w:rFonts w:hint="eastAsia" w:ascii="Times New Roman" w:hAnsi="Times New Roman" w:eastAsia="宋体" w:cs="Times New Roman"/>
                <w:b w:val="0"/>
                <w:bCs/>
                <w:color w:val="auto"/>
                <w:spacing w:val="-10"/>
                <w:kern w:val="2"/>
                <w:sz w:val="24"/>
                <w:szCs w:val="21"/>
                <w:lang w:val="en-US" w:eastAsia="zh-CN" w:bidi="ar-SA"/>
              </w:rPr>
              <w:t>2</w:t>
            </w:r>
            <w:r>
              <w:rPr>
                <w:rFonts w:hint="default" w:ascii="Times New Roman" w:hAnsi="Times New Roman" w:eastAsia="宋体" w:cs="Times New Roman"/>
                <w:b w:val="0"/>
                <w:bCs/>
                <w:color w:val="auto"/>
                <w:spacing w:val="-10"/>
                <w:kern w:val="2"/>
                <w:sz w:val="24"/>
                <w:szCs w:val="21"/>
                <w:lang w:val="en-US" w:eastAsia="zh-CN" w:bidi="ar-SA"/>
              </w:rPr>
              <w:t>万m</w:t>
            </w:r>
            <w:r>
              <w:rPr>
                <w:rFonts w:hint="default" w:ascii="Times New Roman" w:hAnsi="Times New Roman" w:eastAsia="宋体" w:cs="Times New Roman"/>
                <w:b w:val="0"/>
                <w:bCs/>
                <w:color w:val="auto"/>
                <w:spacing w:val="-10"/>
                <w:kern w:val="2"/>
                <w:sz w:val="24"/>
                <w:szCs w:val="21"/>
                <w:vertAlign w:val="superscript"/>
                <w:lang w:val="en-US" w:eastAsia="zh-CN" w:bidi="ar-SA"/>
              </w:rPr>
              <w:t>3</w:t>
            </w:r>
            <w:r>
              <w:rPr>
                <w:rFonts w:hint="default" w:ascii="Times New Roman" w:hAnsi="Times New Roman" w:eastAsia="宋体" w:cs="Times New Roman"/>
                <w:b w:val="0"/>
                <w:bCs/>
                <w:color w:val="auto"/>
                <w:spacing w:val="-10"/>
                <w:kern w:val="2"/>
                <w:sz w:val="24"/>
                <w:szCs w:val="21"/>
                <w:lang w:val="en-US" w:eastAsia="zh-CN" w:bidi="ar-SA"/>
              </w:rPr>
              <w:t>/d，分</w:t>
            </w:r>
            <w:r>
              <w:rPr>
                <w:rFonts w:hint="eastAsia" w:ascii="Times New Roman" w:hAnsi="Times New Roman" w:eastAsia="宋体" w:cs="Times New Roman"/>
                <w:b w:val="0"/>
                <w:bCs/>
                <w:color w:val="auto"/>
                <w:spacing w:val="-10"/>
                <w:kern w:val="2"/>
                <w:sz w:val="24"/>
                <w:szCs w:val="21"/>
                <w:lang w:val="en-US" w:eastAsia="zh-CN" w:bidi="ar-SA"/>
              </w:rPr>
              <w:t>三</w:t>
            </w:r>
            <w:r>
              <w:rPr>
                <w:rFonts w:hint="default" w:ascii="Times New Roman" w:hAnsi="Times New Roman" w:eastAsia="宋体" w:cs="Times New Roman"/>
                <w:b w:val="0"/>
                <w:bCs/>
                <w:color w:val="auto"/>
                <w:spacing w:val="-10"/>
                <w:kern w:val="2"/>
                <w:sz w:val="24"/>
                <w:szCs w:val="21"/>
                <w:lang w:val="en-US" w:eastAsia="zh-CN" w:bidi="ar-SA"/>
              </w:rPr>
              <w:t>期建设，尾水通过管道排入</w:t>
            </w:r>
            <w:r>
              <w:rPr>
                <w:rFonts w:hint="eastAsia" w:ascii="Times New Roman" w:hAnsi="Times New Roman" w:eastAsia="宋体" w:cs="Times New Roman"/>
                <w:b w:val="0"/>
                <w:bCs/>
                <w:color w:val="auto"/>
                <w:spacing w:val="-10"/>
                <w:kern w:val="2"/>
                <w:sz w:val="24"/>
                <w:szCs w:val="21"/>
                <w:lang w:val="en-US" w:eastAsia="zh-CN" w:bidi="ar-SA"/>
              </w:rPr>
              <w:t>通济河</w:t>
            </w:r>
            <w:r>
              <w:rPr>
                <w:rFonts w:hint="default" w:ascii="Times New Roman" w:hAnsi="Times New Roman" w:eastAsia="宋体" w:cs="Times New Roman"/>
                <w:b w:val="0"/>
                <w:bCs/>
                <w:color w:val="auto"/>
                <w:spacing w:val="-10"/>
                <w:kern w:val="2"/>
                <w:sz w:val="24"/>
                <w:szCs w:val="21"/>
                <w:lang w:val="en-US" w:eastAsia="zh-CN" w:bidi="ar-SA"/>
              </w:rPr>
              <w:t>。</w:t>
            </w:r>
          </w:p>
          <w:p w14:paraId="4FC91574">
            <w:pPr>
              <w:keepNext w:val="0"/>
              <w:keepLines w:val="0"/>
              <w:pageBreakBefore w:val="0"/>
              <w:widowControl/>
              <w:suppressLineNumbers w:val="0"/>
              <w:kinsoku/>
              <w:wordWrap/>
              <w:overflowPunct/>
              <w:topLinePunct w:val="0"/>
              <w:autoSpaceDE/>
              <w:autoSpaceDN/>
              <w:bidi w:val="0"/>
              <w:adjustRightInd/>
              <w:snapToGrid/>
              <w:spacing w:line="360" w:lineRule="auto"/>
              <w:ind w:firstLine="440" w:firstLineChars="200"/>
              <w:jc w:val="left"/>
              <w:textAlignment w:val="auto"/>
              <w:rPr>
                <w:rFonts w:hint="default" w:ascii="Times New Roman" w:hAnsi="Times New Roman" w:eastAsia="宋体" w:cs="Times New Roman"/>
                <w:b w:val="0"/>
                <w:bCs/>
                <w:color w:val="auto"/>
                <w:spacing w:val="-10"/>
                <w:kern w:val="2"/>
                <w:sz w:val="24"/>
                <w:szCs w:val="21"/>
                <w:lang w:val="en-US" w:eastAsia="zh-CN" w:bidi="ar-SA"/>
              </w:rPr>
            </w:pPr>
            <w:r>
              <w:rPr>
                <w:rFonts w:hint="eastAsia" w:ascii="Times New Roman" w:hAnsi="Times New Roman" w:eastAsia="宋体" w:cs="Times New Roman"/>
                <w:b w:val="0"/>
                <w:bCs/>
                <w:color w:val="auto"/>
                <w:spacing w:val="-10"/>
                <w:kern w:val="2"/>
                <w:sz w:val="24"/>
                <w:szCs w:val="21"/>
                <w:lang w:val="en-US" w:eastAsia="zh-CN" w:bidi="ar-SA"/>
              </w:rPr>
              <w:t>金坛溪城污水</w:t>
            </w:r>
            <w:r>
              <w:rPr>
                <w:rFonts w:hint="eastAsia" w:cs="Times New Roman"/>
                <w:b w:val="0"/>
                <w:bCs/>
                <w:color w:val="auto"/>
                <w:spacing w:val="-10"/>
                <w:kern w:val="2"/>
                <w:sz w:val="24"/>
                <w:szCs w:val="21"/>
                <w:lang w:val="en-US" w:eastAsia="zh-CN" w:bidi="ar-SA"/>
              </w:rPr>
              <w:t>处理有限公司</w:t>
            </w:r>
            <w:r>
              <w:rPr>
                <w:rFonts w:hint="eastAsia" w:ascii="Times New Roman" w:hAnsi="Times New Roman" w:eastAsia="宋体" w:cs="Times New Roman"/>
                <w:b w:val="0"/>
                <w:bCs/>
                <w:color w:val="auto"/>
                <w:spacing w:val="-10"/>
                <w:kern w:val="2"/>
                <w:sz w:val="24"/>
                <w:szCs w:val="21"/>
                <w:lang w:val="en-US" w:eastAsia="zh-CN" w:bidi="ar-SA"/>
              </w:rPr>
              <w:t>规划总处理规模为2.0万m³/d，分三期建设。一期工程项目于 2007年获得</w:t>
            </w:r>
            <w:r>
              <w:rPr>
                <w:rFonts w:hint="eastAsia" w:cs="Times New Roman"/>
                <w:b w:val="0"/>
                <w:bCs/>
                <w:color w:val="auto"/>
                <w:spacing w:val="-10"/>
                <w:kern w:val="2"/>
                <w:sz w:val="24"/>
                <w:szCs w:val="21"/>
                <w:lang w:val="en-US" w:eastAsia="zh-CN" w:bidi="ar-SA"/>
              </w:rPr>
              <w:t>金坛区</w:t>
            </w:r>
            <w:r>
              <w:rPr>
                <w:rFonts w:hint="eastAsia" w:ascii="Times New Roman" w:hAnsi="Times New Roman" w:eastAsia="宋体" w:cs="Times New Roman"/>
                <w:b w:val="0"/>
                <w:bCs/>
                <w:color w:val="auto"/>
                <w:spacing w:val="-10"/>
                <w:kern w:val="2"/>
                <w:sz w:val="24"/>
                <w:szCs w:val="21"/>
                <w:lang w:val="en-US" w:eastAsia="zh-CN" w:bidi="ar-SA"/>
              </w:rPr>
              <w:t>环境保护局批复，并于2008年8月投产运行。一期提标改造工程项目于2010年9月获得</w:t>
            </w:r>
            <w:r>
              <w:rPr>
                <w:rFonts w:hint="eastAsia" w:cs="Times New Roman"/>
                <w:b w:val="0"/>
                <w:bCs/>
                <w:color w:val="auto"/>
                <w:spacing w:val="-10"/>
                <w:kern w:val="2"/>
                <w:sz w:val="24"/>
                <w:szCs w:val="21"/>
                <w:lang w:val="en-US" w:eastAsia="zh-CN" w:bidi="ar-SA"/>
              </w:rPr>
              <w:t>金坛区</w:t>
            </w:r>
            <w:r>
              <w:rPr>
                <w:rFonts w:hint="eastAsia" w:ascii="Times New Roman" w:hAnsi="Times New Roman" w:eastAsia="宋体" w:cs="Times New Roman"/>
                <w:b w:val="0"/>
                <w:bCs/>
                <w:color w:val="auto"/>
                <w:spacing w:val="-10"/>
                <w:kern w:val="2"/>
                <w:sz w:val="24"/>
                <w:szCs w:val="21"/>
                <w:lang w:val="en-US" w:eastAsia="zh-CN" w:bidi="ar-SA"/>
              </w:rPr>
              <w:t>环境保护局批复（坛环审100178 号），主要采用水解+A2 /O 处理工艺，并于2012年3月通过竣工环保验收（坛环验（2012）6号）。二期工程项目于 2018 年6月11日获得常州市环境保护局批复（常金环审[2018]1号），主要采用水解+A-A2/O处理工艺，目前已建成投入运行。3期改扩建工程项目已于 2022年11月3日取得常州市生态环境局批复（常金环审[2022]103号），主要采用</w:t>
            </w:r>
            <w:r>
              <w:rPr>
                <w:rFonts w:hint="default" w:ascii="Times New Roman" w:hAnsi="Times New Roman" w:eastAsia="宋体" w:cs="Times New Roman"/>
                <w:bCs/>
                <w:color w:val="auto"/>
                <w:sz w:val="24"/>
                <w:highlight w:val="none"/>
                <w:lang w:val="en-US" w:eastAsia="zh-CN"/>
              </w:rPr>
              <w:t>A+AAO+AO</w:t>
            </w:r>
            <w:r>
              <w:rPr>
                <w:rFonts w:hint="eastAsia" w:ascii="Times New Roman" w:hAnsi="Times New Roman" w:eastAsia="宋体" w:cs="Times New Roman"/>
                <w:b w:val="0"/>
                <w:bCs/>
                <w:color w:val="auto"/>
                <w:spacing w:val="-10"/>
                <w:kern w:val="2"/>
                <w:sz w:val="24"/>
                <w:szCs w:val="21"/>
                <w:lang w:val="en-US" w:eastAsia="zh-CN" w:bidi="ar-SA"/>
              </w:rPr>
              <w:t>工艺，该污水</w:t>
            </w:r>
            <w:r>
              <w:rPr>
                <w:rFonts w:hint="eastAsia" w:cs="Times New Roman"/>
                <w:b w:val="0"/>
                <w:bCs/>
                <w:color w:val="auto"/>
                <w:spacing w:val="-10"/>
                <w:kern w:val="2"/>
                <w:sz w:val="24"/>
                <w:szCs w:val="21"/>
                <w:lang w:val="en-US" w:eastAsia="zh-CN" w:bidi="ar-SA"/>
              </w:rPr>
              <w:t>处理有限公司</w:t>
            </w:r>
            <w:r>
              <w:rPr>
                <w:rFonts w:hint="eastAsia" w:ascii="Times New Roman" w:hAnsi="Times New Roman" w:eastAsia="宋体" w:cs="Times New Roman"/>
                <w:b w:val="0"/>
                <w:bCs/>
                <w:color w:val="auto"/>
                <w:spacing w:val="-10"/>
                <w:kern w:val="2"/>
                <w:sz w:val="24"/>
                <w:szCs w:val="21"/>
                <w:lang w:val="en-US" w:eastAsia="zh-CN" w:bidi="ar-SA"/>
              </w:rPr>
              <w:t>50%尾水排入通济河，50%尾水回用至向阳河北侧的生态湿地</w:t>
            </w:r>
            <w:r>
              <w:rPr>
                <w:rFonts w:hint="default" w:ascii="Times New Roman" w:hAnsi="Times New Roman" w:eastAsia="宋体" w:cs="Times New Roman"/>
                <w:b w:val="0"/>
                <w:bCs/>
                <w:color w:val="auto"/>
                <w:spacing w:val="-10"/>
                <w:kern w:val="2"/>
                <w:sz w:val="24"/>
                <w:szCs w:val="21"/>
                <w:lang w:val="en-US" w:eastAsia="zh-CN" w:bidi="ar-SA"/>
              </w:rPr>
              <w:t>。</w:t>
            </w:r>
          </w:p>
          <w:p w14:paraId="2E8FA7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bCs w:val="0"/>
                <w:color w:val="auto"/>
                <w:sz w:val="21"/>
                <w:szCs w:val="21"/>
                <w:highlight w:val="none"/>
                <w:lang w:val="en-US" w:eastAsia="zh-CN"/>
              </w:rPr>
            </w:pPr>
            <w:r>
              <w:rPr>
                <w:color w:val="auto"/>
              </w:rPr>
              <w:drawing>
                <wp:inline distT="0" distB="0" distL="114300" distR="114300">
                  <wp:extent cx="4919345" cy="1825625"/>
                  <wp:effectExtent l="0" t="0" r="3175" b="317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1"/>
                          <a:stretch>
                            <a:fillRect/>
                          </a:stretch>
                        </pic:blipFill>
                        <pic:spPr>
                          <a:xfrm>
                            <a:off x="0" y="0"/>
                            <a:ext cx="4919345" cy="1825625"/>
                          </a:xfrm>
                          <a:prstGeom prst="rect">
                            <a:avLst/>
                          </a:prstGeom>
                          <a:noFill/>
                          <a:ln>
                            <a:noFill/>
                          </a:ln>
                        </pic:spPr>
                      </pic:pic>
                    </a:graphicData>
                  </a:graphic>
                </wp:inline>
              </w:drawing>
            </w:r>
          </w:p>
          <w:p w14:paraId="3B69FA7D">
            <w:pPr>
              <w:adjustRightInd w:val="0"/>
              <w:snapToGrid w:val="0"/>
              <w:spacing w:line="500" w:lineRule="exact"/>
              <w:jc w:val="center"/>
              <w:rPr>
                <w:rFonts w:hint="default" w:ascii="Times New Roman" w:hAnsi="Times New Roman" w:eastAsia="宋体" w:cs="Times New Roman"/>
                <w:b w:val="0"/>
                <w:bCs/>
                <w:color w:val="auto"/>
                <w:spacing w:val="-10"/>
                <w:szCs w:val="21"/>
                <w:lang w:val="en-US" w:eastAsia="zh-CN"/>
              </w:rPr>
            </w:pPr>
            <w:r>
              <w:rPr>
                <w:rFonts w:hint="eastAsia" w:cs="Times New Roman"/>
                <w:b/>
                <w:bCs w:val="0"/>
                <w:color w:val="auto"/>
                <w:sz w:val="21"/>
                <w:szCs w:val="21"/>
                <w:highlight w:val="none"/>
                <w:lang w:val="en-US" w:eastAsia="zh-CN"/>
              </w:rPr>
              <w:t>图4-1</w:t>
            </w:r>
            <w:r>
              <w:rPr>
                <w:rFonts w:hint="default" w:ascii="Times New Roman" w:hAnsi="Times New Roman" w:eastAsia="宋体" w:cs="Times New Roman"/>
                <w:b/>
                <w:bCs w:val="0"/>
                <w:color w:val="auto"/>
                <w:sz w:val="21"/>
                <w:szCs w:val="21"/>
                <w:highlight w:val="none"/>
                <w:lang w:val="en-US" w:eastAsia="zh-CN"/>
              </w:rPr>
              <w:t>常州市金坛区溪城污水处理有限公司</w:t>
            </w:r>
            <w:r>
              <w:rPr>
                <w:rFonts w:hint="eastAsia" w:cs="Times New Roman"/>
                <w:b/>
                <w:bCs w:val="0"/>
                <w:color w:val="auto"/>
                <w:sz w:val="21"/>
                <w:szCs w:val="21"/>
                <w:highlight w:val="none"/>
                <w:lang w:val="en-US" w:eastAsia="zh-CN"/>
              </w:rPr>
              <w:t>污水处理工艺流程图</w:t>
            </w:r>
          </w:p>
          <w:p w14:paraId="610E080E">
            <w:pPr>
              <w:pStyle w:val="5"/>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hint="default" w:ascii="Times New Roman" w:hAnsi="Times New Roman" w:eastAsia="宋体" w:cs="Times New Roman"/>
                <w:b w:val="0"/>
                <w:bCs/>
                <w:color w:val="auto"/>
                <w:spacing w:val="-10"/>
                <w:kern w:val="2"/>
                <w:sz w:val="24"/>
                <w:szCs w:val="21"/>
                <w:lang w:val="en-US" w:eastAsia="zh-CN" w:bidi="ar-SA"/>
              </w:rPr>
            </w:pPr>
            <w:r>
              <w:rPr>
                <w:rFonts w:hint="default" w:ascii="Times New Roman" w:hAnsi="Times New Roman" w:eastAsia="宋体" w:cs="Times New Roman"/>
                <w:b w:val="0"/>
                <w:bCs/>
                <w:color w:val="auto"/>
                <w:spacing w:val="-10"/>
                <w:kern w:val="2"/>
                <w:sz w:val="24"/>
                <w:szCs w:val="21"/>
                <w:lang w:val="en-US" w:eastAsia="zh-CN" w:bidi="ar-SA"/>
              </w:rPr>
              <w:t>根据《常州市金坛区溪城污水处理有限公司金坛区直溪污水处理厂改扩建工程项目环境影响报告书》结论与该污水处理厂日常运行达标情况，该污水处理厂选择的处理工艺是适宜的，经大量污水处理厂运行实践证明，该工艺处理城市污水具有可靠性。</w:t>
            </w:r>
            <w:r>
              <w:rPr>
                <w:rFonts w:hint="eastAsia" w:ascii="Times New Roman" w:hAnsi="Times New Roman" w:eastAsia="宋体" w:cs="Times New Roman"/>
                <w:b w:val="0"/>
                <w:bCs/>
                <w:color w:val="auto"/>
                <w:spacing w:val="-10"/>
                <w:kern w:val="2"/>
                <w:sz w:val="24"/>
                <w:szCs w:val="21"/>
                <w:lang w:val="en-US" w:eastAsia="zh-CN" w:bidi="ar-SA"/>
              </w:rPr>
              <w:t>根据</w:t>
            </w:r>
            <w:r>
              <w:rPr>
                <w:rFonts w:hint="eastAsia" w:eastAsia="宋体" w:cs="Times New Roman"/>
                <w:b w:val="0"/>
                <w:bCs/>
                <w:color w:val="auto"/>
                <w:spacing w:val="-10"/>
                <w:kern w:val="2"/>
                <w:sz w:val="24"/>
                <w:szCs w:val="21"/>
                <w:lang w:val="en-US" w:eastAsia="zh-CN" w:bidi="ar-SA"/>
              </w:rPr>
              <w:t>通济河水质现状</w:t>
            </w:r>
            <w:r>
              <w:rPr>
                <w:rFonts w:hint="eastAsia" w:ascii="Times New Roman" w:hAnsi="Times New Roman" w:eastAsia="宋体" w:cs="Times New Roman"/>
                <w:b w:val="0"/>
                <w:bCs/>
                <w:color w:val="auto"/>
                <w:spacing w:val="-10"/>
                <w:kern w:val="2"/>
                <w:sz w:val="24"/>
                <w:szCs w:val="21"/>
                <w:lang w:val="en-US" w:eastAsia="zh-CN" w:bidi="ar-SA"/>
              </w:rPr>
              <w:t>监测报告，收纳水体</w:t>
            </w:r>
            <w:r>
              <w:rPr>
                <w:rFonts w:hint="eastAsia" w:eastAsia="宋体" w:cs="Times New Roman"/>
                <w:b w:val="0"/>
                <w:bCs/>
                <w:color w:val="auto"/>
                <w:spacing w:val="-10"/>
                <w:kern w:val="2"/>
                <w:sz w:val="24"/>
                <w:szCs w:val="21"/>
                <w:lang w:val="en-US" w:eastAsia="zh-CN" w:bidi="ar-SA"/>
              </w:rPr>
              <w:t>通济河</w:t>
            </w:r>
            <w:r>
              <w:rPr>
                <w:rFonts w:hint="eastAsia" w:ascii="Times New Roman" w:hAnsi="Times New Roman" w:eastAsia="宋体" w:cs="Times New Roman"/>
                <w:b w:val="0"/>
                <w:bCs/>
                <w:color w:val="auto"/>
                <w:spacing w:val="-10"/>
                <w:kern w:val="2"/>
                <w:sz w:val="24"/>
                <w:szCs w:val="21"/>
                <w:lang w:val="en-US" w:eastAsia="zh-CN" w:bidi="ar-SA"/>
              </w:rPr>
              <w:t>尚有一定的纳污能力</w:t>
            </w:r>
            <w:r>
              <w:rPr>
                <w:rFonts w:hint="eastAsia" w:eastAsia="宋体" w:cs="Times New Roman"/>
                <w:b w:val="0"/>
                <w:bCs/>
                <w:color w:val="auto"/>
                <w:spacing w:val="-10"/>
                <w:kern w:val="2"/>
                <w:sz w:val="24"/>
                <w:szCs w:val="21"/>
                <w:lang w:val="en-US" w:eastAsia="zh-CN" w:bidi="ar-SA"/>
              </w:rPr>
              <w:t>。</w:t>
            </w:r>
          </w:p>
          <w:p w14:paraId="03C3E280">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pacing w:val="-10"/>
                <w:szCs w:val="21"/>
                <w:lang w:val="en-US" w:eastAsia="zh-CN"/>
              </w:rPr>
              <w:t>4.2.3.2接管水量可行性</w:t>
            </w:r>
          </w:p>
          <w:p w14:paraId="4E7C0B1A">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40" w:firstLineChars="200"/>
              <w:textAlignment w:val="auto"/>
              <w:rPr>
                <w:rFonts w:hint="default" w:ascii="Times New Roman" w:hAnsi="Times New Roman" w:eastAsia="宋体" w:cs="Times New Roman"/>
                <w:b w:val="0"/>
                <w:bCs/>
                <w:color w:val="auto"/>
                <w:spacing w:val="-10"/>
                <w:szCs w:val="21"/>
                <w:lang w:val="en-US" w:eastAsia="zh-CN"/>
              </w:rPr>
            </w:pPr>
            <w:r>
              <w:rPr>
                <w:rFonts w:hint="default" w:ascii="Times New Roman" w:hAnsi="Times New Roman" w:eastAsia="宋体" w:cs="Times New Roman"/>
                <w:b w:val="0"/>
                <w:bCs/>
                <w:color w:val="auto"/>
                <w:spacing w:val="-10"/>
                <w:szCs w:val="21"/>
                <w:lang w:val="en-US" w:eastAsia="zh-CN"/>
              </w:rPr>
              <w:t>常州市</w:t>
            </w:r>
            <w:r>
              <w:rPr>
                <w:rFonts w:hint="eastAsia" w:ascii="Times New Roman" w:hAnsi="Times New Roman" w:cs="Times New Roman"/>
                <w:b w:val="0"/>
                <w:bCs/>
                <w:color w:val="auto"/>
                <w:spacing w:val="-10"/>
                <w:szCs w:val="21"/>
                <w:lang w:val="en-US" w:eastAsia="zh-CN"/>
              </w:rPr>
              <w:t>金坛溪城污水处理有限公司三</w:t>
            </w:r>
            <w:r>
              <w:rPr>
                <w:rFonts w:hint="default" w:ascii="Times New Roman" w:hAnsi="Times New Roman" w:eastAsia="宋体" w:cs="Times New Roman"/>
                <w:b w:val="0"/>
                <w:bCs/>
                <w:color w:val="auto"/>
                <w:spacing w:val="-10"/>
                <w:szCs w:val="21"/>
                <w:lang w:val="en-US" w:eastAsia="zh-CN"/>
              </w:rPr>
              <w:t>期总的污水处理能力为</w:t>
            </w:r>
            <w:r>
              <w:rPr>
                <w:rFonts w:hint="eastAsia" w:ascii="Times New Roman" w:hAnsi="Times New Roman" w:cs="Times New Roman"/>
                <w:b w:val="0"/>
                <w:bCs/>
                <w:color w:val="auto"/>
                <w:spacing w:val="-10"/>
                <w:szCs w:val="21"/>
                <w:lang w:val="en-US" w:eastAsia="zh-CN"/>
              </w:rPr>
              <w:t>2</w:t>
            </w:r>
            <w:r>
              <w:rPr>
                <w:rFonts w:hint="default" w:ascii="Times New Roman" w:hAnsi="Times New Roman" w:eastAsia="宋体" w:cs="Times New Roman"/>
                <w:b w:val="0"/>
                <w:bCs/>
                <w:color w:val="auto"/>
                <w:spacing w:val="-10"/>
                <w:szCs w:val="21"/>
                <w:lang w:val="en-US" w:eastAsia="zh-CN"/>
              </w:rPr>
              <w:t>万m</w:t>
            </w:r>
            <w:r>
              <w:rPr>
                <w:rFonts w:hint="default" w:ascii="Times New Roman" w:hAnsi="Times New Roman" w:eastAsia="宋体" w:cs="Times New Roman"/>
                <w:b w:val="0"/>
                <w:bCs/>
                <w:color w:val="auto"/>
                <w:spacing w:val="-10"/>
                <w:szCs w:val="21"/>
                <w:vertAlign w:val="superscript"/>
                <w:lang w:val="en-US" w:eastAsia="zh-CN"/>
              </w:rPr>
              <w:t>3</w:t>
            </w:r>
            <w:r>
              <w:rPr>
                <w:rFonts w:hint="default" w:ascii="Times New Roman" w:hAnsi="Times New Roman" w:eastAsia="宋体" w:cs="Times New Roman"/>
                <w:b w:val="0"/>
                <w:bCs/>
                <w:color w:val="auto"/>
                <w:spacing w:val="-10"/>
                <w:szCs w:val="21"/>
                <w:lang w:val="en-US" w:eastAsia="zh-CN"/>
              </w:rPr>
              <w:t>/d，根据常州市</w:t>
            </w:r>
            <w:r>
              <w:rPr>
                <w:rFonts w:hint="eastAsia" w:ascii="Times New Roman" w:hAnsi="Times New Roman" w:cs="Times New Roman"/>
                <w:b w:val="0"/>
                <w:bCs/>
                <w:color w:val="auto"/>
                <w:spacing w:val="-10"/>
                <w:szCs w:val="21"/>
                <w:lang w:val="en-US" w:eastAsia="zh-CN"/>
              </w:rPr>
              <w:t>金坛溪城污水处理有限公司</w:t>
            </w:r>
            <w:r>
              <w:rPr>
                <w:rFonts w:hint="default" w:ascii="Times New Roman" w:hAnsi="Times New Roman" w:eastAsia="宋体" w:cs="Times New Roman"/>
                <w:b w:val="0"/>
                <w:bCs/>
                <w:color w:val="auto"/>
                <w:spacing w:val="-10"/>
                <w:szCs w:val="21"/>
                <w:lang w:val="en-US" w:eastAsia="zh-CN"/>
              </w:rPr>
              <w:t>提供的统计资料，目前其实际接管水量约</w:t>
            </w:r>
            <w:r>
              <w:rPr>
                <w:rFonts w:hint="eastAsia" w:ascii="Times New Roman" w:hAnsi="Times New Roman" w:cs="Times New Roman"/>
                <w:b w:val="0"/>
                <w:bCs/>
                <w:color w:val="auto"/>
                <w:spacing w:val="-10"/>
                <w:szCs w:val="21"/>
                <w:lang w:val="en-US" w:eastAsia="zh-CN"/>
              </w:rPr>
              <w:t>1.5</w:t>
            </w:r>
            <w:r>
              <w:rPr>
                <w:rFonts w:hint="default" w:ascii="Times New Roman" w:hAnsi="Times New Roman" w:eastAsia="宋体" w:cs="Times New Roman"/>
                <w:b w:val="0"/>
                <w:bCs/>
                <w:color w:val="auto"/>
                <w:spacing w:val="-10"/>
                <w:szCs w:val="21"/>
                <w:lang w:val="en-US" w:eastAsia="zh-CN"/>
              </w:rPr>
              <w:t>万m</w:t>
            </w:r>
            <w:r>
              <w:rPr>
                <w:rFonts w:hint="default" w:ascii="Times New Roman" w:hAnsi="Times New Roman" w:eastAsia="宋体" w:cs="Times New Roman"/>
                <w:b w:val="0"/>
                <w:bCs/>
                <w:color w:val="auto"/>
                <w:spacing w:val="-10"/>
                <w:szCs w:val="21"/>
                <w:vertAlign w:val="superscript"/>
                <w:lang w:val="en-US" w:eastAsia="zh-CN"/>
              </w:rPr>
              <w:t>3</w:t>
            </w:r>
            <w:r>
              <w:rPr>
                <w:rFonts w:hint="default" w:ascii="Times New Roman" w:hAnsi="Times New Roman" w:eastAsia="宋体" w:cs="Times New Roman"/>
                <w:b w:val="0"/>
                <w:bCs/>
                <w:color w:val="auto"/>
                <w:spacing w:val="-10"/>
                <w:szCs w:val="21"/>
                <w:lang w:val="en-US" w:eastAsia="zh-CN"/>
              </w:rPr>
              <w:t>/d，尚余</w:t>
            </w:r>
            <w:r>
              <w:rPr>
                <w:rFonts w:hint="eastAsia" w:ascii="Times New Roman" w:hAnsi="Times New Roman" w:cs="Times New Roman"/>
                <w:b w:val="0"/>
                <w:bCs/>
                <w:color w:val="auto"/>
                <w:spacing w:val="-10"/>
                <w:szCs w:val="21"/>
                <w:lang w:val="en-US" w:eastAsia="zh-CN"/>
              </w:rPr>
              <w:t>0.5</w:t>
            </w:r>
            <w:r>
              <w:rPr>
                <w:rFonts w:hint="default" w:ascii="Times New Roman" w:hAnsi="Times New Roman" w:eastAsia="宋体" w:cs="Times New Roman"/>
                <w:b w:val="0"/>
                <w:bCs/>
                <w:color w:val="auto"/>
                <w:spacing w:val="-10"/>
                <w:szCs w:val="21"/>
                <w:lang w:val="en-US" w:eastAsia="zh-CN"/>
              </w:rPr>
              <w:t>万m</w:t>
            </w:r>
            <w:r>
              <w:rPr>
                <w:rFonts w:hint="default" w:ascii="Times New Roman" w:hAnsi="Times New Roman" w:eastAsia="宋体" w:cs="Times New Roman"/>
                <w:b w:val="0"/>
                <w:bCs/>
                <w:color w:val="auto"/>
                <w:spacing w:val="-10"/>
                <w:szCs w:val="21"/>
                <w:vertAlign w:val="superscript"/>
                <w:lang w:val="en-US" w:eastAsia="zh-CN"/>
              </w:rPr>
              <w:t>3</w:t>
            </w:r>
            <w:r>
              <w:rPr>
                <w:rFonts w:hint="default" w:ascii="Times New Roman" w:hAnsi="Times New Roman" w:eastAsia="宋体" w:cs="Times New Roman"/>
                <w:b w:val="0"/>
                <w:bCs/>
                <w:color w:val="auto"/>
                <w:spacing w:val="-10"/>
                <w:szCs w:val="21"/>
                <w:lang w:val="en-US" w:eastAsia="zh-CN"/>
              </w:rPr>
              <w:t>/d。本项目新增接管废水总量为</w:t>
            </w:r>
            <w:r>
              <w:rPr>
                <w:rFonts w:hint="eastAsia" w:ascii="Times New Roman" w:hAnsi="Times New Roman" w:cs="Times New Roman"/>
                <w:b w:val="0"/>
                <w:bCs/>
                <w:color w:val="auto"/>
                <w:spacing w:val="-10"/>
                <w:szCs w:val="21"/>
                <w:lang w:val="en-US" w:eastAsia="zh-CN"/>
              </w:rPr>
              <w:t>48</w:t>
            </w:r>
            <w:r>
              <w:rPr>
                <w:rFonts w:hint="default" w:ascii="Times New Roman" w:hAnsi="Times New Roman" w:eastAsia="宋体" w:cs="Times New Roman"/>
                <w:b w:val="0"/>
                <w:bCs/>
                <w:color w:val="auto"/>
                <w:spacing w:val="-10"/>
                <w:szCs w:val="21"/>
                <w:lang w:val="en-US" w:eastAsia="zh-CN"/>
              </w:rPr>
              <w:t>0t/a（</w:t>
            </w:r>
            <w:r>
              <w:rPr>
                <w:rFonts w:hint="eastAsia" w:ascii="Times New Roman" w:hAnsi="Times New Roman" w:cs="Times New Roman"/>
                <w:b w:val="0"/>
                <w:bCs/>
                <w:color w:val="auto"/>
                <w:spacing w:val="-10"/>
                <w:szCs w:val="21"/>
                <w:lang w:val="en-US" w:eastAsia="zh-CN"/>
              </w:rPr>
              <w:t>1.6</w:t>
            </w:r>
            <w:r>
              <w:rPr>
                <w:rFonts w:hint="default" w:ascii="Times New Roman" w:hAnsi="Times New Roman" w:eastAsia="宋体" w:cs="Times New Roman"/>
                <w:b w:val="0"/>
                <w:bCs/>
                <w:color w:val="auto"/>
                <w:spacing w:val="-10"/>
                <w:szCs w:val="21"/>
                <w:lang w:val="en-US" w:eastAsia="zh-CN"/>
              </w:rPr>
              <w:t>m</w:t>
            </w:r>
            <w:r>
              <w:rPr>
                <w:rFonts w:hint="default" w:ascii="Times New Roman" w:hAnsi="Times New Roman" w:eastAsia="宋体" w:cs="Times New Roman"/>
                <w:b w:val="0"/>
                <w:bCs/>
                <w:color w:val="auto"/>
                <w:spacing w:val="-10"/>
                <w:szCs w:val="21"/>
                <w:vertAlign w:val="superscript"/>
                <w:lang w:val="en-US" w:eastAsia="zh-CN"/>
              </w:rPr>
              <w:t>3</w:t>
            </w:r>
            <w:r>
              <w:rPr>
                <w:rFonts w:hint="default" w:ascii="Times New Roman" w:hAnsi="Times New Roman" w:eastAsia="宋体" w:cs="Times New Roman"/>
                <w:b w:val="0"/>
                <w:bCs/>
                <w:color w:val="auto"/>
                <w:spacing w:val="-10"/>
                <w:szCs w:val="21"/>
                <w:lang w:val="en-US" w:eastAsia="zh-CN"/>
              </w:rPr>
              <w:t>/d），占其剩余日均接管量的</w:t>
            </w:r>
            <w:r>
              <w:rPr>
                <w:rFonts w:hint="eastAsia" w:ascii="Times New Roman" w:hAnsi="Times New Roman" w:cs="Times New Roman"/>
                <w:b w:val="0"/>
                <w:bCs/>
                <w:color w:val="auto"/>
                <w:spacing w:val="-10"/>
                <w:szCs w:val="21"/>
                <w:lang w:val="en-US" w:eastAsia="zh-CN"/>
              </w:rPr>
              <w:t>比例较小</w:t>
            </w:r>
            <w:r>
              <w:rPr>
                <w:rFonts w:hint="default" w:ascii="Times New Roman" w:hAnsi="Times New Roman" w:eastAsia="宋体" w:cs="Times New Roman"/>
                <w:b w:val="0"/>
                <w:bCs/>
                <w:color w:val="auto"/>
                <w:spacing w:val="-10"/>
                <w:szCs w:val="21"/>
                <w:lang w:val="en-US" w:eastAsia="zh-CN"/>
              </w:rPr>
              <w:t>，项目污水接入常州市</w:t>
            </w:r>
            <w:r>
              <w:rPr>
                <w:rFonts w:hint="eastAsia" w:ascii="Times New Roman" w:hAnsi="Times New Roman" w:cs="Times New Roman"/>
                <w:b w:val="0"/>
                <w:bCs/>
                <w:color w:val="auto"/>
                <w:spacing w:val="-10"/>
                <w:szCs w:val="21"/>
                <w:lang w:val="en-US" w:eastAsia="zh-CN"/>
              </w:rPr>
              <w:t>金坛溪城污水处理有限公司</w:t>
            </w:r>
            <w:r>
              <w:rPr>
                <w:rFonts w:hint="default" w:ascii="Times New Roman" w:hAnsi="Times New Roman" w:eastAsia="宋体" w:cs="Times New Roman"/>
                <w:b w:val="0"/>
                <w:bCs/>
                <w:color w:val="auto"/>
                <w:spacing w:val="-10"/>
                <w:szCs w:val="21"/>
                <w:lang w:val="en-US" w:eastAsia="zh-CN"/>
              </w:rPr>
              <w:t>从接管水量分析是可行的。</w:t>
            </w:r>
          </w:p>
          <w:p w14:paraId="4336E2E1">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pacing w:val="-10"/>
                <w:szCs w:val="21"/>
                <w:lang w:val="en-US" w:eastAsia="zh-CN"/>
              </w:rPr>
              <w:t>4.2.3.3接管水质可行性分析</w:t>
            </w:r>
          </w:p>
          <w:p w14:paraId="0E735935">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40" w:firstLineChars="200"/>
              <w:textAlignment w:val="auto"/>
              <w:rPr>
                <w:rFonts w:hint="default" w:ascii="Times New Roman" w:hAnsi="Times New Roman" w:eastAsia="宋体" w:cs="Times New Roman"/>
                <w:b w:val="0"/>
                <w:bCs/>
                <w:color w:val="auto"/>
                <w:spacing w:val="-10"/>
                <w:szCs w:val="21"/>
                <w:lang w:val="en-US" w:eastAsia="zh-CN"/>
              </w:rPr>
            </w:pPr>
            <w:r>
              <w:rPr>
                <w:rFonts w:hint="default" w:ascii="Times New Roman" w:hAnsi="Times New Roman" w:eastAsia="宋体" w:cs="Times New Roman"/>
                <w:b w:val="0"/>
                <w:bCs/>
                <w:color w:val="auto"/>
                <w:spacing w:val="-10"/>
                <w:szCs w:val="21"/>
                <w:lang w:val="en-US" w:eastAsia="zh-CN"/>
              </w:rPr>
              <w:t>本项目投产后产生的生活污水能够达到常州</w:t>
            </w:r>
            <w:r>
              <w:rPr>
                <w:rFonts w:hint="eastAsia" w:ascii="Times New Roman" w:hAnsi="Times New Roman" w:cs="Times New Roman"/>
                <w:b w:val="0"/>
                <w:bCs/>
                <w:color w:val="auto"/>
                <w:spacing w:val="-10"/>
                <w:szCs w:val="21"/>
                <w:lang w:val="en-US" w:eastAsia="zh-CN"/>
              </w:rPr>
              <w:t>金坛溪城污水处理有限公司</w:t>
            </w:r>
            <w:r>
              <w:rPr>
                <w:rFonts w:hint="default" w:ascii="Times New Roman" w:hAnsi="Times New Roman" w:eastAsia="宋体" w:cs="Times New Roman"/>
                <w:b w:val="0"/>
                <w:bCs/>
                <w:color w:val="auto"/>
                <w:spacing w:val="-10"/>
                <w:szCs w:val="21"/>
                <w:lang w:val="en-US" w:eastAsia="zh-CN"/>
              </w:rPr>
              <w:t>接管要求，本项目建成后全厂接管废水水质情况见下表。</w:t>
            </w:r>
          </w:p>
          <w:p w14:paraId="502F20A0">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ind w:firstLine="382" w:firstLineChars="200"/>
              <w:jc w:val="center"/>
              <w:textAlignment w:val="auto"/>
              <w:rPr>
                <w:rFonts w:hint="default" w:ascii="Times New Roman" w:hAnsi="Times New Roman" w:eastAsia="宋体" w:cs="Times New Roman"/>
                <w:b/>
                <w:bCs w:val="0"/>
                <w:color w:val="auto"/>
                <w:spacing w:val="-10"/>
                <w:sz w:val="21"/>
                <w:szCs w:val="18"/>
                <w:lang w:val="en-US" w:eastAsia="zh-CN"/>
              </w:rPr>
            </w:pPr>
            <w:r>
              <w:rPr>
                <w:rFonts w:hint="default" w:ascii="Times New Roman" w:hAnsi="Times New Roman" w:eastAsia="宋体" w:cs="Times New Roman"/>
                <w:b/>
                <w:bCs w:val="0"/>
                <w:color w:val="auto"/>
                <w:spacing w:val="-10"/>
                <w:sz w:val="21"/>
                <w:szCs w:val="18"/>
                <w:lang w:val="en-US" w:eastAsia="zh-CN"/>
              </w:rPr>
              <w:t>表4-</w:t>
            </w:r>
            <w:r>
              <w:rPr>
                <w:rFonts w:hint="eastAsia" w:ascii="Times New Roman" w:hAnsi="Times New Roman" w:cs="Times New Roman"/>
                <w:b/>
                <w:bCs w:val="0"/>
                <w:color w:val="auto"/>
                <w:spacing w:val="-10"/>
                <w:sz w:val="21"/>
                <w:szCs w:val="18"/>
                <w:lang w:val="en-US" w:eastAsia="zh-CN"/>
              </w:rPr>
              <w:t>12</w:t>
            </w:r>
            <w:r>
              <w:rPr>
                <w:rFonts w:hint="default" w:ascii="Times New Roman" w:hAnsi="Times New Roman" w:eastAsia="宋体" w:cs="Times New Roman"/>
                <w:b/>
                <w:bCs w:val="0"/>
                <w:color w:val="auto"/>
                <w:spacing w:val="-10"/>
                <w:sz w:val="21"/>
                <w:szCs w:val="18"/>
                <w:lang w:val="en-US" w:eastAsia="zh-CN"/>
              </w:rPr>
              <w:t>本项目接管生活污水水质情况表</w:t>
            </w:r>
          </w:p>
          <w:tbl>
            <w:tblPr>
              <w:tblStyle w:val="18"/>
              <w:tblW w:w="83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3"/>
              <w:gridCol w:w="2507"/>
              <w:gridCol w:w="3488"/>
            </w:tblGrid>
            <w:tr w14:paraId="54D51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83" w:type="dxa"/>
                  <w:vAlign w:val="center"/>
                </w:tcPr>
                <w:p w14:paraId="75343D6A">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b/>
                      <w:bCs w:val="0"/>
                      <w:color w:val="auto"/>
                      <w:spacing w:val="-10"/>
                      <w:sz w:val="21"/>
                      <w:szCs w:val="21"/>
                      <w:vertAlign w:val="baseline"/>
                      <w:lang w:val="en-US" w:eastAsia="zh-CN"/>
                    </w:rPr>
                    <w:t>污染物</w:t>
                  </w:r>
                </w:p>
              </w:tc>
              <w:tc>
                <w:tcPr>
                  <w:tcW w:w="2507" w:type="dxa"/>
                  <w:vAlign w:val="center"/>
                </w:tcPr>
                <w:p w14:paraId="52A07C63">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b/>
                      <w:bCs w:val="0"/>
                      <w:color w:val="auto"/>
                      <w:spacing w:val="-10"/>
                      <w:sz w:val="21"/>
                      <w:szCs w:val="21"/>
                      <w:vertAlign w:val="baseline"/>
                      <w:lang w:val="en-US" w:eastAsia="zh-CN"/>
                    </w:rPr>
                    <w:t>最终接管废水浓度（mg/L）</w:t>
                  </w:r>
                </w:p>
              </w:tc>
              <w:tc>
                <w:tcPr>
                  <w:tcW w:w="3488" w:type="dxa"/>
                  <w:vAlign w:val="center"/>
                </w:tcPr>
                <w:p w14:paraId="3D5CD610">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240" w:lineRule="auto"/>
                    <w:jc w:val="center"/>
                    <w:textAlignment w:val="auto"/>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b/>
                      <w:bCs w:val="0"/>
                      <w:color w:val="auto"/>
                      <w:spacing w:val="-10"/>
                      <w:sz w:val="21"/>
                      <w:szCs w:val="21"/>
                      <w:vertAlign w:val="baseline"/>
                      <w:lang w:val="en-US" w:eastAsia="zh-CN"/>
                    </w:rPr>
                    <w:t>常州</w:t>
                  </w:r>
                  <w:r>
                    <w:rPr>
                      <w:rFonts w:hint="eastAsia" w:ascii="Times New Roman" w:hAnsi="Times New Roman" w:cs="Times New Roman"/>
                      <w:b/>
                      <w:bCs w:val="0"/>
                      <w:color w:val="auto"/>
                      <w:spacing w:val="-10"/>
                      <w:sz w:val="21"/>
                      <w:szCs w:val="21"/>
                      <w:vertAlign w:val="baseline"/>
                      <w:lang w:val="en-US" w:eastAsia="zh-CN"/>
                    </w:rPr>
                    <w:t>金坛溪城污水处理有限公司污水</w:t>
                  </w:r>
                  <w:r>
                    <w:rPr>
                      <w:rFonts w:hint="default" w:ascii="Times New Roman" w:hAnsi="Times New Roman" w:eastAsia="宋体" w:cs="Times New Roman"/>
                      <w:b/>
                      <w:bCs w:val="0"/>
                      <w:color w:val="auto"/>
                      <w:spacing w:val="-10"/>
                      <w:sz w:val="21"/>
                      <w:szCs w:val="21"/>
                      <w:vertAlign w:val="baseline"/>
                      <w:lang w:val="en-US" w:eastAsia="zh-CN"/>
                    </w:rPr>
                    <w:t>接管要求（mg/L）</w:t>
                  </w:r>
                </w:p>
              </w:tc>
            </w:tr>
            <w:tr w14:paraId="626E3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83" w:type="dxa"/>
                  <w:vAlign w:val="center"/>
                </w:tcPr>
                <w:p w14:paraId="12B55FB0">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eastAsia="宋体" w:cs="Times New Roman"/>
                      <w:b w:val="0"/>
                      <w:bCs/>
                      <w:color w:val="auto"/>
                      <w:spacing w:val="-10"/>
                      <w:sz w:val="21"/>
                      <w:szCs w:val="21"/>
                      <w:vertAlign w:val="baseline"/>
                      <w:lang w:val="en-US" w:eastAsia="zh-CN"/>
                    </w:rPr>
                  </w:pPr>
                  <w:r>
                    <w:rPr>
                      <w:rFonts w:hint="default" w:ascii="Times New Roman" w:hAnsi="Times New Roman" w:eastAsia="宋体" w:cs="Times New Roman"/>
                      <w:b w:val="0"/>
                      <w:bCs/>
                      <w:color w:val="auto"/>
                      <w:spacing w:val="-10"/>
                      <w:sz w:val="21"/>
                      <w:szCs w:val="21"/>
                      <w:vertAlign w:val="baseline"/>
                      <w:lang w:val="en-US" w:eastAsia="zh-CN"/>
                    </w:rPr>
                    <w:t>pH（无量纲）</w:t>
                  </w:r>
                </w:p>
              </w:tc>
              <w:tc>
                <w:tcPr>
                  <w:tcW w:w="2507" w:type="dxa"/>
                  <w:vAlign w:val="center"/>
                </w:tcPr>
                <w:p w14:paraId="2180D5C4">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eastAsia="宋体" w:cs="Times New Roman"/>
                      <w:b w:val="0"/>
                      <w:bCs/>
                      <w:color w:val="auto"/>
                      <w:spacing w:val="-10"/>
                      <w:sz w:val="21"/>
                      <w:szCs w:val="21"/>
                      <w:vertAlign w:val="baseline"/>
                      <w:lang w:val="en-US" w:eastAsia="zh-CN"/>
                    </w:rPr>
                  </w:pPr>
                  <w:r>
                    <w:rPr>
                      <w:rFonts w:hint="default" w:ascii="Times New Roman" w:hAnsi="Times New Roman" w:eastAsia="宋体" w:cs="Times New Roman"/>
                      <w:b w:val="0"/>
                      <w:bCs/>
                      <w:color w:val="auto"/>
                      <w:szCs w:val="21"/>
                    </w:rPr>
                    <w:t>6-9</w:t>
                  </w:r>
                </w:p>
              </w:tc>
              <w:tc>
                <w:tcPr>
                  <w:tcW w:w="3488" w:type="dxa"/>
                  <w:vAlign w:val="center"/>
                </w:tcPr>
                <w:p w14:paraId="70C35B6B">
                  <w:pPr>
                    <w:pStyle w:val="7"/>
                    <w:numPr>
                      <w:ilvl w:val="0"/>
                      <w:numId w:val="0"/>
                    </w:numPr>
                    <w:tabs>
                      <w:tab w:val="clear" w:pos="2040"/>
                    </w:tabs>
                    <w:spacing w:line="240" w:lineRule="atLeast"/>
                    <w:ind w:left="0" w:leftChars="0" w:firstLine="0" w:firstLineChars="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color w:val="auto"/>
                      <w:szCs w:val="21"/>
                    </w:rPr>
                    <w:t>6-9</w:t>
                  </w:r>
                </w:p>
              </w:tc>
            </w:tr>
            <w:tr w14:paraId="2719A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83" w:type="dxa"/>
                  <w:vAlign w:val="center"/>
                </w:tcPr>
                <w:p w14:paraId="0AA209AC">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COD</w:t>
                  </w:r>
                </w:p>
              </w:tc>
              <w:tc>
                <w:tcPr>
                  <w:tcW w:w="2507" w:type="dxa"/>
                  <w:vAlign w:val="center"/>
                </w:tcPr>
                <w:p w14:paraId="0B4BCF22">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b w:val="0"/>
                      <w:bCs/>
                      <w:color w:val="auto"/>
                      <w:kern w:val="0"/>
                      <w:szCs w:val="21"/>
                      <w:lang w:val="en-US" w:eastAsia="zh-CN" w:bidi="ar"/>
                    </w:rPr>
                    <w:t>300</w:t>
                  </w:r>
                </w:p>
              </w:tc>
              <w:tc>
                <w:tcPr>
                  <w:tcW w:w="3488" w:type="dxa"/>
                  <w:vAlign w:val="center"/>
                </w:tcPr>
                <w:p w14:paraId="270BD9AD">
                  <w:pPr>
                    <w:pStyle w:val="7"/>
                    <w:numPr>
                      <w:ilvl w:val="0"/>
                      <w:numId w:val="0"/>
                    </w:numPr>
                    <w:tabs>
                      <w:tab w:val="clear" w:pos="2040"/>
                    </w:tabs>
                    <w:spacing w:line="240" w:lineRule="atLeast"/>
                    <w:ind w:left="0" w:leftChars="0" w:firstLine="0" w:firstLineChars="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color w:val="auto"/>
                      <w:sz w:val="21"/>
                      <w:szCs w:val="21"/>
                      <w:lang w:val="en-US" w:eastAsia="zh-CN"/>
                    </w:rPr>
                    <w:t>≤500</w:t>
                  </w:r>
                </w:p>
              </w:tc>
            </w:tr>
            <w:tr w14:paraId="74262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83" w:type="dxa"/>
                  <w:vAlign w:val="center"/>
                </w:tcPr>
                <w:p w14:paraId="1DB0147D">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SS</w:t>
                  </w:r>
                </w:p>
              </w:tc>
              <w:tc>
                <w:tcPr>
                  <w:tcW w:w="2507" w:type="dxa"/>
                  <w:vAlign w:val="center"/>
                </w:tcPr>
                <w:p w14:paraId="4629EC20">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b w:val="0"/>
                      <w:bCs/>
                      <w:color w:val="auto"/>
                      <w:kern w:val="0"/>
                      <w:szCs w:val="21"/>
                      <w:lang w:val="en-US" w:eastAsia="zh-CN" w:bidi="ar"/>
                    </w:rPr>
                    <w:t>200</w:t>
                  </w:r>
                </w:p>
              </w:tc>
              <w:tc>
                <w:tcPr>
                  <w:tcW w:w="3488" w:type="dxa"/>
                  <w:vAlign w:val="center"/>
                </w:tcPr>
                <w:p w14:paraId="4CE7AD12">
                  <w:pPr>
                    <w:pStyle w:val="7"/>
                    <w:numPr>
                      <w:ilvl w:val="0"/>
                      <w:numId w:val="0"/>
                    </w:numPr>
                    <w:tabs>
                      <w:tab w:val="clear" w:pos="2040"/>
                    </w:tabs>
                    <w:spacing w:line="240" w:lineRule="atLeast"/>
                    <w:ind w:left="0" w:leftChars="0" w:firstLine="0" w:firstLineChars="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400</w:t>
                  </w:r>
                </w:p>
              </w:tc>
            </w:tr>
            <w:tr w14:paraId="10F55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83" w:type="dxa"/>
                  <w:vAlign w:val="center"/>
                </w:tcPr>
                <w:p w14:paraId="4DD1C996">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氨氮</w:t>
                  </w:r>
                </w:p>
              </w:tc>
              <w:tc>
                <w:tcPr>
                  <w:tcW w:w="2507" w:type="dxa"/>
                  <w:vAlign w:val="center"/>
                </w:tcPr>
                <w:p w14:paraId="14BBAFAA">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b w:val="0"/>
                      <w:bCs/>
                      <w:color w:val="auto"/>
                      <w:kern w:val="0"/>
                      <w:szCs w:val="21"/>
                      <w:lang w:val="en-US" w:eastAsia="zh-CN" w:bidi="ar"/>
                    </w:rPr>
                    <w:t>30</w:t>
                  </w:r>
                </w:p>
              </w:tc>
              <w:tc>
                <w:tcPr>
                  <w:tcW w:w="3488" w:type="dxa"/>
                  <w:vAlign w:val="center"/>
                </w:tcPr>
                <w:p w14:paraId="73156D49">
                  <w:pPr>
                    <w:pStyle w:val="7"/>
                    <w:numPr>
                      <w:ilvl w:val="0"/>
                      <w:numId w:val="0"/>
                    </w:numPr>
                    <w:tabs>
                      <w:tab w:val="clear" w:pos="2040"/>
                    </w:tabs>
                    <w:spacing w:line="240" w:lineRule="atLeast"/>
                    <w:ind w:left="0" w:leftChars="0" w:firstLine="0" w:firstLineChars="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color w:val="auto"/>
                      <w:sz w:val="21"/>
                      <w:szCs w:val="21"/>
                      <w:lang w:val="en-US" w:eastAsia="zh-CN"/>
                    </w:rPr>
                    <w:t>≤45</w:t>
                  </w:r>
                </w:p>
              </w:tc>
            </w:tr>
            <w:tr w14:paraId="72F2B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83" w:type="dxa"/>
                  <w:vAlign w:val="center"/>
                </w:tcPr>
                <w:p w14:paraId="7B6B5980">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总</w:t>
                  </w:r>
                  <w:r>
                    <w:rPr>
                      <w:rFonts w:hint="default" w:ascii="Times New Roman" w:hAnsi="Times New Roman" w:eastAsia="宋体" w:cs="Times New Roman"/>
                      <w:color w:val="auto"/>
                      <w:sz w:val="21"/>
                      <w:szCs w:val="21"/>
                      <w:shd w:val="clear" w:fill="auto"/>
                      <w:lang w:val="en-US" w:eastAsia="zh-CN"/>
                    </w:rPr>
                    <w:t>磷</w:t>
                  </w:r>
                </w:p>
              </w:tc>
              <w:tc>
                <w:tcPr>
                  <w:tcW w:w="2507" w:type="dxa"/>
                  <w:vAlign w:val="center"/>
                </w:tcPr>
                <w:p w14:paraId="65605C28">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b w:val="0"/>
                      <w:bCs/>
                      <w:color w:val="auto"/>
                      <w:kern w:val="0"/>
                      <w:szCs w:val="21"/>
                      <w:lang w:val="en-US" w:eastAsia="zh-CN" w:bidi="ar"/>
                    </w:rPr>
                    <w:t>3</w:t>
                  </w:r>
                </w:p>
              </w:tc>
              <w:tc>
                <w:tcPr>
                  <w:tcW w:w="3488" w:type="dxa"/>
                  <w:vAlign w:val="center"/>
                </w:tcPr>
                <w:p w14:paraId="4C56F7B3">
                  <w:pPr>
                    <w:pStyle w:val="7"/>
                    <w:numPr>
                      <w:ilvl w:val="0"/>
                      <w:numId w:val="0"/>
                    </w:numPr>
                    <w:tabs>
                      <w:tab w:val="clear" w:pos="2040"/>
                    </w:tabs>
                    <w:spacing w:line="240" w:lineRule="atLeast"/>
                    <w:ind w:left="0" w:leftChars="0" w:firstLine="0" w:firstLineChars="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8</w:t>
                  </w:r>
                </w:p>
              </w:tc>
            </w:tr>
            <w:tr w14:paraId="55788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383" w:type="dxa"/>
                  <w:vAlign w:val="center"/>
                </w:tcPr>
                <w:p w14:paraId="14D3F958">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总氮</w:t>
                  </w:r>
                </w:p>
              </w:tc>
              <w:tc>
                <w:tcPr>
                  <w:tcW w:w="2507" w:type="dxa"/>
                  <w:vAlign w:val="center"/>
                </w:tcPr>
                <w:p w14:paraId="43F87D18">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b w:val="0"/>
                      <w:bCs/>
                      <w:color w:val="auto"/>
                      <w:kern w:val="0"/>
                      <w:szCs w:val="21"/>
                      <w:lang w:val="en-US" w:eastAsia="zh-CN" w:bidi="ar"/>
                    </w:rPr>
                    <w:t>40</w:t>
                  </w:r>
                </w:p>
              </w:tc>
              <w:tc>
                <w:tcPr>
                  <w:tcW w:w="3488" w:type="dxa"/>
                  <w:vAlign w:val="center"/>
                </w:tcPr>
                <w:p w14:paraId="65983CAD">
                  <w:pPr>
                    <w:pStyle w:val="7"/>
                    <w:numPr>
                      <w:ilvl w:val="0"/>
                      <w:numId w:val="0"/>
                    </w:numPr>
                    <w:tabs>
                      <w:tab w:val="clear" w:pos="2040"/>
                    </w:tabs>
                    <w:spacing w:line="240" w:lineRule="atLeast"/>
                    <w:ind w:left="0" w:leftChars="0" w:firstLine="0" w:firstLineChars="0"/>
                    <w:jc w:val="center"/>
                    <w:rPr>
                      <w:rFonts w:hint="default" w:ascii="Times New Roman" w:hAnsi="Times New Roman" w:eastAsia="宋体" w:cs="Times New Roman"/>
                      <w:b/>
                      <w:bCs w:val="0"/>
                      <w:color w:val="auto"/>
                      <w:spacing w:val="-10"/>
                      <w:sz w:val="21"/>
                      <w:szCs w:val="21"/>
                      <w:vertAlign w:val="baseline"/>
                      <w:lang w:val="en-US" w:eastAsia="zh-CN"/>
                    </w:rPr>
                  </w:pPr>
                  <w:r>
                    <w:rPr>
                      <w:rFonts w:hint="default" w:ascii="Times New Roman" w:hAnsi="Times New Roman" w:eastAsia="宋体" w:cs="Times New Roman"/>
                      <w:color w:val="auto"/>
                      <w:sz w:val="21"/>
                      <w:szCs w:val="21"/>
                      <w:lang w:val="en-US" w:eastAsia="zh-CN"/>
                    </w:rPr>
                    <w:t>≤70</w:t>
                  </w:r>
                </w:p>
              </w:tc>
            </w:tr>
          </w:tbl>
          <w:p w14:paraId="33175892">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40" w:firstLineChars="200"/>
              <w:textAlignment w:val="auto"/>
              <w:rPr>
                <w:rFonts w:hint="default" w:ascii="Times New Roman" w:hAnsi="Times New Roman" w:eastAsia="宋体" w:cs="Times New Roman"/>
                <w:b w:val="0"/>
                <w:bCs/>
                <w:color w:val="auto"/>
                <w:spacing w:val="-10"/>
                <w:szCs w:val="21"/>
                <w:lang w:val="en-US" w:eastAsia="zh-CN"/>
              </w:rPr>
            </w:pPr>
            <w:r>
              <w:rPr>
                <w:rFonts w:hint="default" w:ascii="Times New Roman" w:hAnsi="Times New Roman" w:eastAsia="宋体" w:cs="Times New Roman"/>
                <w:b w:val="0"/>
                <w:bCs/>
                <w:color w:val="auto"/>
                <w:spacing w:val="-10"/>
                <w:szCs w:val="21"/>
                <w:lang w:val="en-US" w:eastAsia="zh-CN"/>
              </w:rPr>
              <w:t>由上表可知，本项目产生的生活污水满足常州市</w:t>
            </w:r>
            <w:r>
              <w:rPr>
                <w:rFonts w:hint="eastAsia" w:ascii="Times New Roman" w:hAnsi="Times New Roman" w:cs="Times New Roman"/>
                <w:b w:val="0"/>
                <w:bCs/>
                <w:color w:val="auto"/>
                <w:spacing w:val="-10"/>
                <w:szCs w:val="21"/>
                <w:lang w:val="en-US" w:eastAsia="zh-CN"/>
              </w:rPr>
              <w:t>金坛溪城污水处理有限公司</w:t>
            </w:r>
            <w:r>
              <w:rPr>
                <w:rFonts w:hint="default" w:ascii="Times New Roman" w:hAnsi="Times New Roman" w:eastAsia="宋体" w:cs="Times New Roman"/>
                <w:b w:val="0"/>
                <w:bCs/>
                <w:color w:val="auto"/>
                <w:spacing w:val="-10"/>
                <w:szCs w:val="21"/>
                <w:lang w:val="en-US" w:eastAsia="zh-CN"/>
              </w:rPr>
              <w:t>接管标准，不会对污水</w:t>
            </w:r>
            <w:r>
              <w:rPr>
                <w:rFonts w:hint="eastAsia" w:ascii="Times New Roman" w:hAnsi="Times New Roman" w:cs="Times New Roman"/>
                <w:b w:val="0"/>
                <w:bCs/>
                <w:color w:val="auto"/>
                <w:spacing w:val="-10"/>
                <w:szCs w:val="21"/>
                <w:lang w:val="en-US" w:eastAsia="zh-CN"/>
              </w:rPr>
              <w:t>处理有限公司</w:t>
            </w:r>
            <w:r>
              <w:rPr>
                <w:rFonts w:hint="default" w:ascii="Times New Roman" w:hAnsi="Times New Roman" w:eastAsia="宋体" w:cs="Times New Roman"/>
                <w:b w:val="0"/>
                <w:bCs/>
                <w:color w:val="auto"/>
                <w:spacing w:val="-10"/>
                <w:szCs w:val="21"/>
                <w:lang w:val="en-US" w:eastAsia="zh-CN"/>
              </w:rPr>
              <w:t>运行产生冲击负荷。因此，本项目污水接入常州市</w:t>
            </w:r>
            <w:r>
              <w:rPr>
                <w:rFonts w:hint="eastAsia" w:ascii="Times New Roman" w:hAnsi="Times New Roman" w:cs="Times New Roman"/>
                <w:b w:val="0"/>
                <w:bCs/>
                <w:color w:val="auto"/>
                <w:spacing w:val="-10"/>
                <w:szCs w:val="21"/>
                <w:lang w:val="en-US" w:eastAsia="zh-CN"/>
              </w:rPr>
              <w:t>金坛溪城污水处理有限公司</w:t>
            </w:r>
            <w:r>
              <w:rPr>
                <w:rFonts w:hint="default" w:ascii="Times New Roman" w:hAnsi="Times New Roman" w:eastAsia="宋体" w:cs="Times New Roman"/>
                <w:b w:val="0"/>
                <w:bCs/>
                <w:color w:val="auto"/>
                <w:spacing w:val="-10"/>
                <w:szCs w:val="21"/>
                <w:lang w:val="en-US" w:eastAsia="zh-CN"/>
              </w:rPr>
              <w:t>从接管水质分析是可行的。</w:t>
            </w:r>
          </w:p>
          <w:p w14:paraId="37C40C85">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pacing w:val="-10"/>
                <w:szCs w:val="21"/>
                <w:lang w:val="en-US" w:eastAsia="zh-CN"/>
              </w:rPr>
              <w:t>4.2.3.4</w:t>
            </w:r>
            <w:r>
              <w:rPr>
                <w:rFonts w:hint="eastAsia" w:ascii="Times New Roman" w:hAnsi="Times New Roman" w:cs="Times New Roman"/>
                <w:b/>
                <w:bCs w:val="0"/>
                <w:color w:val="auto"/>
                <w:spacing w:val="-10"/>
                <w:szCs w:val="21"/>
                <w:lang w:val="en-US" w:eastAsia="zh-CN"/>
              </w:rPr>
              <w:t>生活</w:t>
            </w:r>
            <w:r>
              <w:rPr>
                <w:rFonts w:hint="default" w:ascii="Times New Roman" w:hAnsi="Times New Roman" w:eastAsia="宋体" w:cs="Times New Roman"/>
                <w:b/>
                <w:bCs w:val="0"/>
                <w:color w:val="auto"/>
                <w:spacing w:val="-10"/>
                <w:szCs w:val="21"/>
                <w:lang w:val="en-US" w:eastAsia="zh-CN"/>
              </w:rPr>
              <w:t>污水管网建设情况分析</w:t>
            </w:r>
          </w:p>
          <w:p w14:paraId="677FAFB2">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40" w:firstLineChars="200"/>
              <w:textAlignment w:val="auto"/>
              <w:rPr>
                <w:rFonts w:hint="default" w:ascii="Times New Roman" w:hAnsi="Times New Roman" w:eastAsia="宋体" w:cs="Times New Roman"/>
                <w:b w:val="0"/>
                <w:bCs/>
                <w:color w:val="auto"/>
                <w:spacing w:val="-10"/>
                <w:szCs w:val="21"/>
                <w:lang w:val="en-US" w:eastAsia="zh-CN"/>
              </w:rPr>
            </w:pPr>
            <w:r>
              <w:rPr>
                <w:rFonts w:hint="default" w:ascii="Times New Roman" w:hAnsi="Times New Roman" w:eastAsia="宋体" w:cs="Times New Roman"/>
                <w:b w:val="0"/>
                <w:bCs/>
                <w:color w:val="auto"/>
                <w:spacing w:val="-10"/>
                <w:szCs w:val="21"/>
                <w:lang w:val="en-US" w:eastAsia="zh-CN"/>
              </w:rPr>
              <w:t>厂区、园区已实行“雨污分流”制度，项目所在地雨、污水管网已铺设到位，故本项目污水具备纳入城市污水管网的条件。</w:t>
            </w:r>
          </w:p>
          <w:p w14:paraId="1BC64CB4">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40" w:firstLineChars="200"/>
              <w:textAlignment w:val="auto"/>
              <w:rPr>
                <w:rFonts w:hint="default" w:ascii="Times New Roman" w:hAnsi="Times New Roman" w:eastAsia="宋体" w:cs="Times New Roman"/>
                <w:b w:val="0"/>
                <w:bCs/>
                <w:color w:val="auto"/>
                <w:spacing w:val="-10"/>
                <w:sz w:val="24"/>
                <w:szCs w:val="24"/>
                <w:lang w:val="en-US" w:eastAsia="zh-CN"/>
              </w:rPr>
            </w:pPr>
            <w:r>
              <w:rPr>
                <w:rFonts w:hint="default" w:ascii="Times New Roman" w:hAnsi="Times New Roman" w:eastAsia="宋体" w:cs="Times New Roman"/>
                <w:b w:val="0"/>
                <w:bCs/>
                <w:color w:val="auto"/>
                <w:spacing w:val="-10"/>
                <w:szCs w:val="21"/>
                <w:lang w:val="en-US" w:eastAsia="zh-CN"/>
              </w:rPr>
              <w:t>综合考虑污水管网铺设情况、污水处理厂接纳能力及水质浓度达标情况等因素，本项</w:t>
            </w:r>
            <w:r>
              <w:rPr>
                <w:rFonts w:hint="default" w:ascii="Times New Roman" w:hAnsi="Times New Roman" w:eastAsia="宋体" w:cs="Times New Roman"/>
                <w:b w:val="0"/>
                <w:bCs/>
                <w:color w:val="auto"/>
                <w:spacing w:val="-10"/>
                <w:sz w:val="24"/>
                <w:szCs w:val="24"/>
                <w:lang w:val="en-US" w:eastAsia="zh-CN"/>
              </w:rPr>
              <w:t>目可实现污水接管进常州市</w:t>
            </w:r>
            <w:r>
              <w:rPr>
                <w:rFonts w:hint="eastAsia" w:ascii="Times New Roman" w:hAnsi="Times New Roman" w:cs="Times New Roman"/>
                <w:b w:val="0"/>
                <w:bCs/>
                <w:color w:val="auto"/>
                <w:spacing w:val="-10"/>
                <w:sz w:val="24"/>
                <w:szCs w:val="24"/>
                <w:lang w:val="en-US" w:eastAsia="zh-CN"/>
              </w:rPr>
              <w:t>金坛溪城污水处理有限公司</w:t>
            </w:r>
            <w:r>
              <w:rPr>
                <w:rFonts w:hint="default" w:ascii="Times New Roman" w:hAnsi="Times New Roman" w:eastAsia="宋体" w:cs="Times New Roman"/>
                <w:b w:val="0"/>
                <w:bCs/>
                <w:color w:val="auto"/>
                <w:spacing w:val="-10"/>
                <w:sz w:val="24"/>
                <w:szCs w:val="24"/>
                <w:lang w:val="en-US" w:eastAsia="zh-CN"/>
              </w:rPr>
              <w:t>集中处理。</w:t>
            </w:r>
          </w:p>
          <w:p w14:paraId="255C0776">
            <w:pPr>
              <w:keepNext w:val="0"/>
              <w:keepLines w:val="0"/>
              <w:pageBreakBefore w:val="0"/>
              <w:widowControl w:val="0"/>
              <w:kinsoku/>
              <w:wordWrap/>
              <w:overflowPunct/>
              <w:topLinePunct w:val="0"/>
              <w:bidi w:val="0"/>
              <w:adjustRightInd w:val="0"/>
              <w:snapToGrid w:val="0"/>
              <w:spacing w:line="360" w:lineRule="auto"/>
              <w:textAlignment w:val="auto"/>
              <w:rPr>
                <w:rFonts w:hint="eastAsia"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pacing w:val="-10"/>
                <w:sz w:val="24"/>
                <w:szCs w:val="24"/>
                <w:lang w:val="en-US" w:eastAsia="zh-CN"/>
              </w:rPr>
              <w:t>4.2.</w:t>
            </w:r>
            <w:r>
              <w:rPr>
                <w:rFonts w:hint="eastAsia" w:cs="Times New Roman"/>
                <w:b/>
                <w:bCs w:val="0"/>
                <w:color w:val="auto"/>
                <w:spacing w:val="-10"/>
                <w:sz w:val="24"/>
                <w:szCs w:val="24"/>
                <w:lang w:val="en-US" w:eastAsia="zh-CN"/>
              </w:rPr>
              <w:t>4</w:t>
            </w:r>
            <w:r>
              <w:rPr>
                <w:rFonts w:hint="eastAsia"/>
                <w:b/>
                <w:bCs w:val="0"/>
                <w:color w:val="auto"/>
                <w:sz w:val="24"/>
                <w:szCs w:val="24"/>
                <w:lang w:val="en-US" w:eastAsia="zh-CN"/>
              </w:rPr>
              <w:t>工艺</w:t>
            </w:r>
            <w:r>
              <w:rPr>
                <w:rFonts w:hint="eastAsia"/>
                <w:b/>
                <w:bCs w:val="0"/>
                <w:color w:val="auto"/>
                <w:sz w:val="24"/>
                <w:szCs w:val="24"/>
                <w:lang w:eastAsia="zh-CN"/>
              </w:rPr>
              <w:t>废水回用</w:t>
            </w:r>
            <w:r>
              <w:rPr>
                <w:b/>
                <w:bCs w:val="0"/>
                <w:color w:val="auto"/>
                <w:sz w:val="24"/>
                <w:szCs w:val="24"/>
              </w:rPr>
              <w:t>可行性分析</w:t>
            </w:r>
          </w:p>
          <w:p w14:paraId="27F4C415">
            <w:pPr>
              <w:keepNext w:val="0"/>
              <w:keepLines w:val="0"/>
              <w:pageBreakBefore w:val="0"/>
              <w:widowControl w:val="0"/>
              <w:kinsoku/>
              <w:wordWrap/>
              <w:overflowPunct/>
              <w:topLinePunct w:val="0"/>
              <w:bidi w:val="0"/>
              <w:adjustRightInd w:val="0"/>
              <w:snapToGrid w:val="0"/>
              <w:spacing w:line="360" w:lineRule="auto"/>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pacing w:val="-10"/>
                <w:sz w:val="24"/>
                <w:szCs w:val="24"/>
                <w:lang w:val="en-US" w:eastAsia="zh-CN"/>
              </w:rPr>
              <w:t>4.2.</w:t>
            </w:r>
            <w:r>
              <w:rPr>
                <w:rFonts w:hint="eastAsia" w:cs="Times New Roman"/>
                <w:b/>
                <w:bCs w:val="0"/>
                <w:color w:val="auto"/>
                <w:spacing w:val="-10"/>
                <w:sz w:val="24"/>
                <w:szCs w:val="24"/>
                <w:lang w:val="en-US" w:eastAsia="zh-CN"/>
              </w:rPr>
              <w:t>4.1</w:t>
            </w:r>
            <w:r>
              <w:rPr>
                <w:rFonts w:hint="default" w:ascii="Times New Roman" w:hAnsi="Times New Roman" w:eastAsia="宋体" w:cs="Times New Roman"/>
                <w:b/>
                <w:bCs w:val="0"/>
                <w:color w:val="auto"/>
                <w:sz w:val="24"/>
                <w:szCs w:val="24"/>
                <w:highlight w:val="none"/>
                <w:lang w:val="en-US" w:eastAsia="zh-CN"/>
              </w:rPr>
              <w:t>污水站处理工艺</w:t>
            </w:r>
            <w:r>
              <w:rPr>
                <w:rFonts w:hint="eastAsia" w:cs="Times New Roman"/>
                <w:b/>
                <w:bCs w:val="0"/>
                <w:color w:val="auto"/>
                <w:sz w:val="24"/>
                <w:szCs w:val="24"/>
                <w:highlight w:val="none"/>
                <w:lang w:val="en-US" w:eastAsia="zh-CN"/>
              </w:rPr>
              <w:t>可行性分析</w:t>
            </w:r>
          </w:p>
          <w:p w14:paraId="64AEC4EC">
            <w:pPr>
              <w:keepNext w:val="0"/>
              <w:keepLines w:val="0"/>
              <w:pageBreakBefore w:val="0"/>
              <w:widowControl w:val="0"/>
              <w:kinsoku/>
              <w:wordWrap/>
              <w:overflowPunct/>
              <w:topLinePunct w:val="0"/>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highlight w:val="none"/>
                <w:lang w:val="en-US" w:eastAsia="zh-CN"/>
              </w:rPr>
            </w:pPr>
            <w:r>
              <w:rPr>
                <w:rFonts w:hint="default" w:ascii="Times New Roman" w:hAnsi="Times New Roman" w:eastAsia="宋体" w:cs="Times New Roman"/>
                <w:bCs/>
                <w:color w:val="auto"/>
                <w:sz w:val="24"/>
                <w:highlight w:val="none"/>
                <w:lang w:val="en-US" w:eastAsia="zh-CN"/>
              </w:rPr>
              <w:t>项目</w:t>
            </w:r>
            <w:r>
              <w:rPr>
                <w:rFonts w:hint="eastAsia" w:ascii="Times New Roman" w:hAnsi="Times New Roman" w:eastAsia="宋体" w:cs="Times New Roman"/>
                <w:bCs/>
                <w:color w:val="auto"/>
                <w:sz w:val="24"/>
                <w:highlight w:val="none"/>
                <w:lang w:val="en-US" w:eastAsia="zh-CN"/>
              </w:rPr>
              <w:t>拟建的</w:t>
            </w:r>
            <w:r>
              <w:rPr>
                <w:rFonts w:hint="default" w:ascii="Times New Roman" w:hAnsi="Times New Roman" w:eastAsia="宋体" w:cs="Times New Roman"/>
                <w:bCs/>
                <w:color w:val="auto"/>
                <w:sz w:val="24"/>
                <w:highlight w:val="none"/>
                <w:lang w:val="en-US" w:eastAsia="zh-CN"/>
              </w:rPr>
              <w:t>污水站处理工艺具体如下：</w:t>
            </w:r>
          </w:p>
          <w:p w14:paraId="3E88E8F8">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color w:val="auto"/>
                <w:sz w:val="24"/>
                <w:szCs w:val="24"/>
              </w:rPr>
            </w:pPr>
            <w:r>
              <w:rPr>
                <w:color w:val="auto"/>
              </w:rPr>
              <w:drawing>
                <wp:inline distT="0" distB="0" distL="114300" distR="114300">
                  <wp:extent cx="2910840" cy="2527935"/>
                  <wp:effectExtent l="0" t="0" r="0" b="190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2"/>
                          <a:stretch>
                            <a:fillRect/>
                          </a:stretch>
                        </pic:blipFill>
                        <pic:spPr>
                          <a:xfrm>
                            <a:off x="0" y="0"/>
                            <a:ext cx="2910840" cy="2527935"/>
                          </a:xfrm>
                          <a:prstGeom prst="rect">
                            <a:avLst/>
                          </a:prstGeom>
                          <a:noFill/>
                          <a:ln>
                            <a:noFill/>
                          </a:ln>
                        </pic:spPr>
                      </pic:pic>
                    </a:graphicData>
                  </a:graphic>
                </wp:inline>
              </w:drawing>
            </w:r>
          </w:p>
          <w:p w14:paraId="2CFF8BE4">
            <w:pPr>
              <w:keepNext w:val="0"/>
              <w:keepLines w:val="0"/>
              <w:pageBreakBefore w:val="0"/>
              <w:widowControl w:val="0"/>
              <w:kinsoku/>
              <w:wordWrap/>
              <w:overflowPunct/>
              <w:topLinePunct w:val="0"/>
              <w:autoSpaceDE/>
              <w:autoSpaceDN/>
              <w:bidi w:val="0"/>
              <w:snapToGrid w:val="0"/>
              <w:spacing w:line="500" w:lineRule="exact"/>
              <w:jc w:val="center"/>
              <w:textAlignment w:val="auto"/>
              <w:rPr>
                <w:b/>
                <w:color w:val="auto"/>
                <w:sz w:val="21"/>
                <w:szCs w:val="21"/>
              </w:rPr>
            </w:pPr>
            <w:r>
              <w:rPr>
                <w:b/>
                <w:color w:val="auto"/>
                <w:sz w:val="21"/>
                <w:szCs w:val="21"/>
              </w:rPr>
              <w:t>图4-</w:t>
            </w:r>
            <w:r>
              <w:rPr>
                <w:rFonts w:hint="eastAsia"/>
                <w:b/>
                <w:color w:val="auto"/>
                <w:sz w:val="21"/>
                <w:szCs w:val="21"/>
                <w:lang w:val="en-US" w:eastAsia="zh-CN"/>
              </w:rPr>
              <w:t>2</w:t>
            </w:r>
            <w:r>
              <w:rPr>
                <w:b/>
                <w:color w:val="auto"/>
                <w:sz w:val="21"/>
                <w:szCs w:val="21"/>
              </w:rPr>
              <w:t xml:space="preserve"> </w:t>
            </w:r>
            <w:r>
              <w:rPr>
                <w:rFonts w:hint="eastAsia"/>
                <w:b/>
                <w:color w:val="auto"/>
                <w:sz w:val="21"/>
                <w:szCs w:val="21"/>
                <w:lang w:eastAsia="zh-CN"/>
              </w:rPr>
              <w:t>项目</w:t>
            </w:r>
            <w:r>
              <w:rPr>
                <w:b/>
                <w:color w:val="auto"/>
                <w:sz w:val="21"/>
                <w:szCs w:val="21"/>
              </w:rPr>
              <w:t>污水站处理</w:t>
            </w:r>
            <w:r>
              <w:rPr>
                <w:rFonts w:hint="eastAsia"/>
                <w:b/>
                <w:color w:val="auto"/>
                <w:sz w:val="21"/>
                <w:szCs w:val="21"/>
                <w:lang w:eastAsia="zh-CN"/>
              </w:rPr>
              <w:t>工艺</w:t>
            </w:r>
            <w:r>
              <w:rPr>
                <w:b/>
                <w:color w:val="auto"/>
                <w:sz w:val="21"/>
                <w:szCs w:val="21"/>
              </w:rPr>
              <w:t>流程图</w:t>
            </w:r>
          </w:p>
          <w:p w14:paraId="0517488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处理工艺简述：</w:t>
            </w:r>
          </w:p>
          <w:p w14:paraId="66185F5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highlight w:val="none"/>
                <w:lang w:val="en-US" w:eastAsia="zh-CN"/>
              </w:rPr>
              <w:t>漂洗废水</w:t>
            </w:r>
            <w:r>
              <w:rPr>
                <w:rFonts w:hint="eastAsia" w:cs="Times New Roman"/>
                <w:bCs/>
                <w:color w:val="auto"/>
                <w:sz w:val="24"/>
                <w:highlight w:val="none"/>
                <w:lang w:val="en-US" w:eastAsia="zh-CN"/>
              </w:rPr>
              <w:t>、</w:t>
            </w:r>
            <w:r>
              <w:rPr>
                <w:rFonts w:hint="default" w:ascii="Times New Roman" w:hAnsi="Times New Roman" w:eastAsia="宋体" w:cs="Times New Roman"/>
                <w:bCs/>
                <w:color w:val="auto"/>
                <w:sz w:val="24"/>
                <w:szCs w:val="24"/>
                <w:highlight w:val="none"/>
                <w:lang w:val="en-US" w:eastAsia="zh-CN"/>
              </w:rPr>
              <w:t>MBR</w:t>
            </w:r>
            <w:r>
              <w:rPr>
                <w:rFonts w:hint="eastAsia" w:cs="Times New Roman"/>
                <w:bCs/>
                <w:color w:val="auto"/>
                <w:sz w:val="24"/>
                <w:szCs w:val="24"/>
                <w:highlight w:val="none"/>
                <w:lang w:val="en-US" w:eastAsia="zh-CN"/>
              </w:rPr>
              <w:t>反冲洗水</w:t>
            </w:r>
            <w:r>
              <w:rPr>
                <w:rFonts w:hint="default" w:ascii="Times New Roman" w:hAnsi="Times New Roman" w:eastAsia="宋体" w:cs="Times New Roman"/>
                <w:bCs/>
                <w:color w:val="auto"/>
                <w:sz w:val="24"/>
                <w:szCs w:val="24"/>
                <w:highlight w:val="none"/>
                <w:lang w:val="en-US" w:eastAsia="zh-CN"/>
              </w:rPr>
              <w:t>收集后进入</w:t>
            </w:r>
            <w:r>
              <w:rPr>
                <w:rFonts w:hint="eastAsia" w:cs="Times New Roman"/>
                <w:bCs/>
                <w:color w:val="auto"/>
                <w:sz w:val="24"/>
                <w:szCs w:val="24"/>
                <w:highlight w:val="none"/>
                <w:lang w:val="en-US" w:eastAsia="zh-CN"/>
              </w:rPr>
              <w:t>调节</w:t>
            </w:r>
            <w:r>
              <w:rPr>
                <w:rFonts w:hint="eastAsia" w:ascii="Times New Roman" w:hAnsi="Times New Roman" w:eastAsia="宋体" w:cs="Times New Roman"/>
                <w:bCs/>
                <w:color w:val="auto"/>
                <w:sz w:val="24"/>
                <w:szCs w:val="24"/>
                <w:highlight w:val="none"/>
                <w:lang w:val="en-US" w:eastAsia="zh-CN"/>
              </w:rPr>
              <w:t>池</w:t>
            </w:r>
            <w:r>
              <w:rPr>
                <w:rFonts w:hint="eastAsia" w:cs="Times New Roman"/>
                <w:bCs/>
                <w:color w:val="auto"/>
                <w:sz w:val="24"/>
                <w:szCs w:val="24"/>
                <w:highlight w:val="none"/>
                <w:lang w:val="en-US" w:eastAsia="zh-CN"/>
              </w:rPr>
              <w:t>用柠檬酸</w:t>
            </w:r>
            <w:r>
              <w:rPr>
                <w:rFonts w:hint="eastAsia" w:ascii="Times New Roman" w:hAnsi="Times New Roman" w:eastAsia="宋体" w:cs="Times New Roman"/>
                <w:bCs/>
                <w:color w:val="auto"/>
                <w:sz w:val="24"/>
                <w:szCs w:val="24"/>
                <w:highlight w:val="none"/>
                <w:lang w:val="en-US" w:eastAsia="zh-CN"/>
              </w:rPr>
              <w:t>调节pH至</w:t>
            </w:r>
            <w:r>
              <w:rPr>
                <w:rFonts w:hint="eastAsia"/>
                <w:color w:val="auto"/>
                <w:sz w:val="24"/>
                <w:szCs w:val="24"/>
                <w:lang w:val="en-US" w:eastAsia="zh-CN"/>
              </w:rPr>
              <w:t>7</w:t>
            </w:r>
            <w:r>
              <w:rPr>
                <w:rFonts w:hint="eastAsia" w:cs="Times New Roman"/>
                <w:bCs/>
                <w:color w:val="auto"/>
                <w:sz w:val="24"/>
                <w:szCs w:val="24"/>
                <w:highlight w:val="none"/>
                <w:lang w:val="en-US" w:eastAsia="zh-CN"/>
              </w:rPr>
              <w:t>-8</w:t>
            </w:r>
            <w:r>
              <w:rPr>
                <w:rFonts w:hint="eastAsia" w:ascii="Times New Roman" w:hAnsi="Times New Roman" w:eastAsia="宋体" w:cs="Times New Roman"/>
                <w:bCs/>
                <w:color w:val="auto"/>
                <w:sz w:val="24"/>
                <w:szCs w:val="24"/>
                <w:highlight w:val="none"/>
                <w:lang w:val="en-US" w:eastAsia="zh-CN"/>
              </w:rPr>
              <w:t>后，</w:t>
            </w:r>
            <w:r>
              <w:rPr>
                <w:rFonts w:hint="eastAsia" w:cs="Times New Roman"/>
                <w:bCs/>
                <w:color w:val="auto"/>
                <w:sz w:val="24"/>
                <w:szCs w:val="24"/>
                <w:highlight w:val="none"/>
                <w:lang w:val="en-US" w:eastAsia="zh-CN"/>
              </w:rPr>
              <w:t>然后进入污泥池</w:t>
            </w:r>
            <w:r>
              <w:rPr>
                <w:rFonts w:hint="default" w:ascii="Times New Roman" w:hAnsi="Times New Roman" w:eastAsia="宋体" w:cs="Times New Roman"/>
                <w:bCs/>
                <w:color w:val="auto"/>
                <w:sz w:val="24"/>
                <w:szCs w:val="24"/>
                <w:highlight w:val="none"/>
                <w:lang w:val="en-US" w:eastAsia="zh-CN"/>
              </w:rPr>
              <w:t>加入混凝剂PAC/PAM，使水中的胶体物质产生凝聚或絮凝沉淀于池底可以去除一定量的COD、SS、石油类，上清液则进入</w:t>
            </w: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color w:val="auto"/>
                <w:sz w:val="24"/>
                <w:szCs w:val="24"/>
                <w:highlight w:val="none"/>
                <w:lang w:val="en-US" w:eastAsia="zh-CN"/>
              </w:rPr>
              <w:instrText xml:space="preserve"> HYPERLINK "https://baike.baidu.com/item/%E8%86%9C%E7%94%9F%E7%89%A9%E5%8F%8D%E5%BA%94%E5%99%A8/10542132?fromModule=lemma_inlink" \t "https://baike.baidu.com/item/MBR%E6%B1%A1%E6%B0%B4%E5%A4%84%E7%90%86/_blank" </w:instrText>
            </w:r>
            <w:r>
              <w:rPr>
                <w:rFonts w:hint="default" w:ascii="Times New Roman" w:hAnsi="Times New Roman" w:eastAsia="宋体" w:cs="Times New Roman"/>
                <w:bCs/>
                <w:color w:val="auto"/>
                <w:sz w:val="24"/>
                <w:szCs w:val="24"/>
                <w:highlight w:val="none"/>
                <w:lang w:val="en-US" w:eastAsia="zh-CN"/>
              </w:rPr>
              <w:fldChar w:fldCharType="separate"/>
            </w:r>
            <w:r>
              <w:rPr>
                <w:rFonts w:hint="default" w:ascii="Times New Roman" w:hAnsi="Times New Roman" w:eastAsia="宋体" w:cs="Times New Roman"/>
                <w:bCs/>
                <w:color w:val="auto"/>
                <w:sz w:val="24"/>
                <w:szCs w:val="24"/>
                <w:highlight w:val="none"/>
                <w:lang w:val="en-US" w:eastAsia="zh-CN"/>
              </w:rPr>
              <w:t>膜生物反应器</w:t>
            </w:r>
            <w:r>
              <w:rPr>
                <w:rFonts w:hint="default" w:ascii="Times New Roman" w:hAnsi="Times New Roman" w:eastAsia="宋体" w:cs="Times New Roman"/>
                <w:bCs/>
                <w:color w:val="auto"/>
                <w:sz w:val="24"/>
                <w:szCs w:val="24"/>
                <w:highlight w:val="none"/>
                <w:lang w:val="en-US" w:eastAsia="zh-CN"/>
              </w:rPr>
              <w:fldChar w:fldCharType="end"/>
            </w:r>
            <w:r>
              <w:rPr>
                <w:rFonts w:hint="default" w:ascii="Times New Roman" w:hAnsi="Times New Roman" w:eastAsia="宋体" w:cs="Times New Roman"/>
                <w:bCs/>
                <w:color w:val="auto"/>
                <w:sz w:val="24"/>
                <w:szCs w:val="24"/>
                <w:highlight w:val="none"/>
                <w:lang w:val="en-US" w:eastAsia="zh-CN"/>
              </w:rPr>
              <w:t>(简称MBR)，去</w:t>
            </w:r>
            <w:r>
              <w:rPr>
                <w:rFonts w:hint="eastAsia" w:ascii="Times New Roman" w:hAnsi="Times New Roman" w:eastAsia="宋体" w:cs="Times New Roman"/>
                <w:bCs/>
                <w:color w:val="auto"/>
                <w:sz w:val="24"/>
                <w:szCs w:val="24"/>
                <w:highlight w:val="none"/>
                <w:lang w:val="en-US" w:eastAsia="zh-CN"/>
              </w:rPr>
              <w:t>除</w:t>
            </w:r>
            <w:r>
              <w:rPr>
                <w:rFonts w:hint="default" w:ascii="Times New Roman" w:hAnsi="Times New Roman" w:eastAsia="宋体" w:cs="Times New Roman"/>
                <w:bCs/>
                <w:color w:val="auto"/>
                <w:sz w:val="24"/>
                <w:szCs w:val="24"/>
                <w:highlight w:val="none"/>
                <w:lang w:val="en-US" w:eastAsia="zh-CN"/>
              </w:rPr>
              <w:t>污水中</w:t>
            </w:r>
            <w:r>
              <w:rPr>
                <w:rFonts w:hint="eastAsia" w:cs="Times New Roman"/>
                <w:bCs/>
                <w:color w:val="auto"/>
                <w:sz w:val="24"/>
                <w:szCs w:val="24"/>
                <w:highlight w:val="none"/>
                <w:lang w:val="en-US" w:eastAsia="zh-CN"/>
              </w:rPr>
              <w:t>的</w:t>
            </w:r>
            <w:r>
              <w:rPr>
                <w:rFonts w:hint="default" w:ascii="Times New Roman" w:hAnsi="Times New Roman" w:eastAsia="宋体" w:cs="Times New Roman"/>
                <w:bCs/>
                <w:color w:val="auto"/>
                <w:sz w:val="24"/>
                <w:szCs w:val="24"/>
                <w:highlight w:val="none"/>
                <w:lang w:val="en-US" w:eastAsia="zh-CN"/>
              </w:rPr>
              <w:t>COD、SS、油类物质，污泥沉淀进入污泥池</w:t>
            </w:r>
            <w:r>
              <w:rPr>
                <w:rFonts w:hint="eastAsia" w:ascii="Times New Roman" w:hAnsi="Times New Roman" w:eastAsia="宋体" w:cs="Times New Roman"/>
                <w:bCs/>
                <w:color w:val="auto"/>
                <w:sz w:val="24"/>
                <w:szCs w:val="24"/>
                <w:highlight w:val="none"/>
                <w:lang w:val="en-US" w:eastAsia="zh-CN"/>
              </w:rPr>
              <w:t>。上清液采用石英砂过滤有效去除</w:t>
            </w:r>
            <w:r>
              <w:rPr>
                <w:rFonts w:hint="eastAsia" w:cs="Times New Roman"/>
                <w:bCs/>
                <w:color w:val="auto"/>
                <w:sz w:val="24"/>
                <w:szCs w:val="24"/>
                <w:highlight w:val="none"/>
                <w:lang w:val="en-US" w:eastAsia="zh-CN"/>
              </w:rPr>
              <w:t>大部分</w:t>
            </w:r>
            <w:r>
              <w:rPr>
                <w:rFonts w:hint="eastAsia" w:ascii="Times New Roman" w:hAnsi="Times New Roman" w:eastAsia="宋体" w:cs="Times New Roman"/>
                <w:bCs/>
                <w:color w:val="auto"/>
                <w:sz w:val="24"/>
                <w:szCs w:val="24"/>
                <w:highlight w:val="none"/>
                <w:lang w:val="en-US" w:eastAsia="zh-CN"/>
              </w:rPr>
              <w:t>SS后，清水回用于生产</w:t>
            </w:r>
            <w:r>
              <w:rPr>
                <w:color w:val="auto"/>
                <w:sz w:val="24"/>
                <w:szCs w:val="24"/>
              </w:rPr>
              <w:t>。</w:t>
            </w:r>
            <w:r>
              <w:rPr>
                <w:rFonts w:hint="eastAsia"/>
                <w:color w:val="auto"/>
                <w:sz w:val="24"/>
                <w:szCs w:val="24"/>
              </w:rPr>
              <w:t>废水处理过程中产生的污泥</w:t>
            </w:r>
            <w:r>
              <w:rPr>
                <w:rFonts w:hint="eastAsia"/>
                <w:color w:val="auto"/>
                <w:sz w:val="24"/>
                <w:szCs w:val="24"/>
                <w:lang w:val="en-US" w:eastAsia="zh-CN"/>
              </w:rPr>
              <w:t>经板框压滤去除一定量的水分后</w:t>
            </w:r>
            <w:r>
              <w:rPr>
                <w:rFonts w:hint="eastAsia"/>
                <w:color w:val="auto"/>
                <w:sz w:val="24"/>
                <w:szCs w:val="24"/>
              </w:rPr>
              <w:t>作为危废处理</w:t>
            </w:r>
            <w:r>
              <w:rPr>
                <w:rFonts w:hint="eastAsia"/>
                <w:color w:val="auto"/>
                <w:sz w:val="24"/>
                <w:szCs w:val="24"/>
                <w:lang w:eastAsia="zh-CN"/>
              </w:rPr>
              <w:t>，</w:t>
            </w:r>
            <w:r>
              <w:rPr>
                <w:rFonts w:hint="eastAsia"/>
                <w:color w:val="auto"/>
                <w:sz w:val="24"/>
                <w:szCs w:val="24"/>
                <w:lang w:val="en-US" w:eastAsia="zh-CN"/>
              </w:rPr>
              <w:t>压滤后的污泥含水率约80%。</w:t>
            </w:r>
            <w:r>
              <w:rPr>
                <w:rFonts w:hint="default" w:ascii="Times New Roman" w:hAnsi="Times New Roman" w:eastAsia="宋体" w:cs="Times New Roman"/>
                <w:bCs/>
                <w:color w:val="auto"/>
                <w:sz w:val="24"/>
                <w:szCs w:val="24"/>
                <w:highlight w:val="none"/>
                <w:lang w:val="en-US" w:eastAsia="zh-CN"/>
              </w:rPr>
              <w:fldChar w:fldCharType="begin"/>
            </w:r>
            <w:r>
              <w:rPr>
                <w:rFonts w:hint="default" w:ascii="Times New Roman" w:hAnsi="Times New Roman" w:eastAsia="宋体" w:cs="Times New Roman"/>
                <w:bCs/>
                <w:color w:val="auto"/>
                <w:sz w:val="24"/>
                <w:szCs w:val="24"/>
                <w:highlight w:val="none"/>
                <w:lang w:val="en-US" w:eastAsia="zh-CN"/>
              </w:rPr>
              <w:instrText xml:space="preserve"> HYPERLINK "https://baike.baidu.com/item/%E8%86%9C%E7%94%9F%E7%89%A9%E5%8F%8D%E5%BA%94%E5%99%A8/10542132?fromModule=lemma_inlink" \t "https://baike.baidu.com/item/MBR%E6%B1%A1%E6%B0%B4%E5%A4%84%E7%90%86/_blank" </w:instrText>
            </w:r>
            <w:r>
              <w:rPr>
                <w:rFonts w:hint="default" w:ascii="Times New Roman" w:hAnsi="Times New Roman" w:eastAsia="宋体" w:cs="Times New Roman"/>
                <w:bCs/>
                <w:color w:val="auto"/>
                <w:sz w:val="24"/>
                <w:szCs w:val="24"/>
                <w:highlight w:val="none"/>
                <w:lang w:val="en-US" w:eastAsia="zh-CN"/>
              </w:rPr>
              <w:fldChar w:fldCharType="separate"/>
            </w:r>
            <w:r>
              <w:rPr>
                <w:rFonts w:hint="default" w:ascii="Times New Roman" w:hAnsi="Times New Roman" w:eastAsia="宋体" w:cs="Times New Roman"/>
                <w:bCs/>
                <w:color w:val="auto"/>
                <w:sz w:val="24"/>
                <w:szCs w:val="24"/>
                <w:highlight w:val="none"/>
                <w:lang w:val="en-US" w:eastAsia="zh-CN"/>
              </w:rPr>
              <w:t>膜生物反应器</w:t>
            </w:r>
            <w:r>
              <w:rPr>
                <w:rFonts w:hint="default" w:ascii="Times New Roman" w:hAnsi="Times New Roman" w:eastAsia="宋体" w:cs="Times New Roman"/>
                <w:bCs/>
                <w:color w:val="auto"/>
                <w:sz w:val="24"/>
                <w:szCs w:val="24"/>
                <w:highlight w:val="none"/>
                <w:lang w:val="en-US" w:eastAsia="zh-CN"/>
              </w:rPr>
              <w:fldChar w:fldCharType="end"/>
            </w:r>
            <w:r>
              <w:rPr>
                <w:rFonts w:hint="eastAsia" w:ascii="Times New Roman" w:hAnsi="Times New Roman" w:eastAsia="宋体" w:cs="Times New Roman"/>
                <w:bCs/>
                <w:color w:val="auto"/>
                <w:sz w:val="24"/>
                <w:szCs w:val="24"/>
                <w:highlight w:val="none"/>
                <w:lang w:val="en-US" w:eastAsia="zh-CN"/>
              </w:rPr>
              <w:t>定期使用回用水反冲洗（一个月冲洗一次），冲洗废水进入污水站处理。</w:t>
            </w:r>
          </w:p>
          <w:p w14:paraId="1F7EC2F1">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szCs w:val="24"/>
                <w:highlight w:val="none"/>
                <w:lang w:val="en-US" w:eastAsia="zh-CN"/>
              </w:rPr>
              <w:t>本项目产品为新能源汽车电池PACK箱体零件，产生的生产废水</w:t>
            </w:r>
            <w:r>
              <w:rPr>
                <w:rFonts w:hint="eastAsia" w:cs="Times New Roman"/>
                <w:bCs/>
                <w:color w:val="auto"/>
                <w:sz w:val="24"/>
                <w:szCs w:val="24"/>
                <w:highlight w:val="none"/>
                <w:lang w:val="en-US" w:eastAsia="zh-CN"/>
              </w:rPr>
              <w:t>主要</w:t>
            </w:r>
            <w:r>
              <w:rPr>
                <w:rFonts w:hint="eastAsia" w:ascii="Times New Roman" w:hAnsi="Times New Roman" w:eastAsia="宋体" w:cs="Times New Roman"/>
                <w:bCs/>
                <w:color w:val="auto"/>
                <w:sz w:val="24"/>
                <w:szCs w:val="24"/>
                <w:highlight w:val="none"/>
                <w:lang w:val="en-US" w:eastAsia="zh-CN"/>
              </w:rPr>
              <w:t>为漂</w:t>
            </w:r>
            <w:r>
              <w:rPr>
                <w:rFonts w:hint="eastAsia" w:ascii="Times New Roman" w:hAnsi="Times New Roman" w:eastAsia="宋体" w:cs="Times New Roman"/>
                <w:bCs/>
                <w:color w:val="auto"/>
                <w:sz w:val="24"/>
                <w:highlight w:val="none"/>
                <w:lang w:val="en-US" w:eastAsia="zh-CN"/>
              </w:rPr>
              <w:t>洗废水，</w:t>
            </w:r>
            <w:r>
              <w:rPr>
                <w:rFonts w:hint="default" w:ascii="Times New Roman" w:hAnsi="Times New Roman" w:eastAsia="宋体" w:cs="Times New Roman"/>
                <w:bCs/>
                <w:color w:val="auto"/>
                <w:sz w:val="24"/>
                <w:highlight w:val="none"/>
                <w:lang w:val="en-US" w:eastAsia="zh-CN"/>
              </w:rPr>
              <w:t>参照《排污许可证申请与核发技术规范-</w:t>
            </w:r>
            <w:r>
              <w:rPr>
                <w:rFonts w:hint="eastAsia" w:ascii="Times New Roman" w:hAnsi="Times New Roman" w:eastAsia="宋体" w:cs="Times New Roman"/>
                <w:bCs/>
                <w:color w:val="auto"/>
                <w:sz w:val="24"/>
                <w:highlight w:val="none"/>
                <w:lang w:val="en-US" w:eastAsia="zh-CN"/>
              </w:rPr>
              <w:t>汽车制造业</w:t>
            </w:r>
            <w:r>
              <w:rPr>
                <w:rFonts w:hint="default"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表26 汽车制造业排污单位废水类型、污染物类型及污染治理推荐可行技术</w:t>
            </w:r>
            <w:r>
              <w:rPr>
                <w:rFonts w:hint="default" w:ascii="Times New Roman" w:hAnsi="Times New Roman" w:eastAsia="宋体" w:cs="Times New Roman"/>
                <w:bCs/>
                <w:color w:val="auto"/>
                <w:sz w:val="24"/>
                <w:highlight w:val="none"/>
                <w:lang w:val="en-US" w:eastAsia="zh-CN"/>
              </w:rPr>
              <w:t>，</w:t>
            </w:r>
            <w:r>
              <w:rPr>
                <w:rFonts w:hint="eastAsia" w:ascii="Times New Roman" w:hAnsi="Times New Roman" w:eastAsia="宋体" w:cs="Times New Roman"/>
                <w:bCs/>
                <w:color w:val="auto"/>
                <w:sz w:val="24"/>
                <w:highlight w:val="none"/>
                <w:lang w:val="en-US" w:eastAsia="zh-CN"/>
              </w:rPr>
              <w:t>废切削液、清洗废水的可行技术推荐，</w:t>
            </w:r>
            <w:r>
              <w:rPr>
                <w:rFonts w:hint="default" w:ascii="Times New Roman" w:hAnsi="Times New Roman" w:eastAsia="宋体" w:cs="Times New Roman"/>
                <w:bCs/>
                <w:color w:val="auto"/>
                <w:sz w:val="24"/>
                <w:highlight w:val="none"/>
                <w:lang w:val="en-US" w:eastAsia="zh-CN"/>
              </w:rPr>
              <w:t>本项目使用中和、混凝沉淀、</w:t>
            </w:r>
            <w:r>
              <w:rPr>
                <w:rFonts w:hint="eastAsia" w:ascii="Times New Roman" w:hAnsi="Times New Roman" w:eastAsia="宋体" w:cs="Times New Roman"/>
                <w:bCs/>
                <w:color w:val="auto"/>
                <w:sz w:val="24"/>
                <w:highlight w:val="none"/>
                <w:lang w:val="en-US" w:eastAsia="zh-CN"/>
              </w:rPr>
              <w:t>生化、</w:t>
            </w:r>
            <w:r>
              <w:rPr>
                <w:rFonts w:hint="default" w:ascii="Times New Roman" w:hAnsi="Times New Roman" w:eastAsia="宋体" w:cs="Times New Roman"/>
                <w:bCs/>
                <w:color w:val="auto"/>
                <w:sz w:val="24"/>
                <w:highlight w:val="none"/>
                <w:lang w:val="en-US" w:eastAsia="zh-CN"/>
              </w:rPr>
              <w:t>过滤为可行技术，废水处理措施技术可行。</w:t>
            </w:r>
          </w:p>
          <w:p w14:paraId="4254D889">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项目污水站设计处理效果见下表。</w:t>
            </w:r>
          </w:p>
          <w:p w14:paraId="5BA919B1">
            <w:pPr>
              <w:keepNext w:val="0"/>
              <w:keepLines w:val="0"/>
              <w:pageBreakBefore w:val="0"/>
              <w:widowControl w:val="0"/>
              <w:kinsoku/>
              <w:wordWrap/>
              <w:overflowPunct/>
              <w:topLinePunct w:val="0"/>
              <w:autoSpaceDE/>
              <w:autoSpaceDN/>
              <w:bidi w:val="0"/>
              <w:adjustRightInd/>
              <w:snapToGrid w:val="0"/>
              <w:spacing w:before="95" w:beforeLines="30" w:line="240" w:lineRule="auto"/>
              <w:jc w:val="center"/>
              <w:textAlignment w:val="auto"/>
              <w:rPr>
                <w:rFonts w:hint="default" w:eastAsia="宋体"/>
                <w:b/>
                <w:bCs/>
                <w:color w:val="auto"/>
                <w:sz w:val="21"/>
                <w:szCs w:val="21"/>
                <w:lang w:val="en-US" w:eastAsia="zh-CN"/>
              </w:rPr>
            </w:pPr>
            <w:r>
              <w:rPr>
                <w:b/>
                <w:bCs/>
                <w:color w:val="auto"/>
                <w:sz w:val="21"/>
                <w:szCs w:val="21"/>
              </w:rPr>
              <w:t>表4-</w:t>
            </w:r>
            <w:r>
              <w:rPr>
                <w:rFonts w:hint="eastAsia"/>
                <w:b/>
                <w:bCs/>
                <w:color w:val="auto"/>
                <w:sz w:val="21"/>
                <w:szCs w:val="21"/>
                <w:lang w:val="en-US" w:eastAsia="zh-CN"/>
              </w:rPr>
              <w:t>13 项目</w:t>
            </w:r>
            <w:r>
              <w:rPr>
                <w:b/>
                <w:bCs/>
                <w:color w:val="auto"/>
                <w:sz w:val="21"/>
                <w:szCs w:val="21"/>
              </w:rPr>
              <w:t>污水站设计处理效果</w:t>
            </w:r>
            <w:r>
              <w:rPr>
                <w:rFonts w:hint="eastAsia"/>
                <w:b/>
                <w:bCs/>
                <w:color w:val="auto"/>
                <w:sz w:val="21"/>
                <w:szCs w:val="21"/>
                <w:lang w:val="en-US" w:eastAsia="zh-CN"/>
              </w:rPr>
              <w:t xml:space="preserve">   单位：</w:t>
            </w:r>
            <w:r>
              <w:rPr>
                <w:rFonts w:hint="default" w:ascii="Times New Roman" w:hAnsi="Times New Roman" w:eastAsia="宋体" w:cs="Times New Roman"/>
                <w:color w:val="auto"/>
                <w:highlight w:val="none"/>
              </w:rPr>
              <w:t>mg/L</w:t>
            </w:r>
          </w:p>
          <w:tbl>
            <w:tblPr>
              <w:tblStyle w:val="1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5"/>
              <w:gridCol w:w="848"/>
              <w:gridCol w:w="1351"/>
              <w:gridCol w:w="1744"/>
              <w:gridCol w:w="1222"/>
              <w:gridCol w:w="1222"/>
              <w:gridCol w:w="1223"/>
            </w:tblGrid>
            <w:tr w14:paraId="09E2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noWrap w:val="0"/>
                  <w:vAlign w:val="center"/>
                </w:tcPr>
                <w:p w14:paraId="01D32A8D">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废水产生工序</w:t>
                  </w:r>
                </w:p>
              </w:tc>
              <w:tc>
                <w:tcPr>
                  <w:tcW w:w="499" w:type="pct"/>
                  <w:noWrap w:val="0"/>
                  <w:vAlign w:val="center"/>
                </w:tcPr>
                <w:p w14:paraId="73C4EAA7">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处理工序</w:t>
                  </w:r>
                </w:p>
              </w:tc>
              <w:tc>
                <w:tcPr>
                  <w:tcW w:w="795" w:type="pct"/>
                  <w:tcBorders>
                    <w:tl2br w:val="single" w:color="auto" w:sz="4" w:space="0"/>
                  </w:tcBorders>
                  <w:noWrap w:val="0"/>
                  <w:vAlign w:val="top"/>
                </w:tcPr>
                <w:p w14:paraId="691D14BB">
                  <w:pPr>
                    <w:pStyle w:val="30"/>
                    <w:bidi w:val="0"/>
                    <w:jc w:val="center"/>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 xml:space="preserve">    因子</w:t>
                  </w:r>
                </w:p>
              </w:tc>
              <w:tc>
                <w:tcPr>
                  <w:tcW w:w="1026" w:type="pct"/>
                  <w:noWrap w:val="0"/>
                  <w:vAlign w:val="center"/>
                </w:tcPr>
                <w:p w14:paraId="7615DBFF">
                  <w:pPr>
                    <w:pStyle w:val="30"/>
                    <w:bidi w:val="0"/>
                    <w:rPr>
                      <w:rFonts w:hint="default" w:ascii="Times New Roman" w:hAnsi="Times New Roman" w:eastAsia="宋体" w:cs="Times New Roman"/>
                      <w:color w:val="auto"/>
                      <w:highlight w:val="none"/>
                    </w:rPr>
                  </w:pPr>
                  <w:r>
                    <w:rPr>
                      <w:rFonts w:hint="eastAsia" w:ascii="Times New Roman" w:hAnsi="Times New Roman" w:eastAsia="宋体" w:cs="Times New Roman"/>
                      <w:b w:val="0"/>
                      <w:color w:val="auto"/>
                      <w:kern w:val="0"/>
                      <w:sz w:val="21"/>
                      <w:szCs w:val="20"/>
                      <w:highlight w:val="none"/>
                      <w:lang w:val="en-US" w:eastAsia="zh-CN" w:bidi="ar-SA"/>
                    </w:rPr>
                    <w:t>p</w:t>
                  </w:r>
                  <w:r>
                    <w:rPr>
                      <w:rFonts w:hint="default" w:ascii="Times New Roman" w:hAnsi="Times New Roman" w:eastAsia="宋体" w:cs="Times New Roman"/>
                      <w:b w:val="0"/>
                      <w:color w:val="auto"/>
                      <w:kern w:val="0"/>
                      <w:sz w:val="21"/>
                      <w:szCs w:val="20"/>
                      <w:highlight w:val="none"/>
                      <w:lang w:val="en-US" w:eastAsia="zh-CN" w:bidi="ar-SA"/>
                    </w:rPr>
                    <w:t>H</w:t>
                  </w:r>
                </w:p>
              </w:tc>
              <w:tc>
                <w:tcPr>
                  <w:tcW w:w="719" w:type="pct"/>
                  <w:noWrap w:val="0"/>
                  <w:vAlign w:val="center"/>
                </w:tcPr>
                <w:p w14:paraId="5697D4A8">
                  <w:pPr>
                    <w:pStyle w:val="30"/>
                    <w:bidi w:val="0"/>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COD</w:t>
                  </w:r>
                </w:p>
              </w:tc>
              <w:tc>
                <w:tcPr>
                  <w:tcW w:w="719" w:type="pct"/>
                  <w:noWrap w:val="0"/>
                  <w:vAlign w:val="center"/>
                </w:tcPr>
                <w:p w14:paraId="3D4C71C4">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rPr>
                    <w:t>SS</w:t>
                  </w:r>
                </w:p>
              </w:tc>
              <w:tc>
                <w:tcPr>
                  <w:tcW w:w="719" w:type="pct"/>
                  <w:noWrap w:val="0"/>
                  <w:vAlign w:val="center"/>
                </w:tcPr>
                <w:p w14:paraId="55871F5B">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石油类</w:t>
                  </w:r>
                </w:p>
              </w:tc>
            </w:tr>
            <w:tr w14:paraId="12CCE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Merge w:val="restart"/>
                  <w:noWrap w:val="0"/>
                  <w:vAlign w:val="center"/>
                </w:tcPr>
                <w:p w14:paraId="5201D3FB">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漂洗</w:t>
                  </w:r>
                  <w:r>
                    <w:rPr>
                      <w:rFonts w:hint="default" w:ascii="Times New Roman" w:hAnsi="Times New Roman" w:eastAsia="宋体" w:cs="Times New Roman"/>
                      <w:color w:val="auto"/>
                      <w:highlight w:val="none"/>
                      <w:lang w:val="en-US" w:eastAsia="zh-CN"/>
                    </w:rPr>
                    <w:t>废水</w:t>
                  </w:r>
                </w:p>
              </w:tc>
              <w:tc>
                <w:tcPr>
                  <w:tcW w:w="499" w:type="pct"/>
                  <w:vMerge w:val="restart"/>
                  <w:noWrap w:val="0"/>
                  <w:vAlign w:val="center"/>
                </w:tcPr>
                <w:p w14:paraId="5256FB33">
                  <w:pPr>
                    <w:pStyle w:val="30"/>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调节</w:t>
                  </w:r>
                  <w:r>
                    <w:rPr>
                      <w:rFonts w:hint="eastAsia" w:ascii="Times New Roman" w:hAnsi="Times New Roman" w:eastAsia="宋体" w:cs="Times New Roman"/>
                      <w:color w:val="auto"/>
                      <w:highlight w:val="none"/>
                      <w:lang w:val="en-US" w:eastAsia="zh-CN"/>
                    </w:rPr>
                    <w:t>p</w:t>
                  </w:r>
                  <w:r>
                    <w:rPr>
                      <w:rFonts w:hint="default" w:ascii="Times New Roman" w:hAnsi="Times New Roman" w:eastAsia="宋体" w:cs="Times New Roman"/>
                      <w:color w:val="auto"/>
                      <w:highlight w:val="none"/>
                      <w:lang w:val="en-US" w:eastAsia="zh-CN"/>
                    </w:rPr>
                    <w:t>H</w:t>
                  </w:r>
                </w:p>
              </w:tc>
              <w:tc>
                <w:tcPr>
                  <w:tcW w:w="795" w:type="pct"/>
                  <w:noWrap w:val="0"/>
                  <w:vAlign w:val="center"/>
                </w:tcPr>
                <w:p w14:paraId="6524FE00">
                  <w:pPr>
                    <w:pStyle w:val="30"/>
                    <w:bidi w:val="0"/>
                    <w:ind w:firstLine="0" w:firstLineChars="0"/>
                    <w:rPr>
                      <w:rFonts w:hint="default" w:ascii="Times New Roman" w:hAnsi="Times New Roman" w:eastAsia="宋体" w:cs="Times New Roman"/>
                      <w:b w:val="0"/>
                      <w:color w:val="auto"/>
                      <w:kern w:val="0"/>
                      <w:sz w:val="21"/>
                      <w:szCs w:val="20"/>
                      <w:highlight w:val="none"/>
                      <w:lang w:val="en-US" w:eastAsia="zh-CN" w:bidi="ar-SA"/>
                    </w:rPr>
                  </w:pPr>
                  <w:r>
                    <w:rPr>
                      <w:rFonts w:hint="default" w:ascii="Times New Roman" w:hAnsi="Times New Roman" w:eastAsia="宋体" w:cs="Times New Roman"/>
                      <w:color w:val="auto"/>
                      <w:highlight w:val="none"/>
                    </w:rPr>
                    <w:t>进水</w:t>
                  </w:r>
                </w:p>
              </w:tc>
              <w:tc>
                <w:tcPr>
                  <w:tcW w:w="1026" w:type="pct"/>
                  <w:noWrap w:val="0"/>
                  <w:vAlign w:val="center"/>
                </w:tcPr>
                <w:p w14:paraId="4F217302">
                  <w:pPr>
                    <w:pStyle w:val="30"/>
                    <w:bidi w:val="0"/>
                    <w:ind w:firstLine="0" w:firstLineChars="0"/>
                    <w:rPr>
                      <w:rFonts w:hint="default" w:ascii="Times New Roman" w:hAnsi="Times New Roman" w:eastAsia="宋体" w:cs="Times New Roman"/>
                      <w:b w:val="0"/>
                      <w:color w:val="auto"/>
                      <w:kern w:val="0"/>
                      <w:sz w:val="21"/>
                      <w:szCs w:val="20"/>
                      <w:highlight w:val="none"/>
                      <w:lang w:val="en-US" w:eastAsia="zh-CN" w:bidi="ar-SA"/>
                    </w:rPr>
                  </w:pPr>
                  <w:r>
                    <w:rPr>
                      <w:rFonts w:hint="eastAsia" w:cs="Times New Roman"/>
                      <w:b w:val="0"/>
                      <w:color w:val="auto"/>
                      <w:kern w:val="0"/>
                      <w:sz w:val="21"/>
                      <w:szCs w:val="20"/>
                      <w:highlight w:val="none"/>
                      <w:lang w:val="en-US" w:eastAsia="zh-CN" w:bidi="ar-SA"/>
                    </w:rPr>
                    <w:t>6-9</w:t>
                  </w:r>
                  <w:r>
                    <w:rPr>
                      <w:rFonts w:hint="default" w:ascii="Times New Roman" w:hAnsi="Times New Roman" w:eastAsia="宋体" w:cs="Times New Roman"/>
                      <w:b w:val="0"/>
                      <w:color w:val="auto"/>
                      <w:kern w:val="0"/>
                      <w:sz w:val="21"/>
                      <w:szCs w:val="20"/>
                      <w:highlight w:val="none"/>
                      <w:lang w:val="en-US" w:eastAsia="zh-CN" w:bidi="ar-SA"/>
                    </w:rPr>
                    <w:t>（无量纲）</w:t>
                  </w:r>
                </w:p>
              </w:tc>
              <w:tc>
                <w:tcPr>
                  <w:tcW w:w="719" w:type="pct"/>
                  <w:noWrap w:val="0"/>
                  <w:vAlign w:val="center"/>
                </w:tcPr>
                <w:p w14:paraId="0E53DC4E">
                  <w:pPr>
                    <w:pStyle w:val="30"/>
                    <w:bidi w:val="0"/>
                    <w:rPr>
                      <w:rFonts w:hint="default"/>
                      <w:color w:val="auto"/>
                      <w:lang w:val="en-US" w:eastAsia="zh-CN"/>
                    </w:rPr>
                  </w:pPr>
                  <w:r>
                    <w:rPr>
                      <w:rFonts w:hint="default"/>
                      <w:color w:val="auto"/>
                      <w:lang w:val="en-US" w:eastAsia="zh-CN"/>
                    </w:rPr>
                    <w:t>400</w:t>
                  </w:r>
                </w:p>
              </w:tc>
              <w:tc>
                <w:tcPr>
                  <w:tcW w:w="719" w:type="pct"/>
                  <w:noWrap w:val="0"/>
                  <w:vAlign w:val="center"/>
                </w:tcPr>
                <w:p w14:paraId="1AE7AE1B">
                  <w:pPr>
                    <w:pStyle w:val="30"/>
                    <w:bidi w:val="0"/>
                    <w:rPr>
                      <w:rFonts w:hint="default"/>
                      <w:color w:val="auto"/>
                      <w:lang w:val="en-US" w:eastAsia="zh-CN"/>
                    </w:rPr>
                  </w:pPr>
                  <w:r>
                    <w:rPr>
                      <w:rFonts w:hint="default"/>
                      <w:color w:val="auto"/>
                      <w:lang w:val="en-US" w:eastAsia="zh-CN"/>
                    </w:rPr>
                    <w:t>300</w:t>
                  </w:r>
                </w:p>
              </w:tc>
              <w:tc>
                <w:tcPr>
                  <w:tcW w:w="719" w:type="pct"/>
                  <w:noWrap w:val="0"/>
                  <w:vAlign w:val="center"/>
                </w:tcPr>
                <w:p w14:paraId="1E90A0D4">
                  <w:pPr>
                    <w:pStyle w:val="30"/>
                    <w:bidi w:val="0"/>
                    <w:rPr>
                      <w:rFonts w:hint="default"/>
                      <w:color w:val="auto"/>
                      <w:lang w:val="en-US" w:eastAsia="zh-CN"/>
                    </w:rPr>
                  </w:pPr>
                  <w:r>
                    <w:rPr>
                      <w:rFonts w:hint="default"/>
                      <w:color w:val="auto"/>
                      <w:lang w:val="en-US" w:eastAsia="zh-CN"/>
                    </w:rPr>
                    <w:t>20</w:t>
                  </w:r>
                </w:p>
              </w:tc>
            </w:tr>
            <w:tr w14:paraId="7808F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Merge w:val="continue"/>
                  <w:noWrap w:val="0"/>
                  <w:vAlign w:val="center"/>
                </w:tcPr>
                <w:p w14:paraId="441700A7">
                  <w:pPr>
                    <w:pStyle w:val="30"/>
                    <w:bidi w:val="0"/>
                    <w:rPr>
                      <w:rFonts w:hint="default" w:ascii="Times New Roman" w:hAnsi="Times New Roman" w:eastAsia="宋体" w:cs="Times New Roman"/>
                      <w:color w:val="auto"/>
                      <w:highlight w:val="none"/>
                      <w:lang w:val="en-US" w:eastAsia="zh-CN"/>
                    </w:rPr>
                  </w:pPr>
                </w:p>
              </w:tc>
              <w:tc>
                <w:tcPr>
                  <w:tcW w:w="499" w:type="pct"/>
                  <w:vMerge w:val="continue"/>
                  <w:noWrap w:val="0"/>
                  <w:vAlign w:val="center"/>
                </w:tcPr>
                <w:p w14:paraId="7CF5AD7B">
                  <w:pPr>
                    <w:pStyle w:val="30"/>
                    <w:bidi w:val="0"/>
                    <w:rPr>
                      <w:rFonts w:hint="default" w:ascii="Times New Roman" w:hAnsi="Times New Roman" w:eastAsia="宋体" w:cs="Times New Roman"/>
                      <w:color w:val="auto"/>
                      <w:highlight w:val="none"/>
                      <w:lang w:val="en-US" w:eastAsia="zh-CN"/>
                    </w:rPr>
                  </w:pPr>
                </w:p>
              </w:tc>
              <w:tc>
                <w:tcPr>
                  <w:tcW w:w="795" w:type="pct"/>
                  <w:noWrap w:val="0"/>
                  <w:vAlign w:val="center"/>
                </w:tcPr>
                <w:p w14:paraId="25C5EE76">
                  <w:pPr>
                    <w:pStyle w:val="30"/>
                    <w:bidi w:val="0"/>
                    <w:ind w:firstLine="0" w:firstLineChars="0"/>
                    <w:rPr>
                      <w:rFonts w:hint="default" w:ascii="Times New Roman" w:hAnsi="Times New Roman" w:eastAsia="宋体" w:cs="Times New Roman"/>
                      <w:b w:val="0"/>
                      <w:color w:val="auto"/>
                      <w:kern w:val="0"/>
                      <w:sz w:val="21"/>
                      <w:szCs w:val="20"/>
                      <w:highlight w:val="none"/>
                      <w:lang w:val="en-US" w:eastAsia="zh-CN" w:bidi="ar-SA"/>
                    </w:rPr>
                  </w:pPr>
                  <w:r>
                    <w:rPr>
                      <w:rFonts w:hint="default" w:ascii="Times New Roman" w:hAnsi="Times New Roman" w:eastAsia="宋体" w:cs="Times New Roman"/>
                      <w:color w:val="auto"/>
                      <w:highlight w:val="none"/>
                    </w:rPr>
                    <w:t>效率（%）</w:t>
                  </w:r>
                </w:p>
              </w:tc>
              <w:tc>
                <w:tcPr>
                  <w:tcW w:w="1026" w:type="pct"/>
                  <w:noWrap w:val="0"/>
                  <w:vAlign w:val="center"/>
                </w:tcPr>
                <w:p w14:paraId="65D5DF71">
                  <w:pPr>
                    <w:pStyle w:val="30"/>
                    <w:bidi w:val="0"/>
                    <w:ind w:firstLine="0" w:firstLineChars="0"/>
                    <w:rPr>
                      <w:rFonts w:hint="default" w:ascii="Times New Roman" w:hAnsi="Times New Roman" w:eastAsia="宋体" w:cs="Times New Roman"/>
                      <w:b w:val="0"/>
                      <w:color w:val="auto"/>
                      <w:kern w:val="0"/>
                      <w:sz w:val="21"/>
                      <w:szCs w:val="20"/>
                      <w:highlight w:val="none"/>
                      <w:lang w:val="en-US" w:eastAsia="zh-CN" w:bidi="ar-SA"/>
                    </w:rPr>
                  </w:pPr>
                  <w:r>
                    <w:rPr>
                      <w:rFonts w:hint="default" w:ascii="Times New Roman" w:hAnsi="Times New Roman" w:eastAsia="宋体" w:cs="Times New Roman"/>
                      <w:b w:val="0"/>
                      <w:color w:val="auto"/>
                      <w:kern w:val="0"/>
                      <w:sz w:val="21"/>
                      <w:szCs w:val="20"/>
                      <w:highlight w:val="none"/>
                      <w:lang w:val="en-US" w:eastAsia="zh-CN" w:bidi="ar-SA"/>
                    </w:rPr>
                    <w:t>/</w:t>
                  </w:r>
                </w:p>
              </w:tc>
              <w:tc>
                <w:tcPr>
                  <w:tcW w:w="719" w:type="pct"/>
                  <w:noWrap w:val="0"/>
                  <w:vAlign w:val="center"/>
                </w:tcPr>
                <w:p w14:paraId="5E815050">
                  <w:pPr>
                    <w:pStyle w:val="30"/>
                    <w:bidi w:val="0"/>
                    <w:rPr>
                      <w:rFonts w:hint="default"/>
                      <w:color w:val="auto"/>
                      <w:lang w:val="en-US" w:eastAsia="zh-CN"/>
                    </w:rPr>
                  </w:pPr>
                  <w:r>
                    <w:rPr>
                      <w:rFonts w:hint="default"/>
                      <w:color w:val="auto"/>
                      <w:lang w:val="en-US" w:eastAsia="zh-CN"/>
                    </w:rPr>
                    <w:t>0</w:t>
                  </w:r>
                </w:p>
              </w:tc>
              <w:tc>
                <w:tcPr>
                  <w:tcW w:w="719" w:type="pct"/>
                  <w:noWrap w:val="0"/>
                  <w:vAlign w:val="center"/>
                </w:tcPr>
                <w:p w14:paraId="222F6A95">
                  <w:pPr>
                    <w:pStyle w:val="30"/>
                    <w:bidi w:val="0"/>
                    <w:rPr>
                      <w:rFonts w:hint="default"/>
                      <w:color w:val="auto"/>
                      <w:lang w:val="en-US" w:eastAsia="zh-CN"/>
                    </w:rPr>
                  </w:pPr>
                  <w:r>
                    <w:rPr>
                      <w:rFonts w:hint="default"/>
                      <w:color w:val="auto"/>
                      <w:lang w:val="en-US" w:eastAsia="zh-CN"/>
                    </w:rPr>
                    <w:t>0</w:t>
                  </w:r>
                </w:p>
              </w:tc>
              <w:tc>
                <w:tcPr>
                  <w:tcW w:w="719" w:type="pct"/>
                  <w:noWrap w:val="0"/>
                  <w:vAlign w:val="center"/>
                </w:tcPr>
                <w:p w14:paraId="173DBFB6">
                  <w:pPr>
                    <w:pStyle w:val="30"/>
                    <w:bidi w:val="0"/>
                    <w:rPr>
                      <w:rFonts w:hint="default"/>
                      <w:color w:val="auto"/>
                      <w:lang w:val="en-US" w:eastAsia="zh-CN"/>
                    </w:rPr>
                  </w:pPr>
                  <w:r>
                    <w:rPr>
                      <w:rFonts w:hint="default"/>
                      <w:color w:val="auto"/>
                      <w:lang w:val="en-US" w:eastAsia="zh-CN"/>
                    </w:rPr>
                    <w:t>0</w:t>
                  </w:r>
                </w:p>
              </w:tc>
            </w:tr>
            <w:tr w14:paraId="69F38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Merge w:val="continue"/>
                  <w:noWrap w:val="0"/>
                  <w:vAlign w:val="center"/>
                </w:tcPr>
                <w:p w14:paraId="0CE72E74">
                  <w:pPr>
                    <w:pStyle w:val="30"/>
                    <w:bidi w:val="0"/>
                    <w:rPr>
                      <w:rFonts w:hint="default" w:ascii="Times New Roman" w:hAnsi="Times New Roman" w:eastAsia="宋体" w:cs="Times New Roman"/>
                      <w:color w:val="auto"/>
                      <w:highlight w:val="none"/>
                      <w:lang w:val="en-US" w:eastAsia="zh-CN"/>
                    </w:rPr>
                  </w:pPr>
                </w:p>
              </w:tc>
              <w:tc>
                <w:tcPr>
                  <w:tcW w:w="499" w:type="pct"/>
                  <w:vMerge w:val="continue"/>
                  <w:noWrap w:val="0"/>
                  <w:vAlign w:val="center"/>
                </w:tcPr>
                <w:p w14:paraId="63D49DEC">
                  <w:pPr>
                    <w:pStyle w:val="30"/>
                    <w:bidi w:val="0"/>
                    <w:rPr>
                      <w:rFonts w:hint="default" w:ascii="Times New Roman" w:hAnsi="Times New Roman" w:eastAsia="宋体" w:cs="Times New Roman"/>
                      <w:color w:val="auto"/>
                      <w:highlight w:val="none"/>
                      <w:lang w:val="en-US" w:eastAsia="zh-CN"/>
                    </w:rPr>
                  </w:pPr>
                </w:p>
              </w:tc>
              <w:tc>
                <w:tcPr>
                  <w:tcW w:w="795" w:type="pct"/>
                  <w:noWrap w:val="0"/>
                  <w:vAlign w:val="center"/>
                </w:tcPr>
                <w:p w14:paraId="246076E0">
                  <w:pPr>
                    <w:pStyle w:val="30"/>
                    <w:bidi w:val="0"/>
                    <w:ind w:firstLine="0" w:firstLineChars="0"/>
                    <w:rPr>
                      <w:rFonts w:hint="default" w:ascii="Times New Roman" w:hAnsi="Times New Roman" w:eastAsia="宋体" w:cs="Times New Roman"/>
                      <w:b w:val="0"/>
                      <w:color w:val="auto"/>
                      <w:kern w:val="0"/>
                      <w:sz w:val="21"/>
                      <w:szCs w:val="20"/>
                      <w:highlight w:val="none"/>
                      <w:lang w:val="en-US" w:eastAsia="zh-CN" w:bidi="ar-SA"/>
                    </w:rPr>
                  </w:pPr>
                  <w:r>
                    <w:rPr>
                      <w:rFonts w:hint="default" w:ascii="Times New Roman" w:hAnsi="Times New Roman" w:eastAsia="宋体" w:cs="Times New Roman"/>
                      <w:color w:val="auto"/>
                      <w:highlight w:val="none"/>
                    </w:rPr>
                    <w:t>出水</w:t>
                  </w:r>
                </w:p>
              </w:tc>
              <w:tc>
                <w:tcPr>
                  <w:tcW w:w="1026" w:type="pct"/>
                  <w:noWrap w:val="0"/>
                  <w:vAlign w:val="center"/>
                </w:tcPr>
                <w:p w14:paraId="71D59B4F">
                  <w:pPr>
                    <w:pStyle w:val="30"/>
                    <w:bidi w:val="0"/>
                    <w:ind w:firstLine="0" w:firstLineChars="0"/>
                    <w:rPr>
                      <w:rFonts w:hint="default" w:ascii="Times New Roman" w:hAnsi="Times New Roman" w:eastAsia="宋体" w:cs="Times New Roman"/>
                      <w:b w:val="0"/>
                      <w:color w:val="auto"/>
                      <w:kern w:val="0"/>
                      <w:sz w:val="21"/>
                      <w:szCs w:val="20"/>
                      <w:highlight w:val="none"/>
                      <w:lang w:val="en-US" w:eastAsia="zh-CN" w:bidi="ar-SA"/>
                    </w:rPr>
                  </w:pPr>
                  <w:r>
                    <w:rPr>
                      <w:rFonts w:hint="default" w:ascii="Times New Roman" w:hAnsi="Times New Roman" w:eastAsia="宋体" w:cs="Times New Roman"/>
                      <w:b w:val="0"/>
                      <w:color w:val="auto"/>
                      <w:kern w:val="0"/>
                      <w:sz w:val="21"/>
                      <w:szCs w:val="20"/>
                      <w:highlight w:val="none"/>
                      <w:lang w:val="en-US" w:eastAsia="zh-CN" w:bidi="ar-SA"/>
                    </w:rPr>
                    <w:t>7</w:t>
                  </w:r>
                  <w:r>
                    <w:rPr>
                      <w:rFonts w:hint="eastAsia" w:ascii="Times New Roman" w:hAnsi="Times New Roman" w:eastAsia="宋体" w:cs="Times New Roman"/>
                      <w:b w:val="0"/>
                      <w:color w:val="auto"/>
                      <w:kern w:val="0"/>
                      <w:sz w:val="21"/>
                      <w:szCs w:val="20"/>
                      <w:highlight w:val="none"/>
                      <w:lang w:val="en-US" w:eastAsia="zh-CN" w:bidi="ar-SA"/>
                    </w:rPr>
                    <w:t>-8</w:t>
                  </w:r>
                  <w:r>
                    <w:rPr>
                      <w:rFonts w:hint="default" w:ascii="Times New Roman" w:hAnsi="Times New Roman" w:eastAsia="宋体" w:cs="Times New Roman"/>
                      <w:b w:val="0"/>
                      <w:color w:val="auto"/>
                      <w:kern w:val="0"/>
                      <w:sz w:val="21"/>
                      <w:szCs w:val="20"/>
                      <w:highlight w:val="none"/>
                      <w:lang w:val="en-US" w:eastAsia="zh-CN" w:bidi="ar-SA"/>
                    </w:rPr>
                    <w:t>（无量纲）</w:t>
                  </w:r>
                </w:p>
              </w:tc>
              <w:tc>
                <w:tcPr>
                  <w:tcW w:w="719" w:type="pct"/>
                  <w:noWrap w:val="0"/>
                  <w:vAlign w:val="center"/>
                </w:tcPr>
                <w:p w14:paraId="564D65E7">
                  <w:pPr>
                    <w:pStyle w:val="30"/>
                    <w:bidi w:val="0"/>
                    <w:rPr>
                      <w:rFonts w:hint="default"/>
                      <w:color w:val="auto"/>
                      <w:lang w:val="en-US" w:eastAsia="zh-CN"/>
                    </w:rPr>
                  </w:pPr>
                  <w:r>
                    <w:rPr>
                      <w:rFonts w:hint="default"/>
                      <w:color w:val="auto"/>
                      <w:lang w:val="en-US" w:eastAsia="zh-CN"/>
                    </w:rPr>
                    <w:t>400</w:t>
                  </w:r>
                </w:p>
              </w:tc>
              <w:tc>
                <w:tcPr>
                  <w:tcW w:w="719" w:type="pct"/>
                  <w:noWrap w:val="0"/>
                  <w:vAlign w:val="center"/>
                </w:tcPr>
                <w:p w14:paraId="222947CC">
                  <w:pPr>
                    <w:pStyle w:val="30"/>
                    <w:bidi w:val="0"/>
                    <w:rPr>
                      <w:rFonts w:hint="default"/>
                      <w:color w:val="auto"/>
                      <w:lang w:val="en-US" w:eastAsia="zh-CN"/>
                    </w:rPr>
                  </w:pPr>
                  <w:r>
                    <w:rPr>
                      <w:rFonts w:hint="default"/>
                      <w:color w:val="auto"/>
                      <w:lang w:val="en-US" w:eastAsia="zh-CN"/>
                    </w:rPr>
                    <w:t>300</w:t>
                  </w:r>
                </w:p>
              </w:tc>
              <w:tc>
                <w:tcPr>
                  <w:tcW w:w="719" w:type="pct"/>
                  <w:noWrap w:val="0"/>
                  <w:vAlign w:val="center"/>
                </w:tcPr>
                <w:p w14:paraId="09114963">
                  <w:pPr>
                    <w:pStyle w:val="30"/>
                    <w:bidi w:val="0"/>
                    <w:rPr>
                      <w:rFonts w:hint="default"/>
                      <w:color w:val="auto"/>
                      <w:lang w:val="en-US" w:eastAsia="zh-CN"/>
                    </w:rPr>
                  </w:pPr>
                  <w:r>
                    <w:rPr>
                      <w:rFonts w:hint="default"/>
                      <w:color w:val="auto"/>
                      <w:lang w:val="en-US" w:eastAsia="zh-CN"/>
                    </w:rPr>
                    <w:t>20</w:t>
                  </w:r>
                </w:p>
              </w:tc>
            </w:tr>
            <w:tr w14:paraId="6D18B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Merge w:val="continue"/>
                  <w:noWrap w:val="0"/>
                  <w:vAlign w:val="center"/>
                </w:tcPr>
                <w:p w14:paraId="5000AFBC">
                  <w:pPr>
                    <w:pStyle w:val="30"/>
                    <w:bidi w:val="0"/>
                    <w:rPr>
                      <w:rFonts w:hint="default" w:ascii="Times New Roman" w:hAnsi="Times New Roman" w:eastAsia="宋体" w:cs="Times New Roman"/>
                      <w:color w:val="auto"/>
                      <w:highlight w:val="none"/>
                      <w:lang w:val="en-US" w:eastAsia="zh-CN"/>
                    </w:rPr>
                  </w:pPr>
                </w:p>
              </w:tc>
              <w:tc>
                <w:tcPr>
                  <w:tcW w:w="499" w:type="pct"/>
                  <w:vMerge w:val="restart"/>
                  <w:noWrap w:val="0"/>
                  <w:vAlign w:val="center"/>
                </w:tcPr>
                <w:p w14:paraId="1A76E8FD">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混凝沉淀</w:t>
                  </w:r>
                </w:p>
              </w:tc>
              <w:tc>
                <w:tcPr>
                  <w:tcW w:w="795" w:type="pct"/>
                  <w:noWrap w:val="0"/>
                  <w:vAlign w:val="center"/>
                </w:tcPr>
                <w:p w14:paraId="46CA7445">
                  <w:pPr>
                    <w:pStyle w:val="30"/>
                    <w:bidi w:val="0"/>
                    <w:ind w:firstLine="0" w:firstLineChars="0"/>
                    <w:rPr>
                      <w:rFonts w:hint="default" w:ascii="Times New Roman" w:hAnsi="Times New Roman" w:eastAsia="宋体" w:cs="Times New Roman"/>
                      <w:b w:val="0"/>
                      <w:color w:val="auto"/>
                      <w:kern w:val="0"/>
                      <w:sz w:val="21"/>
                      <w:szCs w:val="20"/>
                      <w:highlight w:val="none"/>
                      <w:lang w:val="en-US" w:eastAsia="zh-CN" w:bidi="ar-SA"/>
                    </w:rPr>
                  </w:pPr>
                  <w:r>
                    <w:rPr>
                      <w:rFonts w:hint="default" w:ascii="Times New Roman" w:hAnsi="Times New Roman" w:eastAsia="宋体" w:cs="Times New Roman"/>
                      <w:color w:val="auto"/>
                      <w:highlight w:val="none"/>
                    </w:rPr>
                    <w:t>进水</w:t>
                  </w:r>
                </w:p>
              </w:tc>
              <w:tc>
                <w:tcPr>
                  <w:tcW w:w="1026" w:type="pct"/>
                  <w:noWrap w:val="0"/>
                  <w:vAlign w:val="center"/>
                </w:tcPr>
                <w:p w14:paraId="4E1A2EE0">
                  <w:pPr>
                    <w:pStyle w:val="30"/>
                    <w:bidi w:val="0"/>
                    <w:ind w:firstLine="0" w:firstLineChars="0"/>
                    <w:rPr>
                      <w:rFonts w:hint="default" w:ascii="Times New Roman" w:hAnsi="Times New Roman" w:eastAsia="宋体" w:cs="Times New Roman"/>
                      <w:b w:val="0"/>
                      <w:color w:val="auto"/>
                      <w:kern w:val="0"/>
                      <w:sz w:val="21"/>
                      <w:szCs w:val="20"/>
                      <w:highlight w:val="none"/>
                      <w:lang w:val="en-US" w:eastAsia="zh-CN" w:bidi="ar-SA"/>
                    </w:rPr>
                  </w:pPr>
                  <w:r>
                    <w:rPr>
                      <w:rFonts w:hint="default" w:ascii="Times New Roman" w:hAnsi="Times New Roman" w:eastAsia="宋体" w:cs="Times New Roman"/>
                      <w:b w:val="0"/>
                      <w:color w:val="auto"/>
                      <w:kern w:val="0"/>
                      <w:sz w:val="21"/>
                      <w:szCs w:val="20"/>
                      <w:highlight w:val="none"/>
                      <w:lang w:val="en-US" w:eastAsia="zh-CN" w:bidi="ar-SA"/>
                    </w:rPr>
                    <w:t>7</w:t>
                  </w:r>
                  <w:r>
                    <w:rPr>
                      <w:rFonts w:hint="eastAsia" w:ascii="Times New Roman" w:hAnsi="Times New Roman" w:eastAsia="宋体" w:cs="Times New Roman"/>
                      <w:b w:val="0"/>
                      <w:color w:val="auto"/>
                      <w:kern w:val="0"/>
                      <w:sz w:val="21"/>
                      <w:szCs w:val="20"/>
                      <w:highlight w:val="none"/>
                      <w:lang w:val="en-US" w:eastAsia="zh-CN" w:bidi="ar-SA"/>
                    </w:rPr>
                    <w:t>-8</w:t>
                  </w:r>
                  <w:r>
                    <w:rPr>
                      <w:rFonts w:hint="default" w:ascii="Times New Roman" w:hAnsi="Times New Roman" w:eastAsia="宋体" w:cs="Times New Roman"/>
                      <w:b w:val="0"/>
                      <w:color w:val="auto"/>
                      <w:kern w:val="0"/>
                      <w:sz w:val="21"/>
                      <w:szCs w:val="20"/>
                      <w:highlight w:val="none"/>
                      <w:lang w:val="en-US" w:eastAsia="zh-CN" w:bidi="ar-SA"/>
                    </w:rPr>
                    <w:t>（无量纲）</w:t>
                  </w:r>
                </w:p>
              </w:tc>
              <w:tc>
                <w:tcPr>
                  <w:tcW w:w="719" w:type="pct"/>
                  <w:noWrap w:val="0"/>
                  <w:vAlign w:val="center"/>
                </w:tcPr>
                <w:p w14:paraId="1FBAEF8C">
                  <w:pPr>
                    <w:pStyle w:val="30"/>
                    <w:bidi w:val="0"/>
                    <w:rPr>
                      <w:rFonts w:hint="default"/>
                      <w:color w:val="auto"/>
                      <w:lang w:val="en-US" w:eastAsia="zh-CN"/>
                    </w:rPr>
                  </w:pPr>
                  <w:r>
                    <w:rPr>
                      <w:rFonts w:hint="default"/>
                      <w:color w:val="auto"/>
                      <w:lang w:val="en-US" w:eastAsia="zh-CN"/>
                    </w:rPr>
                    <w:t>400</w:t>
                  </w:r>
                </w:p>
              </w:tc>
              <w:tc>
                <w:tcPr>
                  <w:tcW w:w="719" w:type="pct"/>
                  <w:noWrap w:val="0"/>
                  <w:vAlign w:val="center"/>
                </w:tcPr>
                <w:p w14:paraId="2FFD86CB">
                  <w:pPr>
                    <w:pStyle w:val="30"/>
                    <w:bidi w:val="0"/>
                    <w:rPr>
                      <w:rFonts w:hint="default"/>
                      <w:color w:val="auto"/>
                      <w:lang w:val="en-US" w:eastAsia="zh-CN"/>
                    </w:rPr>
                  </w:pPr>
                  <w:r>
                    <w:rPr>
                      <w:rFonts w:hint="default"/>
                      <w:color w:val="auto"/>
                      <w:lang w:val="en-US" w:eastAsia="zh-CN"/>
                    </w:rPr>
                    <w:t>300</w:t>
                  </w:r>
                </w:p>
              </w:tc>
              <w:tc>
                <w:tcPr>
                  <w:tcW w:w="719" w:type="pct"/>
                  <w:noWrap w:val="0"/>
                  <w:vAlign w:val="center"/>
                </w:tcPr>
                <w:p w14:paraId="0D6827EE">
                  <w:pPr>
                    <w:pStyle w:val="30"/>
                    <w:bidi w:val="0"/>
                    <w:rPr>
                      <w:rFonts w:hint="default"/>
                      <w:color w:val="auto"/>
                      <w:lang w:val="en-US" w:eastAsia="zh-CN"/>
                    </w:rPr>
                  </w:pPr>
                  <w:r>
                    <w:rPr>
                      <w:rFonts w:hint="default"/>
                      <w:color w:val="auto"/>
                      <w:lang w:val="en-US" w:eastAsia="zh-CN"/>
                    </w:rPr>
                    <w:t>20</w:t>
                  </w:r>
                </w:p>
              </w:tc>
            </w:tr>
            <w:tr w14:paraId="4FC79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Merge w:val="continue"/>
                  <w:noWrap w:val="0"/>
                  <w:vAlign w:val="center"/>
                </w:tcPr>
                <w:p w14:paraId="35D3530E">
                  <w:pPr>
                    <w:pStyle w:val="30"/>
                    <w:bidi w:val="0"/>
                    <w:rPr>
                      <w:rFonts w:hint="default" w:ascii="Times New Roman" w:hAnsi="Times New Roman" w:eastAsia="宋体" w:cs="Times New Roman"/>
                      <w:color w:val="auto"/>
                      <w:highlight w:val="none"/>
                      <w:lang w:val="en-US" w:eastAsia="zh-CN"/>
                    </w:rPr>
                  </w:pPr>
                </w:p>
              </w:tc>
              <w:tc>
                <w:tcPr>
                  <w:tcW w:w="499" w:type="pct"/>
                  <w:vMerge w:val="continue"/>
                  <w:noWrap w:val="0"/>
                  <w:vAlign w:val="center"/>
                </w:tcPr>
                <w:p w14:paraId="62208DCD">
                  <w:pPr>
                    <w:pStyle w:val="30"/>
                    <w:bidi w:val="0"/>
                    <w:rPr>
                      <w:rFonts w:hint="default" w:ascii="Times New Roman" w:hAnsi="Times New Roman" w:eastAsia="宋体" w:cs="Times New Roman"/>
                      <w:color w:val="auto"/>
                      <w:highlight w:val="none"/>
                      <w:lang w:val="en-US" w:eastAsia="zh-CN"/>
                    </w:rPr>
                  </w:pPr>
                </w:p>
              </w:tc>
              <w:tc>
                <w:tcPr>
                  <w:tcW w:w="795" w:type="pct"/>
                  <w:noWrap w:val="0"/>
                  <w:vAlign w:val="center"/>
                </w:tcPr>
                <w:p w14:paraId="2F48ED0F">
                  <w:pPr>
                    <w:pStyle w:val="30"/>
                    <w:bidi w:val="0"/>
                    <w:ind w:firstLine="0" w:firstLineChars="0"/>
                    <w:rPr>
                      <w:rFonts w:hint="default" w:ascii="Times New Roman" w:hAnsi="Times New Roman" w:eastAsia="宋体" w:cs="Times New Roman"/>
                      <w:b w:val="0"/>
                      <w:color w:val="auto"/>
                      <w:kern w:val="0"/>
                      <w:sz w:val="21"/>
                      <w:szCs w:val="20"/>
                      <w:highlight w:val="none"/>
                      <w:lang w:val="en-US" w:eastAsia="zh-CN" w:bidi="ar-SA"/>
                    </w:rPr>
                  </w:pPr>
                  <w:r>
                    <w:rPr>
                      <w:rFonts w:hint="default" w:ascii="Times New Roman" w:hAnsi="Times New Roman" w:eastAsia="宋体" w:cs="Times New Roman"/>
                      <w:color w:val="auto"/>
                      <w:highlight w:val="none"/>
                    </w:rPr>
                    <w:t>效率</w:t>
                  </w:r>
                </w:p>
              </w:tc>
              <w:tc>
                <w:tcPr>
                  <w:tcW w:w="1026" w:type="pct"/>
                  <w:noWrap w:val="0"/>
                  <w:vAlign w:val="center"/>
                </w:tcPr>
                <w:p w14:paraId="495FA647">
                  <w:pPr>
                    <w:pStyle w:val="30"/>
                    <w:bidi w:val="0"/>
                    <w:ind w:firstLine="0" w:firstLineChars="0"/>
                    <w:rPr>
                      <w:rFonts w:hint="default" w:ascii="Times New Roman" w:hAnsi="Times New Roman" w:eastAsia="宋体" w:cs="Times New Roman"/>
                      <w:b w:val="0"/>
                      <w:color w:val="auto"/>
                      <w:kern w:val="0"/>
                      <w:sz w:val="21"/>
                      <w:szCs w:val="20"/>
                      <w:highlight w:val="none"/>
                      <w:lang w:val="en-US" w:eastAsia="zh-CN" w:bidi="ar-SA"/>
                    </w:rPr>
                  </w:pPr>
                  <w:r>
                    <w:rPr>
                      <w:rFonts w:hint="default" w:ascii="Times New Roman" w:hAnsi="Times New Roman" w:eastAsia="宋体" w:cs="Times New Roman"/>
                      <w:b w:val="0"/>
                      <w:color w:val="auto"/>
                      <w:kern w:val="0"/>
                      <w:sz w:val="21"/>
                      <w:szCs w:val="20"/>
                      <w:highlight w:val="none"/>
                      <w:lang w:val="en-US" w:eastAsia="zh-CN" w:bidi="ar-SA"/>
                    </w:rPr>
                    <w:t>/</w:t>
                  </w:r>
                </w:p>
              </w:tc>
              <w:tc>
                <w:tcPr>
                  <w:tcW w:w="719" w:type="pct"/>
                  <w:noWrap w:val="0"/>
                  <w:vAlign w:val="center"/>
                </w:tcPr>
                <w:p w14:paraId="65C382FA">
                  <w:pPr>
                    <w:pStyle w:val="30"/>
                    <w:bidi w:val="0"/>
                    <w:rPr>
                      <w:rFonts w:hint="default"/>
                      <w:color w:val="auto"/>
                      <w:lang w:val="en-US" w:eastAsia="zh-CN"/>
                    </w:rPr>
                  </w:pPr>
                  <w:r>
                    <w:rPr>
                      <w:rFonts w:hint="eastAsia"/>
                      <w:color w:val="auto"/>
                      <w:lang w:val="en-US" w:eastAsia="zh-CN"/>
                    </w:rPr>
                    <w:t>0.3</w:t>
                  </w:r>
                </w:p>
              </w:tc>
              <w:tc>
                <w:tcPr>
                  <w:tcW w:w="719" w:type="pct"/>
                  <w:noWrap w:val="0"/>
                  <w:vAlign w:val="center"/>
                </w:tcPr>
                <w:p w14:paraId="21D3B7A5">
                  <w:pPr>
                    <w:pStyle w:val="30"/>
                    <w:bidi w:val="0"/>
                    <w:rPr>
                      <w:rFonts w:hint="default"/>
                      <w:color w:val="auto"/>
                      <w:lang w:val="en-US" w:eastAsia="zh-CN"/>
                    </w:rPr>
                  </w:pPr>
                  <w:r>
                    <w:rPr>
                      <w:rFonts w:hint="default"/>
                      <w:color w:val="auto"/>
                      <w:lang w:val="en-US" w:eastAsia="zh-CN"/>
                    </w:rPr>
                    <w:t>0.8</w:t>
                  </w:r>
                </w:p>
              </w:tc>
              <w:tc>
                <w:tcPr>
                  <w:tcW w:w="719" w:type="pct"/>
                  <w:noWrap w:val="0"/>
                  <w:vAlign w:val="center"/>
                </w:tcPr>
                <w:p w14:paraId="18BDCE6E">
                  <w:pPr>
                    <w:pStyle w:val="30"/>
                    <w:bidi w:val="0"/>
                    <w:rPr>
                      <w:rFonts w:hint="default"/>
                      <w:color w:val="auto"/>
                      <w:lang w:val="en-US" w:eastAsia="zh-CN"/>
                    </w:rPr>
                  </w:pPr>
                  <w:r>
                    <w:rPr>
                      <w:rFonts w:hint="default"/>
                      <w:color w:val="auto"/>
                      <w:lang w:val="en-US" w:eastAsia="zh-CN"/>
                    </w:rPr>
                    <w:t>0.</w:t>
                  </w:r>
                  <w:r>
                    <w:rPr>
                      <w:rFonts w:hint="eastAsia"/>
                      <w:color w:val="auto"/>
                      <w:lang w:val="en-US" w:eastAsia="zh-CN"/>
                    </w:rPr>
                    <w:t>8</w:t>
                  </w:r>
                </w:p>
              </w:tc>
            </w:tr>
            <w:tr w14:paraId="389A3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Merge w:val="continue"/>
                  <w:noWrap w:val="0"/>
                  <w:vAlign w:val="center"/>
                </w:tcPr>
                <w:p w14:paraId="4F549FD7">
                  <w:pPr>
                    <w:pStyle w:val="30"/>
                    <w:bidi w:val="0"/>
                    <w:rPr>
                      <w:rFonts w:hint="default" w:ascii="Times New Roman" w:hAnsi="Times New Roman" w:eastAsia="宋体" w:cs="Times New Roman"/>
                      <w:color w:val="auto"/>
                      <w:highlight w:val="none"/>
                      <w:lang w:val="en-US" w:eastAsia="zh-CN"/>
                    </w:rPr>
                  </w:pPr>
                </w:p>
              </w:tc>
              <w:tc>
                <w:tcPr>
                  <w:tcW w:w="499" w:type="pct"/>
                  <w:vMerge w:val="continue"/>
                  <w:noWrap w:val="0"/>
                  <w:vAlign w:val="center"/>
                </w:tcPr>
                <w:p w14:paraId="27C62A4E">
                  <w:pPr>
                    <w:pStyle w:val="30"/>
                    <w:bidi w:val="0"/>
                    <w:rPr>
                      <w:rFonts w:hint="default" w:ascii="Times New Roman" w:hAnsi="Times New Roman" w:eastAsia="宋体" w:cs="Times New Roman"/>
                      <w:color w:val="auto"/>
                      <w:highlight w:val="none"/>
                      <w:lang w:val="en-US" w:eastAsia="zh-CN"/>
                    </w:rPr>
                  </w:pPr>
                </w:p>
              </w:tc>
              <w:tc>
                <w:tcPr>
                  <w:tcW w:w="795" w:type="pct"/>
                  <w:noWrap w:val="0"/>
                  <w:vAlign w:val="center"/>
                </w:tcPr>
                <w:p w14:paraId="63FB1D53">
                  <w:pPr>
                    <w:pStyle w:val="30"/>
                    <w:bidi w:val="0"/>
                    <w:ind w:firstLine="0" w:firstLineChars="0"/>
                    <w:rPr>
                      <w:rFonts w:hint="default" w:ascii="Times New Roman" w:hAnsi="Times New Roman" w:eastAsia="宋体" w:cs="Times New Roman"/>
                      <w:b w:val="0"/>
                      <w:color w:val="auto"/>
                      <w:kern w:val="0"/>
                      <w:sz w:val="21"/>
                      <w:szCs w:val="20"/>
                      <w:highlight w:val="none"/>
                      <w:lang w:val="en-US" w:eastAsia="zh-CN" w:bidi="ar-SA"/>
                    </w:rPr>
                  </w:pPr>
                  <w:r>
                    <w:rPr>
                      <w:rFonts w:hint="default" w:ascii="Times New Roman" w:hAnsi="Times New Roman" w:eastAsia="宋体" w:cs="Times New Roman"/>
                      <w:color w:val="auto"/>
                      <w:highlight w:val="none"/>
                    </w:rPr>
                    <w:t>出水</w:t>
                  </w:r>
                </w:p>
              </w:tc>
              <w:tc>
                <w:tcPr>
                  <w:tcW w:w="1026" w:type="pct"/>
                  <w:noWrap w:val="0"/>
                  <w:vAlign w:val="center"/>
                </w:tcPr>
                <w:p w14:paraId="3B2236E0">
                  <w:pPr>
                    <w:pStyle w:val="30"/>
                    <w:bidi w:val="0"/>
                    <w:ind w:firstLine="0" w:firstLineChars="0"/>
                    <w:rPr>
                      <w:rFonts w:hint="default" w:ascii="Times New Roman" w:hAnsi="Times New Roman" w:eastAsia="宋体" w:cs="Times New Roman"/>
                      <w:b w:val="0"/>
                      <w:color w:val="auto"/>
                      <w:kern w:val="0"/>
                      <w:sz w:val="21"/>
                      <w:szCs w:val="20"/>
                      <w:highlight w:val="none"/>
                      <w:lang w:val="en-US" w:eastAsia="zh-CN" w:bidi="ar-SA"/>
                    </w:rPr>
                  </w:pPr>
                  <w:r>
                    <w:rPr>
                      <w:rFonts w:hint="default" w:ascii="Times New Roman" w:hAnsi="Times New Roman" w:eastAsia="宋体" w:cs="Times New Roman"/>
                      <w:b w:val="0"/>
                      <w:color w:val="auto"/>
                      <w:kern w:val="0"/>
                      <w:sz w:val="21"/>
                      <w:szCs w:val="20"/>
                      <w:highlight w:val="none"/>
                      <w:lang w:val="en-US" w:eastAsia="zh-CN" w:bidi="ar-SA"/>
                    </w:rPr>
                    <w:t>7</w:t>
                  </w:r>
                  <w:r>
                    <w:rPr>
                      <w:rFonts w:hint="eastAsia" w:ascii="Times New Roman" w:hAnsi="Times New Roman" w:eastAsia="宋体" w:cs="Times New Roman"/>
                      <w:b w:val="0"/>
                      <w:color w:val="auto"/>
                      <w:kern w:val="0"/>
                      <w:sz w:val="21"/>
                      <w:szCs w:val="20"/>
                      <w:highlight w:val="none"/>
                      <w:lang w:val="en-US" w:eastAsia="zh-CN" w:bidi="ar-SA"/>
                    </w:rPr>
                    <w:t>-8</w:t>
                  </w:r>
                  <w:r>
                    <w:rPr>
                      <w:rFonts w:hint="default" w:ascii="Times New Roman" w:hAnsi="Times New Roman" w:eastAsia="宋体" w:cs="Times New Roman"/>
                      <w:b w:val="0"/>
                      <w:color w:val="auto"/>
                      <w:kern w:val="0"/>
                      <w:sz w:val="21"/>
                      <w:szCs w:val="20"/>
                      <w:highlight w:val="none"/>
                      <w:lang w:val="en-US" w:eastAsia="zh-CN" w:bidi="ar-SA"/>
                    </w:rPr>
                    <w:t>（无量纲）</w:t>
                  </w:r>
                </w:p>
              </w:tc>
              <w:tc>
                <w:tcPr>
                  <w:tcW w:w="719" w:type="pct"/>
                  <w:noWrap w:val="0"/>
                  <w:vAlign w:val="center"/>
                </w:tcPr>
                <w:p w14:paraId="3FFBC7D4">
                  <w:pPr>
                    <w:pStyle w:val="30"/>
                    <w:bidi w:val="0"/>
                    <w:rPr>
                      <w:rFonts w:hint="default"/>
                      <w:color w:val="auto"/>
                      <w:lang w:val="en-US" w:eastAsia="zh-CN"/>
                    </w:rPr>
                  </w:pPr>
                  <w:r>
                    <w:rPr>
                      <w:rFonts w:hint="eastAsia"/>
                      <w:color w:val="auto"/>
                      <w:lang w:val="en-US" w:eastAsia="zh-CN"/>
                    </w:rPr>
                    <w:t>280</w:t>
                  </w:r>
                </w:p>
              </w:tc>
              <w:tc>
                <w:tcPr>
                  <w:tcW w:w="719" w:type="pct"/>
                  <w:noWrap w:val="0"/>
                  <w:vAlign w:val="center"/>
                </w:tcPr>
                <w:p w14:paraId="5196BAAE">
                  <w:pPr>
                    <w:pStyle w:val="30"/>
                    <w:bidi w:val="0"/>
                    <w:rPr>
                      <w:rFonts w:hint="default"/>
                      <w:color w:val="auto"/>
                      <w:lang w:val="en-US" w:eastAsia="zh-CN"/>
                    </w:rPr>
                  </w:pPr>
                  <w:r>
                    <w:rPr>
                      <w:rFonts w:hint="default"/>
                      <w:color w:val="auto"/>
                      <w:lang w:val="en-US" w:eastAsia="zh-CN"/>
                    </w:rPr>
                    <w:t>60</w:t>
                  </w:r>
                </w:p>
              </w:tc>
              <w:tc>
                <w:tcPr>
                  <w:tcW w:w="719" w:type="pct"/>
                  <w:noWrap w:val="0"/>
                  <w:vAlign w:val="center"/>
                </w:tcPr>
                <w:p w14:paraId="4BA911CE">
                  <w:pPr>
                    <w:pStyle w:val="30"/>
                    <w:bidi w:val="0"/>
                    <w:rPr>
                      <w:rFonts w:hint="default"/>
                      <w:color w:val="auto"/>
                      <w:lang w:val="en-US" w:eastAsia="zh-CN"/>
                    </w:rPr>
                  </w:pPr>
                  <w:r>
                    <w:rPr>
                      <w:rFonts w:hint="eastAsia"/>
                      <w:color w:val="auto"/>
                      <w:lang w:val="en-US" w:eastAsia="zh-CN"/>
                    </w:rPr>
                    <w:t>4</w:t>
                  </w:r>
                </w:p>
              </w:tc>
            </w:tr>
            <w:tr w14:paraId="6BA3A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Merge w:val="continue"/>
                  <w:noWrap w:val="0"/>
                  <w:vAlign w:val="center"/>
                </w:tcPr>
                <w:p w14:paraId="57541187">
                  <w:pPr>
                    <w:pStyle w:val="30"/>
                    <w:bidi w:val="0"/>
                    <w:rPr>
                      <w:rFonts w:hint="default" w:ascii="Times New Roman" w:hAnsi="Times New Roman" w:eastAsia="宋体" w:cs="Times New Roman"/>
                      <w:color w:val="auto"/>
                      <w:highlight w:val="none"/>
                      <w:lang w:val="en-US" w:eastAsia="zh-CN"/>
                    </w:rPr>
                  </w:pPr>
                </w:p>
              </w:tc>
              <w:tc>
                <w:tcPr>
                  <w:tcW w:w="499" w:type="pct"/>
                  <w:vMerge w:val="restart"/>
                  <w:noWrap w:val="0"/>
                  <w:vAlign w:val="center"/>
                </w:tcPr>
                <w:p w14:paraId="3F97C9CD">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生化</w:t>
                  </w:r>
                </w:p>
              </w:tc>
              <w:tc>
                <w:tcPr>
                  <w:tcW w:w="795" w:type="pct"/>
                  <w:noWrap w:val="0"/>
                  <w:vAlign w:val="center"/>
                </w:tcPr>
                <w:p w14:paraId="672CC47D">
                  <w:pPr>
                    <w:pStyle w:val="30"/>
                    <w:bidi w:val="0"/>
                    <w:ind w:firstLine="0" w:firstLineChars="0"/>
                    <w:rPr>
                      <w:rFonts w:hint="default" w:ascii="Times New Roman" w:hAnsi="Times New Roman" w:eastAsia="宋体" w:cs="Times New Roman"/>
                      <w:b w:val="0"/>
                      <w:color w:val="auto"/>
                      <w:kern w:val="0"/>
                      <w:sz w:val="21"/>
                      <w:szCs w:val="20"/>
                      <w:highlight w:val="none"/>
                      <w:lang w:val="en-US" w:eastAsia="zh-CN" w:bidi="ar-SA"/>
                    </w:rPr>
                  </w:pPr>
                  <w:r>
                    <w:rPr>
                      <w:rFonts w:hint="default" w:ascii="Times New Roman" w:hAnsi="Times New Roman" w:eastAsia="宋体" w:cs="Times New Roman"/>
                      <w:color w:val="auto"/>
                      <w:highlight w:val="none"/>
                    </w:rPr>
                    <w:t>进水</w:t>
                  </w:r>
                </w:p>
              </w:tc>
              <w:tc>
                <w:tcPr>
                  <w:tcW w:w="1026" w:type="pct"/>
                  <w:noWrap w:val="0"/>
                  <w:vAlign w:val="center"/>
                </w:tcPr>
                <w:p w14:paraId="7C547FD4">
                  <w:pPr>
                    <w:pStyle w:val="30"/>
                    <w:bidi w:val="0"/>
                    <w:ind w:firstLine="0" w:firstLineChars="0"/>
                    <w:rPr>
                      <w:rFonts w:hint="default" w:ascii="Times New Roman" w:hAnsi="Times New Roman" w:eastAsia="宋体" w:cs="Times New Roman"/>
                      <w:b w:val="0"/>
                      <w:color w:val="auto"/>
                      <w:kern w:val="0"/>
                      <w:sz w:val="21"/>
                      <w:szCs w:val="20"/>
                      <w:highlight w:val="none"/>
                      <w:lang w:val="en-US" w:eastAsia="zh-CN" w:bidi="ar-SA"/>
                    </w:rPr>
                  </w:pPr>
                  <w:r>
                    <w:rPr>
                      <w:rFonts w:hint="default" w:ascii="Times New Roman" w:hAnsi="Times New Roman" w:eastAsia="宋体" w:cs="Times New Roman"/>
                      <w:b w:val="0"/>
                      <w:color w:val="auto"/>
                      <w:kern w:val="0"/>
                      <w:sz w:val="21"/>
                      <w:szCs w:val="20"/>
                      <w:highlight w:val="none"/>
                      <w:lang w:val="en-US" w:eastAsia="zh-CN" w:bidi="ar-SA"/>
                    </w:rPr>
                    <w:t>7</w:t>
                  </w:r>
                  <w:r>
                    <w:rPr>
                      <w:rFonts w:hint="eastAsia" w:ascii="Times New Roman" w:hAnsi="Times New Roman" w:eastAsia="宋体" w:cs="Times New Roman"/>
                      <w:b w:val="0"/>
                      <w:color w:val="auto"/>
                      <w:kern w:val="0"/>
                      <w:sz w:val="21"/>
                      <w:szCs w:val="20"/>
                      <w:highlight w:val="none"/>
                      <w:lang w:val="en-US" w:eastAsia="zh-CN" w:bidi="ar-SA"/>
                    </w:rPr>
                    <w:t>-8</w:t>
                  </w:r>
                  <w:r>
                    <w:rPr>
                      <w:rFonts w:hint="default" w:ascii="Times New Roman" w:hAnsi="Times New Roman" w:eastAsia="宋体" w:cs="Times New Roman"/>
                      <w:b w:val="0"/>
                      <w:color w:val="auto"/>
                      <w:kern w:val="0"/>
                      <w:sz w:val="21"/>
                      <w:szCs w:val="20"/>
                      <w:highlight w:val="none"/>
                      <w:lang w:val="en-US" w:eastAsia="zh-CN" w:bidi="ar-SA"/>
                    </w:rPr>
                    <w:t>（无量纲）</w:t>
                  </w:r>
                </w:p>
              </w:tc>
              <w:tc>
                <w:tcPr>
                  <w:tcW w:w="719" w:type="pct"/>
                  <w:noWrap w:val="0"/>
                  <w:vAlign w:val="center"/>
                </w:tcPr>
                <w:p w14:paraId="048B4AF8">
                  <w:pPr>
                    <w:pStyle w:val="30"/>
                    <w:bidi w:val="0"/>
                    <w:rPr>
                      <w:rFonts w:hint="default"/>
                      <w:color w:val="auto"/>
                      <w:lang w:val="en-US" w:eastAsia="zh-CN"/>
                    </w:rPr>
                  </w:pPr>
                  <w:r>
                    <w:rPr>
                      <w:rFonts w:hint="eastAsia"/>
                      <w:color w:val="auto"/>
                      <w:lang w:val="en-US" w:eastAsia="zh-CN"/>
                    </w:rPr>
                    <w:t>280</w:t>
                  </w:r>
                </w:p>
              </w:tc>
              <w:tc>
                <w:tcPr>
                  <w:tcW w:w="719" w:type="pct"/>
                  <w:noWrap w:val="0"/>
                  <w:vAlign w:val="center"/>
                </w:tcPr>
                <w:p w14:paraId="6665C861">
                  <w:pPr>
                    <w:pStyle w:val="30"/>
                    <w:bidi w:val="0"/>
                    <w:rPr>
                      <w:rFonts w:hint="eastAsia"/>
                      <w:color w:val="auto"/>
                      <w:lang w:val="en-US" w:eastAsia="zh-CN"/>
                    </w:rPr>
                  </w:pPr>
                  <w:r>
                    <w:rPr>
                      <w:rFonts w:hint="default"/>
                      <w:color w:val="auto"/>
                      <w:lang w:val="en-US" w:eastAsia="zh-CN"/>
                    </w:rPr>
                    <w:t>60</w:t>
                  </w:r>
                </w:p>
              </w:tc>
              <w:tc>
                <w:tcPr>
                  <w:tcW w:w="719" w:type="pct"/>
                  <w:noWrap w:val="0"/>
                  <w:vAlign w:val="center"/>
                </w:tcPr>
                <w:p w14:paraId="3EDF66A4">
                  <w:pPr>
                    <w:pStyle w:val="30"/>
                    <w:bidi w:val="0"/>
                    <w:rPr>
                      <w:rFonts w:hint="default"/>
                      <w:color w:val="auto"/>
                      <w:lang w:val="en-US" w:eastAsia="zh-CN"/>
                    </w:rPr>
                  </w:pPr>
                  <w:r>
                    <w:rPr>
                      <w:rFonts w:hint="eastAsia"/>
                      <w:color w:val="auto"/>
                      <w:lang w:val="en-US" w:eastAsia="zh-CN"/>
                    </w:rPr>
                    <w:t>4</w:t>
                  </w:r>
                </w:p>
              </w:tc>
            </w:tr>
            <w:tr w14:paraId="0E493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Merge w:val="continue"/>
                  <w:noWrap w:val="0"/>
                  <w:vAlign w:val="center"/>
                </w:tcPr>
                <w:p w14:paraId="362D9E71">
                  <w:pPr>
                    <w:pStyle w:val="30"/>
                    <w:bidi w:val="0"/>
                    <w:rPr>
                      <w:rFonts w:hint="default" w:ascii="Times New Roman" w:hAnsi="Times New Roman" w:eastAsia="宋体" w:cs="Times New Roman"/>
                      <w:color w:val="auto"/>
                      <w:highlight w:val="none"/>
                      <w:lang w:val="en-US" w:eastAsia="zh-CN"/>
                    </w:rPr>
                  </w:pPr>
                </w:p>
              </w:tc>
              <w:tc>
                <w:tcPr>
                  <w:tcW w:w="499" w:type="pct"/>
                  <w:vMerge w:val="continue"/>
                  <w:noWrap w:val="0"/>
                  <w:vAlign w:val="center"/>
                </w:tcPr>
                <w:p w14:paraId="08D4A4C6">
                  <w:pPr>
                    <w:pStyle w:val="30"/>
                    <w:bidi w:val="0"/>
                    <w:rPr>
                      <w:rFonts w:hint="default" w:ascii="Times New Roman" w:hAnsi="Times New Roman" w:eastAsia="宋体" w:cs="Times New Roman"/>
                      <w:color w:val="auto"/>
                      <w:highlight w:val="none"/>
                      <w:lang w:val="en-US" w:eastAsia="zh-CN"/>
                    </w:rPr>
                  </w:pPr>
                </w:p>
              </w:tc>
              <w:tc>
                <w:tcPr>
                  <w:tcW w:w="795" w:type="pct"/>
                  <w:noWrap w:val="0"/>
                  <w:vAlign w:val="center"/>
                </w:tcPr>
                <w:p w14:paraId="475EB9CD">
                  <w:pPr>
                    <w:pStyle w:val="30"/>
                    <w:bidi w:val="0"/>
                    <w:ind w:firstLine="0" w:firstLineChars="0"/>
                    <w:rPr>
                      <w:rFonts w:hint="default" w:ascii="Times New Roman" w:hAnsi="Times New Roman" w:eastAsia="宋体" w:cs="Times New Roman"/>
                      <w:b w:val="0"/>
                      <w:color w:val="auto"/>
                      <w:kern w:val="0"/>
                      <w:sz w:val="21"/>
                      <w:szCs w:val="20"/>
                      <w:highlight w:val="none"/>
                      <w:lang w:val="en-US" w:eastAsia="zh-CN" w:bidi="ar-SA"/>
                    </w:rPr>
                  </w:pPr>
                  <w:r>
                    <w:rPr>
                      <w:rFonts w:hint="default" w:ascii="Times New Roman" w:hAnsi="Times New Roman" w:eastAsia="宋体" w:cs="Times New Roman"/>
                      <w:color w:val="auto"/>
                      <w:highlight w:val="none"/>
                    </w:rPr>
                    <w:t>效率</w:t>
                  </w:r>
                </w:p>
              </w:tc>
              <w:tc>
                <w:tcPr>
                  <w:tcW w:w="1026" w:type="pct"/>
                  <w:noWrap w:val="0"/>
                  <w:vAlign w:val="center"/>
                </w:tcPr>
                <w:p w14:paraId="5C3CCFF3">
                  <w:pPr>
                    <w:pStyle w:val="30"/>
                    <w:bidi w:val="0"/>
                    <w:ind w:firstLine="0" w:firstLineChars="0"/>
                    <w:rPr>
                      <w:rFonts w:hint="default" w:ascii="Times New Roman" w:hAnsi="Times New Roman" w:eastAsia="宋体" w:cs="Times New Roman"/>
                      <w:b w:val="0"/>
                      <w:color w:val="auto"/>
                      <w:kern w:val="0"/>
                      <w:sz w:val="21"/>
                      <w:szCs w:val="20"/>
                      <w:highlight w:val="none"/>
                      <w:lang w:val="en-US" w:eastAsia="zh-CN" w:bidi="ar-SA"/>
                    </w:rPr>
                  </w:pPr>
                  <w:r>
                    <w:rPr>
                      <w:rFonts w:hint="default" w:ascii="Times New Roman" w:hAnsi="Times New Roman" w:eastAsia="宋体" w:cs="Times New Roman"/>
                      <w:b w:val="0"/>
                      <w:color w:val="auto"/>
                      <w:kern w:val="0"/>
                      <w:sz w:val="21"/>
                      <w:szCs w:val="20"/>
                      <w:highlight w:val="none"/>
                      <w:lang w:val="en-US" w:eastAsia="zh-CN" w:bidi="ar-SA"/>
                    </w:rPr>
                    <w:t>/</w:t>
                  </w:r>
                </w:p>
              </w:tc>
              <w:tc>
                <w:tcPr>
                  <w:tcW w:w="719" w:type="pct"/>
                  <w:noWrap w:val="0"/>
                  <w:vAlign w:val="center"/>
                </w:tcPr>
                <w:p w14:paraId="19183C3B">
                  <w:pPr>
                    <w:pStyle w:val="30"/>
                    <w:bidi w:val="0"/>
                    <w:rPr>
                      <w:rFonts w:hint="default"/>
                      <w:color w:val="auto"/>
                      <w:lang w:val="en-US" w:eastAsia="zh-CN"/>
                    </w:rPr>
                  </w:pPr>
                  <w:r>
                    <w:rPr>
                      <w:rFonts w:hint="eastAsia"/>
                      <w:color w:val="auto"/>
                      <w:lang w:val="en-US" w:eastAsia="zh-CN"/>
                    </w:rPr>
                    <w:t>0.9</w:t>
                  </w:r>
                </w:p>
              </w:tc>
              <w:tc>
                <w:tcPr>
                  <w:tcW w:w="719" w:type="pct"/>
                  <w:noWrap w:val="0"/>
                  <w:vAlign w:val="center"/>
                </w:tcPr>
                <w:p w14:paraId="46DF41B5">
                  <w:pPr>
                    <w:pStyle w:val="30"/>
                    <w:bidi w:val="0"/>
                    <w:rPr>
                      <w:rFonts w:hint="eastAsia"/>
                      <w:color w:val="auto"/>
                      <w:lang w:val="en-US" w:eastAsia="zh-CN"/>
                    </w:rPr>
                  </w:pPr>
                  <w:r>
                    <w:rPr>
                      <w:rFonts w:hint="eastAsia"/>
                      <w:color w:val="auto"/>
                      <w:lang w:val="en-US" w:eastAsia="zh-CN"/>
                    </w:rPr>
                    <w:t>/</w:t>
                  </w:r>
                </w:p>
              </w:tc>
              <w:tc>
                <w:tcPr>
                  <w:tcW w:w="719" w:type="pct"/>
                  <w:noWrap w:val="0"/>
                  <w:vAlign w:val="center"/>
                </w:tcPr>
                <w:p w14:paraId="41C799D8">
                  <w:pPr>
                    <w:pStyle w:val="30"/>
                    <w:bidi w:val="0"/>
                    <w:rPr>
                      <w:rFonts w:hint="default"/>
                      <w:color w:val="auto"/>
                      <w:lang w:val="en-US" w:eastAsia="zh-CN"/>
                    </w:rPr>
                  </w:pPr>
                  <w:r>
                    <w:rPr>
                      <w:rFonts w:hint="default"/>
                      <w:color w:val="auto"/>
                      <w:lang w:val="en-US" w:eastAsia="zh-CN"/>
                    </w:rPr>
                    <w:t>0.8</w:t>
                  </w:r>
                </w:p>
              </w:tc>
            </w:tr>
            <w:tr w14:paraId="30C1B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Merge w:val="continue"/>
                  <w:noWrap w:val="0"/>
                  <w:vAlign w:val="center"/>
                </w:tcPr>
                <w:p w14:paraId="3F001089">
                  <w:pPr>
                    <w:pStyle w:val="30"/>
                    <w:bidi w:val="0"/>
                    <w:rPr>
                      <w:rFonts w:hint="default" w:ascii="Times New Roman" w:hAnsi="Times New Roman" w:eastAsia="宋体" w:cs="Times New Roman"/>
                      <w:color w:val="auto"/>
                      <w:highlight w:val="none"/>
                      <w:lang w:val="en-US" w:eastAsia="zh-CN"/>
                    </w:rPr>
                  </w:pPr>
                </w:p>
              </w:tc>
              <w:tc>
                <w:tcPr>
                  <w:tcW w:w="499" w:type="pct"/>
                  <w:vMerge w:val="continue"/>
                  <w:noWrap w:val="0"/>
                  <w:vAlign w:val="center"/>
                </w:tcPr>
                <w:p w14:paraId="3DB6908F">
                  <w:pPr>
                    <w:pStyle w:val="30"/>
                    <w:bidi w:val="0"/>
                    <w:rPr>
                      <w:rFonts w:hint="default" w:ascii="Times New Roman" w:hAnsi="Times New Roman" w:eastAsia="宋体" w:cs="Times New Roman"/>
                      <w:color w:val="auto"/>
                      <w:highlight w:val="none"/>
                      <w:lang w:val="en-US" w:eastAsia="zh-CN"/>
                    </w:rPr>
                  </w:pPr>
                </w:p>
              </w:tc>
              <w:tc>
                <w:tcPr>
                  <w:tcW w:w="795" w:type="pct"/>
                  <w:noWrap w:val="0"/>
                  <w:vAlign w:val="center"/>
                </w:tcPr>
                <w:p w14:paraId="758FEE2E">
                  <w:pPr>
                    <w:pStyle w:val="30"/>
                    <w:bidi w:val="0"/>
                    <w:ind w:firstLine="0" w:firstLineChars="0"/>
                    <w:rPr>
                      <w:rFonts w:hint="default" w:ascii="Times New Roman" w:hAnsi="Times New Roman" w:eastAsia="宋体" w:cs="Times New Roman"/>
                      <w:b w:val="0"/>
                      <w:color w:val="auto"/>
                      <w:kern w:val="0"/>
                      <w:sz w:val="21"/>
                      <w:szCs w:val="20"/>
                      <w:highlight w:val="none"/>
                      <w:lang w:val="en-US" w:eastAsia="zh-CN" w:bidi="ar-SA"/>
                    </w:rPr>
                  </w:pPr>
                  <w:r>
                    <w:rPr>
                      <w:rFonts w:hint="default" w:ascii="Times New Roman" w:hAnsi="Times New Roman" w:eastAsia="宋体" w:cs="Times New Roman"/>
                      <w:color w:val="auto"/>
                      <w:highlight w:val="none"/>
                    </w:rPr>
                    <w:t>出水</w:t>
                  </w:r>
                </w:p>
              </w:tc>
              <w:tc>
                <w:tcPr>
                  <w:tcW w:w="1026" w:type="pct"/>
                  <w:noWrap w:val="0"/>
                  <w:vAlign w:val="center"/>
                </w:tcPr>
                <w:p w14:paraId="71053F2F">
                  <w:pPr>
                    <w:pStyle w:val="30"/>
                    <w:bidi w:val="0"/>
                    <w:ind w:firstLine="0" w:firstLineChars="0"/>
                    <w:rPr>
                      <w:rFonts w:hint="default" w:ascii="Times New Roman" w:hAnsi="Times New Roman" w:eastAsia="宋体" w:cs="Times New Roman"/>
                      <w:b w:val="0"/>
                      <w:color w:val="auto"/>
                      <w:kern w:val="0"/>
                      <w:sz w:val="21"/>
                      <w:szCs w:val="20"/>
                      <w:highlight w:val="none"/>
                      <w:lang w:val="en-US" w:eastAsia="zh-CN" w:bidi="ar-SA"/>
                    </w:rPr>
                  </w:pPr>
                  <w:r>
                    <w:rPr>
                      <w:rFonts w:hint="default" w:ascii="Times New Roman" w:hAnsi="Times New Roman" w:eastAsia="宋体" w:cs="Times New Roman"/>
                      <w:b w:val="0"/>
                      <w:color w:val="auto"/>
                      <w:kern w:val="0"/>
                      <w:sz w:val="21"/>
                      <w:szCs w:val="20"/>
                      <w:highlight w:val="none"/>
                      <w:lang w:val="en-US" w:eastAsia="zh-CN" w:bidi="ar-SA"/>
                    </w:rPr>
                    <w:t>7</w:t>
                  </w:r>
                  <w:r>
                    <w:rPr>
                      <w:rFonts w:hint="eastAsia" w:ascii="Times New Roman" w:hAnsi="Times New Roman" w:eastAsia="宋体" w:cs="Times New Roman"/>
                      <w:b w:val="0"/>
                      <w:color w:val="auto"/>
                      <w:kern w:val="0"/>
                      <w:sz w:val="21"/>
                      <w:szCs w:val="20"/>
                      <w:highlight w:val="none"/>
                      <w:lang w:val="en-US" w:eastAsia="zh-CN" w:bidi="ar-SA"/>
                    </w:rPr>
                    <w:t>-8</w:t>
                  </w:r>
                  <w:r>
                    <w:rPr>
                      <w:rFonts w:hint="default" w:ascii="Times New Roman" w:hAnsi="Times New Roman" w:eastAsia="宋体" w:cs="Times New Roman"/>
                      <w:b w:val="0"/>
                      <w:color w:val="auto"/>
                      <w:kern w:val="0"/>
                      <w:sz w:val="21"/>
                      <w:szCs w:val="20"/>
                      <w:highlight w:val="none"/>
                      <w:lang w:val="en-US" w:eastAsia="zh-CN" w:bidi="ar-SA"/>
                    </w:rPr>
                    <w:t>（无量纲）</w:t>
                  </w:r>
                </w:p>
              </w:tc>
              <w:tc>
                <w:tcPr>
                  <w:tcW w:w="719" w:type="pct"/>
                  <w:noWrap w:val="0"/>
                  <w:vAlign w:val="center"/>
                </w:tcPr>
                <w:p w14:paraId="48BE27BF">
                  <w:pPr>
                    <w:pStyle w:val="30"/>
                    <w:bidi w:val="0"/>
                    <w:rPr>
                      <w:rFonts w:hint="default"/>
                      <w:color w:val="auto"/>
                      <w:lang w:val="en-US" w:eastAsia="zh-CN"/>
                    </w:rPr>
                  </w:pPr>
                  <w:r>
                    <w:rPr>
                      <w:rFonts w:hint="eastAsia"/>
                      <w:color w:val="auto"/>
                      <w:lang w:val="en-US" w:eastAsia="zh-CN"/>
                    </w:rPr>
                    <w:t>28</w:t>
                  </w:r>
                </w:p>
              </w:tc>
              <w:tc>
                <w:tcPr>
                  <w:tcW w:w="719" w:type="pct"/>
                  <w:noWrap w:val="0"/>
                  <w:vAlign w:val="center"/>
                </w:tcPr>
                <w:p w14:paraId="0D6502BD">
                  <w:pPr>
                    <w:pStyle w:val="30"/>
                    <w:bidi w:val="0"/>
                    <w:rPr>
                      <w:rFonts w:hint="default"/>
                      <w:color w:val="auto"/>
                      <w:lang w:val="en-US" w:eastAsia="zh-CN"/>
                    </w:rPr>
                  </w:pPr>
                  <w:r>
                    <w:rPr>
                      <w:rFonts w:hint="eastAsia"/>
                      <w:color w:val="auto"/>
                      <w:lang w:val="en-US" w:eastAsia="zh-CN"/>
                    </w:rPr>
                    <w:t>60</w:t>
                  </w:r>
                </w:p>
              </w:tc>
              <w:tc>
                <w:tcPr>
                  <w:tcW w:w="719" w:type="pct"/>
                  <w:noWrap w:val="0"/>
                  <w:vAlign w:val="center"/>
                </w:tcPr>
                <w:p w14:paraId="3BC7B660">
                  <w:pPr>
                    <w:pStyle w:val="30"/>
                    <w:bidi w:val="0"/>
                    <w:rPr>
                      <w:rFonts w:hint="default"/>
                      <w:color w:val="auto"/>
                      <w:lang w:val="en-US" w:eastAsia="zh-CN"/>
                    </w:rPr>
                  </w:pPr>
                  <w:r>
                    <w:rPr>
                      <w:rFonts w:hint="eastAsia"/>
                      <w:color w:val="auto"/>
                      <w:lang w:val="en-US" w:eastAsia="zh-CN"/>
                    </w:rPr>
                    <w:t>0.8</w:t>
                  </w:r>
                </w:p>
              </w:tc>
            </w:tr>
            <w:tr w14:paraId="0FBF6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Merge w:val="continue"/>
                  <w:noWrap w:val="0"/>
                  <w:vAlign w:val="center"/>
                </w:tcPr>
                <w:p w14:paraId="296A7A5B">
                  <w:pPr>
                    <w:pStyle w:val="30"/>
                    <w:bidi w:val="0"/>
                    <w:rPr>
                      <w:rFonts w:hint="default" w:ascii="Times New Roman" w:hAnsi="Times New Roman" w:eastAsia="宋体" w:cs="Times New Roman"/>
                      <w:color w:val="auto"/>
                      <w:highlight w:val="none"/>
                    </w:rPr>
                  </w:pPr>
                </w:p>
              </w:tc>
              <w:tc>
                <w:tcPr>
                  <w:tcW w:w="499" w:type="pct"/>
                  <w:vMerge w:val="restart"/>
                  <w:noWrap w:val="0"/>
                  <w:vAlign w:val="center"/>
                </w:tcPr>
                <w:p w14:paraId="03038714">
                  <w:pPr>
                    <w:pStyle w:val="30"/>
                    <w:bidi w:val="0"/>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val="en-US" w:eastAsia="zh-CN"/>
                    </w:rPr>
                    <w:t>过滤</w:t>
                  </w:r>
                </w:p>
              </w:tc>
              <w:tc>
                <w:tcPr>
                  <w:tcW w:w="795" w:type="pct"/>
                  <w:noWrap w:val="0"/>
                  <w:vAlign w:val="center"/>
                </w:tcPr>
                <w:p w14:paraId="741C845E">
                  <w:pPr>
                    <w:pStyle w:val="30"/>
                    <w:bidi w:val="0"/>
                    <w:ind w:firstLine="0" w:firstLineChars="0"/>
                    <w:rPr>
                      <w:rFonts w:hint="default" w:ascii="Times New Roman" w:hAnsi="Times New Roman" w:eastAsia="宋体" w:cs="Times New Roman"/>
                      <w:b w:val="0"/>
                      <w:color w:val="auto"/>
                      <w:kern w:val="0"/>
                      <w:sz w:val="21"/>
                      <w:szCs w:val="20"/>
                      <w:highlight w:val="none"/>
                      <w:lang w:val="en-US" w:eastAsia="zh-CN" w:bidi="ar-SA"/>
                    </w:rPr>
                  </w:pPr>
                  <w:r>
                    <w:rPr>
                      <w:rFonts w:hint="default" w:ascii="Times New Roman" w:hAnsi="Times New Roman" w:eastAsia="宋体" w:cs="Times New Roman"/>
                      <w:color w:val="auto"/>
                      <w:highlight w:val="none"/>
                    </w:rPr>
                    <w:t>进水</w:t>
                  </w:r>
                </w:p>
              </w:tc>
              <w:tc>
                <w:tcPr>
                  <w:tcW w:w="1026" w:type="pct"/>
                  <w:noWrap w:val="0"/>
                  <w:vAlign w:val="center"/>
                </w:tcPr>
                <w:p w14:paraId="6FA5861F">
                  <w:pPr>
                    <w:pStyle w:val="30"/>
                    <w:bidi w:val="0"/>
                    <w:ind w:firstLine="0" w:firstLineChars="0"/>
                    <w:rPr>
                      <w:rFonts w:hint="default" w:ascii="Times New Roman" w:hAnsi="Times New Roman" w:eastAsia="宋体" w:cs="Times New Roman"/>
                      <w:b w:val="0"/>
                      <w:color w:val="auto"/>
                      <w:kern w:val="0"/>
                      <w:sz w:val="21"/>
                      <w:szCs w:val="20"/>
                      <w:highlight w:val="none"/>
                      <w:lang w:val="en-US" w:eastAsia="zh-CN" w:bidi="ar-SA"/>
                    </w:rPr>
                  </w:pPr>
                  <w:r>
                    <w:rPr>
                      <w:rFonts w:hint="default" w:ascii="Times New Roman" w:hAnsi="Times New Roman" w:eastAsia="宋体" w:cs="Times New Roman"/>
                      <w:b w:val="0"/>
                      <w:color w:val="auto"/>
                      <w:kern w:val="0"/>
                      <w:sz w:val="21"/>
                      <w:szCs w:val="20"/>
                      <w:highlight w:val="none"/>
                      <w:lang w:val="en-US" w:eastAsia="zh-CN" w:bidi="ar-SA"/>
                    </w:rPr>
                    <w:t>7</w:t>
                  </w:r>
                  <w:r>
                    <w:rPr>
                      <w:rFonts w:hint="eastAsia" w:ascii="Times New Roman" w:hAnsi="Times New Roman" w:eastAsia="宋体" w:cs="Times New Roman"/>
                      <w:b w:val="0"/>
                      <w:color w:val="auto"/>
                      <w:kern w:val="0"/>
                      <w:sz w:val="21"/>
                      <w:szCs w:val="20"/>
                      <w:highlight w:val="none"/>
                      <w:lang w:val="en-US" w:eastAsia="zh-CN" w:bidi="ar-SA"/>
                    </w:rPr>
                    <w:t>-8</w:t>
                  </w:r>
                  <w:r>
                    <w:rPr>
                      <w:rFonts w:hint="default" w:ascii="Times New Roman" w:hAnsi="Times New Roman" w:eastAsia="宋体" w:cs="Times New Roman"/>
                      <w:b w:val="0"/>
                      <w:color w:val="auto"/>
                      <w:kern w:val="0"/>
                      <w:sz w:val="21"/>
                      <w:szCs w:val="20"/>
                      <w:highlight w:val="none"/>
                      <w:lang w:val="en-US" w:eastAsia="zh-CN" w:bidi="ar-SA"/>
                    </w:rPr>
                    <w:t>（无量纲）</w:t>
                  </w:r>
                </w:p>
              </w:tc>
              <w:tc>
                <w:tcPr>
                  <w:tcW w:w="719" w:type="pct"/>
                  <w:noWrap w:val="0"/>
                  <w:vAlign w:val="center"/>
                </w:tcPr>
                <w:p w14:paraId="2E9B26BC">
                  <w:pPr>
                    <w:pStyle w:val="30"/>
                    <w:bidi w:val="0"/>
                    <w:rPr>
                      <w:rFonts w:hint="default"/>
                      <w:color w:val="auto"/>
                      <w:lang w:val="en-US" w:eastAsia="zh-CN"/>
                    </w:rPr>
                  </w:pPr>
                  <w:r>
                    <w:rPr>
                      <w:rFonts w:hint="eastAsia"/>
                      <w:color w:val="auto"/>
                      <w:lang w:val="en-US" w:eastAsia="zh-CN"/>
                    </w:rPr>
                    <w:t>28</w:t>
                  </w:r>
                </w:p>
              </w:tc>
              <w:tc>
                <w:tcPr>
                  <w:tcW w:w="719" w:type="pct"/>
                  <w:noWrap w:val="0"/>
                  <w:vAlign w:val="center"/>
                </w:tcPr>
                <w:p w14:paraId="35141AA1">
                  <w:pPr>
                    <w:pStyle w:val="30"/>
                    <w:bidi w:val="0"/>
                    <w:rPr>
                      <w:rFonts w:hint="default"/>
                      <w:color w:val="auto"/>
                      <w:lang w:val="en-US" w:eastAsia="zh-CN"/>
                    </w:rPr>
                  </w:pPr>
                  <w:r>
                    <w:rPr>
                      <w:rFonts w:hint="eastAsia"/>
                      <w:color w:val="auto"/>
                      <w:lang w:val="en-US" w:eastAsia="zh-CN"/>
                    </w:rPr>
                    <w:t>60</w:t>
                  </w:r>
                </w:p>
              </w:tc>
              <w:tc>
                <w:tcPr>
                  <w:tcW w:w="719" w:type="pct"/>
                  <w:noWrap w:val="0"/>
                  <w:vAlign w:val="center"/>
                </w:tcPr>
                <w:p w14:paraId="4781CC8E">
                  <w:pPr>
                    <w:pStyle w:val="30"/>
                    <w:bidi w:val="0"/>
                    <w:rPr>
                      <w:rFonts w:hint="default"/>
                      <w:color w:val="auto"/>
                      <w:lang w:val="en-US" w:eastAsia="zh-CN"/>
                    </w:rPr>
                  </w:pPr>
                  <w:r>
                    <w:rPr>
                      <w:rFonts w:hint="eastAsia"/>
                      <w:color w:val="auto"/>
                      <w:lang w:val="en-US" w:eastAsia="zh-CN"/>
                    </w:rPr>
                    <w:t>0.8</w:t>
                  </w:r>
                </w:p>
              </w:tc>
            </w:tr>
            <w:tr w14:paraId="71ACA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Merge w:val="continue"/>
                  <w:noWrap w:val="0"/>
                  <w:vAlign w:val="center"/>
                </w:tcPr>
                <w:p w14:paraId="23794675">
                  <w:pPr>
                    <w:pStyle w:val="30"/>
                    <w:bidi w:val="0"/>
                    <w:rPr>
                      <w:rFonts w:hint="default" w:ascii="Times New Roman" w:hAnsi="Times New Roman" w:eastAsia="宋体" w:cs="Times New Roman"/>
                      <w:color w:val="auto"/>
                      <w:highlight w:val="none"/>
                    </w:rPr>
                  </w:pPr>
                </w:p>
              </w:tc>
              <w:tc>
                <w:tcPr>
                  <w:tcW w:w="499" w:type="pct"/>
                  <w:vMerge w:val="continue"/>
                  <w:noWrap w:val="0"/>
                  <w:vAlign w:val="center"/>
                </w:tcPr>
                <w:p w14:paraId="7B6C3913">
                  <w:pPr>
                    <w:pStyle w:val="30"/>
                    <w:bidi w:val="0"/>
                    <w:rPr>
                      <w:rFonts w:hint="default" w:ascii="Times New Roman" w:hAnsi="Times New Roman" w:eastAsia="宋体" w:cs="Times New Roman"/>
                      <w:color w:val="auto"/>
                      <w:highlight w:val="none"/>
                      <w:lang w:val="en-US" w:eastAsia="zh-CN"/>
                    </w:rPr>
                  </w:pPr>
                </w:p>
              </w:tc>
              <w:tc>
                <w:tcPr>
                  <w:tcW w:w="795" w:type="pct"/>
                  <w:noWrap w:val="0"/>
                  <w:vAlign w:val="center"/>
                </w:tcPr>
                <w:p w14:paraId="3A732BD5">
                  <w:pPr>
                    <w:pStyle w:val="30"/>
                    <w:bidi w:val="0"/>
                    <w:ind w:firstLine="0" w:firstLineChars="0"/>
                    <w:rPr>
                      <w:rFonts w:hint="default" w:ascii="Times New Roman" w:hAnsi="Times New Roman" w:eastAsia="宋体" w:cs="Times New Roman"/>
                      <w:b w:val="0"/>
                      <w:color w:val="auto"/>
                      <w:kern w:val="0"/>
                      <w:sz w:val="21"/>
                      <w:szCs w:val="20"/>
                      <w:highlight w:val="none"/>
                      <w:lang w:val="en-US" w:eastAsia="zh-CN" w:bidi="ar-SA"/>
                    </w:rPr>
                  </w:pPr>
                  <w:r>
                    <w:rPr>
                      <w:rFonts w:hint="default" w:ascii="Times New Roman" w:hAnsi="Times New Roman" w:eastAsia="宋体" w:cs="Times New Roman"/>
                      <w:color w:val="auto"/>
                      <w:highlight w:val="none"/>
                    </w:rPr>
                    <w:t>效率</w:t>
                  </w:r>
                </w:p>
              </w:tc>
              <w:tc>
                <w:tcPr>
                  <w:tcW w:w="1026" w:type="pct"/>
                  <w:noWrap w:val="0"/>
                  <w:vAlign w:val="center"/>
                </w:tcPr>
                <w:p w14:paraId="0257FA49">
                  <w:pPr>
                    <w:pStyle w:val="30"/>
                    <w:bidi w:val="0"/>
                    <w:ind w:firstLine="0" w:firstLineChars="0"/>
                    <w:rPr>
                      <w:rFonts w:hint="default" w:ascii="Times New Roman" w:hAnsi="Times New Roman" w:eastAsia="宋体" w:cs="Times New Roman"/>
                      <w:b w:val="0"/>
                      <w:color w:val="auto"/>
                      <w:kern w:val="0"/>
                      <w:sz w:val="21"/>
                      <w:szCs w:val="20"/>
                      <w:highlight w:val="none"/>
                      <w:lang w:val="en-US" w:eastAsia="zh-CN" w:bidi="ar-SA"/>
                    </w:rPr>
                  </w:pPr>
                  <w:r>
                    <w:rPr>
                      <w:rFonts w:hint="default" w:ascii="Times New Roman" w:hAnsi="Times New Roman" w:eastAsia="宋体" w:cs="Times New Roman"/>
                      <w:b w:val="0"/>
                      <w:color w:val="auto"/>
                      <w:kern w:val="0"/>
                      <w:sz w:val="21"/>
                      <w:szCs w:val="20"/>
                      <w:highlight w:val="none"/>
                      <w:lang w:val="en-US" w:eastAsia="zh-CN" w:bidi="ar-SA"/>
                    </w:rPr>
                    <w:t>/</w:t>
                  </w:r>
                </w:p>
              </w:tc>
              <w:tc>
                <w:tcPr>
                  <w:tcW w:w="719" w:type="pct"/>
                  <w:noWrap w:val="0"/>
                  <w:vAlign w:val="center"/>
                </w:tcPr>
                <w:p w14:paraId="6B7C01EA">
                  <w:pPr>
                    <w:pStyle w:val="30"/>
                    <w:bidi w:val="0"/>
                    <w:rPr>
                      <w:rFonts w:hint="default"/>
                      <w:color w:val="auto"/>
                      <w:lang w:val="en-US" w:eastAsia="zh-CN"/>
                    </w:rPr>
                  </w:pPr>
                  <w:r>
                    <w:rPr>
                      <w:rFonts w:hint="eastAsia"/>
                      <w:color w:val="auto"/>
                      <w:lang w:val="en-US" w:eastAsia="zh-CN"/>
                    </w:rPr>
                    <w:t>0</w:t>
                  </w:r>
                </w:p>
              </w:tc>
              <w:tc>
                <w:tcPr>
                  <w:tcW w:w="719" w:type="pct"/>
                  <w:noWrap w:val="0"/>
                  <w:vAlign w:val="center"/>
                </w:tcPr>
                <w:p w14:paraId="72487DAF">
                  <w:pPr>
                    <w:pStyle w:val="30"/>
                    <w:bidi w:val="0"/>
                    <w:rPr>
                      <w:rFonts w:hint="default"/>
                      <w:color w:val="auto"/>
                      <w:lang w:val="en-US" w:eastAsia="zh-CN"/>
                    </w:rPr>
                  </w:pPr>
                  <w:r>
                    <w:rPr>
                      <w:rFonts w:hint="default"/>
                      <w:color w:val="auto"/>
                      <w:lang w:val="en-US" w:eastAsia="zh-CN"/>
                    </w:rPr>
                    <w:t>0.</w:t>
                  </w:r>
                  <w:r>
                    <w:rPr>
                      <w:rFonts w:hint="eastAsia"/>
                      <w:color w:val="auto"/>
                      <w:lang w:val="en-US" w:eastAsia="zh-CN"/>
                    </w:rPr>
                    <w:t>8</w:t>
                  </w:r>
                </w:p>
              </w:tc>
              <w:tc>
                <w:tcPr>
                  <w:tcW w:w="719" w:type="pct"/>
                  <w:noWrap w:val="0"/>
                  <w:vAlign w:val="center"/>
                </w:tcPr>
                <w:p w14:paraId="1A6B38B9">
                  <w:pPr>
                    <w:pStyle w:val="30"/>
                    <w:bidi w:val="0"/>
                    <w:rPr>
                      <w:rFonts w:hint="default"/>
                      <w:color w:val="auto"/>
                      <w:lang w:val="en-US" w:eastAsia="zh-CN"/>
                    </w:rPr>
                  </w:pPr>
                  <w:r>
                    <w:rPr>
                      <w:rFonts w:hint="eastAsia"/>
                      <w:color w:val="auto"/>
                      <w:lang w:val="en-US" w:eastAsia="zh-CN"/>
                    </w:rPr>
                    <w:t>0</w:t>
                  </w:r>
                </w:p>
              </w:tc>
            </w:tr>
            <w:tr w14:paraId="2190A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21" w:type="pct"/>
                  <w:vMerge w:val="continue"/>
                  <w:noWrap w:val="0"/>
                  <w:vAlign w:val="center"/>
                </w:tcPr>
                <w:p w14:paraId="4C08EEAE">
                  <w:pPr>
                    <w:pStyle w:val="30"/>
                    <w:bidi w:val="0"/>
                    <w:rPr>
                      <w:rFonts w:hint="default" w:ascii="Times New Roman" w:hAnsi="Times New Roman" w:eastAsia="宋体" w:cs="Times New Roman"/>
                      <w:color w:val="auto"/>
                      <w:highlight w:val="none"/>
                    </w:rPr>
                  </w:pPr>
                </w:p>
              </w:tc>
              <w:tc>
                <w:tcPr>
                  <w:tcW w:w="499" w:type="pct"/>
                  <w:vMerge w:val="continue"/>
                  <w:noWrap w:val="0"/>
                  <w:vAlign w:val="center"/>
                </w:tcPr>
                <w:p w14:paraId="62ED768C">
                  <w:pPr>
                    <w:pStyle w:val="30"/>
                    <w:bidi w:val="0"/>
                    <w:rPr>
                      <w:rFonts w:hint="default" w:ascii="Times New Roman" w:hAnsi="Times New Roman" w:eastAsia="宋体" w:cs="Times New Roman"/>
                      <w:color w:val="auto"/>
                      <w:highlight w:val="none"/>
                      <w:lang w:val="en-US" w:eastAsia="zh-CN"/>
                    </w:rPr>
                  </w:pPr>
                </w:p>
              </w:tc>
              <w:tc>
                <w:tcPr>
                  <w:tcW w:w="795" w:type="pct"/>
                  <w:noWrap w:val="0"/>
                  <w:vAlign w:val="center"/>
                </w:tcPr>
                <w:p w14:paraId="29822BC1">
                  <w:pPr>
                    <w:pStyle w:val="30"/>
                    <w:bidi w:val="0"/>
                    <w:ind w:firstLine="0" w:firstLineChars="0"/>
                    <w:rPr>
                      <w:rFonts w:hint="default" w:ascii="Times New Roman" w:hAnsi="Times New Roman" w:eastAsia="宋体" w:cs="Times New Roman"/>
                      <w:b w:val="0"/>
                      <w:color w:val="auto"/>
                      <w:kern w:val="0"/>
                      <w:sz w:val="21"/>
                      <w:szCs w:val="20"/>
                      <w:highlight w:val="none"/>
                      <w:lang w:val="en-US" w:eastAsia="zh-CN" w:bidi="ar-SA"/>
                    </w:rPr>
                  </w:pPr>
                  <w:r>
                    <w:rPr>
                      <w:rFonts w:hint="default" w:ascii="Times New Roman" w:hAnsi="Times New Roman" w:eastAsia="宋体" w:cs="Times New Roman"/>
                      <w:color w:val="auto"/>
                      <w:highlight w:val="none"/>
                    </w:rPr>
                    <w:t>出水</w:t>
                  </w:r>
                </w:p>
              </w:tc>
              <w:tc>
                <w:tcPr>
                  <w:tcW w:w="1026" w:type="pct"/>
                  <w:noWrap w:val="0"/>
                  <w:vAlign w:val="center"/>
                </w:tcPr>
                <w:p w14:paraId="34C0D259">
                  <w:pPr>
                    <w:pStyle w:val="30"/>
                    <w:bidi w:val="0"/>
                    <w:ind w:firstLine="0" w:firstLineChars="0"/>
                    <w:rPr>
                      <w:rFonts w:hint="default" w:ascii="Times New Roman" w:hAnsi="Times New Roman" w:eastAsia="宋体" w:cs="Times New Roman"/>
                      <w:b w:val="0"/>
                      <w:color w:val="auto"/>
                      <w:kern w:val="0"/>
                      <w:sz w:val="21"/>
                      <w:szCs w:val="20"/>
                      <w:highlight w:val="none"/>
                      <w:lang w:val="en-US" w:eastAsia="zh-CN" w:bidi="ar-SA"/>
                    </w:rPr>
                  </w:pPr>
                  <w:r>
                    <w:rPr>
                      <w:rFonts w:hint="default" w:ascii="Times New Roman" w:hAnsi="Times New Roman" w:eastAsia="宋体" w:cs="Times New Roman"/>
                      <w:b w:val="0"/>
                      <w:color w:val="auto"/>
                      <w:kern w:val="0"/>
                      <w:sz w:val="21"/>
                      <w:szCs w:val="20"/>
                      <w:highlight w:val="none"/>
                      <w:lang w:val="en-US" w:eastAsia="zh-CN" w:bidi="ar-SA"/>
                    </w:rPr>
                    <w:t>7</w:t>
                  </w:r>
                  <w:r>
                    <w:rPr>
                      <w:rFonts w:hint="eastAsia" w:ascii="Times New Roman" w:hAnsi="Times New Roman" w:eastAsia="宋体" w:cs="Times New Roman"/>
                      <w:b w:val="0"/>
                      <w:color w:val="auto"/>
                      <w:kern w:val="0"/>
                      <w:sz w:val="21"/>
                      <w:szCs w:val="20"/>
                      <w:highlight w:val="none"/>
                      <w:lang w:val="en-US" w:eastAsia="zh-CN" w:bidi="ar-SA"/>
                    </w:rPr>
                    <w:t>-8</w:t>
                  </w:r>
                  <w:r>
                    <w:rPr>
                      <w:rFonts w:hint="default" w:ascii="Times New Roman" w:hAnsi="Times New Roman" w:eastAsia="宋体" w:cs="Times New Roman"/>
                      <w:b w:val="0"/>
                      <w:color w:val="auto"/>
                      <w:kern w:val="0"/>
                      <w:sz w:val="21"/>
                      <w:szCs w:val="20"/>
                      <w:highlight w:val="none"/>
                      <w:lang w:val="en-US" w:eastAsia="zh-CN" w:bidi="ar-SA"/>
                    </w:rPr>
                    <w:t>（无量纲）</w:t>
                  </w:r>
                </w:p>
              </w:tc>
              <w:tc>
                <w:tcPr>
                  <w:tcW w:w="719" w:type="pct"/>
                  <w:noWrap w:val="0"/>
                  <w:vAlign w:val="center"/>
                </w:tcPr>
                <w:p w14:paraId="45ED34F0">
                  <w:pPr>
                    <w:pStyle w:val="30"/>
                    <w:bidi w:val="0"/>
                    <w:rPr>
                      <w:rFonts w:hint="default"/>
                      <w:color w:val="auto"/>
                      <w:lang w:val="en-US" w:eastAsia="zh-CN"/>
                    </w:rPr>
                  </w:pPr>
                  <w:r>
                    <w:rPr>
                      <w:rFonts w:hint="eastAsia"/>
                      <w:color w:val="auto"/>
                      <w:lang w:val="en-US" w:eastAsia="zh-CN"/>
                    </w:rPr>
                    <w:t>28</w:t>
                  </w:r>
                </w:p>
              </w:tc>
              <w:tc>
                <w:tcPr>
                  <w:tcW w:w="719" w:type="pct"/>
                  <w:noWrap w:val="0"/>
                  <w:vAlign w:val="center"/>
                </w:tcPr>
                <w:p w14:paraId="4EF17317">
                  <w:pPr>
                    <w:pStyle w:val="30"/>
                    <w:bidi w:val="0"/>
                    <w:rPr>
                      <w:rFonts w:hint="default"/>
                      <w:color w:val="auto"/>
                      <w:lang w:val="en-US" w:eastAsia="zh-CN"/>
                    </w:rPr>
                  </w:pPr>
                  <w:r>
                    <w:rPr>
                      <w:rFonts w:hint="eastAsia"/>
                      <w:color w:val="auto"/>
                      <w:lang w:val="en-US" w:eastAsia="zh-CN"/>
                    </w:rPr>
                    <w:t>12</w:t>
                  </w:r>
                </w:p>
              </w:tc>
              <w:tc>
                <w:tcPr>
                  <w:tcW w:w="719" w:type="pct"/>
                  <w:noWrap w:val="0"/>
                  <w:vAlign w:val="center"/>
                </w:tcPr>
                <w:p w14:paraId="28FDB934">
                  <w:pPr>
                    <w:pStyle w:val="30"/>
                    <w:bidi w:val="0"/>
                    <w:rPr>
                      <w:rFonts w:hint="default"/>
                      <w:color w:val="auto"/>
                      <w:lang w:val="en-US" w:eastAsia="zh-CN"/>
                    </w:rPr>
                  </w:pPr>
                  <w:r>
                    <w:rPr>
                      <w:rFonts w:hint="eastAsia"/>
                      <w:color w:val="auto"/>
                      <w:lang w:val="en-US" w:eastAsia="zh-CN"/>
                    </w:rPr>
                    <w:t>0.8</w:t>
                  </w:r>
                </w:p>
              </w:tc>
            </w:tr>
            <w:tr w14:paraId="2B61E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5" w:type="pct"/>
                  <w:gridSpan w:val="3"/>
                  <w:noWrap w:val="0"/>
                  <w:vAlign w:val="center"/>
                </w:tcPr>
                <w:p w14:paraId="00F2E5B1">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标准</w:t>
                  </w:r>
                  <w:r>
                    <w:rPr>
                      <w:rFonts w:hint="default" w:ascii="Times New Roman" w:hAnsi="Times New Roman" w:eastAsia="宋体" w:cs="Times New Roman"/>
                      <w:color w:val="auto"/>
                      <w:szCs w:val="24"/>
                    </w:rPr>
                    <w:t>（GB/T 19923-20</w:t>
                  </w:r>
                  <w:r>
                    <w:rPr>
                      <w:rFonts w:hint="eastAsia" w:ascii="Times New Roman" w:hAnsi="Times New Roman" w:eastAsia="宋体" w:cs="Times New Roman"/>
                      <w:color w:val="auto"/>
                      <w:szCs w:val="24"/>
                      <w:lang w:val="en-US" w:eastAsia="zh-CN"/>
                    </w:rPr>
                    <w:t>24</w:t>
                  </w:r>
                  <w:r>
                    <w:rPr>
                      <w:rFonts w:hint="default" w:ascii="Times New Roman" w:hAnsi="Times New Roman" w:eastAsia="宋体" w:cs="Times New Roman"/>
                      <w:color w:val="auto"/>
                      <w:szCs w:val="24"/>
                    </w:rPr>
                    <w:t>）</w:t>
                  </w:r>
                </w:p>
              </w:tc>
              <w:tc>
                <w:tcPr>
                  <w:tcW w:w="1026" w:type="pct"/>
                  <w:noWrap w:val="0"/>
                  <w:vAlign w:val="center"/>
                </w:tcPr>
                <w:p w14:paraId="4CA4EB6F">
                  <w:pPr>
                    <w:pStyle w:val="30"/>
                    <w:bidi w:val="0"/>
                    <w:ind w:firstLine="0" w:firstLineChars="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6.0-9.0</w:t>
                  </w:r>
                </w:p>
              </w:tc>
              <w:tc>
                <w:tcPr>
                  <w:tcW w:w="719" w:type="pct"/>
                  <w:noWrap w:val="0"/>
                  <w:vAlign w:val="center"/>
                </w:tcPr>
                <w:p w14:paraId="6DF220BD">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50</w:t>
                  </w:r>
                </w:p>
              </w:tc>
              <w:tc>
                <w:tcPr>
                  <w:tcW w:w="719" w:type="pct"/>
                  <w:noWrap w:val="0"/>
                  <w:vAlign w:val="center"/>
                </w:tcPr>
                <w:p w14:paraId="50BC8DF8">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cs="Times New Roman"/>
                      <w:color w:val="auto"/>
                      <w:highlight w:val="none"/>
                      <w:lang w:val="en-US" w:eastAsia="zh-CN"/>
                    </w:rPr>
                    <w:t>30</w:t>
                  </w:r>
                </w:p>
              </w:tc>
              <w:tc>
                <w:tcPr>
                  <w:tcW w:w="719" w:type="pct"/>
                  <w:noWrap w:val="0"/>
                  <w:vAlign w:val="center"/>
                </w:tcPr>
                <w:p w14:paraId="49D86AB7">
                  <w:pPr>
                    <w:pStyle w:val="30"/>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1.0</w:t>
                  </w:r>
                </w:p>
              </w:tc>
            </w:tr>
            <w:tr w14:paraId="24AB3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15" w:type="pct"/>
                  <w:gridSpan w:val="3"/>
                  <w:noWrap w:val="0"/>
                  <w:vAlign w:val="center"/>
                </w:tcPr>
                <w:p w14:paraId="221A12AD">
                  <w:pPr>
                    <w:pStyle w:val="30"/>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lang w:val="en-US" w:eastAsia="zh-CN"/>
                    </w:rPr>
                    <w:t>是否达标</w:t>
                  </w:r>
                </w:p>
              </w:tc>
              <w:tc>
                <w:tcPr>
                  <w:tcW w:w="1026" w:type="pct"/>
                  <w:noWrap w:val="0"/>
                  <w:vAlign w:val="center"/>
                </w:tcPr>
                <w:p w14:paraId="7E17FC12">
                  <w:pPr>
                    <w:pStyle w:val="30"/>
                    <w:bidi w:val="0"/>
                    <w:ind w:firstLine="0" w:firstLineChars="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达标</w:t>
                  </w:r>
                </w:p>
              </w:tc>
              <w:tc>
                <w:tcPr>
                  <w:tcW w:w="719" w:type="pct"/>
                  <w:noWrap w:val="0"/>
                  <w:vAlign w:val="center"/>
                </w:tcPr>
                <w:p w14:paraId="0EFA58D8">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达标</w:t>
                  </w:r>
                </w:p>
              </w:tc>
              <w:tc>
                <w:tcPr>
                  <w:tcW w:w="719" w:type="pct"/>
                  <w:noWrap w:val="0"/>
                  <w:vAlign w:val="center"/>
                </w:tcPr>
                <w:p w14:paraId="36E9A4EE">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达标</w:t>
                  </w:r>
                </w:p>
              </w:tc>
              <w:tc>
                <w:tcPr>
                  <w:tcW w:w="719" w:type="pct"/>
                  <w:noWrap w:val="0"/>
                  <w:vAlign w:val="center"/>
                </w:tcPr>
                <w:p w14:paraId="676DD0C8">
                  <w:pPr>
                    <w:pStyle w:val="30"/>
                    <w:bidi w:val="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达标</w:t>
                  </w:r>
                </w:p>
              </w:tc>
            </w:tr>
          </w:tbl>
          <w:p w14:paraId="7F6CC795">
            <w:pPr>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cs="Times New Roman"/>
                <w:b w:val="0"/>
                <w:bCs/>
                <w:color w:val="auto"/>
                <w:sz w:val="21"/>
                <w:szCs w:val="21"/>
                <w:highlight w:val="none"/>
                <w:lang w:val="en-US" w:eastAsia="zh-CN"/>
              </w:rPr>
            </w:pPr>
            <w:r>
              <w:rPr>
                <w:rFonts w:hint="eastAsia" w:cs="Times New Roman"/>
                <w:b w:val="0"/>
                <w:bCs/>
                <w:color w:val="auto"/>
                <w:sz w:val="21"/>
                <w:szCs w:val="21"/>
                <w:highlight w:val="none"/>
                <w:lang w:val="en-US" w:eastAsia="zh-CN"/>
              </w:rPr>
              <w:t>注：项目污水站药剂柠檬酸用量很少，对污水中COD浓度的影响极小，本次不做定量分析。</w:t>
            </w:r>
          </w:p>
          <w:p w14:paraId="110D5D13">
            <w:pPr>
              <w:keepNext w:val="0"/>
              <w:keepLines w:val="0"/>
              <w:pageBreakBefore w:val="0"/>
              <w:widowControl w:val="0"/>
              <w:kinsoku/>
              <w:wordWrap/>
              <w:overflowPunct/>
              <w:topLinePunct w:val="0"/>
              <w:autoSpaceDE/>
              <w:autoSpaceDN/>
              <w:bidi w:val="0"/>
              <w:adjustRightInd w:val="0"/>
              <w:snapToGrid w:val="0"/>
              <w:spacing w:line="500" w:lineRule="exact"/>
              <w:textAlignment w:val="auto"/>
              <w:rPr>
                <w:rFonts w:hint="eastAsia" w:ascii="Times New Roman" w:hAnsi="Times New Roman" w:eastAsia="宋体" w:cs="Times New Roman"/>
                <w:b/>
                <w:bCs w:val="0"/>
                <w:color w:val="auto"/>
                <w:sz w:val="24"/>
                <w:highlight w:val="none"/>
                <w:lang w:val="en-US" w:eastAsia="zh-CN"/>
              </w:rPr>
            </w:pPr>
            <w:r>
              <w:rPr>
                <w:rFonts w:hint="eastAsia" w:cs="Times New Roman"/>
                <w:b/>
                <w:bCs w:val="0"/>
                <w:color w:val="auto"/>
                <w:sz w:val="24"/>
                <w:highlight w:val="none"/>
                <w:lang w:val="en-US" w:eastAsia="zh-CN"/>
              </w:rPr>
              <w:t>4.2.4.2</w:t>
            </w:r>
            <w:r>
              <w:rPr>
                <w:rFonts w:hint="eastAsia" w:ascii="Times New Roman" w:hAnsi="Times New Roman" w:eastAsia="宋体" w:cs="Times New Roman"/>
                <w:b/>
                <w:bCs w:val="0"/>
                <w:color w:val="auto"/>
                <w:sz w:val="24"/>
                <w:highlight w:val="none"/>
                <w:lang w:val="en-US" w:eastAsia="zh-CN"/>
              </w:rPr>
              <w:t>回用可行性分析</w:t>
            </w:r>
          </w:p>
          <w:p w14:paraId="47CFCFF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回用水量：根据水平衡图，本项目回用水</w:t>
            </w:r>
            <w:r>
              <w:rPr>
                <w:rFonts w:hint="eastAsia" w:cs="Times New Roman"/>
                <w:bCs/>
                <w:color w:val="auto"/>
                <w:sz w:val="24"/>
                <w:highlight w:val="none"/>
                <w:lang w:val="en-US" w:eastAsia="zh-CN"/>
              </w:rPr>
              <w:t>243.2</w:t>
            </w:r>
            <w:r>
              <w:rPr>
                <w:rFonts w:hint="eastAsia" w:ascii="Times New Roman" w:hAnsi="Times New Roman" w:eastAsia="宋体" w:cs="Times New Roman"/>
                <w:bCs/>
                <w:color w:val="auto"/>
                <w:sz w:val="24"/>
                <w:highlight w:val="none"/>
                <w:lang w:val="en-US" w:eastAsia="zh-CN"/>
              </w:rPr>
              <w:t>t</w:t>
            </w:r>
            <w:r>
              <w:rPr>
                <w:rFonts w:hint="default" w:ascii="Times New Roman" w:hAnsi="Times New Roman" w:eastAsia="宋体" w:cs="Times New Roman"/>
                <w:bCs/>
                <w:color w:val="auto"/>
                <w:sz w:val="24"/>
                <w:highlight w:val="none"/>
                <w:lang w:val="en-US" w:eastAsia="zh-CN"/>
              </w:rPr>
              <w:t>/a</w:t>
            </w:r>
            <w:r>
              <w:rPr>
                <w:rFonts w:hint="eastAsia" w:ascii="Times New Roman" w:hAnsi="Times New Roman" w:eastAsia="宋体" w:cs="Times New Roman"/>
                <w:bCs/>
                <w:color w:val="auto"/>
                <w:sz w:val="24"/>
                <w:highlight w:val="none"/>
                <w:lang w:val="en-US" w:eastAsia="zh-CN"/>
              </w:rPr>
              <w:t>，可用于</w:t>
            </w:r>
            <w:r>
              <w:rPr>
                <w:rFonts w:hint="eastAsia" w:cs="Times New Roman"/>
                <w:bCs/>
                <w:color w:val="FF0000"/>
                <w:sz w:val="24"/>
                <w:highlight w:val="none"/>
                <w:lang w:val="en-US" w:eastAsia="zh-CN"/>
              </w:rPr>
              <w:t>清洗水补水、</w:t>
            </w:r>
            <w:r>
              <w:rPr>
                <w:rFonts w:hint="eastAsia" w:ascii="Times New Roman" w:hAnsi="Times New Roman" w:eastAsia="宋体" w:cs="Times New Roman"/>
                <w:bCs/>
                <w:color w:val="FF0000"/>
                <w:sz w:val="24"/>
                <w:highlight w:val="none"/>
                <w:lang w:val="en-US" w:eastAsia="zh-CN"/>
              </w:rPr>
              <w:t>漂洗水补水</w:t>
            </w:r>
            <w:r>
              <w:rPr>
                <w:rFonts w:hint="eastAsia" w:cs="Times New Roman"/>
                <w:bCs/>
                <w:color w:val="FF0000"/>
                <w:sz w:val="24"/>
                <w:highlight w:val="none"/>
                <w:lang w:val="en-US" w:eastAsia="zh-CN"/>
              </w:rPr>
              <w:t>、MBR膜反冲洗</w:t>
            </w:r>
            <w:r>
              <w:rPr>
                <w:rFonts w:hint="eastAsia" w:ascii="Times New Roman" w:hAnsi="Times New Roman" w:eastAsia="宋体" w:cs="Times New Roman"/>
                <w:bCs/>
                <w:color w:val="auto"/>
                <w:sz w:val="24"/>
                <w:highlight w:val="none"/>
                <w:lang w:val="en-US" w:eastAsia="zh-CN"/>
              </w:rPr>
              <w:t>。</w:t>
            </w:r>
          </w:p>
          <w:p w14:paraId="46BB63B8">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水质方面：本项目</w:t>
            </w:r>
            <w:r>
              <w:rPr>
                <w:rFonts w:hint="eastAsia" w:cs="Times New Roman"/>
                <w:bCs/>
                <w:color w:val="auto"/>
                <w:sz w:val="24"/>
                <w:highlight w:val="none"/>
                <w:lang w:val="en-US" w:eastAsia="zh-CN"/>
              </w:rPr>
              <w:t>工艺</w:t>
            </w:r>
            <w:r>
              <w:rPr>
                <w:rFonts w:hint="eastAsia" w:ascii="Times New Roman" w:hAnsi="Times New Roman" w:eastAsia="宋体" w:cs="Times New Roman"/>
                <w:bCs/>
                <w:color w:val="auto"/>
                <w:sz w:val="24"/>
                <w:highlight w:val="none"/>
                <w:lang w:val="en-US" w:eastAsia="zh-CN"/>
              </w:rPr>
              <w:t>废水经污水站处理后水质能达到《城市污水再生利用 工业用水水质》（</w:t>
            </w:r>
            <w:r>
              <w:rPr>
                <w:rFonts w:hint="eastAsia" w:cs="Times New Roman"/>
                <w:bCs/>
                <w:color w:val="auto"/>
                <w:sz w:val="24"/>
                <w:highlight w:val="none"/>
                <w:lang w:val="en-US" w:eastAsia="zh-CN"/>
              </w:rPr>
              <w:t>GB/T 19923-2024</w:t>
            </w:r>
            <w:r>
              <w:rPr>
                <w:rFonts w:hint="eastAsia" w:ascii="Times New Roman" w:hAnsi="Times New Roman" w:eastAsia="宋体" w:cs="Times New Roman"/>
                <w:bCs/>
                <w:color w:val="auto"/>
                <w:sz w:val="24"/>
                <w:highlight w:val="none"/>
                <w:lang w:val="en-US" w:eastAsia="zh-CN"/>
              </w:rPr>
              <w:t>）洗涤用水要求。由于回用水回用至的工段为</w:t>
            </w:r>
            <w:r>
              <w:rPr>
                <w:rFonts w:hint="eastAsia" w:cs="Times New Roman"/>
                <w:bCs/>
                <w:color w:val="FF0000"/>
                <w:sz w:val="24"/>
                <w:highlight w:val="none"/>
                <w:lang w:val="en-US" w:eastAsia="zh-CN"/>
              </w:rPr>
              <w:t>清洗、</w:t>
            </w:r>
            <w:r>
              <w:rPr>
                <w:rFonts w:hint="eastAsia" w:ascii="Times New Roman" w:hAnsi="Times New Roman" w:eastAsia="宋体" w:cs="Times New Roman"/>
                <w:bCs/>
                <w:color w:val="auto"/>
                <w:sz w:val="24"/>
                <w:highlight w:val="none"/>
                <w:lang w:val="en-US" w:eastAsia="zh-CN"/>
              </w:rPr>
              <w:t>漂洗</w:t>
            </w:r>
            <w:r>
              <w:rPr>
                <w:rFonts w:hint="eastAsia" w:cs="Times New Roman"/>
                <w:bCs/>
                <w:color w:val="auto"/>
                <w:sz w:val="24"/>
                <w:highlight w:val="none"/>
                <w:lang w:val="en-US" w:eastAsia="zh-CN"/>
              </w:rPr>
              <w:t>和MBR膜反冲洗</w:t>
            </w:r>
            <w:r>
              <w:rPr>
                <w:rFonts w:hint="eastAsia" w:ascii="Times New Roman" w:hAnsi="Times New Roman" w:eastAsia="宋体" w:cs="Times New Roman"/>
                <w:bCs/>
                <w:color w:val="auto"/>
                <w:sz w:val="24"/>
                <w:highlight w:val="none"/>
                <w:lang w:val="en-US" w:eastAsia="zh-CN"/>
              </w:rPr>
              <w:t>，对水质要求不高，根据工艺设计要求，</w:t>
            </w:r>
            <w:r>
              <w:rPr>
                <w:rFonts w:hint="eastAsia" w:cs="Times New Roman"/>
                <w:bCs/>
                <w:color w:val="auto"/>
                <w:sz w:val="24"/>
                <w:highlight w:val="none"/>
                <w:lang w:val="en-US" w:eastAsia="zh-CN"/>
              </w:rPr>
              <w:t>SS</w:t>
            </w:r>
            <w:r>
              <w:rPr>
                <w:rFonts w:hint="default" w:ascii="Times New Roman" w:hAnsi="Times New Roman" w:eastAsia="宋体" w:cs="Times New Roman"/>
                <w:bCs/>
                <w:color w:val="auto"/>
                <w:sz w:val="24"/>
                <w:highlight w:val="none"/>
                <w:lang w:val="en-US" w:eastAsia="zh-CN"/>
              </w:rPr>
              <w:t>≤</w:t>
            </w:r>
            <w:r>
              <w:rPr>
                <w:rFonts w:hint="eastAsia" w:cs="Times New Roman"/>
                <w:bCs/>
                <w:color w:val="auto"/>
                <w:sz w:val="24"/>
                <w:highlight w:val="none"/>
                <w:lang w:val="en-US" w:eastAsia="zh-CN"/>
              </w:rPr>
              <w:t>3</w:t>
            </w:r>
            <w:r>
              <w:rPr>
                <w:rFonts w:hint="default" w:ascii="Times New Roman" w:hAnsi="Times New Roman" w:eastAsia="宋体" w:cs="Times New Roman"/>
                <w:bCs/>
                <w:color w:val="auto"/>
                <w:sz w:val="24"/>
                <w:highlight w:val="none"/>
                <w:lang w:val="en-US" w:eastAsia="zh-CN"/>
              </w:rPr>
              <w:t>0mg/L</w:t>
            </w:r>
            <w:r>
              <w:rPr>
                <w:rFonts w:hint="eastAsia" w:ascii="Times New Roman" w:hAnsi="Times New Roman" w:eastAsia="宋体" w:cs="Times New Roman"/>
                <w:bCs/>
                <w:color w:val="auto"/>
                <w:sz w:val="24"/>
                <w:highlight w:val="none"/>
                <w:lang w:val="en-US" w:eastAsia="zh-CN"/>
              </w:rPr>
              <w:t>即</w:t>
            </w:r>
            <w:r>
              <w:rPr>
                <w:rFonts w:hint="eastAsia" w:cs="Times New Roman"/>
                <w:bCs/>
                <w:color w:val="auto"/>
                <w:sz w:val="24"/>
                <w:highlight w:val="none"/>
                <w:lang w:val="en-US" w:eastAsia="zh-CN"/>
              </w:rPr>
              <w:t>符合工艺要求</w:t>
            </w:r>
            <w:r>
              <w:rPr>
                <w:rFonts w:hint="eastAsia" w:ascii="Times New Roman" w:hAnsi="Times New Roman" w:eastAsia="宋体" w:cs="Times New Roman"/>
                <w:bCs/>
                <w:color w:val="auto"/>
                <w:sz w:val="24"/>
                <w:highlight w:val="none"/>
                <w:lang w:val="en-US" w:eastAsia="zh-CN"/>
              </w:rPr>
              <w:t>。</w:t>
            </w:r>
          </w:p>
          <w:p w14:paraId="1B1B42F5">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因此本项目回用在水量和水质方面均可行。</w:t>
            </w:r>
          </w:p>
          <w:p w14:paraId="17430480">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eastAsia" w:ascii="Times New Roman" w:hAnsi="Times New Roman" w:eastAsia="宋体" w:cs="Times New Roman"/>
                <w:bCs/>
                <w:color w:val="auto"/>
                <w:sz w:val="24"/>
                <w:highlight w:val="none"/>
                <w:lang w:val="en-US" w:eastAsia="zh-CN"/>
              </w:rPr>
            </w:pPr>
            <w:r>
              <w:rPr>
                <w:rFonts w:hint="eastAsia" w:ascii="Times New Roman" w:hAnsi="Times New Roman" w:eastAsia="宋体" w:cs="Times New Roman"/>
                <w:bCs/>
                <w:color w:val="auto"/>
                <w:sz w:val="24"/>
                <w:highlight w:val="none"/>
                <w:lang w:val="en-US" w:eastAsia="zh-CN"/>
              </w:rPr>
              <w:t xml:space="preserve"> </w:t>
            </w:r>
            <w:r>
              <w:rPr>
                <w:rFonts w:hint="eastAsia" w:cs="Times New Roman"/>
                <w:b/>
                <w:bCs w:val="0"/>
                <w:color w:val="auto"/>
                <w:sz w:val="24"/>
                <w:highlight w:val="none"/>
                <w:lang w:val="en-US" w:eastAsia="zh-CN"/>
              </w:rPr>
              <w:t>4.2.4.3</w:t>
            </w:r>
            <w:r>
              <w:rPr>
                <w:rFonts w:hint="eastAsia" w:ascii="Times New Roman" w:hAnsi="Times New Roman" w:eastAsia="宋体" w:cs="Times New Roman"/>
                <w:b/>
                <w:bCs w:val="0"/>
                <w:color w:val="auto"/>
                <w:sz w:val="24"/>
                <w:highlight w:val="none"/>
                <w:lang w:val="en-US" w:eastAsia="zh-CN"/>
              </w:rPr>
              <w:t xml:space="preserve">处理能力可行性分析 </w:t>
            </w:r>
          </w:p>
          <w:p w14:paraId="3DBC7236">
            <w:pPr>
              <w:keepNext w:val="0"/>
              <w:keepLines w:val="0"/>
              <w:pageBreakBefore w:val="0"/>
              <w:widowControl w:val="0"/>
              <w:kinsoku/>
              <w:wordWrap/>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eastAsia="宋体" w:cs="Times New Roman"/>
                <w:b w:val="0"/>
                <w:bCs/>
                <w:color w:val="auto"/>
                <w:spacing w:val="-10"/>
                <w:szCs w:val="21"/>
                <w:lang w:val="en-US" w:eastAsia="zh-CN"/>
              </w:rPr>
            </w:pPr>
            <w:r>
              <w:rPr>
                <w:rFonts w:hint="eastAsia" w:ascii="Times New Roman" w:hAnsi="Times New Roman" w:eastAsia="宋体" w:cs="Times New Roman"/>
                <w:bCs/>
                <w:color w:val="auto"/>
                <w:sz w:val="24"/>
                <w:highlight w:val="none"/>
                <w:lang w:val="en-US" w:eastAsia="zh-CN"/>
              </w:rPr>
              <w:t>项目拟设的废水处理站处理能力为</w:t>
            </w:r>
            <w:r>
              <w:rPr>
                <w:rFonts w:hint="eastAsia" w:cs="Times New Roman"/>
                <w:bCs/>
                <w:color w:val="auto"/>
                <w:sz w:val="24"/>
                <w:highlight w:val="none"/>
                <w:lang w:val="en-US" w:eastAsia="zh-CN"/>
              </w:rPr>
              <w:t>1</w:t>
            </w:r>
            <w:r>
              <w:rPr>
                <w:rFonts w:hint="eastAsia" w:ascii="Times New Roman" w:hAnsi="Times New Roman" w:eastAsia="宋体" w:cs="Times New Roman"/>
                <w:bCs/>
                <w:color w:val="auto"/>
                <w:sz w:val="24"/>
                <w:highlight w:val="none"/>
                <w:lang w:val="en-US" w:eastAsia="zh-CN"/>
              </w:rPr>
              <w:t>t</w:t>
            </w:r>
            <w:r>
              <w:rPr>
                <w:rFonts w:hint="default" w:ascii="Times New Roman" w:hAnsi="Times New Roman" w:eastAsia="宋体" w:cs="Times New Roman"/>
                <w:bCs/>
                <w:color w:val="auto"/>
                <w:sz w:val="24"/>
                <w:highlight w:val="none"/>
                <w:lang w:val="en-US" w:eastAsia="zh-CN"/>
              </w:rPr>
              <w:t>/d</w:t>
            </w:r>
            <w:r>
              <w:rPr>
                <w:rFonts w:hint="eastAsia" w:ascii="Times New Roman" w:hAnsi="Times New Roman" w:eastAsia="宋体" w:cs="Times New Roman"/>
                <w:bCs/>
                <w:color w:val="auto"/>
                <w:sz w:val="24"/>
                <w:highlight w:val="none"/>
                <w:lang w:val="en-US" w:eastAsia="zh-CN"/>
              </w:rPr>
              <w:t>，本项目</w:t>
            </w:r>
            <w:r>
              <w:rPr>
                <w:rFonts w:hint="eastAsia" w:cs="Times New Roman"/>
                <w:bCs/>
                <w:color w:val="auto"/>
                <w:sz w:val="24"/>
                <w:highlight w:val="none"/>
                <w:lang w:val="en-US" w:eastAsia="zh-CN"/>
              </w:rPr>
              <w:t>综合</w:t>
            </w:r>
            <w:r>
              <w:rPr>
                <w:rFonts w:hint="eastAsia" w:ascii="Times New Roman" w:hAnsi="Times New Roman" w:eastAsia="宋体" w:cs="Times New Roman"/>
                <w:bCs/>
                <w:color w:val="auto"/>
                <w:sz w:val="24"/>
                <w:highlight w:val="none"/>
                <w:lang w:val="en-US" w:eastAsia="zh-CN"/>
              </w:rPr>
              <w:t>废水产生量为</w:t>
            </w:r>
            <w:r>
              <w:rPr>
                <w:rFonts w:hint="eastAsia" w:cs="Times New Roman"/>
                <w:bCs/>
                <w:color w:val="auto"/>
                <w:sz w:val="24"/>
                <w:highlight w:val="none"/>
                <w:lang w:val="en-US" w:eastAsia="zh-CN"/>
              </w:rPr>
              <w:t>244.2</w:t>
            </w:r>
            <w:r>
              <w:rPr>
                <w:rFonts w:hint="eastAsia" w:ascii="Times New Roman" w:hAnsi="Times New Roman" w:eastAsia="宋体" w:cs="Times New Roman"/>
                <w:bCs/>
                <w:color w:val="auto"/>
                <w:sz w:val="24"/>
                <w:highlight w:val="none"/>
                <w:lang w:val="en-US" w:eastAsia="zh-CN"/>
              </w:rPr>
              <w:t>t</w:t>
            </w:r>
            <w:r>
              <w:rPr>
                <w:rFonts w:hint="default" w:ascii="Times New Roman" w:hAnsi="Times New Roman" w:eastAsia="宋体" w:cs="Times New Roman"/>
                <w:bCs/>
                <w:color w:val="auto"/>
                <w:sz w:val="24"/>
                <w:highlight w:val="none"/>
                <w:lang w:val="en-US" w:eastAsia="zh-CN"/>
              </w:rPr>
              <w:t>/a</w:t>
            </w:r>
            <w:r>
              <w:rPr>
                <w:rFonts w:hint="eastAsia" w:ascii="Times New Roman" w:hAnsi="Times New Roman" w:eastAsia="宋体" w:cs="Times New Roman"/>
                <w:bCs/>
                <w:color w:val="auto"/>
                <w:sz w:val="24"/>
                <w:highlight w:val="none"/>
                <w:lang w:val="en-US" w:eastAsia="zh-CN"/>
              </w:rPr>
              <w:t>（</w:t>
            </w:r>
            <w:r>
              <w:rPr>
                <w:rFonts w:hint="eastAsia" w:cs="Times New Roman"/>
                <w:bCs/>
                <w:color w:val="auto"/>
                <w:sz w:val="24"/>
                <w:highlight w:val="none"/>
                <w:lang w:val="en-US" w:eastAsia="zh-CN"/>
              </w:rPr>
              <w:t>0.81</w:t>
            </w:r>
            <w:r>
              <w:rPr>
                <w:rFonts w:hint="eastAsia" w:ascii="Times New Roman" w:hAnsi="Times New Roman" w:eastAsia="宋体" w:cs="Times New Roman"/>
                <w:bCs/>
                <w:color w:val="auto"/>
                <w:sz w:val="24"/>
                <w:highlight w:val="none"/>
                <w:lang w:val="en-US" w:eastAsia="zh-CN"/>
              </w:rPr>
              <w:t>t</w:t>
            </w:r>
            <w:r>
              <w:rPr>
                <w:rFonts w:hint="default" w:ascii="Times New Roman" w:hAnsi="Times New Roman" w:eastAsia="宋体" w:cs="Times New Roman"/>
                <w:bCs/>
                <w:color w:val="auto"/>
                <w:sz w:val="24"/>
                <w:highlight w:val="none"/>
                <w:lang w:val="en-US" w:eastAsia="zh-CN"/>
              </w:rPr>
              <w:t>/d</w:t>
            </w:r>
            <w:r>
              <w:rPr>
                <w:rFonts w:hint="eastAsia" w:ascii="Times New Roman" w:hAnsi="Times New Roman" w:eastAsia="宋体" w:cs="Times New Roman"/>
                <w:bCs/>
                <w:color w:val="auto"/>
                <w:sz w:val="24"/>
                <w:highlight w:val="none"/>
                <w:lang w:val="en-US" w:eastAsia="zh-CN"/>
              </w:rPr>
              <w:t>）。</w:t>
            </w:r>
            <w:r>
              <w:rPr>
                <w:rFonts w:hint="default" w:ascii="Times New Roman" w:hAnsi="Times New Roman" w:eastAsia="宋体" w:cs="Times New Roman"/>
                <w:bCs/>
                <w:color w:val="auto"/>
                <w:sz w:val="24"/>
                <w:highlight w:val="none"/>
                <w:lang w:val="en-US" w:eastAsia="zh-CN"/>
              </w:rPr>
              <w:t>因此，项目污水站有能力处理本项目产生的生产废水</w:t>
            </w:r>
            <w:r>
              <w:rPr>
                <w:rFonts w:hint="eastAsia" w:ascii="Times New Roman" w:hAnsi="Times New Roman" w:eastAsia="宋体" w:cs="Times New Roman"/>
                <w:bCs/>
                <w:color w:val="auto"/>
                <w:sz w:val="24"/>
                <w:highlight w:val="none"/>
                <w:lang w:val="en-US" w:eastAsia="zh-CN"/>
              </w:rPr>
              <w:t>。</w:t>
            </w:r>
          </w:p>
          <w:p w14:paraId="180CB1C6">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Chars="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color w:val="auto"/>
                <w:lang w:val="en-US" w:eastAsia="zh-CN"/>
              </w:rPr>
              <w:t>4.</w:t>
            </w:r>
            <w:r>
              <w:rPr>
                <w:rFonts w:hint="default" w:ascii="Times New Roman" w:hAnsi="Times New Roman" w:eastAsia="宋体" w:cs="Times New Roman"/>
                <w:b/>
                <w:bCs w:val="0"/>
                <w:color w:val="auto"/>
                <w:lang w:val="en-US" w:eastAsia="zh-CN"/>
              </w:rPr>
              <w:t>2.</w:t>
            </w:r>
            <w:r>
              <w:rPr>
                <w:rFonts w:hint="eastAsia" w:ascii="Times New Roman" w:hAnsi="Times New Roman" w:cs="Times New Roman"/>
                <w:b/>
                <w:bCs w:val="0"/>
                <w:color w:val="auto"/>
                <w:lang w:val="en-US" w:eastAsia="zh-CN"/>
              </w:rPr>
              <w:t xml:space="preserve">5 </w:t>
            </w:r>
            <w:r>
              <w:rPr>
                <w:rFonts w:hint="default" w:ascii="Times New Roman" w:hAnsi="Times New Roman" w:eastAsia="宋体" w:cs="Times New Roman"/>
                <w:b/>
                <w:bCs w:val="0"/>
                <w:color w:val="auto"/>
                <w:sz w:val="24"/>
                <w:szCs w:val="24"/>
                <w:lang w:val="en-US" w:eastAsia="zh-CN"/>
              </w:rPr>
              <w:t>监测计划</w:t>
            </w:r>
            <w:r>
              <w:rPr>
                <w:rFonts w:hint="eastAsia" w:ascii="Times New Roman" w:hAnsi="Times New Roman" w:cs="Times New Roman"/>
                <w:b/>
                <w:bCs w:val="0"/>
                <w:color w:val="auto"/>
                <w:sz w:val="24"/>
                <w:szCs w:val="24"/>
                <w:lang w:val="en-US" w:eastAsia="zh-CN"/>
              </w:rPr>
              <w:t>及污水站管理要求</w:t>
            </w:r>
          </w:p>
          <w:p w14:paraId="0CFE5037">
            <w:pPr>
              <w:pStyle w:val="4"/>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cs="Times New Roman"/>
                <w:bCs/>
                <w:color w:val="FF0000"/>
                <w:kern w:val="2"/>
                <w:sz w:val="24"/>
                <w:szCs w:val="24"/>
                <w:lang w:val="en-US" w:eastAsia="zh-CN" w:bidi="ar-SA"/>
              </w:rPr>
            </w:pPr>
            <w:r>
              <w:rPr>
                <w:rFonts w:hint="eastAsia" w:ascii="Times New Roman" w:hAnsi="Times New Roman" w:cs="Times New Roman"/>
                <w:bCs/>
                <w:color w:val="FF0000"/>
                <w:kern w:val="2"/>
                <w:sz w:val="24"/>
                <w:szCs w:val="24"/>
                <w:lang w:val="en-US" w:eastAsia="zh-CN" w:bidi="ar-SA"/>
              </w:rPr>
              <w:t>（1）</w:t>
            </w:r>
            <w:r>
              <w:rPr>
                <w:rFonts w:hint="eastAsia" w:ascii="Times New Roman" w:hAnsi="Times New Roman" w:eastAsia="宋体" w:cs="Times New Roman"/>
                <w:bCs/>
                <w:color w:val="FF0000"/>
                <w:kern w:val="2"/>
                <w:sz w:val="24"/>
                <w:szCs w:val="24"/>
                <w:lang w:val="en-US" w:eastAsia="zh-CN" w:bidi="ar-SA"/>
              </w:rPr>
              <w:t>建设单位需</w:t>
            </w:r>
            <w:r>
              <w:rPr>
                <w:rFonts w:hint="eastAsia" w:ascii="Times New Roman" w:hAnsi="Times New Roman" w:cs="Times New Roman"/>
                <w:bCs/>
                <w:color w:val="FF0000"/>
                <w:kern w:val="2"/>
                <w:sz w:val="24"/>
                <w:szCs w:val="24"/>
                <w:lang w:val="en-US" w:eastAsia="zh-CN" w:bidi="ar-SA"/>
              </w:rPr>
              <w:t>在污水站安装视频监控并与金坛生态环境局联网，污水站回用水管安装流量计。</w:t>
            </w:r>
          </w:p>
          <w:p w14:paraId="2360B82A">
            <w:pPr>
              <w:pStyle w:val="4"/>
              <w:keepNext w:val="0"/>
              <w:keepLines w:val="0"/>
              <w:pageBreakBefore w:val="0"/>
              <w:widowControl w:val="0"/>
              <w:kinsoku/>
              <w:wordWrap/>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bCs/>
                <w:color w:val="FF0000"/>
                <w:kern w:val="2"/>
                <w:sz w:val="24"/>
                <w:szCs w:val="24"/>
                <w:lang w:val="en-US" w:eastAsia="zh-CN" w:bidi="ar-SA"/>
              </w:rPr>
            </w:pPr>
            <w:r>
              <w:rPr>
                <w:rFonts w:hint="eastAsia" w:ascii="Times New Roman" w:hAnsi="Times New Roman" w:cs="Times New Roman"/>
                <w:bCs/>
                <w:color w:val="FF0000"/>
                <w:kern w:val="2"/>
                <w:sz w:val="24"/>
                <w:szCs w:val="24"/>
                <w:lang w:val="en-US" w:eastAsia="zh-CN" w:bidi="ar-SA"/>
              </w:rPr>
              <w:t>（2）</w:t>
            </w:r>
            <w:r>
              <w:rPr>
                <w:rFonts w:hint="eastAsia" w:ascii="Times New Roman" w:hAnsi="Times New Roman" w:eastAsia="宋体" w:cs="Times New Roman"/>
                <w:bCs/>
                <w:color w:val="FF0000"/>
                <w:kern w:val="2"/>
                <w:sz w:val="24"/>
                <w:szCs w:val="24"/>
                <w:lang w:val="en-US" w:eastAsia="zh-CN" w:bidi="ar-SA"/>
              </w:rPr>
              <w:t>建设单位需定期委托检测机构开展自行监测</w:t>
            </w:r>
            <w:r>
              <w:rPr>
                <w:rFonts w:hint="default" w:ascii="Times New Roman" w:hAnsi="Times New Roman" w:eastAsia="宋体" w:cs="Times New Roman"/>
                <w:bCs/>
                <w:color w:val="FF0000"/>
                <w:kern w:val="2"/>
                <w:sz w:val="24"/>
                <w:szCs w:val="24"/>
                <w:lang w:val="en-US" w:eastAsia="zh-CN" w:bidi="ar-SA"/>
              </w:rPr>
              <w:t>。</w:t>
            </w:r>
          </w:p>
          <w:p w14:paraId="630E71F0">
            <w:pPr>
              <w:pStyle w:val="4"/>
              <w:keepNext w:val="0"/>
              <w:keepLines w:val="0"/>
              <w:pageBreakBefore w:val="0"/>
              <w:widowControl w:val="0"/>
              <w:kinsoku/>
              <w:wordWrap/>
              <w:overflowPunct/>
              <w:topLinePunct w:val="0"/>
              <w:autoSpaceDE/>
              <w:autoSpaceDN/>
              <w:bidi w:val="0"/>
              <w:spacing w:line="500" w:lineRule="exact"/>
              <w:ind w:firstLine="0"/>
              <w:jc w:val="center"/>
              <w:textAlignment w:val="auto"/>
              <w:rPr>
                <w:b/>
                <w:bCs/>
                <w:color w:val="auto"/>
                <w:szCs w:val="21"/>
              </w:rPr>
            </w:pPr>
            <w:r>
              <w:rPr>
                <w:rFonts w:ascii="Times New Roman" w:hAnsi="Times New Roman"/>
                <w:b/>
                <w:bCs/>
                <w:color w:val="auto"/>
                <w:kern w:val="0"/>
                <w:szCs w:val="21"/>
              </w:rPr>
              <w:t>表4-</w:t>
            </w:r>
            <w:r>
              <w:rPr>
                <w:rFonts w:hint="eastAsia" w:ascii="Times New Roman" w:hAnsi="Times New Roman"/>
                <w:b/>
                <w:bCs/>
                <w:color w:val="auto"/>
                <w:kern w:val="0"/>
                <w:szCs w:val="21"/>
                <w:lang w:val="en-US" w:eastAsia="zh-CN"/>
              </w:rPr>
              <w:t>14</w:t>
            </w:r>
            <w:r>
              <w:rPr>
                <w:b/>
                <w:bCs/>
                <w:color w:val="auto"/>
                <w:szCs w:val="21"/>
              </w:rPr>
              <w:t>废水自行监测方案一览表</w:t>
            </w:r>
          </w:p>
          <w:tbl>
            <w:tblPr>
              <w:tblStyle w:val="17"/>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89"/>
              <w:gridCol w:w="1828"/>
              <w:gridCol w:w="4402"/>
              <w:gridCol w:w="1389"/>
            </w:tblGrid>
            <w:tr w14:paraId="1DD6DB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3" w:type="pct"/>
                  <w:tcBorders>
                    <w:left w:val="single" w:color="auto" w:sz="0" w:space="0"/>
                  </w:tcBorders>
                  <w:vAlign w:val="center"/>
                </w:tcPr>
                <w:p w14:paraId="2CB882A6">
                  <w:pPr>
                    <w:adjustRightInd w:val="0"/>
                    <w:snapToGrid w:val="0"/>
                    <w:jc w:val="center"/>
                    <w:rPr>
                      <w:bCs/>
                      <w:color w:val="auto"/>
                      <w:szCs w:val="21"/>
                    </w:rPr>
                  </w:pPr>
                  <w:r>
                    <w:rPr>
                      <w:bCs/>
                      <w:color w:val="auto"/>
                      <w:szCs w:val="21"/>
                    </w:rPr>
                    <w:t>类别</w:t>
                  </w:r>
                </w:p>
              </w:tc>
              <w:tc>
                <w:tcPr>
                  <w:tcW w:w="1074" w:type="pct"/>
                  <w:vAlign w:val="center"/>
                </w:tcPr>
                <w:p w14:paraId="1C26ECF5">
                  <w:pPr>
                    <w:adjustRightInd w:val="0"/>
                    <w:snapToGrid w:val="0"/>
                    <w:jc w:val="center"/>
                    <w:rPr>
                      <w:bCs/>
                      <w:color w:val="auto"/>
                      <w:szCs w:val="21"/>
                    </w:rPr>
                  </w:pPr>
                  <w:r>
                    <w:rPr>
                      <w:bCs/>
                      <w:color w:val="auto"/>
                      <w:szCs w:val="21"/>
                    </w:rPr>
                    <w:t>监测位置</w:t>
                  </w:r>
                </w:p>
              </w:tc>
              <w:tc>
                <w:tcPr>
                  <w:tcW w:w="2587" w:type="pct"/>
                  <w:vAlign w:val="center"/>
                </w:tcPr>
                <w:p w14:paraId="1C4E35F8">
                  <w:pPr>
                    <w:adjustRightInd w:val="0"/>
                    <w:snapToGrid w:val="0"/>
                    <w:jc w:val="center"/>
                    <w:rPr>
                      <w:bCs/>
                      <w:color w:val="auto"/>
                      <w:szCs w:val="21"/>
                    </w:rPr>
                  </w:pPr>
                  <w:r>
                    <w:rPr>
                      <w:bCs/>
                      <w:color w:val="auto"/>
                      <w:szCs w:val="21"/>
                    </w:rPr>
                    <w:t>监测项目</w:t>
                  </w:r>
                </w:p>
              </w:tc>
              <w:tc>
                <w:tcPr>
                  <w:tcW w:w="816" w:type="pct"/>
                  <w:tcBorders>
                    <w:right w:val="single" w:color="auto" w:sz="4" w:space="0"/>
                  </w:tcBorders>
                  <w:vAlign w:val="center"/>
                </w:tcPr>
                <w:p w14:paraId="5AD91BE9">
                  <w:pPr>
                    <w:adjustRightInd w:val="0"/>
                    <w:snapToGrid w:val="0"/>
                    <w:jc w:val="center"/>
                    <w:rPr>
                      <w:bCs/>
                      <w:color w:val="auto"/>
                      <w:szCs w:val="21"/>
                    </w:rPr>
                  </w:pPr>
                  <w:r>
                    <w:rPr>
                      <w:bCs/>
                      <w:color w:val="auto"/>
                      <w:szCs w:val="21"/>
                    </w:rPr>
                    <w:t>监测频率</w:t>
                  </w:r>
                </w:p>
              </w:tc>
            </w:tr>
            <w:tr w14:paraId="6AFDC6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23" w:type="pct"/>
                  <w:tcBorders>
                    <w:left w:val="single" w:color="auto" w:sz="4" w:space="0"/>
                  </w:tcBorders>
                  <w:vAlign w:val="center"/>
                </w:tcPr>
                <w:p w14:paraId="3863ED56">
                  <w:pPr>
                    <w:adjustRightInd w:val="0"/>
                    <w:snapToGrid w:val="0"/>
                    <w:jc w:val="center"/>
                    <w:rPr>
                      <w:color w:val="auto"/>
                      <w:szCs w:val="21"/>
                    </w:rPr>
                  </w:pPr>
                  <w:r>
                    <w:rPr>
                      <w:color w:val="auto"/>
                      <w:szCs w:val="21"/>
                    </w:rPr>
                    <w:t>废水</w:t>
                  </w:r>
                </w:p>
              </w:tc>
              <w:tc>
                <w:tcPr>
                  <w:tcW w:w="1074" w:type="pct"/>
                  <w:vAlign w:val="center"/>
                </w:tcPr>
                <w:p w14:paraId="19A5C1A3">
                  <w:pPr>
                    <w:adjustRightInd w:val="0"/>
                    <w:snapToGrid w:val="0"/>
                    <w:jc w:val="center"/>
                    <w:rPr>
                      <w:color w:val="auto"/>
                      <w:szCs w:val="21"/>
                    </w:rPr>
                  </w:pPr>
                  <w:r>
                    <w:rPr>
                      <w:color w:val="auto"/>
                      <w:szCs w:val="21"/>
                    </w:rPr>
                    <w:t>厂区污水接管口</w:t>
                  </w:r>
                </w:p>
              </w:tc>
              <w:tc>
                <w:tcPr>
                  <w:tcW w:w="2587" w:type="pct"/>
                  <w:vAlign w:val="center"/>
                </w:tcPr>
                <w:p w14:paraId="73E3F39C">
                  <w:pPr>
                    <w:adjustRightInd w:val="0"/>
                    <w:snapToGrid w:val="0"/>
                    <w:jc w:val="center"/>
                    <w:rPr>
                      <w:color w:val="auto"/>
                      <w:szCs w:val="21"/>
                    </w:rPr>
                  </w:pPr>
                  <w:r>
                    <w:rPr>
                      <w:color w:val="auto"/>
                      <w:szCs w:val="21"/>
                    </w:rPr>
                    <w:t>pH、COD、SS、NH</w:t>
                  </w:r>
                  <w:r>
                    <w:rPr>
                      <w:color w:val="auto"/>
                      <w:szCs w:val="21"/>
                      <w:vertAlign w:val="subscript"/>
                    </w:rPr>
                    <w:t>3</w:t>
                  </w:r>
                  <w:r>
                    <w:rPr>
                      <w:color w:val="auto"/>
                      <w:szCs w:val="21"/>
                    </w:rPr>
                    <w:t>-N、TP、TN</w:t>
                  </w:r>
                </w:p>
              </w:tc>
              <w:tc>
                <w:tcPr>
                  <w:tcW w:w="816" w:type="pct"/>
                  <w:tcBorders>
                    <w:right w:val="single" w:color="auto" w:sz="4" w:space="0"/>
                  </w:tcBorders>
                  <w:vAlign w:val="center"/>
                </w:tcPr>
                <w:p w14:paraId="2CEEBEBE">
                  <w:pPr>
                    <w:adjustRightInd w:val="0"/>
                    <w:snapToGrid w:val="0"/>
                    <w:jc w:val="center"/>
                    <w:rPr>
                      <w:color w:val="auto"/>
                      <w:szCs w:val="21"/>
                    </w:rPr>
                  </w:pPr>
                  <w:r>
                    <w:rPr>
                      <w:color w:val="auto"/>
                      <w:szCs w:val="21"/>
                    </w:rPr>
                    <w:t>每年一次</w:t>
                  </w:r>
                </w:p>
              </w:tc>
            </w:tr>
          </w:tbl>
          <w:p w14:paraId="4F9DFCAB">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default" w:ascii="Times New Roman" w:hAnsi="Times New Roman" w:eastAsia="宋体" w:cs="Times New Roman"/>
                <w:color w:val="auto"/>
                <w:lang w:eastAsia="zh-CN"/>
              </w:rPr>
            </w:pPr>
          </w:p>
        </w:tc>
      </w:tr>
    </w:tbl>
    <w:p w14:paraId="6698680D">
      <w:pPr>
        <w:pStyle w:val="25"/>
        <w:rPr>
          <w:rFonts w:hint="default" w:ascii="Times New Roman" w:hAnsi="Times New Roman" w:eastAsia="宋体"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7"/>
        <w:tblW w:w="1415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84"/>
        <w:gridCol w:w="13775"/>
      </w:tblGrid>
      <w:tr w14:paraId="389C17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47" w:hRule="atLeast"/>
          <w:jc w:val="center"/>
        </w:trPr>
        <w:tc>
          <w:tcPr>
            <w:tcW w:w="384" w:type="dxa"/>
            <w:noWrap w:val="0"/>
            <w:tcMar>
              <w:left w:w="28" w:type="dxa"/>
              <w:right w:w="28" w:type="dxa"/>
            </w:tcMar>
            <w:vAlign w:val="center"/>
          </w:tcPr>
          <w:p w14:paraId="759F5538">
            <w:pPr>
              <w:adjustRightInd w:val="0"/>
              <w:snapToGrid w:val="0"/>
              <w:jc w:val="center"/>
              <w:rPr>
                <w:rFonts w:hint="default" w:ascii="Times New Roman" w:hAnsi="Times New Roman" w:eastAsia="宋体" w:cs="Times New Roman"/>
                <w:bCs/>
                <w:color w:val="auto"/>
                <w:szCs w:val="21"/>
              </w:rPr>
            </w:pPr>
          </w:p>
        </w:tc>
        <w:tc>
          <w:tcPr>
            <w:tcW w:w="13775" w:type="dxa"/>
            <w:noWrap w:val="0"/>
            <w:vAlign w:val="top"/>
          </w:tcPr>
          <w:p w14:paraId="72FF127C">
            <w:pPr>
              <w:pStyle w:val="41"/>
              <w:keepNext w:val="0"/>
              <w:keepLines w:val="0"/>
              <w:pageBreakBefore w:val="0"/>
              <w:widowControl w:val="0"/>
              <w:numPr>
                <w:ilvl w:val="0"/>
                <w:numId w:val="0"/>
              </w:numPr>
              <w:kinsoku/>
              <w:wordWrap/>
              <w:overflowPunct/>
              <w:topLinePunct w:val="0"/>
              <w:autoSpaceDE/>
              <w:autoSpaceDN/>
              <w:bidi w:val="0"/>
              <w:spacing w:line="360" w:lineRule="auto"/>
              <w:ind w:leftChars="0"/>
              <w:textAlignment w:val="auto"/>
              <w:rPr>
                <w:rFonts w:hint="default" w:ascii="Times New Roman" w:hAnsi="Times New Roman" w:eastAsia="宋体" w:cs="Times New Roman"/>
                <w:b/>
                <w:bCs w:val="0"/>
                <w:color w:val="auto"/>
                <w:lang w:val="en-US" w:eastAsia="zh-CN"/>
              </w:rPr>
            </w:pPr>
            <w:r>
              <w:rPr>
                <w:rFonts w:hint="default" w:ascii="Times New Roman" w:hAnsi="Times New Roman" w:eastAsia="宋体" w:cs="Times New Roman"/>
                <w:b/>
                <w:bCs w:val="0"/>
                <w:color w:val="auto"/>
                <w:lang w:val="en-US" w:eastAsia="zh-CN"/>
              </w:rPr>
              <w:t>4.3噪声</w:t>
            </w:r>
          </w:p>
          <w:p w14:paraId="06DBB6C1">
            <w:pPr>
              <w:pStyle w:val="7"/>
              <w:keepNext w:val="0"/>
              <w:keepLines w:val="0"/>
              <w:pageBreakBefore w:val="0"/>
              <w:widowControl w:val="0"/>
              <w:numPr>
                <w:ilvl w:val="0"/>
                <w:numId w:val="0"/>
              </w:numPr>
              <w:kinsoku/>
              <w:wordWrap/>
              <w:overflowPunct/>
              <w:topLinePunct w:val="0"/>
              <w:autoSpaceDE/>
              <w:autoSpaceDN/>
              <w:bidi w:val="0"/>
              <w:spacing w:line="360" w:lineRule="auto"/>
              <w:textAlignment w:val="auto"/>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4.3.1噪声产生情况</w:t>
            </w:r>
          </w:p>
          <w:p w14:paraId="4E447EC8">
            <w:pPr>
              <w:pStyle w:val="7"/>
              <w:keepNext w:val="0"/>
              <w:keepLines w:val="0"/>
              <w:pageBreakBefore w:val="0"/>
              <w:widowControl w:val="0"/>
              <w:numPr>
                <w:ilvl w:val="0"/>
                <w:numId w:val="0"/>
              </w:numPr>
              <w:kinsoku/>
              <w:wordWrap/>
              <w:overflowPunct/>
              <w:topLinePunct w:val="0"/>
              <w:autoSpaceDE/>
              <w:autoSpaceDN/>
              <w:bidi w:val="0"/>
              <w:spacing w:line="360" w:lineRule="auto"/>
              <w:ind w:left="480" w:leftChars="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本项目高噪声设备主要为</w:t>
            </w:r>
            <w:r>
              <w:rPr>
                <w:rFonts w:hint="default" w:ascii="Times New Roman" w:hAnsi="Times New Roman" w:eastAsia="宋体" w:cs="Times New Roman"/>
                <w:color w:val="auto"/>
                <w:sz w:val="24"/>
                <w:lang w:val="en-US" w:eastAsia="zh-CN"/>
              </w:rPr>
              <w:t>加工中心、切割机</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钻攻机</w:t>
            </w:r>
            <w:r>
              <w:rPr>
                <w:rFonts w:hint="default" w:ascii="Times New Roman" w:hAnsi="Times New Roman" w:eastAsia="宋体" w:cs="Times New Roman"/>
                <w:color w:val="auto"/>
                <w:sz w:val="24"/>
              </w:rPr>
              <w:t>等，主要噪声源情况见下表：</w:t>
            </w:r>
          </w:p>
          <w:p w14:paraId="1CA14CD0">
            <w:pPr>
              <w:keepNext w:val="0"/>
              <w:keepLines w:val="0"/>
              <w:pageBreakBefore w:val="0"/>
              <w:widowControl w:val="0"/>
              <w:kinsoku/>
              <w:wordWrap/>
              <w:overflowPunct/>
              <w:topLinePunct w:val="0"/>
              <w:autoSpaceDE/>
              <w:autoSpaceDN/>
              <w:bidi w:val="0"/>
              <w:adjustRightInd/>
              <w:snapToGrid w:val="0"/>
              <w:spacing w:before="95" w:beforeLines="30" w:line="240" w:lineRule="auto"/>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表4-</w:t>
            </w:r>
            <w:r>
              <w:rPr>
                <w:rFonts w:hint="eastAsia" w:cs="Times New Roman"/>
                <w:b/>
                <w:bCs/>
                <w:color w:val="auto"/>
                <w:sz w:val="21"/>
                <w:szCs w:val="21"/>
                <w:lang w:val="en-US" w:eastAsia="zh-CN"/>
              </w:rPr>
              <w:t>15</w:t>
            </w:r>
            <w:r>
              <w:rPr>
                <w:rFonts w:hint="default" w:ascii="Times New Roman" w:hAnsi="Times New Roman" w:eastAsia="宋体" w:cs="Times New Roman"/>
                <w:b/>
                <w:bCs/>
                <w:color w:val="auto"/>
                <w:sz w:val="21"/>
                <w:szCs w:val="21"/>
              </w:rPr>
              <w:t>本项目主要噪声污染源一览表</w:t>
            </w:r>
            <w:r>
              <w:rPr>
                <w:rFonts w:hint="default"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lang w:val="en-US" w:eastAsia="zh-CN"/>
              </w:rPr>
              <w:t>室内声源</w:t>
            </w:r>
            <w:r>
              <w:rPr>
                <w:rFonts w:hint="default" w:ascii="Times New Roman" w:hAnsi="Times New Roman" w:cs="Times New Roman"/>
                <w:b/>
                <w:bCs/>
                <w:color w:val="auto"/>
                <w:sz w:val="21"/>
                <w:szCs w:val="21"/>
                <w:lang w:eastAsia="zh-CN"/>
              </w:rPr>
              <w:t>）</w:t>
            </w:r>
          </w:p>
          <w:tbl>
            <w:tblPr>
              <w:tblStyle w:val="17"/>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6"/>
              <w:gridCol w:w="569"/>
              <w:gridCol w:w="1846"/>
              <w:gridCol w:w="753"/>
              <w:gridCol w:w="615"/>
              <w:gridCol w:w="1491"/>
              <w:gridCol w:w="1084"/>
              <w:gridCol w:w="561"/>
              <w:gridCol w:w="561"/>
              <w:gridCol w:w="621"/>
              <w:gridCol w:w="705"/>
              <w:gridCol w:w="699"/>
              <w:gridCol w:w="542"/>
              <w:gridCol w:w="976"/>
              <w:gridCol w:w="976"/>
              <w:gridCol w:w="1046"/>
            </w:tblGrid>
            <w:tr w14:paraId="2ECDC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vMerge w:val="restart"/>
                  <w:noWrap w:val="0"/>
                  <w:vAlign w:val="center"/>
                </w:tcPr>
                <w:p w14:paraId="013A04BA">
                  <w:pPr>
                    <w:adjustRightInd w:val="0"/>
                    <w:snapToGrid w:val="0"/>
                    <w:ind w:left="-105" w:leftChars="-50" w:right="-105" w:rightChars="-50"/>
                    <w:jc w:val="center"/>
                    <w:rPr>
                      <w:b/>
                      <w:color w:val="auto"/>
                    </w:rPr>
                  </w:pPr>
                  <w:r>
                    <w:rPr>
                      <w:rFonts w:hAnsi="宋体"/>
                      <w:b/>
                      <w:color w:val="auto"/>
                    </w:rPr>
                    <w:t>序号</w:t>
                  </w:r>
                </w:p>
              </w:tc>
              <w:tc>
                <w:tcPr>
                  <w:tcW w:w="210" w:type="pct"/>
                  <w:vMerge w:val="restart"/>
                  <w:noWrap w:val="0"/>
                  <w:vAlign w:val="center"/>
                </w:tcPr>
                <w:p w14:paraId="1770591A">
                  <w:pPr>
                    <w:adjustRightInd w:val="0"/>
                    <w:snapToGrid w:val="0"/>
                    <w:ind w:left="-105" w:leftChars="-50" w:right="-105" w:rightChars="-50"/>
                    <w:jc w:val="center"/>
                    <w:rPr>
                      <w:b/>
                      <w:color w:val="auto"/>
                    </w:rPr>
                  </w:pPr>
                  <w:r>
                    <w:rPr>
                      <w:rFonts w:hAnsi="宋体"/>
                      <w:b/>
                      <w:color w:val="auto"/>
                    </w:rPr>
                    <w:t>建筑物名称</w:t>
                  </w:r>
                </w:p>
              </w:tc>
              <w:tc>
                <w:tcPr>
                  <w:tcW w:w="681" w:type="pct"/>
                  <w:vMerge w:val="restart"/>
                  <w:noWrap w:val="0"/>
                  <w:vAlign w:val="center"/>
                </w:tcPr>
                <w:p w14:paraId="5230FCF2">
                  <w:pPr>
                    <w:adjustRightInd w:val="0"/>
                    <w:snapToGrid w:val="0"/>
                    <w:ind w:left="-105" w:leftChars="-50" w:right="-105" w:rightChars="-50"/>
                    <w:jc w:val="center"/>
                    <w:rPr>
                      <w:b/>
                      <w:color w:val="auto"/>
                    </w:rPr>
                  </w:pPr>
                  <w:r>
                    <w:rPr>
                      <w:rFonts w:hAnsi="宋体"/>
                      <w:b/>
                      <w:color w:val="auto"/>
                    </w:rPr>
                    <w:t>声源名称</w:t>
                  </w:r>
                </w:p>
              </w:tc>
              <w:tc>
                <w:tcPr>
                  <w:tcW w:w="278" w:type="pct"/>
                  <w:vMerge w:val="restart"/>
                  <w:noWrap w:val="0"/>
                  <w:vAlign w:val="center"/>
                </w:tcPr>
                <w:p w14:paraId="6B3A5555">
                  <w:pPr>
                    <w:adjustRightInd w:val="0"/>
                    <w:snapToGrid w:val="0"/>
                    <w:ind w:left="-105" w:leftChars="-50" w:right="-105" w:rightChars="-50"/>
                    <w:jc w:val="center"/>
                    <w:rPr>
                      <w:rFonts w:hAnsi="宋体"/>
                      <w:b/>
                      <w:color w:val="auto"/>
                    </w:rPr>
                  </w:pPr>
                  <w:r>
                    <w:rPr>
                      <w:rFonts w:hAnsi="宋体"/>
                      <w:b/>
                      <w:color w:val="auto"/>
                    </w:rPr>
                    <w:t>型号</w:t>
                  </w:r>
                </w:p>
              </w:tc>
              <w:tc>
                <w:tcPr>
                  <w:tcW w:w="227" w:type="pct"/>
                  <w:vMerge w:val="restart"/>
                  <w:noWrap w:val="0"/>
                  <w:vAlign w:val="center"/>
                </w:tcPr>
                <w:p w14:paraId="0A756575">
                  <w:pPr>
                    <w:adjustRightInd w:val="0"/>
                    <w:snapToGrid w:val="0"/>
                    <w:ind w:left="-105" w:leftChars="-50" w:right="-105" w:rightChars="-50"/>
                    <w:jc w:val="center"/>
                    <w:rPr>
                      <w:b/>
                      <w:color w:val="auto"/>
                    </w:rPr>
                  </w:pPr>
                  <w:r>
                    <w:rPr>
                      <w:rFonts w:hint="default" w:ascii="Times New Roman" w:hAnsi="Times New Roman" w:cs="Times New Roman"/>
                      <w:b/>
                      <w:bCs/>
                      <w:color w:val="auto"/>
                      <w:lang w:val="en-US" w:eastAsia="zh-CN"/>
                    </w:rPr>
                    <w:t>数量</w:t>
                  </w:r>
                </w:p>
              </w:tc>
              <w:tc>
                <w:tcPr>
                  <w:tcW w:w="1491" w:type="dxa"/>
                  <w:noWrap w:val="0"/>
                  <w:vAlign w:val="center"/>
                </w:tcPr>
                <w:p w14:paraId="603F7001">
                  <w:pPr>
                    <w:adjustRightInd w:val="0"/>
                    <w:snapToGrid w:val="0"/>
                    <w:ind w:left="-105" w:leftChars="-50" w:right="-105" w:rightChars="-50"/>
                    <w:jc w:val="center"/>
                    <w:rPr>
                      <w:b/>
                      <w:color w:val="auto"/>
                    </w:rPr>
                  </w:pPr>
                  <w:r>
                    <w:rPr>
                      <w:rFonts w:hAnsi="宋体"/>
                      <w:b/>
                      <w:color w:val="auto"/>
                    </w:rPr>
                    <w:t>声源源强</w:t>
                  </w:r>
                </w:p>
              </w:tc>
              <w:tc>
                <w:tcPr>
                  <w:tcW w:w="400" w:type="pct"/>
                  <w:vMerge w:val="restart"/>
                  <w:noWrap w:val="0"/>
                  <w:vAlign w:val="center"/>
                </w:tcPr>
                <w:p w14:paraId="6BB5DEAE">
                  <w:pPr>
                    <w:adjustRightInd w:val="0"/>
                    <w:snapToGrid w:val="0"/>
                    <w:ind w:left="-105" w:leftChars="-50" w:right="-105" w:rightChars="-50"/>
                    <w:jc w:val="center"/>
                    <w:rPr>
                      <w:b/>
                      <w:color w:val="auto"/>
                    </w:rPr>
                  </w:pPr>
                  <w:r>
                    <w:rPr>
                      <w:rFonts w:hAnsi="宋体"/>
                      <w:b/>
                      <w:color w:val="auto"/>
                    </w:rPr>
                    <w:t>声源控制措施</w:t>
                  </w:r>
                </w:p>
              </w:tc>
              <w:tc>
                <w:tcPr>
                  <w:tcW w:w="643" w:type="pct"/>
                  <w:gridSpan w:val="3"/>
                  <w:noWrap w:val="0"/>
                  <w:vAlign w:val="center"/>
                </w:tcPr>
                <w:p w14:paraId="05F9A9EC">
                  <w:pPr>
                    <w:adjustRightInd w:val="0"/>
                    <w:snapToGrid w:val="0"/>
                    <w:ind w:left="-105" w:leftChars="-50" w:right="-105" w:rightChars="-50"/>
                    <w:jc w:val="center"/>
                    <w:rPr>
                      <w:b/>
                      <w:color w:val="auto"/>
                    </w:rPr>
                  </w:pPr>
                  <w:r>
                    <w:rPr>
                      <w:rFonts w:hAnsi="宋体"/>
                      <w:b/>
                      <w:color w:val="auto"/>
                    </w:rPr>
                    <w:t>空间相对位置</w:t>
                  </w:r>
                  <w:r>
                    <w:rPr>
                      <w:b/>
                      <w:color w:val="auto"/>
                    </w:rPr>
                    <w:t>/m</w:t>
                  </w:r>
                </w:p>
              </w:tc>
              <w:tc>
                <w:tcPr>
                  <w:tcW w:w="260" w:type="pct"/>
                  <w:vMerge w:val="restart"/>
                  <w:noWrap w:val="0"/>
                  <w:vAlign w:val="center"/>
                </w:tcPr>
                <w:p w14:paraId="34A624B7">
                  <w:pPr>
                    <w:adjustRightInd w:val="0"/>
                    <w:snapToGrid w:val="0"/>
                    <w:ind w:left="-105" w:leftChars="-50" w:right="-105" w:rightChars="-50"/>
                    <w:jc w:val="center"/>
                    <w:rPr>
                      <w:b/>
                      <w:color w:val="auto"/>
                    </w:rPr>
                  </w:pPr>
                  <w:r>
                    <w:rPr>
                      <w:rFonts w:hAnsi="宋体"/>
                      <w:b/>
                      <w:color w:val="auto"/>
                    </w:rPr>
                    <w:t>距室内边界</w:t>
                  </w:r>
                  <w:r>
                    <w:rPr>
                      <w:rFonts w:hint="eastAsia" w:hAnsi="宋体"/>
                      <w:b/>
                      <w:color w:val="auto"/>
                      <w:lang w:eastAsia="zh-CN"/>
                    </w:rPr>
                    <w:t>最近</w:t>
                  </w:r>
                  <w:r>
                    <w:rPr>
                      <w:rFonts w:hAnsi="宋体"/>
                      <w:b/>
                      <w:color w:val="auto"/>
                    </w:rPr>
                    <w:t>距离</w:t>
                  </w:r>
                  <w:r>
                    <w:rPr>
                      <w:b/>
                      <w:color w:val="auto"/>
                    </w:rPr>
                    <w:t>/m</w:t>
                  </w:r>
                </w:p>
              </w:tc>
              <w:tc>
                <w:tcPr>
                  <w:tcW w:w="258" w:type="pct"/>
                  <w:vMerge w:val="restart"/>
                  <w:noWrap w:val="0"/>
                  <w:vAlign w:val="center"/>
                </w:tcPr>
                <w:p w14:paraId="792EA0F7">
                  <w:pPr>
                    <w:adjustRightInd w:val="0"/>
                    <w:snapToGrid w:val="0"/>
                    <w:ind w:left="-105" w:leftChars="-50" w:right="-105" w:rightChars="-50"/>
                    <w:jc w:val="center"/>
                    <w:rPr>
                      <w:b/>
                      <w:color w:val="auto"/>
                    </w:rPr>
                  </w:pPr>
                  <w:r>
                    <w:rPr>
                      <w:rFonts w:hAnsi="宋体"/>
                      <w:b/>
                      <w:color w:val="auto"/>
                    </w:rPr>
                    <w:t>室内边界声级</w:t>
                  </w:r>
                </w:p>
              </w:tc>
              <w:tc>
                <w:tcPr>
                  <w:tcW w:w="200" w:type="pct"/>
                  <w:vMerge w:val="restart"/>
                  <w:noWrap w:val="0"/>
                  <w:vAlign w:val="center"/>
                </w:tcPr>
                <w:p w14:paraId="4A6E658A">
                  <w:pPr>
                    <w:adjustRightInd w:val="0"/>
                    <w:snapToGrid w:val="0"/>
                    <w:ind w:left="-105" w:leftChars="-50" w:right="-105" w:rightChars="-50"/>
                    <w:jc w:val="center"/>
                    <w:rPr>
                      <w:b/>
                      <w:color w:val="auto"/>
                    </w:rPr>
                  </w:pPr>
                  <w:r>
                    <w:rPr>
                      <w:rFonts w:hAnsi="宋体"/>
                      <w:b/>
                      <w:color w:val="auto"/>
                    </w:rPr>
                    <w:t>运行时段</w:t>
                  </w:r>
                </w:p>
              </w:tc>
              <w:tc>
                <w:tcPr>
                  <w:tcW w:w="360" w:type="pct"/>
                  <w:vMerge w:val="restart"/>
                  <w:noWrap w:val="0"/>
                  <w:vAlign w:val="center"/>
                </w:tcPr>
                <w:p w14:paraId="604CDAE9">
                  <w:pPr>
                    <w:adjustRightInd w:val="0"/>
                    <w:snapToGrid w:val="0"/>
                    <w:ind w:left="-105" w:leftChars="-50" w:right="-105" w:rightChars="-50"/>
                    <w:jc w:val="center"/>
                    <w:rPr>
                      <w:b/>
                      <w:color w:val="auto"/>
                    </w:rPr>
                  </w:pPr>
                  <w:r>
                    <w:rPr>
                      <w:rFonts w:hAnsi="宋体"/>
                      <w:b/>
                      <w:color w:val="auto"/>
                    </w:rPr>
                    <w:t>建筑物插入损失</w:t>
                  </w:r>
                  <w:r>
                    <w:rPr>
                      <w:b/>
                      <w:color w:val="auto"/>
                    </w:rPr>
                    <w:t>/dB(A)</w:t>
                  </w:r>
                </w:p>
              </w:tc>
              <w:tc>
                <w:tcPr>
                  <w:tcW w:w="746" w:type="pct"/>
                  <w:gridSpan w:val="2"/>
                  <w:noWrap w:val="0"/>
                  <w:vAlign w:val="center"/>
                </w:tcPr>
                <w:p w14:paraId="1361D190">
                  <w:pPr>
                    <w:adjustRightInd w:val="0"/>
                    <w:snapToGrid w:val="0"/>
                    <w:ind w:left="-105" w:leftChars="-50" w:right="-105" w:rightChars="-50"/>
                    <w:jc w:val="center"/>
                    <w:rPr>
                      <w:b/>
                      <w:color w:val="auto"/>
                    </w:rPr>
                  </w:pPr>
                  <w:r>
                    <w:rPr>
                      <w:rFonts w:hAnsi="宋体"/>
                      <w:b/>
                      <w:color w:val="auto"/>
                    </w:rPr>
                    <w:t>建筑物外噪声</w:t>
                  </w:r>
                </w:p>
              </w:tc>
            </w:tr>
            <w:tr w14:paraId="5969F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vMerge w:val="continue"/>
                  <w:noWrap w:val="0"/>
                  <w:vAlign w:val="center"/>
                </w:tcPr>
                <w:p w14:paraId="2F89DE16">
                  <w:pPr>
                    <w:adjustRightInd w:val="0"/>
                    <w:snapToGrid w:val="0"/>
                    <w:ind w:left="-105" w:leftChars="-50" w:right="-105" w:rightChars="-50"/>
                    <w:jc w:val="center"/>
                    <w:rPr>
                      <w:b/>
                      <w:color w:val="auto"/>
                    </w:rPr>
                  </w:pPr>
                </w:p>
              </w:tc>
              <w:tc>
                <w:tcPr>
                  <w:tcW w:w="210" w:type="pct"/>
                  <w:vMerge w:val="continue"/>
                  <w:noWrap w:val="0"/>
                  <w:vAlign w:val="center"/>
                </w:tcPr>
                <w:p w14:paraId="78C48B3E">
                  <w:pPr>
                    <w:adjustRightInd w:val="0"/>
                    <w:snapToGrid w:val="0"/>
                    <w:ind w:left="-105" w:leftChars="-50" w:right="-105" w:rightChars="-50"/>
                    <w:jc w:val="center"/>
                    <w:rPr>
                      <w:b/>
                      <w:color w:val="auto"/>
                    </w:rPr>
                  </w:pPr>
                </w:p>
              </w:tc>
              <w:tc>
                <w:tcPr>
                  <w:tcW w:w="681" w:type="pct"/>
                  <w:vMerge w:val="continue"/>
                  <w:noWrap w:val="0"/>
                  <w:vAlign w:val="center"/>
                </w:tcPr>
                <w:p w14:paraId="1AC7E05D">
                  <w:pPr>
                    <w:adjustRightInd w:val="0"/>
                    <w:snapToGrid w:val="0"/>
                    <w:ind w:left="-105" w:leftChars="-50" w:right="-105" w:rightChars="-50"/>
                    <w:jc w:val="center"/>
                    <w:rPr>
                      <w:b/>
                      <w:color w:val="auto"/>
                    </w:rPr>
                  </w:pPr>
                </w:p>
              </w:tc>
              <w:tc>
                <w:tcPr>
                  <w:tcW w:w="278" w:type="pct"/>
                  <w:vMerge w:val="continue"/>
                  <w:noWrap w:val="0"/>
                  <w:vAlign w:val="center"/>
                </w:tcPr>
                <w:p w14:paraId="781185ED">
                  <w:pPr>
                    <w:adjustRightInd w:val="0"/>
                    <w:snapToGrid w:val="0"/>
                    <w:ind w:left="-105" w:leftChars="-50" w:right="-105" w:rightChars="-50"/>
                    <w:jc w:val="center"/>
                    <w:rPr>
                      <w:b/>
                      <w:color w:val="auto"/>
                    </w:rPr>
                  </w:pPr>
                </w:p>
              </w:tc>
              <w:tc>
                <w:tcPr>
                  <w:tcW w:w="227" w:type="pct"/>
                  <w:vMerge w:val="continue"/>
                  <w:noWrap w:val="0"/>
                  <w:vAlign w:val="center"/>
                </w:tcPr>
                <w:p w14:paraId="6D21A1A2">
                  <w:pPr>
                    <w:adjustRightInd w:val="0"/>
                    <w:snapToGrid w:val="0"/>
                    <w:ind w:left="-105" w:leftChars="-50" w:right="-105" w:rightChars="-50"/>
                    <w:jc w:val="center"/>
                    <w:rPr>
                      <w:b/>
                      <w:color w:val="auto"/>
                    </w:rPr>
                  </w:pPr>
                </w:p>
              </w:tc>
              <w:tc>
                <w:tcPr>
                  <w:tcW w:w="1491" w:type="dxa"/>
                  <w:noWrap w:val="0"/>
                  <w:vAlign w:val="center"/>
                </w:tcPr>
                <w:p w14:paraId="2E65AF83">
                  <w:pPr>
                    <w:adjustRightInd w:val="0"/>
                    <w:snapToGrid w:val="0"/>
                    <w:ind w:left="-105" w:leftChars="-50" w:right="-105" w:rightChars="-50"/>
                    <w:jc w:val="center"/>
                    <w:rPr>
                      <w:b/>
                      <w:color w:val="auto"/>
                    </w:rPr>
                  </w:pPr>
                  <w:r>
                    <w:rPr>
                      <w:rFonts w:hint="eastAsia" w:hAnsi="宋体"/>
                      <w:b/>
                      <w:color w:val="auto"/>
                      <w:lang w:val="en-US" w:eastAsia="zh-CN"/>
                    </w:rPr>
                    <w:t>(</w:t>
                  </w:r>
                  <w:r>
                    <w:rPr>
                      <w:rFonts w:hint="eastAsia" w:hAnsi="宋体"/>
                      <w:b/>
                      <w:color w:val="auto"/>
                    </w:rPr>
                    <w:t>声压级</w:t>
                  </w:r>
                  <w:r>
                    <w:rPr>
                      <w:rFonts w:hint="eastAsia" w:hAnsi="宋体"/>
                      <w:b/>
                      <w:color w:val="auto"/>
                      <w:lang w:val="en-US" w:eastAsia="zh-CN"/>
                    </w:rPr>
                    <w:t>/</w:t>
                  </w:r>
                  <w:r>
                    <w:rPr>
                      <w:rFonts w:hint="eastAsia" w:hAnsi="宋体"/>
                      <w:b/>
                      <w:color w:val="auto"/>
                    </w:rPr>
                    <w:t>距声源距离</w:t>
                  </w:r>
                  <w:r>
                    <w:rPr>
                      <w:rFonts w:hint="eastAsia" w:hAnsi="宋体"/>
                      <w:b/>
                      <w:color w:val="auto"/>
                      <w:lang w:val="en-US" w:eastAsia="zh-CN"/>
                    </w:rPr>
                    <w:t>)</w:t>
                  </w:r>
                  <w:r>
                    <w:rPr>
                      <w:rFonts w:hint="eastAsia" w:hAnsi="宋体"/>
                      <w:b/>
                      <w:color w:val="auto"/>
                    </w:rPr>
                    <w:t>/(dB(A)/m</w:t>
                  </w:r>
                  <w:r>
                    <w:rPr>
                      <w:rFonts w:hint="eastAsia" w:hAnsi="宋体"/>
                      <w:b/>
                      <w:color w:val="auto"/>
                      <w:lang w:val="en-US" w:eastAsia="zh-CN"/>
                    </w:rPr>
                    <w:t>)</w:t>
                  </w:r>
                </w:p>
              </w:tc>
              <w:tc>
                <w:tcPr>
                  <w:tcW w:w="400" w:type="pct"/>
                  <w:vMerge w:val="continue"/>
                  <w:noWrap w:val="0"/>
                  <w:vAlign w:val="center"/>
                </w:tcPr>
                <w:p w14:paraId="3CA82047">
                  <w:pPr>
                    <w:adjustRightInd w:val="0"/>
                    <w:snapToGrid w:val="0"/>
                    <w:ind w:left="-105" w:leftChars="-50" w:right="-105" w:rightChars="-50"/>
                    <w:jc w:val="center"/>
                    <w:rPr>
                      <w:b/>
                      <w:color w:val="auto"/>
                    </w:rPr>
                  </w:pPr>
                </w:p>
              </w:tc>
              <w:tc>
                <w:tcPr>
                  <w:tcW w:w="207" w:type="pct"/>
                  <w:noWrap w:val="0"/>
                  <w:vAlign w:val="center"/>
                </w:tcPr>
                <w:p w14:paraId="3284778A">
                  <w:pPr>
                    <w:adjustRightInd w:val="0"/>
                    <w:snapToGrid w:val="0"/>
                    <w:ind w:left="-105" w:leftChars="-50" w:right="-105" w:rightChars="-50"/>
                    <w:jc w:val="center"/>
                    <w:rPr>
                      <w:b/>
                      <w:color w:val="auto"/>
                    </w:rPr>
                  </w:pPr>
                  <w:r>
                    <w:rPr>
                      <w:b/>
                      <w:color w:val="auto"/>
                    </w:rPr>
                    <w:t>X</w:t>
                  </w:r>
                </w:p>
              </w:tc>
              <w:tc>
                <w:tcPr>
                  <w:tcW w:w="207" w:type="pct"/>
                  <w:noWrap w:val="0"/>
                  <w:vAlign w:val="center"/>
                </w:tcPr>
                <w:p w14:paraId="62EBFF12">
                  <w:pPr>
                    <w:adjustRightInd w:val="0"/>
                    <w:snapToGrid w:val="0"/>
                    <w:ind w:left="-105" w:leftChars="-50" w:right="-105" w:rightChars="-50"/>
                    <w:jc w:val="center"/>
                    <w:rPr>
                      <w:b/>
                      <w:color w:val="auto"/>
                    </w:rPr>
                  </w:pPr>
                  <w:r>
                    <w:rPr>
                      <w:b/>
                      <w:color w:val="auto"/>
                    </w:rPr>
                    <w:t>Y</w:t>
                  </w:r>
                </w:p>
              </w:tc>
              <w:tc>
                <w:tcPr>
                  <w:tcW w:w="229" w:type="pct"/>
                  <w:noWrap w:val="0"/>
                  <w:vAlign w:val="center"/>
                </w:tcPr>
                <w:p w14:paraId="11F28AD9">
                  <w:pPr>
                    <w:adjustRightInd w:val="0"/>
                    <w:snapToGrid w:val="0"/>
                    <w:ind w:left="-105" w:leftChars="-50" w:right="-105" w:rightChars="-50"/>
                    <w:jc w:val="center"/>
                    <w:rPr>
                      <w:b/>
                      <w:color w:val="auto"/>
                    </w:rPr>
                  </w:pPr>
                  <w:r>
                    <w:rPr>
                      <w:b/>
                      <w:color w:val="auto"/>
                    </w:rPr>
                    <w:t>Z</w:t>
                  </w:r>
                </w:p>
              </w:tc>
              <w:tc>
                <w:tcPr>
                  <w:tcW w:w="260" w:type="pct"/>
                  <w:vMerge w:val="continue"/>
                  <w:noWrap w:val="0"/>
                  <w:vAlign w:val="center"/>
                </w:tcPr>
                <w:p w14:paraId="3EEB600A">
                  <w:pPr>
                    <w:adjustRightInd w:val="0"/>
                    <w:snapToGrid w:val="0"/>
                    <w:ind w:left="-105" w:leftChars="-50" w:right="-105" w:rightChars="-50"/>
                    <w:jc w:val="center"/>
                    <w:rPr>
                      <w:b/>
                      <w:color w:val="auto"/>
                    </w:rPr>
                  </w:pPr>
                </w:p>
              </w:tc>
              <w:tc>
                <w:tcPr>
                  <w:tcW w:w="258" w:type="pct"/>
                  <w:vMerge w:val="continue"/>
                  <w:noWrap w:val="0"/>
                  <w:vAlign w:val="center"/>
                </w:tcPr>
                <w:p w14:paraId="7478532C">
                  <w:pPr>
                    <w:adjustRightInd w:val="0"/>
                    <w:snapToGrid w:val="0"/>
                    <w:ind w:left="-105" w:leftChars="-50" w:right="-105" w:rightChars="-50"/>
                    <w:jc w:val="center"/>
                    <w:rPr>
                      <w:b/>
                      <w:color w:val="auto"/>
                    </w:rPr>
                  </w:pPr>
                </w:p>
              </w:tc>
              <w:tc>
                <w:tcPr>
                  <w:tcW w:w="200" w:type="pct"/>
                  <w:vMerge w:val="continue"/>
                  <w:noWrap w:val="0"/>
                  <w:vAlign w:val="center"/>
                </w:tcPr>
                <w:p w14:paraId="1E4F8486">
                  <w:pPr>
                    <w:adjustRightInd w:val="0"/>
                    <w:snapToGrid w:val="0"/>
                    <w:ind w:left="-105" w:leftChars="-50" w:right="-105" w:rightChars="-50"/>
                    <w:jc w:val="center"/>
                    <w:rPr>
                      <w:b/>
                      <w:color w:val="auto"/>
                    </w:rPr>
                  </w:pPr>
                </w:p>
              </w:tc>
              <w:tc>
                <w:tcPr>
                  <w:tcW w:w="360" w:type="pct"/>
                  <w:vMerge w:val="continue"/>
                  <w:noWrap w:val="0"/>
                  <w:vAlign w:val="center"/>
                </w:tcPr>
                <w:p w14:paraId="158A412F">
                  <w:pPr>
                    <w:adjustRightInd w:val="0"/>
                    <w:snapToGrid w:val="0"/>
                    <w:ind w:left="-105" w:leftChars="-50" w:right="-105" w:rightChars="-50"/>
                    <w:jc w:val="center"/>
                    <w:rPr>
                      <w:b/>
                      <w:color w:val="auto"/>
                    </w:rPr>
                  </w:pPr>
                </w:p>
              </w:tc>
              <w:tc>
                <w:tcPr>
                  <w:tcW w:w="360" w:type="pct"/>
                  <w:noWrap w:val="0"/>
                  <w:vAlign w:val="center"/>
                </w:tcPr>
                <w:p w14:paraId="2D2A57D7">
                  <w:pPr>
                    <w:adjustRightInd w:val="0"/>
                    <w:snapToGrid w:val="0"/>
                    <w:ind w:left="-105" w:leftChars="-50" w:right="-105" w:rightChars="-50"/>
                    <w:jc w:val="center"/>
                    <w:rPr>
                      <w:b/>
                      <w:color w:val="auto"/>
                    </w:rPr>
                  </w:pPr>
                  <w:r>
                    <w:rPr>
                      <w:rFonts w:hAnsi="宋体"/>
                      <w:b/>
                      <w:color w:val="auto"/>
                    </w:rPr>
                    <w:t>声压级</w:t>
                  </w:r>
                  <w:r>
                    <w:rPr>
                      <w:b/>
                      <w:color w:val="auto"/>
                    </w:rPr>
                    <w:t>/dB(A)</w:t>
                  </w:r>
                </w:p>
              </w:tc>
              <w:tc>
                <w:tcPr>
                  <w:tcW w:w="386" w:type="pct"/>
                  <w:noWrap w:val="0"/>
                  <w:vAlign w:val="center"/>
                </w:tcPr>
                <w:p w14:paraId="4DED9A5D">
                  <w:pPr>
                    <w:adjustRightInd w:val="0"/>
                    <w:snapToGrid w:val="0"/>
                    <w:ind w:left="-105" w:leftChars="-50" w:right="-105" w:rightChars="-50"/>
                    <w:jc w:val="center"/>
                    <w:rPr>
                      <w:b/>
                      <w:color w:val="auto"/>
                    </w:rPr>
                  </w:pPr>
                  <w:r>
                    <w:rPr>
                      <w:rFonts w:hAnsi="宋体"/>
                      <w:b/>
                      <w:color w:val="auto"/>
                    </w:rPr>
                    <w:t>建筑物外距离</w:t>
                  </w:r>
                </w:p>
              </w:tc>
            </w:tr>
            <w:tr w14:paraId="66335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41BA9562">
                  <w:pPr>
                    <w:adjustRightInd w:val="0"/>
                    <w:snapToGrid w:val="0"/>
                    <w:ind w:left="-105" w:leftChars="-50" w:right="-105" w:rightChars="-50"/>
                    <w:jc w:val="center"/>
                    <w:rPr>
                      <w:color w:val="auto"/>
                    </w:rPr>
                  </w:pPr>
                  <w:r>
                    <w:rPr>
                      <w:color w:val="auto"/>
                    </w:rPr>
                    <w:t>1</w:t>
                  </w:r>
                </w:p>
              </w:tc>
              <w:tc>
                <w:tcPr>
                  <w:tcW w:w="210" w:type="pct"/>
                  <w:vMerge w:val="restart"/>
                  <w:noWrap w:val="0"/>
                  <w:vAlign w:val="center"/>
                </w:tcPr>
                <w:p w14:paraId="58EA05A0">
                  <w:pPr>
                    <w:adjustRightInd w:val="0"/>
                    <w:snapToGrid w:val="0"/>
                    <w:ind w:left="-105" w:leftChars="-50" w:right="-105" w:rightChars="-50"/>
                    <w:jc w:val="center"/>
                    <w:rPr>
                      <w:rFonts w:hint="default" w:hAnsi="宋体"/>
                      <w:color w:val="auto"/>
                      <w:lang w:val="en-US" w:eastAsia="zh-CN"/>
                    </w:rPr>
                  </w:pPr>
                  <w:r>
                    <w:rPr>
                      <w:rFonts w:hint="eastAsia" w:hAnsi="宋体"/>
                      <w:color w:val="auto"/>
                      <w:lang w:eastAsia="zh-CN"/>
                    </w:rPr>
                    <w:t>生产车间</w:t>
                  </w:r>
                </w:p>
              </w:tc>
              <w:tc>
                <w:tcPr>
                  <w:tcW w:w="681" w:type="pct"/>
                  <w:noWrap w:val="0"/>
                  <w:vAlign w:val="center"/>
                </w:tcPr>
                <w:p w14:paraId="3A34BAF9">
                  <w:pPr>
                    <w:keepNext w:val="0"/>
                    <w:keepLines w:val="0"/>
                    <w:widowControl/>
                    <w:suppressLineNumbers w:val="0"/>
                    <w:jc w:val="center"/>
                    <w:textAlignment w:val="center"/>
                    <w:rPr>
                      <w:rFonts w:hint="eastAsia" w:ascii="Times New Roman" w:hAnsi="Times New Roman" w:eastAsia="宋体" w:cs="Times New Roman"/>
                      <w:color w:val="auto"/>
                      <w:lang w:val="en-US" w:eastAsia="zh-CN"/>
                    </w:rPr>
                  </w:pPr>
                  <w:r>
                    <w:rPr>
                      <w:rFonts w:hint="eastAsia" w:cs="Times New Roman"/>
                      <w:i w:val="0"/>
                      <w:iCs w:val="0"/>
                      <w:color w:val="auto"/>
                      <w:kern w:val="0"/>
                      <w:sz w:val="21"/>
                      <w:szCs w:val="21"/>
                      <w:u w:val="none"/>
                      <w:lang w:val="en-US" w:eastAsia="zh-CN" w:bidi="ar"/>
                    </w:rPr>
                    <w:t>1#</w:t>
                  </w:r>
                  <w:r>
                    <w:rPr>
                      <w:rFonts w:hint="default" w:ascii="Times New Roman" w:hAnsi="Times New Roman" w:cs="Times New Roman"/>
                      <w:i w:val="0"/>
                      <w:iCs w:val="0"/>
                      <w:color w:val="auto"/>
                      <w:kern w:val="0"/>
                      <w:sz w:val="21"/>
                      <w:szCs w:val="21"/>
                      <w:u w:val="none"/>
                      <w:lang w:val="en-US" w:eastAsia="zh-CN" w:bidi="ar"/>
                    </w:rPr>
                    <w:t>切割机</w:t>
                  </w:r>
                </w:p>
              </w:tc>
              <w:tc>
                <w:tcPr>
                  <w:tcW w:w="278" w:type="pct"/>
                  <w:noWrap w:val="0"/>
                  <w:vAlign w:val="center"/>
                </w:tcPr>
                <w:p w14:paraId="4FEDBD58">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78EF0A22">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1</w:t>
                  </w:r>
                </w:p>
              </w:tc>
              <w:tc>
                <w:tcPr>
                  <w:tcW w:w="550" w:type="pct"/>
                  <w:noWrap w:val="0"/>
                  <w:vAlign w:val="center"/>
                </w:tcPr>
                <w:p w14:paraId="6B60A573">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80/2</w:t>
                  </w:r>
                </w:p>
              </w:tc>
              <w:tc>
                <w:tcPr>
                  <w:tcW w:w="400" w:type="pct"/>
                  <w:vMerge w:val="restart"/>
                  <w:noWrap w:val="0"/>
                  <w:vAlign w:val="center"/>
                </w:tcPr>
                <w:p w14:paraId="65E0D0B6">
                  <w:pPr>
                    <w:adjustRightInd w:val="0"/>
                    <w:snapToGrid w:val="0"/>
                    <w:ind w:left="-105" w:leftChars="-50" w:right="-105" w:rightChars="-50"/>
                    <w:jc w:val="center"/>
                    <w:rPr>
                      <w:rFonts w:hAnsi="宋体"/>
                      <w:bCs/>
                      <w:color w:val="auto"/>
                      <w:szCs w:val="20"/>
                    </w:rPr>
                  </w:pPr>
                  <w:r>
                    <w:rPr>
                      <w:rFonts w:hAnsi="宋体"/>
                      <w:bCs/>
                      <w:color w:val="auto"/>
                      <w:szCs w:val="20"/>
                    </w:rPr>
                    <w:t>减振、厂房隔音</w:t>
                  </w:r>
                </w:p>
              </w:tc>
              <w:tc>
                <w:tcPr>
                  <w:tcW w:w="207" w:type="pct"/>
                  <w:noWrap w:val="0"/>
                  <w:vAlign w:val="center"/>
                </w:tcPr>
                <w:p w14:paraId="36832FBB">
                  <w:pPr>
                    <w:adjustRightInd w:val="0"/>
                    <w:snapToGrid w:val="0"/>
                    <w:ind w:left="-105" w:leftChars="-50" w:right="-105" w:rightChars="-50"/>
                    <w:jc w:val="center"/>
                    <w:rPr>
                      <w:rFonts w:hint="default"/>
                      <w:color w:val="auto"/>
                      <w:lang w:val="en-US" w:eastAsia="zh-CN"/>
                    </w:rPr>
                  </w:pPr>
                  <w:r>
                    <w:rPr>
                      <w:rFonts w:hint="eastAsia"/>
                      <w:color w:val="auto"/>
                      <w:lang w:val="en-US" w:eastAsia="zh-CN"/>
                    </w:rPr>
                    <w:t>3</w:t>
                  </w:r>
                </w:p>
              </w:tc>
              <w:tc>
                <w:tcPr>
                  <w:tcW w:w="207" w:type="pct"/>
                  <w:noWrap w:val="0"/>
                  <w:vAlign w:val="center"/>
                </w:tcPr>
                <w:p w14:paraId="2A1FA989">
                  <w:pPr>
                    <w:adjustRightInd w:val="0"/>
                    <w:snapToGrid w:val="0"/>
                    <w:ind w:left="-105" w:leftChars="-50" w:right="-105" w:rightChars="-50"/>
                    <w:jc w:val="center"/>
                    <w:rPr>
                      <w:rFonts w:hint="default"/>
                      <w:color w:val="auto"/>
                      <w:lang w:val="en-US" w:eastAsia="zh-CN"/>
                    </w:rPr>
                  </w:pPr>
                  <w:r>
                    <w:rPr>
                      <w:rFonts w:hint="eastAsia"/>
                      <w:color w:val="auto"/>
                      <w:lang w:val="en-US" w:eastAsia="zh-CN"/>
                    </w:rPr>
                    <w:t>55</w:t>
                  </w:r>
                </w:p>
              </w:tc>
              <w:tc>
                <w:tcPr>
                  <w:tcW w:w="229" w:type="pct"/>
                  <w:noWrap w:val="0"/>
                  <w:vAlign w:val="center"/>
                </w:tcPr>
                <w:p w14:paraId="1DE7C3AB">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260" w:type="pct"/>
                  <w:noWrap w:val="0"/>
                  <w:vAlign w:val="center"/>
                </w:tcPr>
                <w:p w14:paraId="4B05229D">
                  <w:pPr>
                    <w:adjustRightInd w:val="0"/>
                    <w:snapToGrid w:val="0"/>
                    <w:ind w:left="-105" w:leftChars="-50" w:right="-105" w:rightChars="-50"/>
                    <w:jc w:val="center"/>
                    <w:rPr>
                      <w:rFonts w:hint="default"/>
                      <w:color w:val="auto"/>
                      <w:lang w:val="en-US" w:eastAsia="zh-CN"/>
                    </w:rPr>
                  </w:pPr>
                  <w:r>
                    <w:rPr>
                      <w:rFonts w:hint="eastAsia"/>
                      <w:color w:val="auto"/>
                      <w:lang w:val="en-US" w:eastAsia="zh-CN"/>
                    </w:rPr>
                    <w:t>4</w:t>
                  </w:r>
                </w:p>
              </w:tc>
              <w:tc>
                <w:tcPr>
                  <w:tcW w:w="258" w:type="pct"/>
                  <w:noWrap w:val="0"/>
                  <w:vAlign w:val="center"/>
                </w:tcPr>
                <w:p w14:paraId="367A1E1E">
                  <w:pPr>
                    <w:adjustRightInd w:val="0"/>
                    <w:snapToGrid w:val="0"/>
                    <w:ind w:left="-105" w:leftChars="-50" w:right="-105" w:rightChars="-50"/>
                    <w:jc w:val="center"/>
                    <w:rPr>
                      <w:rFonts w:hint="default"/>
                      <w:color w:val="auto"/>
                      <w:lang w:val="en-US" w:eastAsia="zh-CN"/>
                    </w:rPr>
                  </w:pPr>
                  <w:r>
                    <w:rPr>
                      <w:rFonts w:hint="eastAsia"/>
                      <w:color w:val="auto"/>
                      <w:lang w:val="en-US" w:eastAsia="zh-CN"/>
                    </w:rPr>
                    <w:t>68.0</w:t>
                  </w:r>
                </w:p>
              </w:tc>
              <w:tc>
                <w:tcPr>
                  <w:tcW w:w="200" w:type="pct"/>
                  <w:noWrap w:val="0"/>
                  <w:vAlign w:val="center"/>
                </w:tcPr>
                <w:p w14:paraId="29CEAAAA">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614F211F">
                  <w:pPr>
                    <w:adjustRightInd w:val="0"/>
                    <w:snapToGrid w:val="0"/>
                    <w:ind w:left="-105" w:leftChars="-50" w:right="-105" w:rightChars="-50"/>
                    <w:jc w:val="center"/>
                    <w:rPr>
                      <w:rFonts w:hint="default"/>
                      <w:color w:val="auto"/>
                      <w:lang w:val="en-US" w:eastAsia="zh-CN"/>
                    </w:rPr>
                  </w:pPr>
                  <w:r>
                    <w:rPr>
                      <w:rFonts w:hint="eastAsia"/>
                      <w:color w:val="auto"/>
                      <w:lang w:val="en-US" w:eastAsia="zh-CN"/>
                    </w:rPr>
                    <w:t>26</w:t>
                  </w:r>
                </w:p>
              </w:tc>
              <w:tc>
                <w:tcPr>
                  <w:tcW w:w="360" w:type="pct"/>
                  <w:noWrap w:val="0"/>
                  <w:vAlign w:val="center"/>
                </w:tcPr>
                <w:p w14:paraId="7E9744C6">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42</w:t>
                  </w:r>
                </w:p>
              </w:tc>
              <w:tc>
                <w:tcPr>
                  <w:tcW w:w="386" w:type="pct"/>
                  <w:noWrap w:val="0"/>
                  <w:vAlign w:val="center"/>
                </w:tcPr>
                <w:p w14:paraId="37217CE6">
                  <w:pPr>
                    <w:adjustRightInd w:val="0"/>
                    <w:snapToGrid w:val="0"/>
                    <w:ind w:left="-105" w:leftChars="-50" w:right="-105" w:rightChars="-50"/>
                    <w:jc w:val="center"/>
                    <w:rPr>
                      <w:color w:val="auto"/>
                    </w:rPr>
                  </w:pPr>
                  <w:r>
                    <w:rPr>
                      <w:color w:val="auto"/>
                    </w:rPr>
                    <w:t>1m</w:t>
                  </w:r>
                </w:p>
              </w:tc>
            </w:tr>
            <w:tr w14:paraId="36680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755EF82E">
                  <w:pPr>
                    <w:adjustRightInd w:val="0"/>
                    <w:snapToGrid w:val="0"/>
                    <w:ind w:left="-105" w:leftChars="-50" w:right="-105" w:rightChars="-50"/>
                    <w:jc w:val="center"/>
                    <w:rPr>
                      <w:rFonts w:hint="eastAsia" w:eastAsia="宋体"/>
                      <w:color w:val="auto"/>
                      <w:lang w:val="en-US" w:eastAsia="zh-CN"/>
                    </w:rPr>
                  </w:pPr>
                  <w:r>
                    <w:rPr>
                      <w:rFonts w:hint="eastAsia"/>
                      <w:color w:val="auto"/>
                      <w:lang w:val="en-US" w:eastAsia="zh-CN"/>
                    </w:rPr>
                    <w:t>2</w:t>
                  </w:r>
                </w:p>
              </w:tc>
              <w:tc>
                <w:tcPr>
                  <w:tcW w:w="210" w:type="pct"/>
                  <w:vMerge w:val="continue"/>
                  <w:noWrap w:val="0"/>
                  <w:vAlign w:val="center"/>
                </w:tcPr>
                <w:p w14:paraId="46E60BE4">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1A90D8A7">
                  <w:pPr>
                    <w:keepNext w:val="0"/>
                    <w:keepLines w:val="0"/>
                    <w:widowControl/>
                    <w:suppressLineNumbers w:val="0"/>
                    <w:jc w:val="center"/>
                    <w:textAlignment w:val="center"/>
                    <w:rPr>
                      <w:rFonts w:hint="default" w:ascii="Times New Roman" w:hAnsi="Times New Roman" w:eastAsia="宋体" w:cs="Times New Roman"/>
                      <w:color w:val="auto"/>
                      <w:lang w:val="en-US" w:eastAsia="zh-CN"/>
                    </w:rPr>
                  </w:pPr>
                  <w:r>
                    <w:rPr>
                      <w:rFonts w:hint="eastAsia" w:cs="Times New Roman"/>
                      <w:i w:val="0"/>
                      <w:iCs w:val="0"/>
                      <w:color w:val="auto"/>
                      <w:kern w:val="0"/>
                      <w:sz w:val="21"/>
                      <w:szCs w:val="21"/>
                      <w:u w:val="none"/>
                      <w:lang w:val="en-US" w:eastAsia="zh-CN" w:bidi="ar"/>
                    </w:rPr>
                    <w:t>2#</w:t>
                  </w:r>
                  <w:r>
                    <w:rPr>
                      <w:rFonts w:hint="default" w:ascii="Times New Roman" w:hAnsi="Times New Roman" w:cs="Times New Roman"/>
                      <w:i w:val="0"/>
                      <w:iCs w:val="0"/>
                      <w:color w:val="auto"/>
                      <w:kern w:val="0"/>
                      <w:sz w:val="21"/>
                      <w:szCs w:val="21"/>
                      <w:u w:val="none"/>
                      <w:lang w:val="en-US" w:eastAsia="zh-CN" w:bidi="ar"/>
                    </w:rPr>
                    <w:t>切割机</w:t>
                  </w:r>
                </w:p>
              </w:tc>
              <w:tc>
                <w:tcPr>
                  <w:tcW w:w="278" w:type="pct"/>
                  <w:noWrap w:val="0"/>
                  <w:vAlign w:val="center"/>
                </w:tcPr>
                <w:p w14:paraId="73DC8CDB">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7CA5B67B">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550" w:type="pct"/>
                  <w:noWrap w:val="0"/>
                  <w:vAlign w:val="center"/>
                </w:tcPr>
                <w:p w14:paraId="5E4D45EE">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610A773C">
                  <w:pPr>
                    <w:adjustRightInd w:val="0"/>
                    <w:snapToGrid w:val="0"/>
                    <w:ind w:left="-105" w:leftChars="-50" w:right="-105" w:rightChars="-50"/>
                    <w:jc w:val="center"/>
                    <w:rPr>
                      <w:rFonts w:hAnsi="宋体"/>
                      <w:bCs/>
                      <w:color w:val="auto"/>
                      <w:szCs w:val="20"/>
                    </w:rPr>
                  </w:pPr>
                </w:p>
              </w:tc>
              <w:tc>
                <w:tcPr>
                  <w:tcW w:w="207" w:type="pct"/>
                  <w:noWrap w:val="0"/>
                  <w:vAlign w:val="center"/>
                </w:tcPr>
                <w:p w14:paraId="603B0539">
                  <w:pPr>
                    <w:adjustRightInd w:val="0"/>
                    <w:snapToGrid w:val="0"/>
                    <w:ind w:left="-105" w:leftChars="-50" w:right="-105" w:rightChars="-50"/>
                    <w:jc w:val="center"/>
                    <w:rPr>
                      <w:rFonts w:hint="default"/>
                      <w:color w:val="auto"/>
                      <w:lang w:val="en-US" w:eastAsia="zh-CN"/>
                    </w:rPr>
                  </w:pPr>
                  <w:r>
                    <w:rPr>
                      <w:rFonts w:hint="eastAsia"/>
                      <w:color w:val="auto"/>
                      <w:lang w:val="en-US" w:eastAsia="zh-CN"/>
                    </w:rPr>
                    <w:t>8</w:t>
                  </w:r>
                </w:p>
              </w:tc>
              <w:tc>
                <w:tcPr>
                  <w:tcW w:w="207" w:type="pct"/>
                  <w:noWrap w:val="0"/>
                  <w:vAlign w:val="center"/>
                </w:tcPr>
                <w:p w14:paraId="5FA61101">
                  <w:pPr>
                    <w:adjustRightInd w:val="0"/>
                    <w:snapToGrid w:val="0"/>
                    <w:ind w:left="-105" w:leftChars="-50" w:right="-105" w:rightChars="-50"/>
                    <w:jc w:val="center"/>
                    <w:rPr>
                      <w:rFonts w:hint="default"/>
                      <w:color w:val="auto"/>
                      <w:lang w:val="en-US" w:eastAsia="zh-CN"/>
                    </w:rPr>
                  </w:pPr>
                  <w:r>
                    <w:rPr>
                      <w:rFonts w:hint="eastAsia"/>
                      <w:color w:val="auto"/>
                      <w:lang w:val="en-US" w:eastAsia="zh-CN"/>
                    </w:rPr>
                    <w:t>55</w:t>
                  </w:r>
                </w:p>
              </w:tc>
              <w:tc>
                <w:tcPr>
                  <w:tcW w:w="229" w:type="pct"/>
                  <w:noWrap w:val="0"/>
                  <w:vAlign w:val="center"/>
                </w:tcPr>
                <w:p w14:paraId="481C799D">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4444D161">
                  <w:pPr>
                    <w:adjustRightInd w:val="0"/>
                    <w:snapToGrid w:val="0"/>
                    <w:ind w:left="-105" w:leftChars="-50" w:right="-105" w:rightChars="-50"/>
                    <w:jc w:val="center"/>
                    <w:rPr>
                      <w:rFonts w:hint="default"/>
                      <w:color w:val="auto"/>
                      <w:lang w:val="en-US" w:eastAsia="zh-CN"/>
                    </w:rPr>
                  </w:pPr>
                  <w:r>
                    <w:rPr>
                      <w:rFonts w:hint="eastAsia"/>
                      <w:color w:val="auto"/>
                      <w:lang w:val="en-US" w:eastAsia="zh-CN"/>
                    </w:rPr>
                    <w:t>5</w:t>
                  </w:r>
                </w:p>
              </w:tc>
              <w:tc>
                <w:tcPr>
                  <w:tcW w:w="258" w:type="pct"/>
                  <w:noWrap w:val="0"/>
                  <w:vAlign w:val="center"/>
                </w:tcPr>
                <w:p w14:paraId="503BAE19">
                  <w:pPr>
                    <w:adjustRightInd w:val="0"/>
                    <w:snapToGrid w:val="0"/>
                    <w:ind w:left="-105" w:leftChars="-50" w:right="-105" w:rightChars="-50"/>
                    <w:jc w:val="center"/>
                    <w:rPr>
                      <w:rFonts w:hint="default"/>
                      <w:color w:val="auto"/>
                      <w:lang w:val="en-US" w:eastAsia="zh-CN"/>
                    </w:rPr>
                  </w:pPr>
                  <w:r>
                    <w:rPr>
                      <w:rFonts w:hint="eastAsia"/>
                      <w:color w:val="auto"/>
                      <w:lang w:val="en-US" w:eastAsia="zh-CN"/>
                    </w:rPr>
                    <w:t>66.0</w:t>
                  </w:r>
                </w:p>
              </w:tc>
              <w:tc>
                <w:tcPr>
                  <w:tcW w:w="200" w:type="pct"/>
                  <w:noWrap w:val="0"/>
                  <w:vAlign w:val="center"/>
                </w:tcPr>
                <w:p w14:paraId="53735A25">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062FD9CA">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6BA6C032">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w:t>
                  </w:r>
                  <w:r>
                    <w:rPr>
                      <w:rFonts w:hint="eastAsia" w:cs="Times New Roman"/>
                      <w:color w:val="auto"/>
                      <w:lang w:val="en-US" w:eastAsia="zh-CN"/>
                    </w:rPr>
                    <w:t>0</w:t>
                  </w:r>
                </w:p>
              </w:tc>
              <w:tc>
                <w:tcPr>
                  <w:tcW w:w="386" w:type="pct"/>
                  <w:noWrap w:val="0"/>
                  <w:vAlign w:val="center"/>
                </w:tcPr>
                <w:p w14:paraId="6BAB237C">
                  <w:pPr>
                    <w:adjustRightInd w:val="0"/>
                    <w:snapToGrid w:val="0"/>
                    <w:ind w:left="-105" w:leftChars="-50" w:right="-105" w:rightChars="-50"/>
                    <w:jc w:val="center"/>
                    <w:rPr>
                      <w:color w:val="auto"/>
                    </w:rPr>
                  </w:pPr>
                  <w:r>
                    <w:rPr>
                      <w:color w:val="auto"/>
                    </w:rPr>
                    <w:t>1m</w:t>
                  </w:r>
                </w:p>
              </w:tc>
            </w:tr>
            <w:tr w14:paraId="44CB9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383F5A6F">
                  <w:pPr>
                    <w:adjustRightInd w:val="0"/>
                    <w:snapToGrid w:val="0"/>
                    <w:ind w:left="-105" w:leftChars="-50" w:right="-105" w:rightChars="-50"/>
                    <w:jc w:val="center"/>
                    <w:rPr>
                      <w:rFonts w:hint="eastAsia" w:eastAsia="宋体"/>
                      <w:color w:val="auto"/>
                      <w:lang w:val="en-US" w:eastAsia="zh-CN"/>
                    </w:rPr>
                  </w:pPr>
                  <w:r>
                    <w:rPr>
                      <w:rFonts w:hint="eastAsia"/>
                      <w:color w:val="auto"/>
                      <w:lang w:val="en-US" w:eastAsia="zh-CN"/>
                    </w:rPr>
                    <w:t>3</w:t>
                  </w:r>
                </w:p>
              </w:tc>
              <w:tc>
                <w:tcPr>
                  <w:tcW w:w="210" w:type="pct"/>
                  <w:vMerge w:val="continue"/>
                  <w:noWrap w:val="0"/>
                  <w:vAlign w:val="center"/>
                </w:tcPr>
                <w:p w14:paraId="6C99E11D">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4C280BB8">
                  <w:pPr>
                    <w:keepNext w:val="0"/>
                    <w:keepLines w:val="0"/>
                    <w:widowControl/>
                    <w:suppressLineNumbers w:val="0"/>
                    <w:jc w:val="center"/>
                    <w:textAlignment w:val="center"/>
                    <w:rPr>
                      <w:rFonts w:hint="eastAsia" w:ascii="Times New Roman" w:hAnsi="Times New Roman" w:eastAsia="宋体" w:cs="Times New Roman"/>
                      <w:color w:val="auto"/>
                      <w:lang w:val="en-US" w:eastAsia="zh-CN"/>
                    </w:rPr>
                  </w:pPr>
                  <w:r>
                    <w:rPr>
                      <w:rFonts w:hint="eastAsia" w:cs="Times New Roman"/>
                      <w:i w:val="0"/>
                      <w:iCs w:val="0"/>
                      <w:color w:val="auto"/>
                      <w:kern w:val="0"/>
                      <w:sz w:val="21"/>
                      <w:szCs w:val="21"/>
                      <w:u w:val="none"/>
                      <w:lang w:val="en-US" w:eastAsia="zh-CN" w:bidi="ar"/>
                    </w:rPr>
                    <w:t>1#</w:t>
                  </w:r>
                  <w:r>
                    <w:rPr>
                      <w:rFonts w:hint="default" w:ascii="Times New Roman" w:hAnsi="Times New Roman" w:eastAsia="宋体" w:cs="Times New Roman"/>
                      <w:i w:val="0"/>
                      <w:iCs w:val="0"/>
                      <w:color w:val="auto"/>
                      <w:kern w:val="0"/>
                      <w:sz w:val="21"/>
                      <w:szCs w:val="21"/>
                      <w:u w:val="none"/>
                      <w:lang w:val="en-US" w:eastAsia="zh-CN" w:bidi="ar"/>
                    </w:rPr>
                    <w:t>加工中心</w:t>
                  </w:r>
                </w:p>
              </w:tc>
              <w:tc>
                <w:tcPr>
                  <w:tcW w:w="278" w:type="pct"/>
                  <w:noWrap w:val="0"/>
                  <w:vAlign w:val="center"/>
                </w:tcPr>
                <w:p w14:paraId="6C699AC5">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CNC850</w:t>
                  </w:r>
                </w:p>
              </w:tc>
              <w:tc>
                <w:tcPr>
                  <w:tcW w:w="227" w:type="pct"/>
                  <w:noWrap w:val="0"/>
                  <w:vAlign w:val="center"/>
                </w:tcPr>
                <w:p w14:paraId="5E6A6087">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550" w:type="pct"/>
                  <w:noWrap w:val="0"/>
                  <w:vAlign w:val="center"/>
                </w:tcPr>
                <w:p w14:paraId="42DB8552">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5FB16FEC">
                  <w:pPr>
                    <w:adjustRightInd w:val="0"/>
                    <w:snapToGrid w:val="0"/>
                    <w:ind w:left="-105" w:leftChars="-50" w:right="-105" w:rightChars="-50"/>
                    <w:jc w:val="center"/>
                    <w:rPr>
                      <w:rFonts w:hAnsi="宋体"/>
                      <w:bCs/>
                      <w:color w:val="auto"/>
                      <w:szCs w:val="20"/>
                    </w:rPr>
                  </w:pPr>
                </w:p>
              </w:tc>
              <w:tc>
                <w:tcPr>
                  <w:tcW w:w="207" w:type="pct"/>
                  <w:noWrap w:val="0"/>
                  <w:vAlign w:val="center"/>
                </w:tcPr>
                <w:p w14:paraId="582E4025">
                  <w:pPr>
                    <w:adjustRightInd w:val="0"/>
                    <w:snapToGrid w:val="0"/>
                    <w:ind w:left="-105" w:leftChars="-50" w:right="-105" w:rightChars="-50"/>
                    <w:jc w:val="center"/>
                    <w:rPr>
                      <w:rFonts w:hint="default"/>
                      <w:color w:val="auto"/>
                      <w:lang w:val="en-US" w:eastAsia="zh-CN"/>
                    </w:rPr>
                  </w:pPr>
                  <w:r>
                    <w:rPr>
                      <w:rFonts w:hint="eastAsia"/>
                      <w:color w:val="auto"/>
                      <w:lang w:val="en-US" w:eastAsia="zh-CN"/>
                    </w:rPr>
                    <w:t>15</w:t>
                  </w:r>
                </w:p>
              </w:tc>
              <w:tc>
                <w:tcPr>
                  <w:tcW w:w="207" w:type="pct"/>
                  <w:noWrap w:val="0"/>
                  <w:vAlign w:val="center"/>
                </w:tcPr>
                <w:p w14:paraId="38B5D8AD">
                  <w:pPr>
                    <w:adjustRightInd w:val="0"/>
                    <w:snapToGrid w:val="0"/>
                    <w:ind w:left="-105" w:leftChars="-50" w:right="-105" w:rightChars="-50"/>
                    <w:jc w:val="center"/>
                    <w:rPr>
                      <w:rFonts w:hint="default"/>
                      <w:color w:val="auto"/>
                      <w:lang w:val="en-US" w:eastAsia="zh-CN"/>
                    </w:rPr>
                  </w:pPr>
                  <w:r>
                    <w:rPr>
                      <w:rFonts w:hint="eastAsia"/>
                      <w:color w:val="auto"/>
                      <w:lang w:val="en-US" w:eastAsia="zh-CN"/>
                    </w:rPr>
                    <w:t>55</w:t>
                  </w:r>
                </w:p>
              </w:tc>
              <w:tc>
                <w:tcPr>
                  <w:tcW w:w="229" w:type="pct"/>
                  <w:noWrap w:val="0"/>
                  <w:vAlign w:val="center"/>
                </w:tcPr>
                <w:p w14:paraId="5BAC2E94">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7E8AB5A7">
                  <w:pPr>
                    <w:adjustRightInd w:val="0"/>
                    <w:snapToGrid w:val="0"/>
                    <w:ind w:left="-105" w:leftChars="-50" w:right="-105" w:rightChars="-50"/>
                    <w:jc w:val="center"/>
                    <w:rPr>
                      <w:rFonts w:hint="eastAsia"/>
                      <w:color w:val="auto"/>
                      <w:lang w:val="en-US" w:eastAsia="zh-CN"/>
                    </w:rPr>
                  </w:pPr>
                  <w:r>
                    <w:rPr>
                      <w:rFonts w:hint="eastAsia"/>
                      <w:color w:val="auto"/>
                      <w:lang w:val="en-US" w:eastAsia="zh-CN"/>
                    </w:rPr>
                    <w:t>4</w:t>
                  </w:r>
                </w:p>
              </w:tc>
              <w:tc>
                <w:tcPr>
                  <w:tcW w:w="258" w:type="pct"/>
                  <w:noWrap w:val="0"/>
                  <w:vAlign w:val="center"/>
                </w:tcPr>
                <w:p w14:paraId="1CD00D11">
                  <w:pPr>
                    <w:adjustRightInd w:val="0"/>
                    <w:snapToGrid w:val="0"/>
                    <w:ind w:left="-105" w:leftChars="-50" w:right="-105" w:rightChars="-50"/>
                    <w:jc w:val="center"/>
                    <w:rPr>
                      <w:rFonts w:hint="default"/>
                      <w:color w:val="auto"/>
                      <w:lang w:val="en-US" w:eastAsia="zh-CN"/>
                    </w:rPr>
                  </w:pPr>
                  <w:r>
                    <w:rPr>
                      <w:rFonts w:hint="eastAsia"/>
                      <w:color w:val="auto"/>
                      <w:lang w:val="en-US" w:eastAsia="zh-CN"/>
                    </w:rPr>
                    <w:t>68.0</w:t>
                  </w:r>
                </w:p>
              </w:tc>
              <w:tc>
                <w:tcPr>
                  <w:tcW w:w="200" w:type="pct"/>
                  <w:noWrap w:val="0"/>
                  <w:vAlign w:val="center"/>
                </w:tcPr>
                <w:p w14:paraId="0E43A8C4">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668C857E">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44A20645">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42</w:t>
                  </w:r>
                </w:p>
              </w:tc>
              <w:tc>
                <w:tcPr>
                  <w:tcW w:w="386" w:type="pct"/>
                  <w:noWrap w:val="0"/>
                  <w:vAlign w:val="center"/>
                </w:tcPr>
                <w:p w14:paraId="0F02812B">
                  <w:pPr>
                    <w:adjustRightInd w:val="0"/>
                    <w:snapToGrid w:val="0"/>
                    <w:ind w:left="-105" w:leftChars="-50" w:right="-105" w:rightChars="-50"/>
                    <w:jc w:val="center"/>
                    <w:rPr>
                      <w:color w:val="auto"/>
                    </w:rPr>
                  </w:pPr>
                  <w:r>
                    <w:rPr>
                      <w:color w:val="auto"/>
                    </w:rPr>
                    <w:t>1m</w:t>
                  </w:r>
                </w:p>
              </w:tc>
            </w:tr>
            <w:tr w14:paraId="53177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144CD254">
                  <w:pPr>
                    <w:adjustRightInd w:val="0"/>
                    <w:snapToGrid w:val="0"/>
                    <w:ind w:left="-105" w:leftChars="-50" w:right="-105" w:rightChars="-50"/>
                    <w:jc w:val="center"/>
                    <w:rPr>
                      <w:rFonts w:hint="eastAsia" w:eastAsia="宋体"/>
                      <w:color w:val="auto"/>
                      <w:lang w:val="en-US" w:eastAsia="zh-CN"/>
                    </w:rPr>
                  </w:pPr>
                  <w:r>
                    <w:rPr>
                      <w:rFonts w:hint="eastAsia"/>
                      <w:color w:val="auto"/>
                      <w:lang w:val="en-US" w:eastAsia="zh-CN"/>
                    </w:rPr>
                    <w:t>4</w:t>
                  </w:r>
                </w:p>
              </w:tc>
              <w:tc>
                <w:tcPr>
                  <w:tcW w:w="210" w:type="pct"/>
                  <w:vMerge w:val="continue"/>
                  <w:noWrap w:val="0"/>
                  <w:vAlign w:val="center"/>
                </w:tcPr>
                <w:p w14:paraId="1E9243AC">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1961B206">
                  <w:pPr>
                    <w:keepNext w:val="0"/>
                    <w:keepLines w:val="0"/>
                    <w:widowControl/>
                    <w:suppressLineNumbers w:val="0"/>
                    <w:jc w:val="center"/>
                    <w:textAlignment w:val="center"/>
                    <w:rPr>
                      <w:rFonts w:hint="eastAsia" w:ascii="Times New Roman" w:hAnsi="Times New Roman" w:eastAsia="宋体" w:cs="Times New Roman"/>
                      <w:color w:val="auto"/>
                      <w:lang w:val="en-US" w:eastAsia="zh-CN"/>
                    </w:rPr>
                  </w:pPr>
                  <w:r>
                    <w:rPr>
                      <w:rFonts w:hint="eastAsia" w:cs="Times New Roman"/>
                      <w:i w:val="0"/>
                      <w:iCs w:val="0"/>
                      <w:color w:val="auto"/>
                      <w:kern w:val="0"/>
                      <w:sz w:val="21"/>
                      <w:szCs w:val="21"/>
                      <w:u w:val="none"/>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加工中心</w:t>
                  </w:r>
                </w:p>
              </w:tc>
              <w:tc>
                <w:tcPr>
                  <w:tcW w:w="278" w:type="pct"/>
                  <w:noWrap w:val="0"/>
                  <w:vAlign w:val="center"/>
                </w:tcPr>
                <w:p w14:paraId="5B505352">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CNC850</w:t>
                  </w:r>
                </w:p>
              </w:tc>
              <w:tc>
                <w:tcPr>
                  <w:tcW w:w="227" w:type="pct"/>
                  <w:noWrap w:val="0"/>
                  <w:vAlign w:val="center"/>
                </w:tcPr>
                <w:p w14:paraId="10202318">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550" w:type="pct"/>
                  <w:noWrap w:val="0"/>
                  <w:vAlign w:val="center"/>
                </w:tcPr>
                <w:p w14:paraId="646EE292">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140028AD">
                  <w:pPr>
                    <w:adjustRightInd w:val="0"/>
                    <w:snapToGrid w:val="0"/>
                    <w:ind w:left="-105" w:leftChars="-50" w:right="-105" w:rightChars="-50"/>
                    <w:jc w:val="center"/>
                    <w:rPr>
                      <w:rFonts w:hAnsi="宋体"/>
                      <w:bCs/>
                      <w:color w:val="auto"/>
                      <w:szCs w:val="20"/>
                    </w:rPr>
                  </w:pPr>
                </w:p>
              </w:tc>
              <w:tc>
                <w:tcPr>
                  <w:tcW w:w="207" w:type="pct"/>
                  <w:noWrap w:val="0"/>
                  <w:vAlign w:val="center"/>
                </w:tcPr>
                <w:p w14:paraId="770331E4">
                  <w:pPr>
                    <w:adjustRightInd w:val="0"/>
                    <w:snapToGrid w:val="0"/>
                    <w:ind w:left="-105" w:leftChars="-50" w:right="-105" w:rightChars="-50"/>
                    <w:jc w:val="center"/>
                    <w:rPr>
                      <w:rFonts w:hint="default"/>
                      <w:color w:val="auto"/>
                      <w:lang w:val="en-US" w:eastAsia="zh-CN"/>
                    </w:rPr>
                  </w:pPr>
                  <w:r>
                    <w:rPr>
                      <w:rFonts w:hint="eastAsia"/>
                      <w:color w:val="auto"/>
                      <w:lang w:val="en-US" w:eastAsia="zh-CN"/>
                    </w:rPr>
                    <w:t>20</w:t>
                  </w:r>
                </w:p>
              </w:tc>
              <w:tc>
                <w:tcPr>
                  <w:tcW w:w="207" w:type="pct"/>
                  <w:noWrap w:val="0"/>
                  <w:vAlign w:val="center"/>
                </w:tcPr>
                <w:p w14:paraId="13143814">
                  <w:pPr>
                    <w:adjustRightInd w:val="0"/>
                    <w:snapToGrid w:val="0"/>
                    <w:ind w:left="-105" w:leftChars="-50" w:right="-105" w:rightChars="-50"/>
                    <w:jc w:val="center"/>
                    <w:rPr>
                      <w:rFonts w:hint="default"/>
                      <w:color w:val="auto"/>
                      <w:lang w:val="en-US" w:eastAsia="zh-CN"/>
                    </w:rPr>
                  </w:pPr>
                  <w:r>
                    <w:rPr>
                      <w:rFonts w:hint="eastAsia"/>
                      <w:color w:val="auto"/>
                      <w:lang w:val="en-US" w:eastAsia="zh-CN"/>
                    </w:rPr>
                    <w:t>55</w:t>
                  </w:r>
                </w:p>
              </w:tc>
              <w:tc>
                <w:tcPr>
                  <w:tcW w:w="229" w:type="pct"/>
                  <w:noWrap w:val="0"/>
                  <w:vAlign w:val="center"/>
                </w:tcPr>
                <w:p w14:paraId="2F8E05D9">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041C1D2B">
                  <w:pPr>
                    <w:adjustRightInd w:val="0"/>
                    <w:snapToGrid w:val="0"/>
                    <w:ind w:left="-105" w:leftChars="-50" w:right="-105" w:rightChars="-50"/>
                    <w:jc w:val="center"/>
                    <w:rPr>
                      <w:rFonts w:hint="eastAsia"/>
                      <w:color w:val="auto"/>
                      <w:lang w:val="en-US" w:eastAsia="zh-CN"/>
                    </w:rPr>
                  </w:pPr>
                  <w:r>
                    <w:rPr>
                      <w:rFonts w:hint="eastAsia"/>
                      <w:color w:val="auto"/>
                      <w:lang w:val="en-US" w:eastAsia="zh-CN"/>
                    </w:rPr>
                    <w:t>4</w:t>
                  </w:r>
                </w:p>
              </w:tc>
              <w:tc>
                <w:tcPr>
                  <w:tcW w:w="258" w:type="pct"/>
                  <w:noWrap w:val="0"/>
                  <w:vAlign w:val="center"/>
                </w:tcPr>
                <w:p w14:paraId="663C33FE">
                  <w:pPr>
                    <w:adjustRightInd w:val="0"/>
                    <w:snapToGrid w:val="0"/>
                    <w:ind w:left="-105" w:leftChars="-50" w:right="-105" w:rightChars="-50"/>
                    <w:jc w:val="center"/>
                    <w:rPr>
                      <w:rFonts w:hint="eastAsia"/>
                      <w:color w:val="auto"/>
                      <w:lang w:val="en-US" w:eastAsia="zh-CN"/>
                    </w:rPr>
                  </w:pPr>
                  <w:r>
                    <w:rPr>
                      <w:rFonts w:hint="eastAsia"/>
                      <w:color w:val="auto"/>
                      <w:lang w:val="en-US" w:eastAsia="zh-CN"/>
                    </w:rPr>
                    <w:t>68.0</w:t>
                  </w:r>
                </w:p>
              </w:tc>
              <w:tc>
                <w:tcPr>
                  <w:tcW w:w="200" w:type="pct"/>
                  <w:noWrap w:val="0"/>
                  <w:vAlign w:val="center"/>
                </w:tcPr>
                <w:p w14:paraId="6DBB2B7C">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58C5EB5F">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612DB5C6">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42</w:t>
                  </w:r>
                </w:p>
              </w:tc>
              <w:tc>
                <w:tcPr>
                  <w:tcW w:w="386" w:type="pct"/>
                  <w:noWrap w:val="0"/>
                  <w:vAlign w:val="center"/>
                </w:tcPr>
                <w:p w14:paraId="1EB2EC9A">
                  <w:pPr>
                    <w:adjustRightInd w:val="0"/>
                    <w:snapToGrid w:val="0"/>
                    <w:ind w:left="-105" w:leftChars="-50" w:right="-105" w:rightChars="-50"/>
                    <w:jc w:val="center"/>
                    <w:rPr>
                      <w:color w:val="auto"/>
                    </w:rPr>
                  </w:pPr>
                  <w:r>
                    <w:rPr>
                      <w:color w:val="auto"/>
                    </w:rPr>
                    <w:t>1m</w:t>
                  </w:r>
                </w:p>
              </w:tc>
            </w:tr>
            <w:tr w14:paraId="157D6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5BC63D27">
                  <w:pPr>
                    <w:adjustRightInd w:val="0"/>
                    <w:snapToGrid w:val="0"/>
                    <w:ind w:left="-105" w:leftChars="-50" w:right="-105" w:rightChars="-50"/>
                    <w:jc w:val="center"/>
                    <w:rPr>
                      <w:rFonts w:hint="eastAsia" w:eastAsia="宋体"/>
                      <w:color w:val="auto"/>
                      <w:lang w:val="en-US" w:eastAsia="zh-CN"/>
                    </w:rPr>
                  </w:pPr>
                  <w:r>
                    <w:rPr>
                      <w:rFonts w:hint="eastAsia"/>
                      <w:color w:val="auto"/>
                      <w:lang w:val="en-US" w:eastAsia="zh-CN"/>
                    </w:rPr>
                    <w:t>5</w:t>
                  </w:r>
                </w:p>
              </w:tc>
              <w:tc>
                <w:tcPr>
                  <w:tcW w:w="210" w:type="pct"/>
                  <w:vMerge w:val="continue"/>
                  <w:noWrap w:val="0"/>
                  <w:vAlign w:val="center"/>
                </w:tcPr>
                <w:p w14:paraId="6D1B493B">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449423DC">
                  <w:pPr>
                    <w:adjustRightInd w:val="0"/>
                    <w:snapToGrid w:val="0"/>
                    <w:jc w:val="center"/>
                    <w:rPr>
                      <w:rFonts w:hint="eastAsia" w:ascii="Times New Roman" w:hAnsi="Times New Roman" w:eastAsia="宋体" w:cs="Times New Roman"/>
                      <w:color w:val="auto"/>
                      <w:lang w:val="en-US" w:eastAsia="zh-CN"/>
                    </w:rPr>
                  </w:pPr>
                  <w:r>
                    <w:rPr>
                      <w:rFonts w:hint="eastAsia" w:cs="Times New Roman"/>
                      <w:i w:val="0"/>
                      <w:iCs w:val="0"/>
                      <w:color w:val="auto"/>
                      <w:kern w:val="0"/>
                      <w:sz w:val="21"/>
                      <w:szCs w:val="21"/>
                      <w:u w:val="none"/>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加工中心</w:t>
                  </w:r>
                </w:p>
              </w:tc>
              <w:tc>
                <w:tcPr>
                  <w:tcW w:w="278" w:type="pct"/>
                  <w:noWrap w:val="0"/>
                  <w:vAlign w:val="center"/>
                </w:tcPr>
                <w:p w14:paraId="22877D8F">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CNC850</w:t>
                  </w:r>
                </w:p>
              </w:tc>
              <w:tc>
                <w:tcPr>
                  <w:tcW w:w="227" w:type="pct"/>
                  <w:noWrap w:val="0"/>
                  <w:vAlign w:val="center"/>
                </w:tcPr>
                <w:p w14:paraId="0396BFF6">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550" w:type="pct"/>
                  <w:noWrap w:val="0"/>
                  <w:vAlign w:val="center"/>
                </w:tcPr>
                <w:p w14:paraId="0A40B3E7">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77B2C2A9">
                  <w:pPr>
                    <w:adjustRightInd w:val="0"/>
                    <w:snapToGrid w:val="0"/>
                    <w:ind w:left="-105" w:leftChars="-50" w:right="-105" w:rightChars="-50"/>
                    <w:jc w:val="center"/>
                    <w:rPr>
                      <w:rFonts w:hAnsi="宋体"/>
                      <w:bCs/>
                      <w:color w:val="auto"/>
                      <w:szCs w:val="20"/>
                    </w:rPr>
                  </w:pPr>
                </w:p>
              </w:tc>
              <w:tc>
                <w:tcPr>
                  <w:tcW w:w="207" w:type="pct"/>
                  <w:noWrap w:val="0"/>
                  <w:vAlign w:val="center"/>
                </w:tcPr>
                <w:p w14:paraId="295A02AA">
                  <w:pPr>
                    <w:adjustRightInd w:val="0"/>
                    <w:snapToGrid w:val="0"/>
                    <w:ind w:left="-105" w:leftChars="-50" w:right="-105" w:rightChars="-50"/>
                    <w:jc w:val="center"/>
                    <w:rPr>
                      <w:rFonts w:hint="default"/>
                      <w:color w:val="auto"/>
                      <w:lang w:val="en-US" w:eastAsia="zh-CN"/>
                    </w:rPr>
                  </w:pPr>
                  <w:r>
                    <w:rPr>
                      <w:rFonts w:hint="eastAsia"/>
                      <w:color w:val="auto"/>
                      <w:lang w:val="en-US" w:eastAsia="zh-CN"/>
                    </w:rPr>
                    <w:t>25</w:t>
                  </w:r>
                </w:p>
              </w:tc>
              <w:tc>
                <w:tcPr>
                  <w:tcW w:w="207" w:type="pct"/>
                  <w:noWrap w:val="0"/>
                  <w:vAlign w:val="center"/>
                </w:tcPr>
                <w:p w14:paraId="6A19E5E3">
                  <w:pPr>
                    <w:adjustRightInd w:val="0"/>
                    <w:snapToGrid w:val="0"/>
                    <w:ind w:left="-105" w:leftChars="-50" w:right="-105" w:rightChars="-50"/>
                    <w:jc w:val="center"/>
                    <w:rPr>
                      <w:rFonts w:hint="default"/>
                      <w:color w:val="auto"/>
                      <w:lang w:val="en-US" w:eastAsia="zh-CN"/>
                    </w:rPr>
                  </w:pPr>
                  <w:r>
                    <w:rPr>
                      <w:rFonts w:hint="eastAsia"/>
                      <w:color w:val="auto"/>
                      <w:lang w:val="en-US" w:eastAsia="zh-CN"/>
                    </w:rPr>
                    <w:t>55</w:t>
                  </w:r>
                </w:p>
              </w:tc>
              <w:tc>
                <w:tcPr>
                  <w:tcW w:w="229" w:type="pct"/>
                  <w:noWrap w:val="0"/>
                  <w:vAlign w:val="center"/>
                </w:tcPr>
                <w:p w14:paraId="09087D30">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6426F930">
                  <w:pPr>
                    <w:adjustRightInd w:val="0"/>
                    <w:snapToGrid w:val="0"/>
                    <w:ind w:left="-105" w:leftChars="-50" w:right="-105" w:rightChars="-50"/>
                    <w:jc w:val="center"/>
                    <w:rPr>
                      <w:rFonts w:hint="eastAsia"/>
                      <w:color w:val="auto"/>
                      <w:lang w:val="en-US" w:eastAsia="zh-CN"/>
                    </w:rPr>
                  </w:pPr>
                  <w:r>
                    <w:rPr>
                      <w:rFonts w:hint="eastAsia"/>
                      <w:color w:val="auto"/>
                      <w:lang w:val="en-US" w:eastAsia="zh-CN"/>
                    </w:rPr>
                    <w:t>4</w:t>
                  </w:r>
                </w:p>
              </w:tc>
              <w:tc>
                <w:tcPr>
                  <w:tcW w:w="258" w:type="pct"/>
                  <w:noWrap w:val="0"/>
                  <w:vAlign w:val="center"/>
                </w:tcPr>
                <w:p w14:paraId="487D9755">
                  <w:pPr>
                    <w:adjustRightInd w:val="0"/>
                    <w:snapToGrid w:val="0"/>
                    <w:ind w:left="-105" w:leftChars="-50" w:right="-105" w:rightChars="-50"/>
                    <w:jc w:val="center"/>
                    <w:rPr>
                      <w:rFonts w:hint="eastAsia"/>
                      <w:color w:val="auto"/>
                      <w:lang w:val="en-US" w:eastAsia="zh-CN"/>
                    </w:rPr>
                  </w:pPr>
                  <w:r>
                    <w:rPr>
                      <w:rFonts w:hint="eastAsia"/>
                      <w:color w:val="auto"/>
                      <w:lang w:val="en-US" w:eastAsia="zh-CN"/>
                    </w:rPr>
                    <w:t>68.0</w:t>
                  </w:r>
                </w:p>
              </w:tc>
              <w:tc>
                <w:tcPr>
                  <w:tcW w:w="200" w:type="pct"/>
                  <w:noWrap w:val="0"/>
                  <w:vAlign w:val="center"/>
                </w:tcPr>
                <w:p w14:paraId="722A5356">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7FD302FE">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70828E96">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42</w:t>
                  </w:r>
                </w:p>
              </w:tc>
              <w:tc>
                <w:tcPr>
                  <w:tcW w:w="386" w:type="pct"/>
                  <w:noWrap w:val="0"/>
                  <w:vAlign w:val="center"/>
                </w:tcPr>
                <w:p w14:paraId="41E6C7F6">
                  <w:pPr>
                    <w:adjustRightInd w:val="0"/>
                    <w:snapToGrid w:val="0"/>
                    <w:ind w:left="-105" w:leftChars="-50" w:right="-105" w:rightChars="-50"/>
                    <w:jc w:val="center"/>
                    <w:rPr>
                      <w:color w:val="auto"/>
                    </w:rPr>
                  </w:pPr>
                  <w:r>
                    <w:rPr>
                      <w:color w:val="auto"/>
                    </w:rPr>
                    <w:t>1m</w:t>
                  </w:r>
                </w:p>
              </w:tc>
            </w:tr>
            <w:tr w14:paraId="20196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17C7091E">
                  <w:pPr>
                    <w:adjustRightInd w:val="0"/>
                    <w:snapToGrid w:val="0"/>
                    <w:ind w:left="-105" w:leftChars="-50" w:right="-105" w:rightChars="-50"/>
                    <w:jc w:val="center"/>
                    <w:rPr>
                      <w:rFonts w:hint="eastAsia" w:eastAsia="宋体"/>
                      <w:color w:val="auto"/>
                      <w:lang w:val="en-US" w:eastAsia="zh-CN"/>
                    </w:rPr>
                  </w:pPr>
                  <w:r>
                    <w:rPr>
                      <w:rFonts w:hint="eastAsia"/>
                      <w:color w:val="auto"/>
                      <w:lang w:val="en-US" w:eastAsia="zh-CN"/>
                    </w:rPr>
                    <w:t>6</w:t>
                  </w:r>
                </w:p>
              </w:tc>
              <w:tc>
                <w:tcPr>
                  <w:tcW w:w="210" w:type="pct"/>
                  <w:vMerge w:val="continue"/>
                  <w:noWrap w:val="0"/>
                  <w:vAlign w:val="center"/>
                </w:tcPr>
                <w:p w14:paraId="5DE959B4">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4206C953">
                  <w:pPr>
                    <w:adjustRightInd w:val="0"/>
                    <w:snapToGrid w:val="0"/>
                    <w:jc w:val="center"/>
                    <w:rPr>
                      <w:rFonts w:hint="eastAsia" w:ascii="Times New Roman" w:hAnsi="Times New Roman" w:eastAsia="宋体" w:cs="Times New Roman"/>
                      <w:color w:val="auto"/>
                      <w:lang w:val="en-US" w:eastAsia="zh-CN"/>
                    </w:rPr>
                  </w:pPr>
                  <w:r>
                    <w:rPr>
                      <w:rFonts w:hint="eastAsia" w:cs="Times New Roman"/>
                      <w:i w:val="0"/>
                      <w:iCs w:val="0"/>
                      <w:color w:val="auto"/>
                      <w:kern w:val="0"/>
                      <w:sz w:val="21"/>
                      <w:szCs w:val="21"/>
                      <w:u w:val="none"/>
                      <w:lang w:val="en-US" w:eastAsia="zh-CN" w:bidi="ar"/>
                    </w:rPr>
                    <w:t>4#</w:t>
                  </w:r>
                  <w:r>
                    <w:rPr>
                      <w:rFonts w:hint="default" w:ascii="Times New Roman" w:hAnsi="Times New Roman" w:eastAsia="宋体" w:cs="Times New Roman"/>
                      <w:i w:val="0"/>
                      <w:iCs w:val="0"/>
                      <w:color w:val="auto"/>
                      <w:kern w:val="0"/>
                      <w:sz w:val="21"/>
                      <w:szCs w:val="21"/>
                      <w:u w:val="none"/>
                      <w:lang w:val="en-US" w:eastAsia="zh-CN" w:bidi="ar"/>
                    </w:rPr>
                    <w:t>加工中心</w:t>
                  </w:r>
                </w:p>
              </w:tc>
              <w:tc>
                <w:tcPr>
                  <w:tcW w:w="278" w:type="pct"/>
                  <w:noWrap w:val="0"/>
                  <w:vAlign w:val="center"/>
                </w:tcPr>
                <w:p w14:paraId="1C1958BC">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CNC850</w:t>
                  </w:r>
                </w:p>
              </w:tc>
              <w:tc>
                <w:tcPr>
                  <w:tcW w:w="227" w:type="pct"/>
                  <w:noWrap w:val="0"/>
                  <w:vAlign w:val="center"/>
                </w:tcPr>
                <w:p w14:paraId="1C8D9DAA">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550" w:type="pct"/>
                  <w:noWrap w:val="0"/>
                  <w:vAlign w:val="center"/>
                </w:tcPr>
                <w:p w14:paraId="2A808997">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103E93E0">
                  <w:pPr>
                    <w:adjustRightInd w:val="0"/>
                    <w:snapToGrid w:val="0"/>
                    <w:ind w:left="-105" w:leftChars="-50" w:right="-105" w:rightChars="-50"/>
                    <w:jc w:val="center"/>
                    <w:rPr>
                      <w:rFonts w:hAnsi="宋体"/>
                      <w:bCs/>
                      <w:color w:val="auto"/>
                      <w:szCs w:val="20"/>
                    </w:rPr>
                  </w:pPr>
                </w:p>
              </w:tc>
              <w:tc>
                <w:tcPr>
                  <w:tcW w:w="207" w:type="pct"/>
                  <w:noWrap w:val="0"/>
                  <w:vAlign w:val="center"/>
                </w:tcPr>
                <w:p w14:paraId="59C89E9D">
                  <w:pPr>
                    <w:adjustRightInd w:val="0"/>
                    <w:snapToGrid w:val="0"/>
                    <w:ind w:left="-105" w:leftChars="-50" w:right="-105" w:rightChars="-50"/>
                    <w:jc w:val="center"/>
                    <w:rPr>
                      <w:rFonts w:hint="default"/>
                      <w:color w:val="auto"/>
                      <w:lang w:val="en-US" w:eastAsia="zh-CN"/>
                    </w:rPr>
                  </w:pPr>
                  <w:r>
                    <w:rPr>
                      <w:rFonts w:hint="eastAsia"/>
                      <w:color w:val="auto"/>
                      <w:lang w:val="en-US" w:eastAsia="zh-CN"/>
                    </w:rPr>
                    <w:t>30</w:t>
                  </w:r>
                </w:p>
              </w:tc>
              <w:tc>
                <w:tcPr>
                  <w:tcW w:w="207" w:type="pct"/>
                  <w:noWrap w:val="0"/>
                  <w:vAlign w:val="center"/>
                </w:tcPr>
                <w:p w14:paraId="00711E64">
                  <w:pPr>
                    <w:adjustRightInd w:val="0"/>
                    <w:snapToGrid w:val="0"/>
                    <w:ind w:left="-105" w:leftChars="-50" w:right="-105" w:rightChars="-50"/>
                    <w:jc w:val="center"/>
                    <w:rPr>
                      <w:rFonts w:hint="default"/>
                      <w:color w:val="auto"/>
                      <w:lang w:val="en-US" w:eastAsia="zh-CN"/>
                    </w:rPr>
                  </w:pPr>
                  <w:r>
                    <w:rPr>
                      <w:rFonts w:hint="eastAsia"/>
                      <w:color w:val="auto"/>
                      <w:lang w:val="en-US" w:eastAsia="zh-CN"/>
                    </w:rPr>
                    <w:t>55</w:t>
                  </w:r>
                </w:p>
              </w:tc>
              <w:tc>
                <w:tcPr>
                  <w:tcW w:w="229" w:type="pct"/>
                  <w:noWrap w:val="0"/>
                  <w:vAlign w:val="center"/>
                </w:tcPr>
                <w:p w14:paraId="653200C9">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1796EFED">
                  <w:pPr>
                    <w:adjustRightInd w:val="0"/>
                    <w:snapToGrid w:val="0"/>
                    <w:ind w:left="-105" w:leftChars="-50" w:right="-105" w:rightChars="-50"/>
                    <w:jc w:val="center"/>
                    <w:rPr>
                      <w:rFonts w:hint="eastAsia"/>
                      <w:color w:val="auto"/>
                      <w:lang w:val="en-US" w:eastAsia="zh-CN"/>
                    </w:rPr>
                  </w:pPr>
                  <w:r>
                    <w:rPr>
                      <w:rFonts w:hint="eastAsia"/>
                      <w:color w:val="auto"/>
                      <w:lang w:val="en-US" w:eastAsia="zh-CN"/>
                    </w:rPr>
                    <w:t>4</w:t>
                  </w:r>
                </w:p>
              </w:tc>
              <w:tc>
                <w:tcPr>
                  <w:tcW w:w="258" w:type="pct"/>
                  <w:noWrap w:val="0"/>
                  <w:vAlign w:val="center"/>
                </w:tcPr>
                <w:p w14:paraId="4675E9A3">
                  <w:pPr>
                    <w:adjustRightInd w:val="0"/>
                    <w:snapToGrid w:val="0"/>
                    <w:ind w:left="-105" w:leftChars="-50" w:right="-105" w:rightChars="-50"/>
                    <w:jc w:val="center"/>
                    <w:rPr>
                      <w:rFonts w:hint="eastAsia"/>
                      <w:color w:val="auto"/>
                      <w:lang w:val="en-US" w:eastAsia="zh-CN"/>
                    </w:rPr>
                  </w:pPr>
                  <w:r>
                    <w:rPr>
                      <w:rFonts w:hint="eastAsia"/>
                      <w:color w:val="auto"/>
                      <w:lang w:val="en-US" w:eastAsia="zh-CN"/>
                    </w:rPr>
                    <w:t>68.0</w:t>
                  </w:r>
                </w:p>
              </w:tc>
              <w:tc>
                <w:tcPr>
                  <w:tcW w:w="200" w:type="pct"/>
                  <w:noWrap w:val="0"/>
                  <w:vAlign w:val="center"/>
                </w:tcPr>
                <w:p w14:paraId="6C61142E">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72A984E3">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28BF7FD7">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42</w:t>
                  </w:r>
                </w:p>
              </w:tc>
              <w:tc>
                <w:tcPr>
                  <w:tcW w:w="386" w:type="pct"/>
                  <w:noWrap w:val="0"/>
                  <w:vAlign w:val="center"/>
                </w:tcPr>
                <w:p w14:paraId="4DFBA158">
                  <w:pPr>
                    <w:adjustRightInd w:val="0"/>
                    <w:snapToGrid w:val="0"/>
                    <w:ind w:left="-105" w:leftChars="-50" w:right="-105" w:rightChars="-50"/>
                    <w:jc w:val="center"/>
                    <w:rPr>
                      <w:color w:val="auto"/>
                    </w:rPr>
                  </w:pPr>
                  <w:r>
                    <w:rPr>
                      <w:color w:val="auto"/>
                    </w:rPr>
                    <w:t>1m</w:t>
                  </w:r>
                </w:p>
              </w:tc>
            </w:tr>
            <w:tr w14:paraId="40D2A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4677D27C">
                  <w:pPr>
                    <w:adjustRightInd w:val="0"/>
                    <w:snapToGrid w:val="0"/>
                    <w:ind w:left="-105" w:leftChars="-50" w:right="-105" w:rightChars="-50"/>
                    <w:jc w:val="center"/>
                    <w:rPr>
                      <w:rFonts w:hint="default"/>
                      <w:color w:val="auto"/>
                      <w:lang w:val="en-US" w:eastAsia="zh-CN"/>
                    </w:rPr>
                  </w:pPr>
                  <w:r>
                    <w:rPr>
                      <w:rFonts w:hint="eastAsia"/>
                      <w:color w:val="auto"/>
                      <w:lang w:val="en-US" w:eastAsia="zh-CN"/>
                    </w:rPr>
                    <w:t>7</w:t>
                  </w:r>
                </w:p>
              </w:tc>
              <w:tc>
                <w:tcPr>
                  <w:tcW w:w="210" w:type="pct"/>
                  <w:vMerge w:val="continue"/>
                  <w:noWrap w:val="0"/>
                  <w:vAlign w:val="center"/>
                </w:tcPr>
                <w:p w14:paraId="0DE409F2">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30E18982">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cs="Times New Roman"/>
                      <w:i w:val="0"/>
                      <w:iCs w:val="0"/>
                      <w:color w:val="auto"/>
                      <w:kern w:val="0"/>
                      <w:sz w:val="21"/>
                      <w:szCs w:val="21"/>
                      <w:u w:val="none"/>
                      <w:lang w:val="en-US" w:eastAsia="zh-CN" w:bidi="ar"/>
                    </w:rPr>
                    <w:t>5#</w:t>
                  </w:r>
                  <w:r>
                    <w:rPr>
                      <w:rFonts w:hint="default" w:ascii="Times New Roman" w:hAnsi="Times New Roman" w:eastAsia="宋体" w:cs="Times New Roman"/>
                      <w:i w:val="0"/>
                      <w:iCs w:val="0"/>
                      <w:color w:val="auto"/>
                      <w:kern w:val="0"/>
                      <w:sz w:val="21"/>
                      <w:szCs w:val="21"/>
                      <w:u w:val="none"/>
                      <w:lang w:val="en-US" w:eastAsia="zh-CN" w:bidi="ar"/>
                    </w:rPr>
                    <w:t>加工中心</w:t>
                  </w:r>
                </w:p>
              </w:tc>
              <w:tc>
                <w:tcPr>
                  <w:tcW w:w="278" w:type="pct"/>
                  <w:noWrap w:val="0"/>
                  <w:vAlign w:val="center"/>
                </w:tcPr>
                <w:p w14:paraId="6145216C">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CNC850</w:t>
                  </w:r>
                </w:p>
              </w:tc>
              <w:tc>
                <w:tcPr>
                  <w:tcW w:w="227" w:type="pct"/>
                  <w:noWrap w:val="0"/>
                  <w:vAlign w:val="center"/>
                </w:tcPr>
                <w:p w14:paraId="34454B2D">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1</w:t>
                  </w:r>
                </w:p>
              </w:tc>
              <w:tc>
                <w:tcPr>
                  <w:tcW w:w="550" w:type="pct"/>
                  <w:noWrap w:val="0"/>
                  <w:vAlign w:val="center"/>
                </w:tcPr>
                <w:p w14:paraId="152E28D1">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2E8E54CF">
                  <w:pPr>
                    <w:adjustRightInd w:val="0"/>
                    <w:snapToGrid w:val="0"/>
                    <w:ind w:left="-105" w:leftChars="-50" w:right="-105" w:rightChars="-50"/>
                    <w:jc w:val="center"/>
                    <w:rPr>
                      <w:rFonts w:hAnsi="宋体"/>
                      <w:bCs/>
                      <w:color w:val="auto"/>
                      <w:szCs w:val="20"/>
                    </w:rPr>
                  </w:pPr>
                </w:p>
              </w:tc>
              <w:tc>
                <w:tcPr>
                  <w:tcW w:w="207" w:type="pct"/>
                  <w:noWrap w:val="0"/>
                  <w:vAlign w:val="center"/>
                </w:tcPr>
                <w:p w14:paraId="095BAF44">
                  <w:pPr>
                    <w:adjustRightInd w:val="0"/>
                    <w:snapToGrid w:val="0"/>
                    <w:ind w:left="-105" w:leftChars="-50" w:right="-105" w:rightChars="-50"/>
                    <w:jc w:val="center"/>
                    <w:rPr>
                      <w:rFonts w:hint="default"/>
                      <w:color w:val="auto"/>
                      <w:lang w:val="en-US" w:eastAsia="zh-CN"/>
                    </w:rPr>
                  </w:pPr>
                  <w:r>
                    <w:rPr>
                      <w:rFonts w:hint="eastAsia"/>
                      <w:color w:val="auto"/>
                      <w:lang w:val="en-US" w:eastAsia="zh-CN"/>
                    </w:rPr>
                    <w:t>35</w:t>
                  </w:r>
                </w:p>
              </w:tc>
              <w:tc>
                <w:tcPr>
                  <w:tcW w:w="207" w:type="pct"/>
                  <w:noWrap w:val="0"/>
                  <w:vAlign w:val="center"/>
                </w:tcPr>
                <w:p w14:paraId="42930F25">
                  <w:pPr>
                    <w:adjustRightInd w:val="0"/>
                    <w:snapToGrid w:val="0"/>
                    <w:ind w:left="-105" w:leftChars="-50" w:right="-105" w:rightChars="-50"/>
                    <w:jc w:val="center"/>
                    <w:rPr>
                      <w:rFonts w:hint="default"/>
                      <w:color w:val="auto"/>
                      <w:lang w:val="en-US" w:eastAsia="zh-CN"/>
                    </w:rPr>
                  </w:pPr>
                  <w:r>
                    <w:rPr>
                      <w:rFonts w:hint="eastAsia"/>
                      <w:color w:val="auto"/>
                      <w:lang w:val="en-US" w:eastAsia="zh-CN"/>
                    </w:rPr>
                    <w:t>55</w:t>
                  </w:r>
                </w:p>
              </w:tc>
              <w:tc>
                <w:tcPr>
                  <w:tcW w:w="229" w:type="pct"/>
                  <w:noWrap w:val="0"/>
                  <w:vAlign w:val="center"/>
                </w:tcPr>
                <w:p w14:paraId="25C358AC">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260" w:type="pct"/>
                  <w:noWrap w:val="0"/>
                  <w:vAlign w:val="center"/>
                </w:tcPr>
                <w:p w14:paraId="5C7BEA59">
                  <w:pPr>
                    <w:adjustRightInd w:val="0"/>
                    <w:snapToGrid w:val="0"/>
                    <w:ind w:left="-105" w:leftChars="-50" w:right="-105" w:rightChars="-50"/>
                    <w:jc w:val="center"/>
                    <w:rPr>
                      <w:rFonts w:hint="default"/>
                      <w:color w:val="auto"/>
                      <w:lang w:val="en-US" w:eastAsia="zh-CN"/>
                    </w:rPr>
                  </w:pPr>
                  <w:r>
                    <w:rPr>
                      <w:rFonts w:hint="eastAsia"/>
                      <w:color w:val="auto"/>
                      <w:lang w:val="en-US" w:eastAsia="zh-CN"/>
                    </w:rPr>
                    <w:t>4</w:t>
                  </w:r>
                </w:p>
              </w:tc>
              <w:tc>
                <w:tcPr>
                  <w:tcW w:w="258" w:type="pct"/>
                  <w:noWrap w:val="0"/>
                  <w:vAlign w:val="center"/>
                </w:tcPr>
                <w:p w14:paraId="26943ED8">
                  <w:pPr>
                    <w:adjustRightInd w:val="0"/>
                    <w:snapToGrid w:val="0"/>
                    <w:ind w:left="-105" w:leftChars="-50" w:right="-105" w:rightChars="-50"/>
                    <w:jc w:val="center"/>
                    <w:rPr>
                      <w:rFonts w:hint="default"/>
                      <w:color w:val="auto"/>
                      <w:lang w:val="en-US" w:eastAsia="zh-CN"/>
                    </w:rPr>
                  </w:pPr>
                  <w:r>
                    <w:rPr>
                      <w:rFonts w:hint="eastAsia"/>
                      <w:color w:val="auto"/>
                      <w:lang w:val="en-US" w:eastAsia="zh-CN"/>
                    </w:rPr>
                    <w:t>68.0</w:t>
                  </w:r>
                </w:p>
              </w:tc>
              <w:tc>
                <w:tcPr>
                  <w:tcW w:w="200" w:type="pct"/>
                  <w:noWrap w:val="0"/>
                  <w:vAlign w:val="center"/>
                </w:tcPr>
                <w:p w14:paraId="45F41F1B">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0571B7EB">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6337AA92">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42</w:t>
                  </w:r>
                </w:p>
              </w:tc>
              <w:tc>
                <w:tcPr>
                  <w:tcW w:w="386" w:type="pct"/>
                  <w:noWrap w:val="0"/>
                  <w:vAlign w:val="center"/>
                </w:tcPr>
                <w:p w14:paraId="54C7EA88">
                  <w:pPr>
                    <w:adjustRightInd w:val="0"/>
                    <w:snapToGrid w:val="0"/>
                    <w:ind w:left="-105" w:leftChars="-50" w:right="-105" w:rightChars="-50"/>
                    <w:jc w:val="center"/>
                    <w:rPr>
                      <w:color w:val="auto"/>
                    </w:rPr>
                  </w:pPr>
                  <w:r>
                    <w:rPr>
                      <w:color w:val="auto"/>
                    </w:rPr>
                    <w:t>1m</w:t>
                  </w:r>
                </w:p>
              </w:tc>
            </w:tr>
            <w:tr w14:paraId="4AEE2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37D69827">
                  <w:pPr>
                    <w:adjustRightInd w:val="0"/>
                    <w:snapToGrid w:val="0"/>
                    <w:ind w:left="-105" w:leftChars="-50" w:right="-105" w:rightChars="-50"/>
                    <w:jc w:val="center"/>
                    <w:rPr>
                      <w:rFonts w:hint="default"/>
                      <w:color w:val="auto"/>
                      <w:lang w:val="en-US" w:eastAsia="zh-CN"/>
                    </w:rPr>
                  </w:pPr>
                  <w:r>
                    <w:rPr>
                      <w:rFonts w:hint="eastAsia"/>
                      <w:color w:val="auto"/>
                      <w:lang w:val="en-US" w:eastAsia="zh-CN"/>
                    </w:rPr>
                    <w:t>8</w:t>
                  </w:r>
                </w:p>
              </w:tc>
              <w:tc>
                <w:tcPr>
                  <w:tcW w:w="210" w:type="pct"/>
                  <w:vMerge w:val="continue"/>
                  <w:noWrap w:val="0"/>
                  <w:vAlign w:val="center"/>
                </w:tcPr>
                <w:p w14:paraId="6CD9D930">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2357DECD">
                  <w:pPr>
                    <w:adjustRightInd w:val="0"/>
                    <w:snapToGrid w:val="0"/>
                    <w:ind w:left="-105" w:leftChars="-50" w:right="-105" w:rightChars="-50"/>
                    <w:jc w:val="center"/>
                    <w:rPr>
                      <w:rFonts w:hint="eastAsia" w:cs="Times New Roman"/>
                      <w:color w:val="auto"/>
                      <w:lang w:val="en-US" w:eastAsia="zh-CN"/>
                    </w:rPr>
                  </w:pPr>
                  <w:r>
                    <w:rPr>
                      <w:rFonts w:hint="eastAsia" w:cs="Times New Roman"/>
                      <w:i w:val="0"/>
                      <w:iCs w:val="0"/>
                      <w:color w:val="auto"/>
                      <w:kern w:val="0"/>
                      <w:sz w:val="21"/>
                      <w:szCs w:val="21"/>
                      <w:u w:val="none"/>
                      <w:lang w:val="en-US" w:eastAsia="zh-CN" w:bidi="ar"/>
                    </w:rPr>
                    <w:t>6#</w:t>
                  </w:r>
                  <w:r>
                    <w:rPr>
                      <w:rFonts w:hint="default" w:ascii="Times New Roman" w:hAnsi="Times New Roman" w:eastAsia="宋体" w:cs="Times New Roman"/>
                      <w:i w:val="0"/>
                      <w:iCs w:val="0"/>
                      <w:color w:val="auto"/>
                      <w:kern w:val="0"/>
                      <w:sz w:val="21"/>
                      <w:szCs w:val="21"/>
                      <w:u w:val="none"/>
                      <w:lang w:val="en-US" w:eastAsia="zh-CN" w:bidi="ar"/>
                    </w:rPr>
                    <w:t>加工中心</w:t>
                  </w:r>
                </w:p>
              </w:tc>
              <w:tc>
                <w:tcPr>
                  <w:tcW w:w="278" w:type="pct"/>
                  <w:noWrap w:val="0"/>
                  <w:vAlign w:val="center"/>
                </w:tcPr>
                <w:p w14:paraId="4B5925C6">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CNC850</w:t>
                  </w:r>
                </w:p>
              </w:tc>
              <w:tc>
                <w:tcPr>
                  <w:tcW w:w="227" w:type="pct"/>
                  <w:noWrap w:val="0"/>
                  <w:vAlign w:val="center"/>
                </w:tcPr>
                <w:p w14:paraId="7673C297">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550" w:type="pct"/>
                  <w:noWrap w:val="0"/>
                  <w:vAlign w:val="center"/>
                </w:tcPr>
                <w:p w14:paraId="058D6A5D">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17F97DBB">
                  <w:pPr>
                    <w:adjustRightInd w:val="0"/>
                    <w:snapToGrid w:val="0"/>
                    <w:ind w:left="-105" w:leftChars="-50" w:right="-105" w:rightChars="-50"/>
                    <w:jc w:val="center"/>
                    <w:rPr>
                      <w:rFonts w:hAnsi="宋体"/>
                      <w:bCs/>
                      <w:color w:val="auto"/>
                      <w:szCs w:val="20"/>
                    </w:rPr>
                  </w:pPr>
                </w:p>
              </w:tc>
              <w:tc>
                <w:tcPr>
                  <w:tcW w:w="207" w:type="pct"/>
                  <w:noWrap w:val="0"/>
                  <w:vAlign w:val="center"/>
                </w:tcPr>
                <w:p w14:paraId="7207A291">
                  <w:pPr>
                    <w:adjustRightInd w:val="0"/>
                    <w:snapToGrid w:val="0"/>
                    <w:ind w:left="-105" w:leftChars="-50" w:right="-105" w:rightChars="-50"/>
                    <w:jc w:val="center"/>
                    <w:rPr>
                      <w:rFonts w:hint="default"/>
                      <w:color w:val="auto"/>
                      <w:lang w:val="en-US" w:eastAsia="zh-CN"/>
                    </w:rPr>
                  </w:pPr>
                  <w:r>
                    <w:rPr>
                      <w:rFonts w:hint="eastAsia"/>
                      <w:color w:val="auto"/>
                      <w:lang w:val="en-US" w:eastAsia="zh-CN"/>
                    </w:rPr>
                    <w:t>40</w:t>
                  </w:r>
                </w:p>
              </w:tc>
              <w:tc>
                <w:tcPr>
                  <w:tcW w:w="207" w:type="pct"/>
                  <w:noWrap w:val="0"/>
                  <w:vAlign w:val="center"/>
                </w:tcPr>
                <w:p w14:paraId="29C4CCE9">
                  <w:pPr>
                    <w:adjustRightInd w:val="0"/>
                    <w:snapToGrid w:val="0"/>
                    <w:ind w:left="-105" w:leftChars="-50" w:right="-105" w:rightChars="-50"/>
                    <w:jc w:val="center"/>
                    <w:rPr>
                      <w:rFonts w:hint="default"/>
                      <w:color w:val="auto"/>
                      <w:lang w:val="en-US" w:eastAsia="zh-CN"/>
                    </w:rPr>
                  </w:pPr>
                  <w:r>
                    <w:rPr>
                      <w:rFonts w:hint="eastAsia"/>
                      <w:color w:val="auto"/>
                      <w:lang w:val="en-US" w:eastAsia="zh-CN"/>
                    </w:rPr>
                    <w:t>55</w:t>
                  </w:r>
                </w:p>
              </w:tc>
              <w:tc>
                <w:tcPr>
                  <w:tcW w:w="229" w:type="pct"/>
                  <w:noWrap w:val="0"/>
                  <w:vAlign w:val="center"/>
                </w:tcPr>
                <w:p w14:paraId="30A73C53">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439C576C">
                  <w:pPr>
                    <w:adjustRightInd w:val="0"/>
                    <w:snapToGrid w:val="0"/>
                    <w:ind w:left="-105" w:leftChars="-50" w:right="-105" w:rightChars="-50"/>
                    <w:jc w:val="center"/>
                    <w:rPr>
                      <w:rFonts w:hint="eastAsia"/>
                      <w:color w:val="auto"/>
                      <w:lang w:val="en-US" w:eastAsia="zh-CN"/>
                    </w:rPr>
                  </w:pPr>
                  <w:r>
                    <w:rPr>
                      <w:rFonts w:hint="eastAsia"/>
                      <w:color w:val="auto"/>
                      <w:lang w:val="en-US" w:eastAsia="zh-CN"/>
                    </w:rPr>
                    <w:t>4</w:t>
                  </w:r>
                </w:p>
              </w:tc>
              <w:tc>
                <w:tcPr>
                  <w:tcW w:w="258" w:type="pct"/>
                  <w:noWrap w:val="0"/>
                  <w:vAlign w:val="center"/>
                </w:tcPr>
                <w:p w14:paraId="129024A3">
                  <w:pPr>
                    <w:adjustRightInd w:val="0"/>
                    <w:snapToGrid w:val="0"/>
                    <w:ind w:left="-105" w:leftChars="-50" w:right="-105" w:rightChars="-50"/>
                    <w:jc w:val="center"/>
                    <w:rPr>
                      <w:rFonts w:hint="eastAsia"/>
                      <w:color w:val="auto"/>
                      <w:lang w:val="en-US" w:eastAsia="zh-CN"/>
                    </w:rPr>
                  </w:pPr>
                  <w:r>
                    <w:rPr>
                      <w:rFonts w:hint="eastAsia"/>
                      <w:color w:val="auto"/>
                      <w:lang w:val="en-US" w:eastAsia="zh-CN"/>
                    </w:rPr>
                    <w:t>68.0</w:t>
                  </w:r>
                </w:p>
              </w:tc>
              <w:tc>
                <w:tcPr>
                  <w:tcW w:w="200" w:type="pct"/>
                  <w:noWrap w:val="0"/>
                  <w:vAlign w:val="center"/>
                </w:tcPr>
                <w:p w14:paraId="3E5A00E2">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2DE3CCF0">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7531CEB9">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42</w:t>
                  </w:r>
                </w:p>
              </w:tc>
              <w:tc>
                <w:tcPr>
                  <w:tcW w:w="386" w:type="pct"/>
                  <w:noWrap w:val="0"/>
                  <w:vAlign w:val="center"/>
                </w:tcPr>
                <w:p w14:paraId="0A0EE4F3">
                  <w:pPr>
                    <w:adjustRightInd w:val="0"/>
                    <w:snapToGrid w:val="0"/>
                    <w:ind w:left="-105" w:leftChars="-50" w:right="-105" w:rightChars="-50"/>
                    <w:jc w:val="center"/>
                    <w:rPr>
                      <w:color w:val="auto"/>
                    </w:rPr>
                  </w:pPr>
                  <w:r>
                    <w:rPr>
                      <w:color w:val="auto"/>
                    </w:rPr>
                    <w:t>1m</w:t>
                  </w:r>
                </w:p>
              </w:tc>
            </w:tr>
            <w:tr w14:paraId="7ABFB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36261B3A">
                  <w:pPr>
                    <w:adjustRightInd w:val="0"/>
                    <w:snapToGrid w:val="0"/>
                    <w:ind w:left="-105" w:leftChars="-50" w:right="-105" w:rightChars="-50"/>
                    <w:jc w:val="center"/>
                    <w:rPr>
                      <w:rFonts w:hint="default"/>
                      <w:color w:val="auto"/>
                      <w:lang w:val="en-US" w:eastAsia="zh-CN"/>
                    </w:rPr>
                  </w:pPr>
                  <w:r>
                    <w:rPr>
                      <w:rFonts w:hint="eastAsia"/>
                      <w:color w:val="auto"/>
                      <w:lang w:val="en-US" w:eastAsia="zh-CN"/>
                    </w:rPr>
                    <w:t>9</w:t>
                  </w:r>
                </w:p>
              </w:tc>
              <w:tc>
                <w:tcPr>
                  <w:tcW w:w="210" w:type="pct"/>
                  <w:vMerge w:val="continue"/>
                  <w:noWrap w:val="0"/>
                  <w:vAlign w:val="center"/>
                </w:tcPr>
                <w:p w14:paraId="0602C156">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08A7C0DC">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r>
                    <w:rPr>
                      <w:rFonts w:hint="default" w:ascii="Times New Roman" w:hAnsi="Times New Roman" w:eastAsia="宋体" w:cs="Times New Roman"/>
                      <w:i w:val="0"/>
                      <w:iCs w:val="0"/>
                      <w:color w:val="auto"/>
                      <w:kern w:val="0"/>
                      <w:sz w:val="21"/>
                      <w:szCs w:val="21"/>
                      <w:u w:val="none"/>
                      <w:lang w:val="en-US" w:eastAsia="zh-CN" w:bidi="ar"/>
                    </w:rPr>
                    <w:t>钻攻机</w:t>
                  </w:r>
                </w:p>
              </w:tc>
              <w:tc>
                <w:tcPr>
                  <w:tcW w:w="278" w:type="pct"/>
                  <w:noWrap w:val="0"/>
                  <w:vAlign w:val="center"/>
                </w:tcPr>
                <w:p w14:paraId="5EBC3F93">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15C158A0">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550" w:type="pct"/>
                  <w:noWrap w:val="0"/>
                  <w:vAlign w:val="center"/>
                </w:tcPr>
                <w:p w14:paraId="450E5002">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66174ECA">
                  <w:pPr>
                    <w:adjustRightInd w:val="0"/>
                    <w:snapToGrid w:val="0"/>
                    <w:ind w:left="-105" w:leftChars="-50" w:right="-105" w:rightChars="-50"/>
                    <w:jc w:val="center"/>
                    <w:rPr>
                      <w:rFonts w:hAnsi="宋体"/>
                      <w:bCs/>
                      <w:color w:val="auto"/>
                      <w:szCs w:val="20"/>
                    </w:rPr>
                  </w:pPr>
                </w:p>
              </w:tc>
              <w:tc>
                <w:tcPr>
                  <w:tcW w:w="207" w:type="pct"/>
                  <w:noWrap w:val="0"/>
                  <w:vAlign w:val="center"/>
                </w:tcPr>
                <w:p w14:paraId="5CF5A7AA">
                  <w:pPr>
                    <w:adjustRightInd w:val="0"/>
                    <w:snapToGrid w:val="0"/>
                    <w:ind w:left="-105" w:leftChars="-50" w:right="-105" w:rightChars="-50"/>
                    <w:jc w:val="center"/>
                    <w:rPr>
                      <w:rFonts w:hint="default"/>
                      <w:color w:val="auto"/>
                      <w:lang w:val="en-US" w:eastAsia="zh-CN"/>
                    </w:rPr>
                  </w:pPr>
                  <w:r>
                    <w:rPr>
                      <w:rFonts w:hint="eastAsia"/>
                      <w:color w:val="auto"/>
                      <w:lang w:val="en-US" w:eastAsia="zh-CN"/>
                    </w:rPr>
                    <w:t>16</w:t>
                  </w:r>
                </w:p>
              </w:tc>
              <w:tc>
                <w:tcPr>
                  <w:tcW w:w="207" w:type="pct"/>
                  <w:noWrap w:val="0"/>
                  <w:vAlign w:val="center"/>
                </w:tcPr>
                <w:p w14:paraId="06E3A506">
                  <w:pPr>
                    <w:adjustRightInd w:val="0"/>
                    <w:snapToGrid w:val="0"/>
                    <w:ind w:left="-105" w:leftChars="-50" w:right="-105" w:rightChars="-50"/>
                    <w:jc w:val="center"/>
                    <w:rPr>
                      <w:rFonts w:hint="default"/>
                      <w:color w:val="auto"/>
                      <w:lang w:val="en-US" w:eastAsia="zh-CN"/>
                    </w:rPr>
                  </w:pPr>
                  <w:r>
                    <w:rPr>
                      <w:rFonts w:hint="eastAsia"/>
                      <w:color w:val="auto"/>
                      <w:lang w:val="en-US" w:eastAsia="zh-CN"/>
                    </w:rPr>
                    <w:t>73</w:t>
                  </w:r>
                </w:p>
              </w:tc>
              <w:tc>
                <w:tcPr>
                  <w:tcW w:w="229" w:type="pct"/>
                  <w:noWrap w:val="0"/>
                  <w:vAlign w:val="center"/>
                </w:tcPr>
                <w:p w14:paraId="2464A4A9">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61B2BC0E">
                  <w:pPr>
                    <w:adjustRightInd w:val="0"/>
                    <w:snapToGrid w:val="0"/>
                    <w:ind w:left="-105" w:leftChars="-50" w:right="-105" w:rightChars="-50"/>
                    <w:jc w:val="center"/>
                    <w:rPr>
                      <w:rFonts w:hint="default"/>
                      <w:color w:val="auto"/>
                      <w:lang w:val="en-US" w:eastAsia="zh-CN"/>
                    </w:rPr>
                  </w:pPr>
                  <w:r>
                    <w:rPr>
                      <w:rFonts w:hint="eastAsia"/>
                      <w:color w:val="auto"/>
                      <w:lang w:val="en-US" w:eastAsia="zh-CN"/>
                    </w:rPr>
                    <w:t>17</w:t>
                  </w:r>
                </w:p>
              </w:tc>
              <w:tc>
                <w:tcPr>
                  <w:tcW w:w="258" w:type="pct"/>
                  <w:noWrap w:val="0"/>
                  <w:vAlign w:val="center"/>
                </w:tcPr>
                <w:p w14:paraId="3BC5C21A">
                  <w:pPr>
                    <w:adjustRightInd w:val="0"/>
                    <w:snapToGrid w:val="0"/>
                    <w:ind w:left="-105" w:leftChars="-50" w:right="-105" w:rightChars="-50"/>
                    <w:jc w:val="center"/>
                    <w:rPr>
                      <w:rFonts w:hint="default"/>
                      <w:color w:val="auto"/>
                      <w:lang w:val="en-US" w:eastAsia="zh-CN"/>
                    </w:rPr>
                  </w:pPr>
                  <w:r>
                    <w:rPr>
                      <w:rFonts w:hint="eastAsia"/>
                      <w:color w:val="auto"/>
                      <w:lang w:val="en-US" w:eastAsia="zh-CN"/>
                    </w:rPr>
                    <w:t>55.4</w:t>
                  </w:r>
                </w:p>
              </w:tc>
              <w:tc>
                <w:tcPr>
                  <w:tcW w:w="200" w:type="pct"/>
                  <w:noWrap w:val="0"/>
                  <w:vAlign w:val="center"/>
                </w:tcPr>
                <w:p w14:paraId="571DB0A0">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4BFA4C57">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4A5A6F4E">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29.4</w:t>
                  </w:r>
                </w:p>
              </w:tc>
              <w:tc>
                <w:tcPr>
                  <w:tcW w:w="386" w:type="pct"/>
                  <w:noWrap w:val="0"/>
                  <w:vAlign w:val="center"/>
                </w:tcPr>
                <w:p w14:paraId="4C1CCC99">
                  <w:pPr>
                    <w:adjustRightInd w:val="0"/>
                    <w:snapToGrid w:val="0"/>
                    <w:ind w:left="-105" w:leftChars="-50" w:right="-105" w:rightChars="-50"/>
                    <w:jc w:val="center"/>
                    <w:rPr>
                      <w:color w:val="auto"/>
                    </w:rPr>
                  </w:pPr>
                  <w:r>
                    <w:rPr>
                      <w:color w:val="auto"/>
                    </w:rPr>
                    <w:t>1m</w:t>
                  </w:r>
                </w:p>
              </w:tc>
            </w:tr>
            <w:tr w14:paraId="3A158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205150C0">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p>
              </w:tc>
              <w:tc>
                <w:tcPr>
                  <w:tcW w:w="210" w:type="pct"/>
                  <w:vMerge w:val="continue"/>
                  <w:noWrap w:val="0"/>
                  <w:vAlign w:val="center"/>
                </w:tcPr>
                <w:p w14:paraId="5C0DDF64">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0D168173">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w:t>
                  </w:r>
                  <w:r>
                    <w:rPr>
                      <w:rFonts w:hint="default" w:ascii="Times New Roman" w:hAnsi="Times New Roman" w:eastAsia="宋体" w:cs="Times New Roman"/>
                      <w:i w:val="0"/>
                      <w:iCs w:val="0"/>
                      <w:color w:val="auto"/>
                      <w:kern w:val="0"/>
                      <w:sz w:val="21"/>
                      <w:szCs w:val="21"/>
                      <w:u w:val="none"/>
                      <w:lang w:val="en-US" w:eastAsia="zh-CN" w:bidi="ar"/>
                    </w:rPr>
                    <w:t>钻攻机</w:t>
                  </w:r>
                </w:p>
              </w:tc>
              <w:tc>
                <w:tcPr>
                  <w:tcW w:w="278" w:type="pct"/>
                  <w:noWrap w:val="0"/>
                  <w:vAlign w:val="center"/>
                </w:tcPr>
                <w:p w14:paraId="02D0C832">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05F09673">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27B17EF0">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23727DBF">
                  <w:pPr>
                    <w:adjustRightInd w:val="0"/>
                    <w:snapToGrid w:val="0"/>
                    <w:ind w:left="-105" w:leftChars="-50" w:right="-105" w:rightChars="-50"/>
                    <w:jc w:val="center"/>
                    <w:rPr>
                      <w:rFonts w:hAnsi="宋体"/>
                      <w:bCs/>
                      <w:color w:val="auto"/>
                      <w:szCs w:val="20"/>
                    </w:rPr>
                  </w:pPr>
                </w:p>
              </w:tc>
              <w:tc>
                <w:tcPr>
                  <w:tcW w:w="207" w:type="pct"/>
                  <w:noWrap w:val="0"/>
                  <w:vAlign w:val="center"/>
                </w:tcPr>
                <w:p w14:paraId="584D7709">
                  <w:pPr>
                    <w:adjustRightInd w:val="0"/>
                    <w:snapToGrid w:val="0"/>
                    <w:ind w:left="-105" w:leftChars="-50" w:right="-105" w:rightChars="-50"/>
                    <w:jc w:val="center"/>
                    <w:rPr>
                      <w:rFonts w:hint="default"/>
                      <w:color w:val="auto"/>
                      <w:lang w:val="en-US" w:eastAsia="zh-CN"/>
                    </w:rPr>
                  </w:pPr>
                  <w:r>
                    <w:rPr>
                      <w:rFonts w:hint="eastAsia"/>
                      <w:color w:val="auto"/>
                      <w:lang w:val="en-US" w:eastAsia="zh-CN"/>
                    </w:rPr>
                    <w:t>19</w:t>
                  </w:r>
                </w:p>
              </w:tc>
              <w:tc>
                <w:tcPr>
                  <w:tcW w:w="207" w:type="pct"/>
                  <w:noWrap w:val="0"/>
                  <w:vAlign w:val="center"/>
                </w:tcPr>
                <w:p w14:paraId="5CBD1B4A">
                  <w:pPr>
                    <w:adjustRightInd w:val="0"/>
                    <w:snapToGrid w:val="0"/>
                    <w:ind w:left="-105" w:leftChars="-50" w:right="-105" w:rightChars="-50"/>
                    <w:jc w:val="center"/>
                    <w:rPr>
                      <w:rFonts w:hint="eastAsia"/>
                      <w:color w:val="auto"/>
                      <w:lang w:val="en-US" w:eastAsia="zh-CN"/>
                    </w:rPr>
                  </w:pPr>
                  <w:r>
                    <w:rPr>
                      <w:rFonts w:hint="eastAsia"/>
                      <w:color w:val="auto"/>
                      <w:lang w:val="en-US" w:eastAsia="zh-CN"/>
                    </w:rPr>
                    <w:t>73</w:t>
                  </w:r>
                </w:p>
              </w:tc>
              <w:tc>
                <w:tcPr>
                  <w:tcW w:w="229" w:type="pct"/>
                  <w:noWrap w:val="0"/>
                  <w:vAlign w:val="center"/>
                </w:tcPr>
                <w:p w14:paraId="08487FFB">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2AD4D7F7">
                  <w:pPr>
                    <w:adjustRightInd w:val="0"/>
                    <w:snapToGrid w:val="0"/>
                    <w:ind w:left="-105" w:leftChars="-50" w:right="-105" w:rightChars="-50"/>
                    <w:jc w:val="center"/>
                    <w:rPr>
                      <w:rFonts w:hint="eastAsia"/>
                      <w:color w:val="auto"/>
                      <w:lang w:val="en-US" w:eastAsia="zh-CN"/>
                    </w:rPr>
                  </w:pPr>
                  <w:r>
                    <w:rPr>
                      <w:rFonts w:hint="eastAsia"/>
                      <w:color w:val="auto"/>
                      <w:lang w:val="en-US" w:eastAsia="zh-CN"/>
                    </w:rPr>
                    <w:t>17</w:t>
                  </w:r>
                </w:p>
              </w:tc>
              <w:tc>
                <w:tcPr>
                  <w:tcW w:w="258" w:type="pct"/>
                  <w:noWrap w:val="0"/>
                  <w:vAlign w:val="center"/>
                </w:tcPr>
                <w:p w14:paraId="652BB1F5">
                  <w:pPr>
                    <w:adjustRightInd w:val="0"/>
                    <w:snapToGrid w:val="0"/>
                    <w:ind w:left="-105" w:leftChars="-50" w:right="-105" w:rightChars="-50"/>
                    <w:jc w:val="center"/>
                    <w:rPr>
                      <w:rFonts w:hint="eastAsia"/>
                      <w:color w:val="auto"/>
                      <w:lang w:val="en-US" w:eastAsia="zh-CN"/>
                    </w:rPr>
                  </w:pPr>
                  <w:r>
                    <w:rPr>
                      <w:rFonts w:hint="eastAsia"/>
                      <w:color w:val="auto"/>
                      <w:lang w:val="en-US" w:eastAsia="zh-CN"/>
                    </w:rPr>
                    <w:t>55.4</w:t>
                  </w:r>
                </w:p>
              </w:tc>
              <w:tc>
                <w:tcPr>
                  <w:tcW w:w="200" w:type="pct"/>
                  <w:noWrap w:val="0"/>
                  <w:vAlign w:val="center"/>
                </w:tcPr>
                <w:p w14:paraId="6084F168">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034516DE">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63F1DAEE">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29.4</w:t>
                  </w:r>
                </w:p>
              </w:tc>
              <w:tc>
                <w:tcPr>
                  <w:tcW w:w="386" w:type="pct"/>
                  <w:noWrap w:val="0"/>
                  <w:vAlign w:val="center"/>
                </w:tcPr>
                <w:p w14:paraId="36A5ECF2">
                  <w:pPr>
                    <w:adjustRightInd w:val="0"/>
                    <w:snapToGrid w:val="0"/>
                    <w:ind w:left="-105" w:leftChars="-50" w:right="-105" w:rightChars="-50"/>
                    <w:jc w:val="center"/>
                    <w:rPr>
                      <w:color w:val="auto"/>
                    </w:rPr>
                  </w:pPr>
                  <w:r>
                    <w:rPr>
                      <w:color w:val="auto"/>
                    </w:rPr>
                    <w:t>1m</w:t>
                  </w:r>
                </w:p>
              </w:tc>
            </w:tr>
            <w:tr w14:paraId="29085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748F7DB6">
                  <w:pPr>
                    <w:adjustRightInd w:val="0"/>
                    <w:snapToGrid w:val="0"/>
                    <w:ind w:left="-105" w:leftChars="-50" w:right="-105" w:rightChars="-50"/>
                    <w:jc w:val="center"/>
                    <w:rPr>
                      <w:rFonts w:hint="eastAsia"/>
                      <w:color w:val="auto"/>
                      <w:lang w:val="en-US" w:eastAsia="zh-CN"/>
                    </w:rPr>
                  </w:pPr>
                  <w:r>
                    <w:rPr>
                      <w:rFonts w:hint="eastAsia"/>
                      <w:color w:val="auto"/>
                      <w:lang w:val="en-US" w:eastAsia="zh-CN"/>
                    </w:rPr>
                    <w:t>11</w:t>
                  </w:r>
                </w:p>
              </w:tc>
              <w:tc>
                <w:tcPr>
                  <w:tcW w:w="210" w:type="pct"/>
                  <w:vMerge w:val="continue"/>
                  <w:noWrap w:val="0"/>
                  <w:vAlign w:val="center"/>
                </w:tcPr>
                <w:p w14:paraId="59A60122">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30B7AAD3">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3#</w:t>
                  </w:r>
                  <w:r>
                    <w:rPr>
                      <w:rFonts w:hint="default" w:ascii="Times New Roman" w:hAnsi="Times New Roman" w:eastAsia="宋体" w:cs="Times New Roman"/>
                      <w:i w:val="0"/>
                      <w:iCs w:val="0"/>
                      <w:color w:val="auto"/>
                      <w:kern w:val="0"/>
                      <w:sz w:val="21"/>
                      <w:szCs w:val="21"/>
                      <w:u w:val="none"/>
                      <w:lang w:val="en-US" w:eastAsia="zh-CN" w:bidi="ar"/>
                    </w:rPr>
                    <w:t>钻攻机</w:t>
                  </w:r>
                </w:p>
              </w:tc>
              <w:tc>
                <w:tcPr>
                  <w:tcW w:w="278" w:type="pct"/>
                  <w:noWrap w:val="0"/>
                  <w:vAlign w:val="center"/>
                </w:tcPr>
                <w:p w14:paraId="7A070760">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27E42FE7">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5D92D961">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72F89BE6">
                  <w:pPr>
                    <w:adjustRightInd w:val="0"/>
                    <w:snapToGrid w:val="0"/>
                    <w:ind w:left="-105" w:leftChars="-50" w:right="-105" w:rightChars="-50"/>
                    <w:jc w:val="center"/>
                    <w:rPr>
                      <w:rFonts w:hAnsi="宋体"/>
                      <w:bCs/>
                      <w:color w:val="auto"/>
                      <w:szCs w:val="20"/>
                    </w:rPr>
                  </w:pPr>
                </w:p>
              </w:tc>
              <w:tc>
                <w:tcPr>
                  <w:tcW w:w="207" w:type="pct"/>
                  <w:noWrap w:val="0"/>
                  <w:vAlign w:val="center"/>
                </w:tcPr>
                <w:p w14:paraId="23B3255A">
                  <w:pPr>
                    <w:adjustRightInd w:val="0"/>
                    <w:snapToGrid w:val="0"/>
                    <w:ind w:left="-105" w:leftChars="-50" w:right="-105" w:rightChars="-50"/>
                    <w:jc w:val="center"/>
                    <w:rPr>
                      <w:rFonts w:hint="default"/>
                      <w:color w:val="auto"/>
                      <w:lang w:val="en-US" w:eastAsia="zh-CN"/>
                    </w:rPr>
                  </w:pPr>
                  <w:r>
                    <w:rPr>
                      <w:rFonts w:hint="eastAsia"/>
                      <w:color w:val="auto"/>
                      <w:lang w:val="en-US" w:eastAsia="zh-CN"/>
                    </w:rPr>
                    <w:t>22</w:t>
                  </w:r>
                </w:p>
              </w:tc>
              <w:tc>
                <w:tcPr>
                  <w:tcW w:w="207" w:type="pct"/>
                  <w:noWrap w:val="0"/>
                  <w:vAlign w:val="center"/>
                </w:tcPr>
                <w:p w14:paraId="614BD0D5">
                  <w:pPr>
                    <w:adjustRightInd w:val="0"/>
                    <w:snapToGrid w:val="0"/>
                    <w:ind w:left="-105" w:leftChars="-50" w:right="-105" w:rightChars="-50"/>
                    <w:jc w:val="center"/>
                    <w:rPr>
                      <w:rFonts w:hint="eastAsia"/>
                      <w:color w:val="auto"/>
                      <w:lang w:val="en-US" w:eastAsia="zh-CN"/>
                    </w:rPr>
                  </w:pPr>
                  <w:r>
                    <w:rPr>
                      <w:rFonts w:hint="eastAsia"/>
                      <w:color w:val="auto"/>
                      <w:lang w:val="en-US" w:eastAsia="zh-CN"/>
                    </w:rPr>
                    <w:t>73</w:t>
                  </w:r>
                </w:p>
              </w:tc>
              <w:tc>
                <w:tcPr>
                  <w:tcW w:w="229" w:type="pct"/>
                  <w:noWrap w:val="0"/>
                  <w:vAlign w:val="center"/>
                </w:tcPr>
                <w:p w14:paraId="3BE09AE4">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6027BA7F">
                  <w:pPr>
                    <w:adjustRightInd w:val="0"/>
                    <w:snapToGrid w:val="0"/>
                    <w:ind w:left="-105" w:leftChars="-50" w:right="-105" w:rightChars="-50"/>
                    <w:jc w:val="center"/>
                    <w:rPr>
                      <w:rFonts w:hint="eastAsia"/>
                      <w:color w:val="auto"/>
                      <w:lang w:val="en-US" w:eastAsia="zh-CN"/>
                    </w:rPr>
                  </w:pPr>
                  <w:r>
                    <w:rPr>
                      <w:rFonts w:hint="eastAsia"/>
                      <w:color w:val="auto"/>
                      <w:lang w:val="en-US" w:eastAsia="zh-CN"/>
                    </w:rPr>
                    <w:t>17</w:t>
                  </w:r>
                </w:p>
              </w:tc>
              <w:tc>
                <w:tcPr>
                  <w:tcW w:w="258" w:type="pct"/>
                  <w:noWrap w:val="0"/>
                  <w:vAlign w:val="center"/>
                </w:tcPr>
                <w:p w14:paraId="39CC8C63">
                  <w:pPr>
                    <w:adjustRightInd w:val="0"/>
                    <w:snapToGrid w:val="0"/>
                    <w:ind w:left="-105" w:leftChars="-50" w:right="-105" w:rightChars="-50"/>
                    <w:jc w:val="center"/>
                    <w:rPr>
                      <w:rFonts w:hint="eastAsia"/>
                      <w:color w:val="auto"/>
                      <w:lang w:val="en-US" w:eastAsia="zh-CN"/>
                    </w:rPr>
                  </w:pPr>
                  <w:r>
                    <w:rPr>
                      <w:rFonts w:hint="eastAsia"/>
                      <w:color w:val="auto"/>
                      <w:lang w:val="en-US" w:eastAsia="zh-CN"/>
                    </w:rPr>
                    <w:t>55.4</w:t>
                  </w:r>
                </w:p>
              </w:tc>
              <w:tc>
                <w:tcPr>
                  <w:tcW w:w="200" w:type="pct"/>
                  <w:noWrap w:val="0"/>
                  <w:vAlign w:val="center"/>
                </w:tcPr>
                <w:p w14:paraId="5EC5D939">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701E3291">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5BC59D06">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29.4</w:t>
                  </w:r>
                </w:p>
              </w:tc>
              <w:tc>
                <w:tcPr>
                  <w:tcW w:w="386" w:type="pct"/>
                  <w:noWrap w:val="0"/>
                  <w:vAlign w:val="center"/>
                </w:tcPr>
                <w:p w14:paraId="777B9801">
                  <w:pPr>
                    <w:adjustRightInd w:val="0"/>
                    <w:snapToGrid w:val="0"/>
                    <w:ind w:left="-105" w:leftChars="-50" w:right="-105" w:rightChars="-50"/>
                    <w:jc w:val="center"/>
                    <w:rPr>
                      <w:color w:val="auto"/>
                    </w:rPr>
                  </w:pPr>
                  <w:r>
                    <w:rPr>
                      <w:color w:val="auto"/>
                    </w:rPr>
                    <w:t>1m</w:t>
                  </w:r>
                </w:p>
              </w:tc>
            </w:tr>
            <w:tr w14:paraId="7B696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5B943C3A">
                  <w:pPr>
                    <w:adjustRightInd w:val="0"/>
                    <w:snapToGrid w:val="0"/>
                    <w:ind w:left="-105" w:leftChars="-50" w:right="-105" w:rightChars="-50"/>
                    <w:jc w:val="center"/>
                    <w:rPr>
                      <w:rFonts w:hint="eastAsia"/>
                      <w:color w:val="auto"/>
                      <w:lang w:val="en-US" w:eastAsia="zh-CN"/>
                    </w:rPr>
                  </w:pPr>
                  <w:r>
                    <w:rPr>
                      <w:rFonts w:hint="eastAsia"/>
                      <w:color w:val="auto"/>
                      <w:lang w:val="en-US" w:eastAsia="zh-CN"/>
                    </w:rPr>
                    <w:t>12</w:t>
                  </w:r>
                </w:p>
              </w:tc>
              <w:tc>
                <w:tcPr>
                  <w:tcW w:w="210" w:type="pct"/>
                  <w:vMerge w:val="continue"/>
                  <w:noWrap w:val="0"/>
                  <w:vAlign w:val="center"/>
                </w:tcPr>
                <w:p w14:paraId="1E95E862">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71AF3745">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4#</w:t>
                  </w:r>
                  <w:r>
                    <w:rPr>
                      <w:rFonts w:hint="default" w:ascii="Times New Roman" w:hAnsi="Times New Roman" w:eastAsia="宋体" w:cs="Times New Roman"/>
                      <w:i w:val="0"/>
                      <w:iCs w:val="0"/>
                      <w:color w:val="auto"/>
                      <w:kern w:val="0"/>
                      <w:sz w:val="21"/>
                      <w:szCs w:val="21"/>
                      <w:u w:val="none"/>
                      <w:lang w:val="en-US" w:eastAsia="zh-CN" w:bidi="ar"/>
                    </w:rPr>
                    <w:t>钻攻机</w:t>
                  </w:r>
                </w:p>
              </w:tc>
              <w:tc>
                <w:tcPr>
                  <w:tcW w:w="278" w:type="pct"/>
                  <w:noWrap w:val="0"/>
                  <w:vAlign w:val="center"/>
                </w:tcPr>
                <w:p w14:paraId="09DE9AD2">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76F4B462">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28C57ABD">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246A347E">
                  <w:pPr>
                    <w:adjustRightInd w:val="0"/>
                    <w:snapToGrid w:val="0"/>
                    <w:ind w:left="-105" w:leftChars="-50" w:right="-105" w:rightChars="-50"/>
                    <w:jc w:val="center"/>
                    <w:rPr>
                      <w:rFonts w:hAnsi="宋体"/>
                      <w:bCs/>
                      <w:color w:val="auto"/>
                      <w:szCs w:val="20"/>
                    </w:rPr>
                  </w:pPr>
                </w:p>
              </w:tc>
              <w:tc>
                <w:tcPr>
                  <w:tcW w:w="207" w:type="pct"/>
                  <w:noWrap w:val="0"/>
                  <w:vAlign w:val="center"/>
                </w:tcPr>
                <w:p w14:paraId="38A96372">
                  <w:pPr>
                    <w:adjustRightInd w:val="0"/>
                    <w:snapToGrid w:val="0"/>
                    <w:ind w:left="-105" w:leftChars="-50" w:right="-105" w:rightChars="-50"/>
                    <w:jc w:val="center"/>
                    <w:rPr>
                      <w:rFonts w:hint="default"/>
                      <w:color w:val="auto"/>
                      <w:lang w:val="en-US" w:eastAsia="zh-CN"/>
                    </w:rPr>
                  </w:pPr>
                  <w:r>
                    <w:rPr>
                      <w:rFonts w:hint="eastAsia"/>
                      <w:color w:val="auto"/>
                      <w:lang w:val="en-US" w:eastAsia="zh-CN"/>
                    </w:rPr>
                    <w:t>25</w:t>
                  </w:r>
                </w:p>
              </w:tc>
              <w:tc>
                <w:tcPr>
                  <w:tcW w:w="207" w:type="pct"/>
                  <w:noWrap w:val="0"/>
                  <w:vAlign w:val="center"/>
                </w:tcPr>
                <w:p w14:paraId="73507D65">
                  <w:pPr>
                    <w:adjustRightInd w:val="0"/>
                    <w:snapToGrid w:val="0"/>
                    <w:ind w:left="-105" w:leftChars="-50" w:right="-105" w:rightChars="-50"/>
                    <w:jc w:val="center"/>
                    <w:rPr>
                      <w:rFonts w:hint="eastAsia"/>
                      <w:color w:val="auto"/>
                      <w:lang w:val="en-US" w:eastAsia="zh-CN"/>
                    </w:rPr>
                  </w:pPr>
                  <w:r>
                    <w:rPr>
                      <w:rFonts w:hint="eastAsia"/>
                      <w:color w:val="auto"/>
                      <w:lang w:val="en-US" w:eastAsia="zh-CN"/>
                    </w:rPr>
                    <w:t>73</w:t>
                  </w:r>
                </w:p>
              </w:tc>
              <w:tc>
                <w:tcPr>
                  <w:tcW w:w="229" w:type="pct"/>
                  <w:noWrap w:val="0"/>
                  <w:vAlign w:val="center"/>
                </w:tcPr>
                <w:p w14:paraId="4E9478D9">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3C0E1139">
                  <w:pPr>
                    <w:adjustRightInd w:val="0"/>
                    <w:snapToGrid w:val="0"/>
                    <w:ind w:left="-105" w:leftChars="-50" w:right="-105" w:rightChars="-50"/>
                    <w:jc w:val="center"/>
                    <w:rPr>
                      <w:rFonts w:hint="eastAsia"/>
                      <w:color w:val="auto"/>
                      <w:lang w:val="en-US" w:eastAsia="zh-CN"/>
                    </w:rPr>
                  </w:pPr>
                  <w:r>
                    <w:rPr>
                      <w:rFonts w:hint="eastAsia"/>
                      <w:color w:val="auto"/>
                      <w:lang w:val="en-US" w:eastAsia="zh-CN"/>
                    </w:rPr>
                    <w:t>17</w:t>
                  </w:r>
                </w:p>
              </w:tc>
              <w:tc>
                <w:tcPr>
                  <w:tcW w:w="258" w:type="pct"/>
                  <w:noWrap w:val="0"/>
                  <w:vAlign w:val="center"/>
                </w:tcPr>
                <w:p w14:paraId="7325E03B">
                  <w:pPr>
                    <w:adjustRightInd w:val="0"/>
                    <w:snapToGrid w:val="0"/>
                    <w:ind w:left="-105" w:leftChars="-50" w:right="-105" w:rightChars="-50"/>
                    <w:jc w:val="center"/>
                    <w:rPr>
                      <w:rFonts w:hint="eastAsia"/>
                      <w:color w:val="auto"/>
                      <w:lang w:val="en-US" w:eastAsia="zh-CN"/>
                    </w:rPr>
                  </w:pPr>
                  <w:r>
                    <w:rPr>
                      <w:rFonts w:hint="eastAsia"/>
                      <w:color w:val="auto"/>
                      <w:lang w:val="en-US" w:eastAsia="zh-CN"/>
                    </w:rPr>
                    <w:t>55.4</w:t>
                  </w:r>
                </w:p>
              </w:tc>
              <w:tc>
                <w:tcPr>
                  <w:tcW w:w="200" w:type="pct"/>
                  <w:noWrap w:val="0"/>
                  <w:vAlign w:val="center"/>
                </w:tcPr>
                <w:p w14:paraId="5A91F1AA">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758A2927">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30EAF86E">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29.4</w:t>
                  </w:r>
                </w:p>
              </w:tc>
              <w:tc>
                <w:tcPr>
                  <w:tcW w:w="386" w:type="pct"/>
                  <w:noWrap w:val="0"/>
                  <w:vAlign w:val="center"/>
                </w:tcPr>
                <w:p w14:paraId="52782758">
                  <w:pPr>
                    <w:adjustRightInd w:val="0"/>
                    <w:snapToGrid w:val="0"/>
                    <w:ind w:left="-105" w:leftChars="-50" w:right="-105" w:rightChars="-50"/>
                    <w:jc w:val="center"/>
                    <w:rPr>
                      <w:color w:val="auto"/>
                    </w:rPr>
                  </w:pPr>
                  <w:r>
                    <w:rPr>
                      <w:color w:val="auto"/>
                    </w:rPr>
                    <w:t>1m</w:t>
                  </w:r>
                </w:p>
              </w:tc>
            </w:tr>
            <w:tr w14:paraId="15E06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4A3AF62D">
                  <w:pPr>
                    <w:adjustRightInd w:val="0"/>
                    <w:snapToGrid w:val="0"/>
                    <w:ind w:left="-105" w:leftChars="-50" w:right="-105" w:rightChars="-50"/>
                    <w:jc w:val="center"/>
                    <w:rPr>
                      <w:rFonts w:hint="eastAsia"/>
                      <w:color w:val="auto"/>
                      <w:lang w:val="en-US" w:eastAsia="zh-CN"/>
                    </w:rPr>
                  </w:pPr>
                  <w:r>
                    <w:rPr>
                      <w:rFonts w:hint="eastAsia"/>
                      <w:color w:val="auto"/>
                      <w:lang w:val="en-US" w:eastAsia="zh-CN"/>
                    </w:rPr>
                    <w:t>13</w:t>
                  </w:r>
                </w:p>
              </w:tc>
              <w:tc>
                <w:tcPr>
                  <w:tcW w:w="210" w:type="pct"/>
                  <w:vMerge w:val="continue"/>
                  <w:noWrap w:val="0"/>
                  <w:vAlign w:val="center"/>
                </w:tcPr>
                <w:p w14:paraId="633F695D">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47B4F093">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5#</w:t>
                  </w:r>
                  <w:r>
                    <w:rPr>
                      <w:rFonts w:hint="default" w:ascii="Times New Roman" w:hAnsi="Times New Roman" w:eastAsia="宋体" w:cs="Times New Roman"/>
                      <w:i w:val="0"/>
                      <w:iCs w:val="0"/>
                      <w:color w:val="auto"/>
                      <w:kern w:val="0"/>
                      <w:sz w:val="21"/>
                      <w:szCs w:val="21"/>
                      <w:u w:val="none"/>
                      <w:lang w:val="en-US" w:eastAsia="zh-CN" w:bidi="ar"/>
                    </w:rPr>
                    <w:t>钻攻机</w:t>
                  </w:r>
                </w:p>
              </w:tc>
              <w:tc>
                <w:tcPr>
                  <w:tcW w:w="278" w:type="pct"/>
                  <w:noWrap w:val="0"/>
                  <w:vAlign w:val="center"/>
                </w:tcPr>
                <w:p w14:paraId="6460F0AD">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7561AE53">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525D3A69">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625ECA0C">
                  <w:pPr>
                    <w:adjustRightInd w:val="0"/>
                    <w:snapToGrid w:val="0"/>
                    <w:ind w:left="-105" w:leftChars="-50" w:right="-105" w:rightChars="-50"/>
                    <w:jc w:val="center"/>
                    <w:rPr>
                      <w:rFonts w:hAnsi="宋体"/>
                      <w:bCs/>
                      <w:color w:val="auto"/>
                      <w:szCs w:val="20"/>
                    </w:rPr>
                  </w:pPr>
                </w:p>
              </w:tc>
              <w:tc>
                <w:tcPr>
                  <w:tcW w:w="207" w:type="pct"/>
                  <w:noWrap w:val="0"/>
                  <w:vAlign w:val="center"/>
                </w:tcPr>
                <w:p w14:paraId="31EC9FF0">
                  <w:pPr>
                    <w:adjustRightInd w:val="0"/>
                    <w:snapToGrid w:val="0"/>
                    <w:ind w:left="-105" w:leftChars="-50" w:right="-105" w:rightChars="-50"/>
                    <w:jc w:val="center"/>
                    <w:rPr>
                      <w:rFonts w:hint="default"/>
                      <w:color w:val="auto"/>
                      <w:lang w:val="en-US" w:eastAsia="zh-CN"/>
                    </w:rPr>
                  </w:pPr>
                  <w:r>
                    <w:rPr>
                      <w:rFonts w:hint="eastAsia"/>
                      <w:color w:val="auto"/>
                      <w:lang w:val="en-US" w:eastAsia="zh-CN"/>
                    </w:rPr>
                    <w:t>28</w:t>
                  </w:r>
                </w:p>
              </w:tc>
              <w:tc>
                <w:tcPr>
                  <w:tcW w:w="207" w:type="pct"/>
                  <w:noWrap w:val="0"/>
                  <w:vAlign w:val="center"/>
                </w:tcPr>
                <w:p w14:paraId="5CF62863">
                  <w:pPr>
                    <w:adjustRightInd w:val="0"/>
                    <w:snapToGrid w:val="0"/>
                    <w:ind w:left="-105" w:leftChars="-50" w:right="-105" w:rightChars="-50"/>
                    <w:jc w:val="center"/>
                    <w:rPr>
                      <w:rFonts w:hint="eastAsia"/>
                      <w:color w:val="auto"/>
                      <w:lang w:val="en-US" w:eastAsia="zh-CN"/>
                    </w:rPr>
                  </w:pPr>
                  <w:r>
                    <w:rPr>
                      <w:rFonts w:hint="eastAsia"/>
                      <w:color w:val="auto"/>
                      <w:lang w:val="en-US" w:eastAsia="zh-CN"/>
                    </w:rPr>
                    <w:t>73</w:t>
                  </w:r>
                </w:p>
              </w:tc>
              <w:tc>
                <w:tcPr>
                  <w:tcW w:w="229" w:type="pct"/>
                  <w:noWrap w:val="0"/>
                  <w:vAlign w:val="center"/>
                </w:tcPr>
                <w:p w14:paraId="4B38CFB3">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2ADECC37">
                  <w:pPr>
                    <w:adjustRightInd w:val="0"/>
                    <w:snapToGrid w:val="0"/>
                    <w:ind w:left="-105" w:leftChars="-50" w:right="-105" w:rightChars="-50"/>
                    <w:jc w:val="center"/>
                    <w:rPr>
                      <w:rFonts w:hint="eastAsia"/>
                      <w:color w:val="auto"/>
                      <w:lang w:val="en-US" w:eastAsia="zh-CN"/>
                    </w:rPr>
                  </w:pPr>
                  <w:r>
                    <w:rPr>
                      <w:rFonts w:hint="eastAsia"/>
                      <w:color w:val="auto"/>
                      <w:lang w:val="en-US" w:eastAsia="zh-CN"/>
                    </w:rPr>
                    <w:t>17</w:t>
                  </w:r>
                </w:p>
              </w:tc>
              <w:tc>
                <w:tcPr>
                  <w:tcW w:w="258" w:type="pct"/>
                  <w:noWrap w:val="0"/>
                  <w:vAlign w:val="center"/>
                </w:tcPr>
                <w:p w14:paraId="67CE3114">
                  <w:pPr>
                    <w:adjustRightInd w:val="0"/>
                    <w:snapToGrid w:val="0"/>
                    <w:ind w:left="-105" w:leftChars="-50" w:right="-105" w:rightChars="-50"/>
                    <w:jc w:val="center"/>
                    <w:rPr>
                      <w:rFonts w:hint="eastAsia"/>
                      <w:color w:val="auto"/>
                      <w:lang w:val="en-US" w:eastAsia="zh-CN"/>
                    </w:rPr>
                  </w:pPr>
                  <w:r>
                    <w:rPr>
                      <w:rFonts w:hint="eastAsia"/>
                      <w:color w:val="auto"/>
                      <w:lang w:val="en-US" w:eastAsia="zh-CN"/>
                    </w:rPr>
                    <w:t>55.4</w:t>
                  </w:r>
                </w:p>
              </w:tc>
              <w:tc>
                <w:tcPr>
                  <w:tcW w:w="200" w:type="pct"/>
                  <w:noWrap w:val="0"/>
                  <w:vAlign w:val="center"/>
                </w:tcPr>
                <w:p w14:paraId="3EE9D09A">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36E0BACA">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35FABA19">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29.4</w:t>
                  </w:r>
                </w:p>
              </w:tc>
              <w:tc>
                <w:tcPr>
                  <w:tcW w:w="386" w:type="pct"/>
                  <w:noWrap w:val="0"/>
                  <w:vAlign w:val="center"/>
                </w:tcPr>
                <w:p w14:paraId="6853F3F2">
                  <w:pPr>
                    <w:adjustRightInd w:val="0"/>
                    <w:snapToGrid w:val="0"/>
                    <w:ind w:left="-105" w:leftChars="-50" w:right="-105" w:rightChars="-50"/>
                    <w:jc w:val="center"/>
                    <w:rPr>
                      <w:color w:val="auto"/>
                    </w:rPr>
                  </w:pPr>
                  <w:r>
                    <w:rPr>
                      <w:color w:val="auto"/>
                    </w:rPr>
                    <w:t>1m</w:t>
                  </w:r>
                </w:p>
              </w:tc>
            </w:tr>
            <w:tr w14:paraId="09E42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138C539C">
                  <w:pPr>
                    <w:adjustRightInd w:val="0"/>
                    <w:snapToGrid w:val="0"/>
                    <w:ind w:left="-105" w:leftChars="-50" w:right="-105" w:rightChars="-50"/>
                    <w:jc w:val="center"/>
                    <w:rPr>
                      <w:rFonts w:hint="eastAsia"/>
                      <w:color w:val="auto"/>
                      <w:lang w:val="en-US" w:eastAsia="zh-CN"/>
                    </w:rPr>
                  </w:pPr>
                  <w:r>
                    <w:rPr>
                      <w:rFonts w:hint="eastAsia"/>
                      <w:color w:val="auto"/>
                      <w:lang w:val="en-US" w:eastAsia="zh-CN"/>
                    </w:rPr>
                    <w:t>14</w:t>
                  </w:r>
                </w:p>
              </w:tc>
              <w:tc>
                <w:tcPr>
                  <w:tcW w:w="210" w:type="pct"/>
                  <w:vMerge w:val="continue"/>
                  <w:noWrap w:val="0"/>
                  <w:vAlign w:val="center"/>
                </w:tcPr>
                <w:p w14:paraId="4FCF14CF">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51FE21A6">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6#</w:t>
                  </w:r>
                  <w:r>
                    <w:rPr>
                      <w:rFonts w:hint="default" w:ascii="Times New Roman" w:hAnsi="Times New Roman" w:eastAsia="宋体" w:cs="Times New Roman"/>
                      <w:i w:val="0"/>
                      <w:iCs w:val="0"/>
                      <w:color w:val="auto"/>
                      <w:kern w:val="0"/>
                      <w:sz w:val="21"/>
                      <w:szCs w:val="21"/>
                      <w:u w:val="none"/>
                      <w:lang w:val="en-US" w:eastAsia="zh-CN" w:bidi="ar"/>
                    </w:rPr>
                    <w:t>钻攻机</w:t>
                  </w:r>
                </w:p>
              </w:tc>
              <w:tc>
                <w:tcPr>
                  <w:tcW w:w="278" w:type="pct"/>
                  <w:noWrap w:val="0"/>
                  <w:vAlign w:val="center"/>
                </w:tcPr>
                <w:p w14:paraId="1DCA23A7">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087B6097">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602CEEFE">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70AA94C1">
                  <w:pPr>
                    <w:adjustRightInd w:val="0"/>
                    <w:snapToGrid w:val="0"/>
                    <w:ind w:left="-105" w:leftChars="-50" w:right="-105" w:rightChars="-50"/>
                    <w:jc w:val="center"/>
                    <w:rPr>
                      <w:rFonts w:hAnsi="宋体"/>
                      <w:bCs/>
                      <w:color w:val="auto"/>
                      <w:szCs w:val="20"/>
                    </w:rPr>
                  </w:pPr>
                </w:p>
              </w:tc>
              <w:tc>
                <w:tcPr>
                  <w:tcW w:w="207" w:type="pct"/>
                  <w:noWrap w:val="0"/>
                  <w:vAlign w:val="center"/>
                </w:tcPr>
                <w:p w14:paraId="66A66773">
                  <w:pPr>
                    <w:adjustRightInd w:val="0"/>
                    <w:snapToGrid w:val="0"/>
                    <w:ind w:left="-105" w:leftChars="-50" w:right="-105" w:rightChars="-50"/>
                    <w:jc w:val="center"/>
                    <w:rPr>
                      <w:rFonts w:hint="default"/>
                      <w:color w:val="auto"/>
                      <w:lang w:val="en-US" w:eastAsia="zh-CN"/>
                    </w:rPr>
                  </w:pPr>
                  <w:r>
                    <w:rPr>
                      <w:rFonts w:hint="eastAsia"/>
                      <w:color w:val="auto"/>
                      <w:lang w:val="en-US" w:eastAsia="zh-CN"/>
                    </w:rPr>
                    <w:t>31</w:t>
                  </w:r>
                </w:p>
              </w:tc>
              <w:tc>
                <w:tcPr>
                  <w:tcW w:w="207" w:type="pct"/>
                  <w:noWrap w:val="0"/>
                  <w:vAlign w:val="center"/>
                </w:tcPr>
                <w:p w14:paraId="2688E4EC">
                  <w:pPr>
                    <w:adjustRightInd w:val="0"/>
                    <w:snapToGrid w:val="0"/>
                    <w:ind w:left="-105" w:leftChars="-50" w:right="-105" w:rightChars="-50"/>
                    <w:jc w:val="center"/>
                    <w:rPr>
                      <w:rFonts w:hint="eastAsia"/>
                      <w:color w:val="auto"/>
                      <w:lang w:val="en-US" w:eastAsia="zh-CN"/>
                    </w:rPr>
                  </w:pPr>
                  <w:r>
                    <w:rPr>
                      <w:rFonts w:hint="eastAsia"/>
                      <w:color w:val="auto"/>
                      <w:lang w:val="en-US" w:eastAsia="zh-CN"/>
                    </w:rPr>
                    <w:t>73</w:t>
                  </w:r>
                </w:p>
              </w:tc>
              <w:tc>
                <w:tcPr>
                  <w:tcW w:w="229" w:type="pct"/>
                  <w:noWrap w:val="0"/>
                  <w:vAlign w:val="center"/>
                </w:tcPr>
                <w:p w14:paraId="5DCDA95D">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7DF7C861">
                  <w:pPr>
                    <w:adjustRightInd w:val="0"/>
                    <w:snapToGrid w:val="0"/>
                    <w:ind w:left="-105" w:leftChars="-50" w:right="-105" w:rightChars="-50"/>
                    <w:jc w:val="center"/>
                    <w:rPr>
                      <w:rFonts w:hint="default"/>
                      <w:color w:val="auto"/>
                      <w:lang w:val="en-US" w:eastAsia="zh-CN"/>
                    </w:rPr>
                  </w:pPr>
                  <w:r>
                    <w:rPr>
                      <w:rFonts w:hint="eastAsia"/>
                      <w:color w:val="auto"/>
                      <w:lang w:val="en-US" w:eastAsia="zh-CN"/>
                    </w:rPr>
                    <w:t>10</w:t>
                  </w:r>
                </w:p>
              </w:tc>
              <w:tc>
                <w:tcPr>
                  <w:tcW w:w="258" w:type="pct"/>
                  <w:noWrap w:val="0"/>
                  <w:vAlign w:val="center"/>
                </w:tcPr>
                <w:p w14:paraId="0C9057A0">
                  <w:pPr>
                    <w:adjustRightInd w:val="0"/>
                    <w:snapToGrid w:val="0"/>
                    <w:ind w:left="-105" w:leftChars="-50" w:right="-105" w:rightChars="-50"/>
                    <w:jc w:val="center"/>
                    <w:rPr>
                      <w:rFonts w:hint="default"/>
                      <w:color w:val="auto"/>
                      <w:lang w:val="en-US" w:eastAsia="zh-CN"/>
                    </w:rPr>
                  </w:pPr>
                  <w:r>
                    <w:rPr>
                      <w:rFonts w:hint="eastAsia"/>
                      <w:color w:val="auto"/>
                      <w:lang w:val="en-US" w:eastAsia="zh-CN"/>
                    </w:rPr>
                    <w:t>60</w:t>
                  </w:r>
                </w:p>
              </w:tc>
              <w:tc>
                <w:tcPr>
                  <w:tcW w:w="200" w:type="pct"/>
                  <w:noWrap w:val="0"/>
                  <w:vAlign w:val="center"/>
                </w:tcPr>
                <w:p w14:paraId="580E504A">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417DD6A1">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59AB662B">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34</w:t>
                  </w:r>
                </w:p>
              </w:tc>
              <w:tc>
                <w:tcPr>
                  <w:tcW w:w="386" w:type="pct"/>
                  <w:noWrap w:val="0"/>
                  <w:vAlign w:val="center"/>
                </w:tcPr>
                <w:p w14:paraId="3B114DC5">
                  <w:pPr>
                    <w:adjustRightInd w:val="0"/>
                    <w:snapToGrid w:val="0"/>
                    <w:ind w:left="-105" w:leftChars="-50" w:right="-105" w:rightChars="-50"/>
                    <w:jc w:val="center"/>
                    <w:rPr>
                      <w:color w:val="auto"/>
                    </w:rPr>
                  </w:pPr>
                  <w:r>
                    <w:rPr>
                      <w:color w:val="auto"/>
                    </w:rPr>
                    <w:t>1m</w:t>
                  </w:r>
                </w:p>
              </w:tc>
            </w:tr>
            <w:tr w14:paraId="2C97F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79BB3D4C">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w:t>
                  </w:r>
                </w:p>
              </w:tc>
              <w:tc>
                <w:tcPr>
                  <w:tcW w:w="210" w:type="pct"/>
                  <w:vMerge w:val="continue"/>
                  <w:noWrap w:val="0"/>
                  <w:vAlign w:val="center"/>
                </w:tcPr>
                <w:p w14:paraId="7FFA9081">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3F5035A3">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7#</w:t>
                  </w:r>
                  <w:r>
                    <w:rPr>
                      <w:rFonts w:hint="default" w:ascii="Times New Roman" w:hAnsi="Times New Roman" w:eastAsia="宋体" w:cs="Times New Roman"/>
                      <w:i w:val="0"/>
                      <w:iCs w:val="0"/>
                      <w:color w:val="auto"/>
                      <w:kern w:val="0"/>
                      <w:sz w:val="21"/>
                      <w:szCs w:val="21"/>
                      <w:u w:val="none"/>
                      <w:lang w:val="en-US" w:eastAsia="zh-CN" w:bidi="ar"/>
                    </w:rPr>
                    <w:t>钻攻机</w:t>
                  </w:r>
                </w:p>
              </w:tc>
              <w:tc>
                <w:tcPr>
                  <w:tcW w:w="278" w:type="pct"/>
                  <w:noWrap w:val="0"/>
                  <w:vAlign w:val="center"/>
                </w:tcPr>
                <w:p w14:paraId="7B943A80">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3D628DC8">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77324D15">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279FAEC5">
                  <w:pPr>
                    <w:adjustRightInd w:val="0"/>
                    <w:snapToGrid w:val="0"/>
                    <w:ind w:left="-105" w:leftChars="-50" w:right="-105" w:rightChars="-50"/>
                    <w:jc w:val="center"/>
                    <w:rPr>
                      <w:rFonts w:hAnsi="宋体"/>
                      <w:bCs/>
                      <w:color w:val="auto"/>
                      <w:szCs w:val="20"/>
                    </w:rPr>
                  </w:pPr>
                </w:p>
              </w:tc>
              <w:tc>
                <w:tcPr>
                  <w:tcW w:w="207" w:type="pct"/>
                  <w:noWrap w:val="0"/>
                  <w:vAlign w:val="center"/>
                </w:tcPr>
                <w:p w14:paraId="62360225">
                  <w:pPr>
                    <w:adjustRightInd w:val="0"/>
                    <w:snapToGrid w:val="0"/>
                    <w:ind w:left="-105" w:leftChars="-50" w:right="-105" w:rightChars="-50"/>
                    <w:jc w:val="center"/>
                    <w:rPr>
                      <w:rFonts w:hint="default"/>
                      <w:color w:val="auto"/>
                      <w:lang w:val="en-US" w:eastAsia="zh-CN"/>
                    </w:rPr>
                  </w:pPr>
                  <w:r>
                    <w:rPr>
                      <w:rFonts w:hint="eastAsia"/>
                      <w:color w:val="auto"/>
                      <w:lang w:val="en-US" w:eastAsia="zh-CN"/>
                    </w:rPr>
                    <w:t>34</w:t>
                  </w:r>
                </w:p>
              </w:tc>
              <w:tc>
                <w:tcPr>
                  <w:tcW w:w="207" w:type="pct"/>
                  <w:noWrap w:val="0"/>
                  <w:vAlign w:val="center"/>
                </w:tcPr>
                <w:p w14:paraId="0655128E">
                  <w:pPr>
                    <w:adjustRightInd w:val="0"/>
                    <w:snapToGrid w:val="0"/>
                    <w:ind w:left="-105" w:leftChars="-50" w:right="-105" w:rightChars="-50"/>
                    <w:jc w:val="center"/>
                    <w:rPr>
                      <w:rFonts w:hint="eastAsia"/>
                      <w:color w:val="auto"/>
                      <w:lang w:val="en-US" w:eastAsia="zh-CN"/>
                    </w:rPr>
                  </w:pPr>
                  <w:r>
                    <w:rPr>
                      <w:rFonts w:hint="eastAsia"/>
                      <w:color w:val="auto"/>
                      <w:lang w:val="en-US" w:eastAsia="zh-CN"/>
                    </w:rPr>
                    <w:t>73</w:t>
                  </w:r>
                </w:p>
              </w:tc>
              <w:tc>
                <w:tcPr>
                  <w:tcW w:w="229" w:type="pct"/>
                  <w:noWrap w:val="0"/>
                  <w:vAlign w:val="center"/>
                </w:tcPr>
                <w:p w14:paraId="6B2BC6AE">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2377E596">
                  <w:pPr>
                    <w:adjustRightInd w:val="0"/>
                    <w:snapToGrid w:val="0"/>
                    <w:ind w:left="-105" w:leftChars="-50" w:right="-105" w:rightChars="-50"/>
                    <w:jc w:val="center"/>
                    <w:rPr>
                      <w:rFonts w:hint="default"/>
                      <w:color w:val="auto"/>
                      <w:lang w:val="en-US" w:eastAsia="zh-CN"/>
                    </w:rPr>
                  </w:pPr>
                  <w:r>
                    <w:rPr>
                      <w:rFonts w:hint="eastAsia"/>
                      <w:color w:val="auto"/>
                      <w:lang w:val="en-US" w:eastAsia="zh-CN"/>
                    </w:rPr>
                    <w:t>14</w:t>
                  </w:r>
                </w:p>
              </w:tc>
              <w:tc>
                <w:tcPr>
                  <w:tcW w:w="258" w:type="pct"/>
                  <w:noWrap w:val="0"/>
                  <w:vAlign w:val="center"/>
                </w:tcPr>
                <w:p w14:paraId="40CED695">
                  <w:pPr>
                    <w:adjustRightInd w:val="0"/>
                    <w:snapToGrid w:val="0"/>
                    <w:ind w:left="-105" w:leftChars="-50" w:right="-105" w:rightChars="-50"/>
                    <w:jc w:val="center"/>
                    <w:rPr>
                      <w:rFonts w:hint="default"/>
                      <w:color w:val="auto"/>
                      <w:lang w:val="en-US" w:eastAsia="zh-CN"/>
                    </w:rPr>
                  </w:pPr>
                  <w:r>
                    <w:rPr>
                      <w:rFonts w:hint="eastAsia"/>
                      <w:color w:val="auto"/>
                      <w:lang w:val="en-US" w:eastAsia="zh-CN"/>
                    </w:rPr>
                    <w:t>57.1</w:t>
                  </w:r>
                </w:p>
              </w:tc>
              <w:tc>
                <w:tcPr>
                  <w:tcW w:w="200" w:type="pct"/>
                  <w:noWrap w:val="0"/>
                  <w:vAlign w:val="center"/>
                </w:tcPr>
                <w:p w14:paraId="5AB9AC3B">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4F63C243">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2A0E778D">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31.1</w:t>
                  </w:r>
                </w:p>
              </w:tc>
              <w:tc>
                <w:tcPr>
                  <w:tcW w:w="386" w:type="pct"/>
                  <w:noWrap w:val="0"/>
                  <w:vAlign w:val="center"/>
                </w:tcPr>
                <w:p w14:paraId="2B8EE092">
                  <w:pPr>
                    <w:adjustRightInd w:val="0"/>
                    <w:snapToGrid w:val="0"/>
                    <w:ind w:left="-105" w:leftChars="-50" w:right="-105" w:rightChars="-50"/>
                    <w:jc w:val="center"/>
                    <w:rPr>
                      <w:color w:val="auto"/>
                    </w:rPr>
                  </w:pPr>
                  <w:r>
                    <w:rPr>
                      <w:color w:val="auto"/>
                    </w:rPr>
                    <w:t>1m</w:t>
                  </w:r>
                </w:p>
              </w:tc>
            </w:tr>
            <w:tr w14:paraId="01557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7B47273A">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16</w:t>
                  </w:r>
                </w:p>
              </w:tc>
              <w:tc>
                <w:tcPr>
                  <w:tcW w:w="210" w:type="pct"/>
                  <w:vMerge w:val="continue"/>
                  <w:noWrap w:val="0"/>
                  <w:vAlign w:val="center"/>
                </w:tcPr>
                <w:p w14:paraId="0209C57E">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340783D4">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w:t>
                  </w:r>
                  <w:r>
                    <w:rPr>
                      <w:rFonts w:hint="default" w:ascii="Times New Roman" w:hAnsi="Times New Roman" w:eastAsia="宋体" w:cs="Times New Roman"/>
                      <w:i w:val="0"/>
                      <w:iCs w:val="0"/>
                      <w:color w:val="auto"/>
                      <w:kern w:val="0"/>
                      <w:sz w:val="21"/>
                      <w:szCs w:val="21"/>
                      <w:u w:val="none"/>
                      <w:lang w:val="en-US" w:eastAsia="zh-CN" w:bidi="ar"/>
                    </w:rPr>
                    <w:t>钻攻机</w:t>
                  </w:r>
                </w:p>
              </w:tc>
              <w:tc>
                <w:tcPr>
                  <w:tcW w:w="278" w:type="pct"/>
                  <w:noWrap w:val="0"/>
                  <w:vAlign w:val="center"/>
                </w:tcPr>
                <w:p w14:paraId="68CCAC3E">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046FFD54">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2746727F">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17CA4C49">
                  <w:pPr>
                    <w:adjustRightInd w:val="0"/>
                    <w:snapToGrid w:val="0"/>
                    <w:ind w:left="-105" w:leftChars="-50" w:right="-105" w:rightChars="-50"/>
                    <w:jc w:val="center"/>
                    <w:rPr>
                      <w:rFonts w:hAnsi="宋体"/>
                      <w:bCs/>
                      <w:color w:val="auto"/>
                      <w:szCs w:val="20"/>
                    </w:rPr>
                  </w:pPr>
                </w:p>
              </w:tc>
              <w:tc>
                <w:tcPr>
                  <w:tcW w:w="207" w:type="pct"/>
                  <w:noWrap w:val="0"/>
                  <w:vAlign w:val="center"/>
                </w:tcPr>
                <w:p w14:paraId="392A8820">
                  <w:pPr>
                    <w:adjustRightInd w:val="0"/>
                    <w:snapToGrid w:val="0"/>
                    <w:ind w:left="-105" w:leftChars="-50" w:right="-105" w:rightChars="-50"/>
                    <w:jc w:val="center"/>
                    <w:rPr>
                      <w:rFonts w:hint="eastAsia"/>
                      <w:color w:val="auto"/>
                      <w:lang w:val="en-US" w:eastAsia="zh-CN"/>
                    </w:rPr>
                  </w:pPr>
                  <w:r>
                    <w:rPr>
                      <w:rFonts w:hint="eastAsia"/>
                      <w:color w:val="auto"/>
                      <w:lang w:val="en-US" w:eastAsia="zh-CN"/>
                    </w:rPr>
                    <w:t>16</w:t>
                  </w:r>
                </w:p>
              </w:tc>
              <w:tc>
                <w:tcPr>
                  <w:tcW w:w="207" w:type="pct"/>
                  <w:noWrap w:val="0"/>
                  <w:vAlign w:val="center"/>
                </w:tcPr>
                <w:p w14:paraId="3C47FDB9">
                  <w:pPr>
                    <w:adjustRightInd w:val="0"/>
                    <w:snapToGrid w:val="0"/>
                    <w:ind w:left="-105" w:leftChars="-50" w:right="-105" w:rightChars="-50"/>
                    <w:jc w:val="center"/>
                    <w:rPr>
                      <w:rFonts w:hint="default"/>
                      <w:color w:val="auto"/>
                      <w:lang w:val="en-US" w:eastAsia="zh-CN"/>
                    </w:rPr>
                  </w:pPr>
                  <w:r>
                    <w:rPr>
                      <w:rFonts w:hint="eastAsia"/>
                      <w:color w:val="auto"/>
                      <w:lang w:val="en-US" w:eastAsia="zh-CN"/>
                    </w:rPr>
                    <w:t>78</w:t>
                  </w:r>
                </w:p>
              </w:tc>
              <w:tc>
                <w:tcPr>
                  <w:tcW w:w="229" w:type="pct"/>
                  <w:noWrap w:val="0"/>
                  <w:vAlign w:val="center"/>
                </w:tcPr>
                <w:p w14:paraId="55819611">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75BB420B">
                  <w:pPr>
                    <w:adjustRightInd w:val="0"/>
                    <w:snapToGrid w:val="0"/>
                    <w:ind w:left="-105" w:leftChars="-50" w:right="-105" w:rightChars="-50"/>
                    <w:jc w:val="center"/>
                    <w:rPr>
                      <w:rFonts w:hint="default"/>
                      <w:color w:val="auto"/>
                      <w:lang w:val="en-US" w:eastAsia="zh-CN"/>
                    </w:rPr>
                  </w:pPr>
                  <w:r>
                    <w:rPr>
                      <w:rFonts w:hint="eastAsia"/>
                      <w:color w:val="auto"/>
                      <w:lang w:val="en-US" w:eastAsia="zh-CN"/>
                    </w:rPr>
                    <w:t>12</w:t>
                  </w:r>
                </w:p>
              </w:tc>
              <w:tc>
                <w:tcPr>
                  <w:tcW w:w="258" w:type="pct"/>
                  <w:noWrap w:val="0"/>
                  <w:vAlign w:val="center"/>
                </w:tcPr>
                <w:p w14:paraId="510AC93F">
                  <w:pPr>
                    <w:adjustRightInd w:val="0"/>
                    <w:snapToGrid w:val="0"/>
                    <w:ind w:left="-105" w:leftChars="-50" w:right="-105" w:rightChars="-50"/>
                    <w:jc w:val="center"/>
                    <w:rPr>
                      <w:rFonts w:hint="default"/>
                      <w:color w:val="auto"/>
                      <w:lang w:val="en-US" w:eastAsia="zh-CN"/>
                    </w:rPr>
                  </w:pPr>
                  <w:r>
                    <w:rPr>
                      <w:rFonts w:hint="eastAsia"/>
                      <w:color w:val="auto"/>
                      <w:lang w:val="en-US" w:eastAsia="zh-CN"/>
                    </w:rPr>
                    <w:t>58.4</w:t>
                  </w:r>
                </w:p>
              </w:tc>
              <w:tc>
                <w:tcPr>
                  <w:tcW w:w="200" w:type="pct"/>
                  <w:noWrap w:val="0"/>
                  <w:vAlign w:val="center"/>
                </w:tcPr>
                <w:p w14:paraId="5F90837A">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586BFCFB">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09A3DCE0">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32.4</w:t>
                  </w:r>
                </w:p>
              </w:tc>
              <w:tc>
                <w:tcPr>
                  <w:tcW w:w="386" w:type="pct"/>
                  <w:noWrap w:val="0"/>
                  <w:vAlign w:val="center"/>
                </w:tcPr>
                <w:p w14:paraId="6BC004C7">
                  <w:pPr>
                    <w:adjustRightInd w:val="0"/>
                    <w:snapToGrid w:val="0"/>
                    <w:ind w:left="-105" w:leftChars="-50" w:right="-105" w:rightChars="-50"/>
                    <w:jc w:val="center"/>
                    <w:rPr>
                      <w:color w:val="auto"/>
                    </w:rPr>
                  </w:pPr>
                  <w:r>
                    <w:rPr>
                      <w:color w:val="auto"/>
                    </w:rPr>
                    <w:t>1m</w:t>
                  </w:r>
                </w:p>
              </w:tc>
            </w:tr>
            <w:tr w14:paraId="232A9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758CE80A">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17</w:t>
                  </w:r>
                </w:p>
              </w:tc>
              <w:tc>
                <w:tcPr>
                  <w:tcW w:w="210" w:type="pct"/>
                  <w:vMerge w:val="continue"/>
                  <w:noWrap w:val="0"/>
                  <w:vAlign w:val="center"/>
                </w:tcPr>
                <w:p w14:paraId="10000858">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70536AD4">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9#</w:t>
                  </w:r>
                  <w:r>
                    <w:rPr>
                      <w:rFonts w:hint="default" w:ascii="Times New Roman" w:hAnsi="Times New Roman" w:eastAsia="宋体" w:cs="Times New Roman"/>
                      <w:i w:val="0"/>
                      <w:iCs w:val="0"/>
                      <w:color w:val="auto"/>
                      <w:kern w:val="0"/>
                      <w:sz w:val="21"/>
                      <w:szCs w:val="21"/>
                      <w:u w:val="none"/>
                      <w:lang w:val="en-US" w:eastAsia="zh-CN" w:bidi="ar"/>
                    </w:rPr>
                    <w:t>钻攻机</w:t>
                  </w:r>
                </w:p>
              </w:tc>
              <w:tc>
                <w:tcPr>
                  <w:tcW w:w="278" w:type="pct"/>
                  <w:noWrap w:val="0"/>
                  <w:vAlign w:val="center"/>
                </w:tcPr>
                <w:p w14:paraId="0DF0A3CE">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542BA264">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5E8CDF4E">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534A0A75">
                  <w:pPr>
                    <w:adjustRightInd w:val="0"/>
                    <w:snapToGrid w:val="0"/>
                    <w:ind w:left="-105" w:leftChars="-50" w:right="-105" w:rightChars="-50"/>
                    <w:jc w:val="center"/>
                    <w:rPr>
                      <w:rFonts w:hAnsi="宋体"/>
                      <w:bCs/>
                      <w:color w:val="auto"/>
                      <w:szCs w:val="20"/>
                    </w:rPr>
                  </w:pPr>
                </w:p>
              </w:tc>
              <w:tc>
                <w:tcPr>
                  <w:tcW w:w="207" w:type="pct"/>
                  <w:noWrap w:val="0"/>
                  <w:vAlign w:val="center"/>
                </w:tcPr>
                <w:p w14:paraId="73E749C4">
                  <w:pPr>
                    <w:adjustRightInd w:val="0"/>
                    <w:snapToGrid w:val="0"/>
                    <w:ind w:left="-105" w:leftChars="-50" w:right="-105" w:rightChars="-50"/>
                    <w:jc w:val="center"/>
                    <w:rPr>
                      <w:rFonts w:hint="eastAsia"/>
                      <w:color w:val="auto"/>
                      <w:lang w:val="en-US" w:eastAsia="zh-CN"/>
                    </w:rPr>
                  </w:pPr>
                  <w:r>
                    <w:rPr>
                      <w:rFonts w:hint="eastAsia"/>
                      <w:color w:val="auto"/>
                      <w:lang w:val="en-US" w:eastAsia="zh-CN"/>
                    </w:rPr>
                    <w:t>19</w:t>
                  </w:r>
                </w:p>
              </w:tc>
              <w:tc>
                <w:tcPr>
                  <w:tcW w:w="207" w:type="pct"/>
                  <w:noWrap w:val="0"/>
                  <w:vAlign w:val="center"/>
                </w:tcPr>
                <w:p w14:paraId="691D36E4">
                  <w:pPr>
                    <w:adjustRightInd w:val="0"/>
                    <w:snapToGrid w:val="0"/>
                    <w:ind w:left="-105" w:leftChars="-50" w:right="-105" w:rightChars="-50"/>
                    <w:jc w:val="center"/>
                    <w:rPr>
                      <w:rFonts w:hint="eastAsia"/>
                      <w:color w:val="auto"/>
                      <w:lang w:val="en-US" w:eastAsia="zh-CN"/>
                    </w:rPr>
                  </w:pPr>
                  <w:r>
                    <w:rPr>
                      <w:rFonts w:hint="eastAsia"/>
                      <w:color w:val="auto"/>
                      <w:lang w:val="en-US" w:eastAsia="zh-CN"/>
                    </w:rPr>
                    <w:t>78</w:t>
                  </w:r>
                </w:p>
              </w:tc>
              <w:tc>
                <w:tcPr>
                  <w:tcW w:w="229" w:type="pct"/>
                  <w:noWrap w:val="0"/>
                  <w:vAlign w:val="center"/>
                </w:tcPr>
                <w:p w14:paraId="1FC986F3">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42B74146">
                  <w:pPr>
                    <w:adjustRightInd w:val="0"/>
                    <w:snapToGrid w:val="0"/>
                    <w:ind w:left="-105" w:leftChars="-50" w:right="-105" w:rightChars="-50"/>
                    <w:jc w:val="center"/>
                    <w:rPr>
                      <w:rFonts w:hint="eastAsia"/>
                      <w:color w:val="auto"/>
                      <w:lang w:val="en-US" w:eastAsia="zh-CN"/>
                    </w:rPr>
                  </w:pPr>
                  <w:r>
                    <w:rPr>
                      <w:rFonts w:hint="eastAsia"/>
                      <w:color w:val="auto"/>
                      <w:lang w:val="en-US" w:eastAsia="zh-CN"/>
                    </w:rPr>
                    <w:t>12</w:t>
                  </w:r>
                </w:p>
              </w:tc>
              <w:tc>
                <w:tcPr>
                  <w:tcW w:w="258" w:type="pct"/>
                  <w:noWrap w:val="0"/>
                  <w:vAlign w:val="center"/>
                </w:tcPr>
                <w:p w14:paraId="664DEADC">
                  <w:pPr>
                    <w:adjustRightInd w:val="0"/>
                    <w:snapToGrid w:val="0"/>
                    <w:ind w:left="-105" w:leftChars="-50" w:right="-105" w:rightChars="-50"/>
                    <w:jc w:val="center"/>
                    <w:rPr>
                      <w:rFonts w:hint="eastAsia"/>
                      <w:color w:val="auto"/>
                      <w:lang w:val="en-US" w:eastAsia="zh-CN"/>
                    </w:rPr>
                  </w:pPr>
                  <w:r>
                    <w:rPr>
                      <w:rFonts w:hint="eastAsia"/>
                      <w:color w:val="auto"/>
                      <w:lang w:val="en-US" w:eastAsia="zh-CN"/>
                    </w:rPr>
                    <w:t>58.4</w:t>
                  </w:r>
                </w:p>
              </w:tc>
              <w:tc>
                <w:tcPr>
                  <w:tcW w:w="200" w:type="pct"/>
                  <w:noWrap w:val="0"/>
                  <w:vAlign w:val="center"/>
                </w:tcPr>
                <w:p w14:paraId="56323CC1">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3CF2A318">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7A3602D4">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32.4</w:t>
                  </w:r>
                </w:p>
              </w:tc>
              <w:tc>
                <w:tcPr>
                  <w:tcW w:w="386" w:type="pct"/>
                  <w:noWrap w:val="0"/>
                  <w:vAlign w:val="center"/>
                </w:tcPr>
                <w:p w14:paraId="30E719FD">
                  <w:pPr>
                    <w:adjustRightInd w:val="0"/>
                    <w:snapToGrid w:val="0"/>
                    <w:ind w:left="-105" w:leftChars="-50" w:right="-105" w:rightChars="-50"/>
                    <w:jc w:val="center"/>
                    <w:rPr>
                      <w:color w:val="auto"/>
                    </w:rPr>
                  </w:pPr>
                  <w:r>
                    <w:rPr>
                      <w:color w:val="auto"/>
                    </w:rPr>
                    <w:t>1m</w:t>
                  </w:r>
                </w:p>
              </w:tc>
            </w:tr>
            <w:tr w14:paraId="1ECC7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427458DC">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18</w:t>
                  </w:r>
                </w:p>
              </w:tc>
              <w:tc>
                <w:tcPr>
                  <w:tcW w:w="210" w:type="pct"/>
                  <w:vMerge w:val="continue"/>
                  <w:noWrap w:val="0"/>
                  <w:vAlign w:val="center"/>
                </w:tcPr>
                <w:p w14:paraId="7CE3047B">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181EF1B9">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10#</w:t>
                  </w:r>
                  <w:r>
                    <w:rPr>
                      <w:rFonts w:hint="default" w:ascii="Times New Roman" w:hAnsi="Times New Roman" w:eastAsia="宋体" w:cs="Times New Roman"/>
                      <w:i w:val="0"/>
                      <w:iCs w:val="0"/>
                      <w:color w:val="auto"/>
                      <w:kern w:val="0"/>
                      <w:sz w:val="21"/>
                      <w:szCs w:val="21"/>
                      <w:u w:val="none"/>
                      <w:lang w:val="en-US" w:eastAsia="zh-CN" w:bidi="ar"/>
                    </w:rPr>
                    <w:t>钻攻机</w:t>
                  </w:r>
                </w:p>
              </w:tc>
              <w:tc>
                <w:tcPr>
                  <w:tcW w:w="278" w:type="pct"/>
                  <w:noWrap w:val="0"/>
                  <w:vAlign w:val="center"/>
                </w:tcPr>
                <w:p w14:paraId="2367972D">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2B7F10D2">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7665CEFB">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529D5B8A">
                  <w:pPr>
                    <w:adjustRightInd w:val="0"/>
                    <w:snapToGrid w:val="0"/>
                    <w:ind w:left="-105" w:leftChars="-50" w:right="-105" w:rightChars="-50"/>
                    <w:jc w:val="center"/>
                    <w:rPr>
                      <w:rFonts w:hAnsi="宋体"/>
                      <w:bCs/>
                      <w:color w:val="auto"/>
                      <w:szCs w:val="20"/>
                    </w:rPr>
                  </w:pPr>
                </w:p>
              </w:tc>
              <w:tc>
                <w:tcPr>
                  <w:tcW w:w="207" w:type="pct"/>
                  <w:noWrap w:val="0"/>
                  <w:vAlign w:val="center"/>
                </w:tcPr>
                <w:p w14:paraId="44547E67">
                  <w:pPr>
                    <w:adjustRightInd w:val="0"/>
                    <w:snapToGrid w:val="0"/>
                    <w:ind w:left="-105" w:leftChars="-50" w:right="-105" w:rightChars="-50"/>
                    <w:jc w:val="center"/>
                    <w:rPr>
                      <w:rFonts w:hint="eastAsia"/>
                      <w:color w:val="auto"/>
                      <w:lang w:val="en-US" w:eastAsia="zh-CN"/>
                    </w:rPr>
                  </w:pPr>
                  <w:r>
                    <w:rPr>
                      <w:rFonts w:hint="eastAsia"/>
                      <w:color w:val="auto"/>
                      <w:lang w:val="en-US" w:eastAsia="zh-CN"/>
                    </w:rPr>
                    <w:t>22</w:t>
                  </w:r>
                </w:p>
              </w:tc>
              <w:tc>
                <w:tcPr>
                  <w:tcW w:w="207" w:type="pct"/>
                  <w:noWrap w:val="0"/>
                  <w:vAlign w:val="center"/>
                </w:tcPr>
                <w:p w14:paraId="423C3430">
                  <w:pPr>
                    <w:adjustRightInd w:val="0"/>
                    <w:snapToGrid w:val="0"/>
                    <w:ind w:left="-105" w:leftChars="-50" w:right="-105" w:rightChars="-50"/>
                    <w:jc w:val="center"/>
                    <w:rPr>
                      <w:rFonts w:hint="eastAsia"/>
                      <w:color w:val="auto"/>
                      <w:lang w:val="en-US" w:eastAsia="zh-CN"/>
                    </w:rPr>
                  </w:pPr>
                  <w:r>
                    <w:rPr>
                      <w:rFonts w:hint="eastAsia"/>
                      <w:color w:val="auto"/>
                      <w:lang w:val="en-US" w:eastAsia="zh-CN"/>
                    </w:rPr>
                    <w:t>78</w:t>
                  </w:r>
                </w:p>
              </w:tc>
              <w:tc>
                <w:tcPr>
                  <w:tcW w:w="229" w:type="pct"/>
                  <w:noWrap w:val="0"/>
                  <w:vAlign w:val="center"/>
                </w:tcPr>
                <w:p w14:paraId="53081BFA">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003582D6">
                  <w:pPr>
                    <w:adjustRightInd w:val="0"/>
                    <w:snapToGrid w:val="0"/>
                    <w:ind w:left="-105" w:leftChars="-50" w:right="-105" w:rightChars="-50"/>
                    <w:jc w:val="center"/>
                    <w:rPr>
                      <w:rFonts w:hint="eastAsia"/>
                      <w:color w:val="auto"/>
                      <w:lang w:val="en-US" w:eastAsia="zh-CN"/>
                    </w:rPr>
                  </w:pPr>
                  <w:r>
                    <w:rPr>
                      <w:rFonts w:hint="eastAsia"/>
                      <w:color w:val="auto"/>
                      <w:lang w:val="en-US" w:eastAsia="zh-CN"/>
                    </w:rPr>
                    <w:t>12</w:t>
                  </w:r>
                </w:p>
              </w:tc>
              <w:tc>
                <w:tcPr>
                  <w:tcW w:w="258" w:type="pct"/>
                  <w:noWrap w:val="0"/>
                  <w:vAlign w:val="center"/>
                </w:tcPr>
                <w:p w14:paraId="34CE68A6">
                  <w:pPr>
                    <w:adjustRightInd w:val="0"/>
                    <w:snapToGrid w:val="0"/>
                    <w:ind w:left="-105" w:leftChars="-50" w:right="-105" w:rightChars="-50"/>
                    <w:jc w:val="center"/>
                    <w:rPr>
                      <w:rFonts w:hint="eastAsia"/>
                      <w:color w:val="auto"/>
                      <w:lang w:val="en-US" w:eastAsia="zh-CN"/>
                    </w:rPr>
                  </w:pPr>
                  <w:r>
                    <w:rPr>
                      <w:rFonts w:hint="eastAsia"/>
                      <w:color w:val="auto"/>
                      <w:lang w:val="en-US" w:eastAsia="zh-CN"/>
                    </w:rPr>
                    <w:t>58.4</w:t>
                  </w:r>
                </w:p>
              </w:tc>
              <w:tc>
                <w:tcPr>
                  <w:tcW w:w="200" w:type="pct"/>
                  <w:noWrap w:val="0"/>
                  <w:vAlign w:val="center"/>
                </w:tcPr>
                <w:p w14:paraId="3D4C8CD0">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2938F67E">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711ABA1A">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32.4</w:t>
                  </w:r>
                </w:p>
              </w:tc>
              <w:tc>
                <w:tcPr>
                  <w:tcW w:w="386" w:type="pct"/>
                  <w:noWrap w:val="0"/>
                  <w:vAlign w:val="center"/>
                </w:tcPr>
                <w:p w14:paraId="2B02F1C7">
                  <w:pPr>
                    <w:adjustRightInd w:val="0"/>
                    <w:snapToGrid w:val="0"/>
                    <w:ind w:left="-105" w:leftChars="-50" w:right="-105" w:rightChars="-50"/>
                    <w:jc w:val="center"/>
                    <w:rPr>
                      <w:color w:val="auto"/>
                    </w:rPr>
                  </w:pPr>
                  <w:r>
                    <w:rPr>
                      <w:color w:val="auto"/>
                    </w:rPr>
                    <w:t>1m</w:t>
                  </w:r>
                </w:p>
              </w:tc>
            </w:tr>
            <w:tr w14:paraId="462C1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0222E74D">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19</w:t>
                  </w:r>
                </w:p>
              </w:tc>
              <w:tc>
                <w:tcPr>
                  <w:tcW w:w="210" w:type="pct"/>
                  <w:vMerge w:val="continue"/>
                  <w:noWrap w:val="0"/>
                  <w:vAlign w:val="center"/>
                </w:tcPr>
                <w:p w14:paraId="5270D7E0">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0E09AA65">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11#</w:t>
                  </w:r>
                  <w:r>
                    <w:rPr>
                      <w:rFonts w:hint="default" w:ascii="Times New Roman" w:hAnsi="Times New Roman" w:eastAsia="宋体" w:cs="Times New Roman"/>
                      <w:i w:val="0"/>
                      <w:iCs w:val="0"/>
                      <w:color w:val="auto"/>
                      <w:kern w:val="0"/>
                      <w:sz w:val="21"/>
                      <w:szCs w:val="21"/>
                      <w:u w:val="none"/>
                      <w:lang w:val="en-US" w:eastAsia="zh-CN" w:bidi="ar"/>
                    </w:rPr>
                    <w:t>钻攻机</w:t>
                  </w:r>
                </w:p>
              </w:tc>
              <w:tc>
                <w:tcPr>
                  <w:tcW w:w="278" w:type="pct"/>
                  <w:noWrap w:val="0"/>
                  <w:vAlign w:val="center"/>
                </w:tcPr>
                <w:p w14:paraId="59C63C3B">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20B1A835">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2EC71F0C">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6E3CF2AE">
                  <w:pPr>
                    <w:adjustRightInd w:val="0"/>
                    <w:snapToGrid w:val="0"/>
                    <w:ind w:left="-105" w:leftChars="-50" w:right="-105" w:rightChars="-50"/>
                    <w:jc w:val="center"/>
                    <w:rPr>
                      <w:rFonts w:hAnsi="宋体"/>
                      <w:bCs/>
                      <w:color w:val="auto"/>
                      <w:szCs w:val="20"/>
                    </w:rPr>
                  </w:pPr>
                </w:p>
              </w:tc>
              <w:tc>
                <w:tcPr>
                  <w:tcW w:w="207" w:type="pct"/>
                  <w:noWrap w:val="0"/>
                  <w:vAlign w:val="center"/>
                </w:tcPr>
                <w:p w14:paraId="7AE8B2DE">
                  <w:pPr>
                    <w:adjustRightInd w:val="0"/>
                    <w:snapToGrid w:val="0"/>
                    <w:ind w:left="-105" w:leftChars="-50" w:right="-105" w:rightChars="-50"/>
                    <w:jc w:val="center"/>
                    <w:rPr>
                      <w:rFonts w:hint="eastAsia"/>
                      <w:color w:val="auto"/>
                      <w:lang w:val="en-US" w:eastAsia="zh-CN"/>
                    </w:rPr>
                  </w:pPr>
                  <w:r>
                    <w:rPr>
                      <w:rFonts w:hint="eastAsia"/>
                      <w:color w:val="auto"/>
                      <w:lang w:val="en-US" w:eastAsia="zh-CN"/>
                    </w:rPr>
                    <w:t>25</w:t>
                  </w:r>
                </w:p>
              </w:tc>
              <w:tc>
                <w:tcPr>
                  <w:tcW w:w="207" w:type="pct"/>
                  <w:noWrap w:val="0"/>
                  <w:vAlign w:val="center"/>
                </w:tcPr>
                <w:p w14:paraId="160A3032">
                  <w:pPr>
                    <w:adjustRightInd w:val="0"/>
                    <w:snapToGrid w:val="0"/>
                    <w:ind w:left="-105" w:leftChars="-50" w:right="-105" w:rightChars="-50"/>
                    <w:jc w:val="center"/>
                    <w:rPr>
                      <w:rFonts w:hint="eastAsia"/>
                      <w:color w:val="auto"/>
                      <w:lang w:val="en-US" w:eastAsia="zh-CN"/>
                    </w:rPr>
                  </w:pPr>
                  <w:r>
                    <w:rPr>
                      <w:rFonts w:hint="eastAsia"/>
                      <w:color w:val="auto"/>
                      <w:lang w:val="en-US" w:eastAsia="zh-CN"/>
                    </w:rPr>
                    <w:t>78</w:t>
                  </w:r>
                </w:p>
              </w:tc>
              <w:tc>
                <w:tcPr>
                  <w:tcW w:w="229" w:type="pct"/>
                  <w:noWrap w:val="0"/>
                  <w:vAlign w:val="center"/>
                </w:tcPr>
                <w:p w14:paraId="1C007B0A">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6D964E23">
                  <w:pPr>
                    <w:adjustRightInd w:val="0"/>
                    <w:snapToGrid w:val="0"/>
                    <w:ind w:left="-105" w:leftChars="-50" w:right="-105" w:rightChars="-50"/>
                    <w:jc w:val="center"/>
                    <w:rPr>
                      <w:rFonts w:hint="eastAsia"/>
                      <w:color w:val="auto"/>
                      <w:lang w:val="en-US" w:eastAsia="zh-CN"/>
                    </w:rPr>
                  </w:pPr>
                  <w:r>
                    <w:rPr>
                      <w:rFonts w:hint="eastAsia"/>
                      <w:color w:val="auto"/>
                      <w:lang w:val="en-US" w:eastAsia="zh-CN"/>
                    </w:rPr>
                    <w:t>12</w:t>
                  </w:r>
                </w:p>
              </w:tc>
              <w:tc>
                <w:tcPr>
                  <w:tcW w:w="258" w:type="pct"/>
                  <w:noWrap w:val="0"/>
                  <w:vAlign w:val="center"/>
                </w:tcPr>
                <w:p w14:paraId="47CC13E4">
                  <w:pPr>
                    <w:adjustRightInd w:val="0"/>
                    <w:snapToGrid w:val="0"/>
                    <w:ind w:left="-105" w:leftChars="-50" w:right="-105" w:rightChars="-50"/>
                    <w:jc w:val="center"/>
                    <w:rPr>
                      <w:rFonts w:hint="eastAsia"/>
                      <w:color w:val="auto"/>
                      <w:lang w:val="en-US" w:eastAsia="zh-CN"/>
                    </w:rPr>
                  </w:pPr>
                  <w:r>
                    <w:rPr>
                      <w:rFonts w:hint="eastAsia"/>
                      <w:color w:val="auto"/>
                      <w:lang w:val="en-US" w:eastAsia="zh-CN"/>
                    </w:rPr>
                    <w:t>58.4</w:t>
                  </w:r>
                </w:p>
              </w:tc>
              <w:tc>
                <w:tcPr>
                  <w:tcW w:w="200" w:type="pct"/>
                  <w:noWrap w:val="0"/>
                  <w:vAlign w:val="center"/>
                </w:tcPr>
                <w:p w14:paraId="39547DBB">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3BD78AAB">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5BD9E3FB">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32.4</w:t>
                  </w:r>
                </w:p>
              </w:tc>
              <w:tc>
                <w:tcPr>
                  <w:tcW w:w="386" w:type="pct"/>
                  <w:noWrap w:val="0"/>
                  <w:vAlign w:val="center"/>
                </w:tcPr>
                <w:p w14:paraId="4E5C3119">
                  <w:pPr>
                    <w:adjustRightInd w:val="0"/>
                    <w:snapToGrid w:val="0"/>
                    <w:ind w:left="-105" w:leftChars="-50" w:right="-105" w:rightChars="-50"/>
                    <w:jc w:val="center"/>
                    <w:rPr>
                      <w:color w:val="auto"/>
                    </w:rPr>
                  </w:pPr>
                  <w:r>
                    <w:rPr>
                      <w:color w:val="auto"/>
                    </w:rPr>
                    <w:t>1m</w:t>
                  </w:r>
                </w:p>
              </w:tc>
            </w:tr>
            <w:tr w14:paraId="210B9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00C005D3">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20</w:t>
                  </w:r>
                </w:p>
              </w:tc>
              <w:tc>
                <w:tcPr>
                  <w:tcW w:w="210" w:type="pct"/>
                  <w:vMerge w:val="continue"/>
                  <w:noWrap w:val="0"/>
                  <w:vAlign w:val="center"/>
                </w:tcPr>
                <w:p w14:paraId="1C5474D2">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0FDA06DA">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12#</w:t>
                  </w:r>
                  <w:r>
                    <w:rPr>
                      <w:rFonts w:hint="default" w:ascii="Times New Roman" w:hAnsi="Times New Roman" w:eastAsia="宋体" w:cs="Times New Roman"/>
                      <w:i w:val="0"/>
                      <w:iCs w:val="0"/>
                      <w:color w:val="auto"/>
                      <w:kern w:val="0"/>
                      <w:sz w:val="21"/>
                      <w:szCs w:val="21"/>
                      <w:u w:val="none"/>
                      <w:lang w:val="en-US" w:eastAsia="zh-CN" w:bidi="ar"/>
                    </w:rPr>
                    <w:t>钻攻机</w:t>
                  </w:r>
                </w:p>
              </w:tc>
              <w:tc>
                <w:tcPr>
                  <w:tcW w:w="278" w:type="pct"/>
                  <w:noWrap w:val="0"/>
                  <w:vAlign w:val="center"/>
                </w:tcPr>
                <w:p w14:paraId="113DA0B4">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7D6647C2">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3672312E">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321870CF">
                  <w:pPr>
                    <w:adjustRightInd w:val="0"/>
                    <w:snapToGrid w:val="0"/>
                    <w:ind w:left="-105" w:leftChars="-50" w:right="-105" w:rightChars="-50"/>
                    <w:jc w:val="center"/>
                    <w:rPr>
                      <w:rFonts w:hAnsi="宋体"/>
                      <w:bCs/>
                      <w:color w:val="auto"/>
                      <w:szCs w:val="20"/>
                    </w:rPr>
                  </w:pPr>
                </w:p>
              </w:tc>
              <w:tc>
                <w:tcPr>
                  <w:tcW w:w="207" w:type="pct"/>
                  <w:noWrap w:val="0"/>
                  <w:vAlign w:val="center"/>
                </w:tcPr>
                <w:p w14:paraId="5FC9A410">
                  <w:pPr>
                    <w:adjustRightInd w:val="0"/>
                    <w:snapToGrid w:val="0"/>
                    <w:ind w:left="-105" w:leftChars="-50" w:right="-105" w:rightChars="-50"/>
                    <w:jc w:val="center"/>
                    <w:rPr>
                      <w:rFonts w:hint="eastAsia"/>
                      <w:color w:val="auto"/>
                      <w:lang w:val="en-US" w:eastAsia="zh-CN"/>
                    </w:rPr>
                  </w:pPr>
                  <w:r>
                    <w:rPr>
                      <w:rFonts w:hint="eastAsia"/>
                      <w:color w:val="auto"/>
                      <w:lang w:val="en-US" w:eastAsia="zh-CN"/>
                    </w:rPr>
                    <w:t>28</w:t>
                  </w:r>
                </w:p>
              </w:tc>
              <w:tc>
                <w:tcPr>
                  <w:tcW w:w="207" w:type="pct"/>
                  <w:noWrap w:val="0"/>
                  <w:vAlign w:val="center"/>
                </w:tcPr>
                <w:p w14:paraId="66FF3946">
                  <w:pPr>
                    <w:adjustRightInd w:val="0"/>
                    <w:snapToGrid w:val="0"/>
                    <w:ind w:left="-105" w:leftChars="-50" w:right="-105" w:rightChars="-50"/>
                    <w:jc w:val="center"/>
                    <w:rPr>
                      <w:rFonts w:hint="eastAsia"/>
                      <w:color w:val="auto"/>
                      <w:lang w:val="en-US" w:eastAsia="zh-CN"/>
                    </w:rPr>
                  </w:pPr>
                  <w:r>
                    <w:rPr>
                      <w:rFonts w:hint="eastAsia"/>
                      <w:color w:val="auto"/>
                      <w:lang w:val="en-US" w:eastAsia="zh-CN"/>
                    </w:rPr>
                    <w:t>78</w:t>
                  </w:r>
                </w:p>
              </w:tc>
              <w:tc>
                <w:tcPr>
                  <w:tcW w:w="229" w:type="pct"/>
                  <w:noWrap w:val="0"/>
                  <w:vAlign w:val="center"/>
                </w:tcPr>
                <w:p w14:paraId="524DCE3B">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4137FFF0">
                  <w:pPr>
                    <w:adjustRightInd w:val="0"/>
                    <w:snapToGrid w:val="0"/>
                    <w:ind w:left="-105" w:leftChars="-50" w:right="-105" w:rightChars="-50"/>
                    <w:jc w:val="center"/>
                    <w:rPr>
                      <w:rFonts w:hint="eastAsia"/>
                      <w:color w:val="auto"/>
                      <w:lang w:val="en-US" w:eastAsia="zh-CN"/>
                    </w:rPr>
                  </w:pPr>
                  <w:r>
                    <w:rPr>
                      <w:rFonts w:hint="eastAsia"/>
                      <w:color w:val="auto"/>
                      <w:lang w:val="en-US" w:eastAsia="zh-CN"/>
                    </w:rPr>
                    <w:t>12</w:t>
                  </w:r>
                </w:p>
              </w:tc>
              <w:tc>
                <w:tcPr>
                  <w:tcW w:w="258" w:type="pct"/>
                  <w:noWrap w:val="0"/>
                  <w:vAlign w:val="center"/>
                </w:tcPr>
                <w:p w14:paraId="32C24CBC">
                  <w:pPr>
                    <w:adjustRightInd w:val="0"/>
                    <w:snapToGrid w:val="0"/>
                    <w:ind w:left="-105" w:leftChars="-50" w:right="-105" w:rightChars="-50"/>
                    <w:jc w:val="center"/>
                    <w:rPr>
                      <w:rFonts w:hint="eastAsia"/>
                      <w:color w:val="auto"/>
                      <w:lang w:val="en-US" w:eastAsia="zh-CN"/>
                    </w:rPr>
                  </w:pPr>
                  <w:r>
                    <w:rPr>
                      <w:rFonts w:hint="eastAsia"/>
                      <w:color w:val="auto"/>
                      <w:lang w:val="en-US" w:eastAsia="zh-CN"/>
                    </w:rPr>
                    <w:t>58.4</w:t>
                  </w:r>
                </w:p>
              </w:tc>
              <w:tc>
                <w:tcPr>
                  <w:tcW w:w="200" w:type="pct"/>
                  <w:noWrap w:val="0"/>
                  <w:vAlign w:val="center"/>
                </w:tcPr>
                <w:p w14:paraId="75369F8A">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70D43200">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6046DB05">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32.4</w:t>
                  </w:r>
                </w:p>
              </w:tc>
              <w:tc>
                <w:tcPr>
                  <w:tcW w:w="386" w:type="pct"/>
                  <w:noWrap w:val="0"/>
                  <w:vAlign w:val="center"/>
                </w:tcPr>
                <w:p w14:paraId="39BE1A51">
                  <w:pPr>
                    <w:adjustRightInd w:val="0"/>
                    <w:snapToGrid w:val="0"/>
                    <w:ind w:left="-105" w:leftChars="-50" w:right="-105" w:rightChars="-50"/>
                    <w:jc w:val="center"/>
                    <w:rPr>
                      <w:color w:val="auto"/>
                    </w:rPr>
                  </w:pPr>
                  <w:r>
                    <w:rPr>
                      <w:color w:val="auto"/>
                    </w:rPr>
                    <w:t>1m</w:t>
                  </w:r>
                </w:p>
              </w:tc>
            </w:tr>
            <w:tr w14:paraId="3FE2E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657C8B62">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21</w:t>
                  </w:r>
                </w:p>
              </w:tc>
              <w:tc>
                <w:tcPr>
                  <w:tcW w:w="210" w:type="pct"/>
                  <w:vMerge w:val="continue"/>
                  <w:noWrap w:val="0"/>
                  <w:vAlign w:val="center"/>
                </w:tcPr>
                <w:p w14:paraId="4DD4E018">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4D31B4A9">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13#</w:t>
                  </w:r>
                  <w:r>
                    <w:rPr>
                      <w:rFonts w:hint="default" w:ascii="Times New Roman" w:hAnsi="Times New Roman" w:eastAsia="宋体" w:cs="Times New Roman"/>
                      <w:i w:val="0"/>
                      <w:iCs w:val="0"/>
                      <w:color w:val="auto"/>
                      <w:kern w:val="0"/>
                      <w:sz w:val="21"/>
                      <w:szCs w:val="21"/>
                      <w:u w:val="none"/>
                      <w:lang w:val="en-US" w:eastAsia="zh-CN" w:bidi="ar"/>
                    </w:rPr>
                    <w:t>钻攻机</w:t>
                  </w:r>
                </w:p>
              </w:tc>
              <w:tc>
                <w:tcPr>
                  <w:tcW w:w="278" w:type="pct"/>
                  <w:noWrap w:val="0"/>
                  <w:vAlign w:val="center"/>
                </w:tcPr>
                <w:p w14:paraId="24171252">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5F8DE1E7">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5E303998">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61ABC820">
                  <w:pPr>
                    <w:adjustRightInd w:val="0"/>
                    <w:snapToGrid w:val="0"/>
                    <w:ind w:left="-105" w:leftChars="-50" w:right="-105" w:rightChars="-50"/>
                    <w:jc w:val="center"/>
                    <w:rPr>
                      <w:rFonts w:hAnsi="宋体"/>
                      <w:bCs/>
                      <w:color w:val="auto"/>
                      <w:szCs w:val="20"/>
                    </w:rPr>
                  </w:pPr>
                </w:p>
              </w:tc>
              <w:tc>
                <w:tcPr>
                  <w:tcW w:w="207" w:type="pct"/>
                  <w:noWrap w:val="0"/>
                  <w:vAlign w:val="center"/>
                </w:tcPr>
                <w:p w14:paraId="61CDF73F">
                  <w:pPr>
                    <w:adjustRightInd w:val="0"/>
                    <w:snapToGrid w:val="0"/>
                    <w:ind w:left="-105" w:leftChars="-50" w:right="-105" w:rightChars="-50"/>
                    <w:jc w:val="center"/>
                    <w:rPr>
                      <w:rFonts w:hint="eastAsia"/>
                      <w:color w:val="auto"/>
                      <w:lang w:val="en-US" w:eastAsia="zh-CN"/>
                    </w:rPr>
                  </w:pPr>
                  <w:r>
                    <w:rPr>
                      <w:rFonts w:hint="eastAsia"/>
                      <w:color w:val="auto"/>
                      <w:lang w:val="en-US" w:eastAsia="zh-CN"/>
                    </w:rPr>
                    <w:t>31</w:t>
                  </w:r>
                </w:p>
              </w:tc>
              <w:tc>
                <w:tcPr>
                  <w:tcW w:w="207" w:type="pct"/>
                  <w:noWrap w:val="0"/>
                  <w:vAlign w:val="center"/>
                </w:tcPr>
                <w:p w14:paraId="0A88B1B6">
                  <w:pPr>
                    <w:adjustRightInd w:val="0"/>
                    <w:snapToGrid w:val="0"/>
                    <w:ind w:left="-105" w:leftChars="-50" w:right="-105" w:rightChars="-50"/>
                    <w:jc w:val="center"/>
                    <w:rPr>
                      <w:rFonts w:hint="eastAsia"/>
                      <w:color w:val="auto"/>
                      <w:lang w:val="en-US" w:eastAsia="zh-CN"/>
                    </w:rPr>
                  </w:pPr>
                  <w:r>
                    <w:rPr>
                      <w:rFonts w:hint="eastAsia"/>
                      <w:color w:val="auto"/>
                      <w:lang w:val="en-US" w:eastAsia="zh-CN"/>
                    </w:rPr>
                    <w:t>78</w:t>
                  </w:r>
                </w:p>
              </w:tc>
              <w:tc>
                <w:tcPr>
                  <w:tcW w:w="229" w:type="pct"/>
                  <w:noWrap w:val="0"/>
                  <w:vAlign w:val="center"/>
                </w:tcPr>
                <w:p w14:paraId="103C77BE">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70653FC8">
                  <w:pPr>
                    <w:adjustRightInd w:val="0"/>
                    <w:snapToGrid w:val="0"/>
                    <w:ind w:left="-105" w:leftChars="-50" w:right="-105" w:rightChars="-50"/>
                    <w:jc w:val="center"/>
                    <w:rPr>
                      <w:rFonts w:hint="eastAsia"/>
                      <w:color w:val="auto"/>
                      <w:lang w:val="en-US" w:eastAsia="zh-CN"/>
                    </w:rPr>
                  </w:pPr>
                  <w:r>
                    <w:rPr>
                      <w:rFonts w:hint="eastAsia"/>
                      <w:color w:val="auto"/>
                      <w:lang w:val="en-US" w:eastAsia="zh-CN"/>
                    </w:rPr>
                    <w:t>12</w:t>
                  </w:r>
                </w:p>
              </w:tc>
              <w:tc>
                <w:tcPr>
                  <w:tcW w:w="258" w:type="pct"/>
                  <w:noWrap w:val="0"/>
                  <w:vAlign w:val="center"/>
                </w:tcPr>
                <w:p w14:paraId="6DAF2256">
                  <w:pPr>
                    <w:adjustRightInd w:val="0"/>
                    <w:snapToGrid w:val="0"/>
                    <w:ind w:left="-105" w:leftChars="-50" w:right="-105" w:rightChars="-50"/>
                    <w:jc w:val="center"/>
                    <w:rPr>
                      <w:rFonts w:hint="eastAsia"/>
                      <w:color w:val="auto"/>
                      <w:lang w:val="en-US" w:eastAsia="zh-CN"/>
                    </w:rPr>
                  </w:pPr>
                  <w:r>
                    <w:rPr>
                      <w:rFonts w:hint="eastAsia"/>
                      <w:color w:val="auto"/>
                      <w:lang w:val="en-US" w:eastAsia="zh-CN"/>
                    </w:rPr>
                    <w:t>58.4</w:t>
                  </w:r>
                </w:p>
              </w:tc>
              <w:tc>
                <w:tcPr>
                  <w:tcW w:w="200" w:type="pct"/>
                  <w:noWrap w:val="0"/>
                  <w:vAlign w:val="center"/>
                </w:tcPr>
                <w:p w14:paraId="037F0F50">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0E747B06">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03705BD3">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32.4</w:t>
                  </w:r>
                </w:p>
              </w:tc>
              <w:tc>
                <w:tcPr>
                  <w:tcW w:w="386" w:type="pct"/>
                  <w:noWrap w:val="0"/>
                  <w:vAlign w:val="center"/>
                </w:tcPr>
                <w:p w14:paraId="4EDFB49A">
                  <w:pPr>
                    <w:adjustRightInd w:val="0"/>
                    <w:snapToGrid w:val="0"/>
                    <w:ind w:left="-105" w:leftChars="-50" w:right="-105" w:rightChars="-50"/>
                    <w:jc w:val="center"/>
                    <w:rPr>
                      <w:color w:val="auto"/>
                    </w:rPr>
                  </w:pPr>
                  <w:r>
                    <w:rPr>
                      <w:color w:val="auto"/>
                    </w:rPr>
                    <w:t>1m</w:t>
                  </w:r>
                </w:p>
              </w:tc>
            </w:tr>
            <w:tr w14:paraId="3D31E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48AF6FF8">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22</w:t>
                  </w:r>
                </w:p>
              </w:tc>
              <w:tc>
                <w:tcPr>
                  <w:tcW w:w="210" w:type="pct"/>
                  <w:vMerge w:val="continue"/>
                  <w:noWrap w:val="0"/>
                  <w:vAlign w:val="center"/>
                </w:tcPr>
                <w:p w14:paraId="0E8CAF54">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6E41E6AA">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14#</w:t>
                  </w:r>
                  <w:r>
                    <w:rPr>
                      <w:rFonts w:hint="default" w:ascii="Times New Roman" w:hAnsi="Times New Roman" w:eastAsia="宋体" w:cs="Times New Roman"/>
                      <w:i w:val="0"/>
                      <w:iCs w:val="0"/>
                      <w:color w:val="auto"/>
                      <w:kern w:val="0"/>
                      <w:sz w:val="21"/>
                      <w:szCs w:val="21"/>
                      <w:u w:val="none"/>
                      <w:lang w:val="en-US" w:eastAsia="zh-CN" w:bidi="ar"/>
                    </w:rPr>
                    <w:t>钻攻机</w:t>
                  </w:r>
                </w:p>
              </w:tc>
              <w:tc>
                <w:tcPr>
                  <w:tcW w:w="278" w:type="pct"/>
                  <w:noWrap w:val="0"/>
                  <w:vAlign w:val="center"/>
                </w:tcPr>
                <w:p w14:paraId="16A9CDCB">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3D796525">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6906725A">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0E10BDEF">
                  <w:pPr>
                    <w:adjustRightInd w:val="0"/>
                    <w:snapToGrid w:val="0"/>
                    <w:ind w:left="-105" w:leftChars="-50" w:right="-105" w:rightChars="-50"/>
                    <w:jc w:val="center"/>
                    <w:rPr>
                      <w:rFonts w:hAnsi="宋体"/>
                      <w:bCs/>
                      <w:color w:val="auto"/>
                      <w:szCs w:val="20"/>
                    </w:rPr>
                  </w:pPr>
                </w:p>
              </w:tc>
              <w:tc>
                <w:tcPr>
                  <w:tcW w:w="207" w:type="pct"/>
                  <w:noWrap w:val="0"/>
                  <w:vAlign w:val="center"/>
                </w:tcPr>
                <w:p w14:paraId="3F2AB1D1">
                  <w:pPr>
                    <w:adjustRightInd w:val="0"/>
                    <w:snapToGrid w:val="0"/>
                    <w:ind w:left="-105" w:leftChars="-50" w:right="-105" w:rightChars="-50"/>
                    <w:jc w:val="center"/>
                    <w:rPr>
                      <w:rFonts w:hint="eastAsia"/>
                      <w:color w:val="auto"/>
                      <w:lang w:val="en-US" w:eastAsia="zh-CN"/>
                    </w:rPr>
                  </w:pPr>
                  <w:r>
                    <w:rPr>
                      <w:rFonts w:hint="eastAsia"/>
                      <w:color w:val="auto"/>
                      <w:lang w:val="en-US" w:eastAsia="zh-CN"/>
                    </w:rPr>
                    <w:t>34</w:t>
                  </w:r>
                </w:p>
              </w:tc>
              <w:tc>
                <w:tcPr>
                  <w:tcW w:w="207" w:type="pct"/>
                  <w:noWrap w:val="0"/>
                  <w:vAlign w:val="center"/>
                </w:tcPr>
                <w:p w14:paraId="7C45A16D">
                  <w:pPr>
                    <w:adjustRightInd w:val="0"/>
                    <w:snapToGrid w:val="0"/>
                    <w:ind w:left="-105" w:leftChars="-50" w:right="-105" w:rightChars="-50"/>
                    <w:jc w:val="center"/>
                    <w:rPr>
                      <w:rFonts w:hint="eastAsia"/>
                      <w:color w:val="auto"/>
                      <w:lang w:val="en-US" w:eastAsia="zh-CN"/>
                    </w:rPr>
                  </w:pPr>
                  <w:r>
                    <w:rPr>
                      <w:rFonts w:hint="eastAsia"/>
                      <w:color w:val="auto"/>
                      <w:lang w:val="en-US" w:eastAsia="zh-CN"/>
                    </w:rPr>
                    <w:t>78</w:t>
                  </w:r>
                </w:p>
              </w:tc>
              <w:tc>
                <w:tcPr>
                  <w:tcW w:w="229" w:type="pct"/>
                  <w:noWrap w:val="0"/>
                  <w:vAlign w:val="center"/>
                </w:tcPr>
                <w:p w14:paraId="2C9A5599">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7AB0C9F7">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p>
              </w:tc>
              <w:tc>
                <w:tcPr>
                  <w:tcW w:w="258" w:type="pct"/>
                  <w:noWrap w:val="0"/>
                  <w:vAlign w:val="center"/>
                </w:tcPr>
                <w:p w14:paraId="17F1C517">
                  <w:pPr>
                    <w:adjustRightInd w:val="0"/>
                    <w:snapToGrid w:val="0"/>
                    <w:ind w:left="-105" w:leftChars="-50" w:right="-105" w:rightChars="-50"/>
                    <w:jc w:val="center"/>
                    <w:rPr>
                      <w:rFonts w:hint="default"/>
                      <w:color w:val="auto"/>
                      <w:lang w:val="en-US" w:eastAsia="zh-CN"/>
                    </w:rPr>
                  </w:pPr>
                  <w:r>
                    <w:rPr>
                      <w:rFonts w:hint="eastAsia"/>
                      <w:color w:val="auto"/>
                      <w:lang w:val="en-US" w:eastAsia="zh-CN"/>
                    </w:rPr>
                    <w:t>60</w:t>
                  </w:r>
                </w:p>
              </w:tc>
              <w:tc>
                <w:tcPr>
                  <w:tcW w:w="200" w:type="pct"/>
                  <w:noWrap w:val="0"/>
                  <w:vAlign w:val="center"/>
                </w:tcPr>
                <w:p w14:paraId="0E01C828">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5BD941A0">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4BF1F8D4">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34</w:t>
                  </w:r>
                </w:p>
              </w:tc>
              <w:tc>
                <w:tcPr>
                  <w:tcW w:w="386" w:type="pct"/>
                  <w:noWrap w:val="0"/>
                  <w:vAlign w:val="center"/>
                </w:tcPr>
                <w:p w14:paraId="7F647294">
                  <w:pPr>
                    <w:adjustRightInd w:val="0"/>
                    <w:snapToGrid w:val="0"/>
                    <w:ind w:left="-105" w:leftChars="-50" w:right="-105" w:rightChars="-50"/>
                    <w:jc w:val="center"/>
                    <w:rPr>
                      <w:color w:val="auto"/>
                    </w:rPr>
                  </w:pPr>
                  <w:r>
                    <w:rPr>
                      <w:color w:val="auto"/>
                    </w:rPr>
                    <w:t>1m</w:t>
                  </w:r>
                </w:p>
              </w:tc>
            </w:tr>
            <w:tr w14:paraId="6C561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07A119C0">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23</w:t>
                  </w:r>
                </w:p>
              </w:tc>
              <w:tc>
                <w:tcPr>
                  <w:tcW w:w="210" w:type="pct"/>
                  <w:vMerge w:val="continue"/>
                  <w:noWrap w:val="0"/>
                  <w:vAlign w:val="center"/>
                </w:tcPr>
                <w:p w14:paraId="0CDAFFD1">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37560354">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15#</w:t>
                  </w:r>
                  <w:r>
                    <w:rPr>
                      <w:rFonts w:hint="default" w:ascii="Times New Roman" w:hAnsi="Times New Roman" w:eastAsia="宋体" w:cs="Times New Roman"/>
                      <w:i w:val="0"/>
                      <w:iCs w:val="0"/>
                      <w:color w:val="auto"/>
                      <w:kern w:val="0"/>
                      <w:sz w:val="21"/>
                      <w:szCs w:val="21"/>
                      <w:u w:val="none"/>
                      <w:lang w:val="en-US" w:eastAsia="zh-CN" w:bidi="ar"/>
                    </w:rPr>
                    <w:t>钻攻机</w:t>
                  </w:r>
                </w:p>
              </w:tc>
              <w:tc>
                <w:tcPr>
                  <w:tcW w:w="278" w:type="pct"/>
                  <w:noWrap w:val="0"/>
                  <w:vAlign w:val="center"/>
                </w:tcPr>
                <w:p w14:paraId="248CFE05">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6CCBD462">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550" w:type="pct"/>
                  <w:noWrap w:val="0"/>
                  <w:vAlign w:val="center"/>
                </w:tcPr>
                <w:p w14:paraId="1D1D1093">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253245FD">
                  <w:pPr>
                    <w:adjustRightInd w:val="0"/>
                    <w:snapToGrid w:val="0"/>
                    <w:ind w:left="-105" w:leftChars="-50" w:right="-105" w:rightChars="-50"/>
                    <w:jc w:val="center"/>
                    <w:rPr>
                      <w:rFonts w:hAnsi="宋体"/>
                      <w:bCs/>
                      <w:color w:val="auto"/>
                      <w:szCs w:val="20"/>
                    </w:rPr>
                  </w:pPr>
                </w:p>
              </w:tc>
              <w:tc>
                <w:tcPr>
                  <w:tcW w:w="207" w:type="pct"/>
                  <w:noWrap w:val="0"/>
                  <w:vAlign w:val="center"/>
                </w:tcPr>
                <w:p w14:paraId="1C7B641F">
                  <w:pPr>
                    <w:adjustRightInd w:val="0"/>
                    <w:snapToGrid w:val="0"/>
                    <w:ind w:left="-105" w:leftChars="-50" w:right="-105" w:rightChars="-50"/>
                    <w:jc w:val="center"/>
                    <w:rPr>
                      <w:rFonts w:hint="default"/>
                      <w:color w:val="auto"/>
                      <w:lang w:val="en-US" w:eastAsia="zh-CN"/>
                    </w:rPr>
                  </w:pPr>
                  <w:r>
                    <w:rPr>
                      <w:rFonts w:hint="eastAsia"/>
                      <w:color w:val="auto"/>
                      <w:lang w:val="en-US" w:eastAsia="zh-CN"/>
                    </w:rPr>
                    <w:t>16</w:t>
                  </w:r>
                </w:p>
              </w:tc>
              <w:tc>
                <w:tcPr>
                  <w:tcW w:w="207" w:type="pct"/>
                  <w:noWrap w:val="0"/>
                  <w:vAlign w:val="center"/>
                </w:tcPr>
                <w:p w14:paraId="4512684C">
                  <w:pPr>
                    <w:adjustRightInd w:val="0"/>
                    <w:snapToGrid w:val="0"/>
                    <w:ind w:left="-105" w:leftChars="-50" w:right="-105" w:rightChars="-50"/>
                    <w:jc w:val="center"/>
                    <w:rPr>
                      <w:rFonts w:hint="default"/>
                      <w:color w:val="auto"/>
                      <w:lang w:val="en-US" w:eastAsia="zh-CN"/>
                    </w:rPr>
                  </w:pPr>
                  <w:r>
                    <w:rPr>
                      <w:rFonts w:hint="eastAsia"/>
                      <w:color w:val="auto"/>
                      <w:lang w:val="en-US" w:eastAsia="zh-CN"/>
                    </w:rPr>
                    <w:t>82</w:t>
                  </w:r>
                </w:p>
              </w:tc>
              <w:tc>
                <w:tcPr>
                  <w:tcW w:w="229" w:type="pct"/>
                  <w:noWrap w:val="0"/>
                  <w:vAlign w:val="center"/>
                </w:tcPr>
                <w:p w14:paraId="46E9163F">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05206630">
                  <w:pPr>
                    <w:adjustRightInd w:val="0"/>
                    <w:snapToGrid w:val="0"/>
                    <w:ind w:left="-105" w:leftChars="-50" w:right="-105" w:rightChars="-50"/>
                    <w:jc w:val="center"/>
                    <w:rPr>
                      <w:rFonts w:hint="default"/>
                      <w:color w:val="auto"/>
                      <w:lang w:val="en-US" w:eastAsia="zh-CN"/>
                    </w:rPr>
                  </w:pPr>
                  <w:r>
                    <w:rPr>
                      <w:rFonts w:hint="eastAsia"/>
                      <w:color w:val="auto"/>
                      <w:lang w:val="en-US" w:eastAsia="zh-CN"/>
                    </w:rPr>
                    <w:t>10</w:t>
                  </w:r>
                </w:p>
              </w:tc>
              <w:tc>
                <w:tcPr>
                  <w:tcW w:w="258" w:type="pct"/>
                  <w:noWrap w:val="0"/>
                  <w:vAlign w:val="center"/>
                </w:tcPr>
                <w:p w14:paraId="3D4ADF3B">
                  <w:pPr>
                    <w:adjustRightInd w:val="0"/>
                    <w:snapToGrid w:val="0"/>
                    <w:ind w:left="-105" w:leftChars="-50" w:right="-105" w:rightChars="-50"/>
                    <w:jc w:val="center"/>
                    <w:rPr>
                      <w:rFonts w:hint="eastAsia"/>
                      <w:color w:val="auto"/>
                      <w:lang w:val="en-US" w:eastAsia="zh-CN"/>
                    </w:rPr>
                  </w:pPr>
                  <w:r>
                    <w:rPr>
                      <w:rFonts w:hint="eastAsia"/>
                      <w:color w:val="auto"/>
                      <w:lang w:val="en-US" w:eastAsia="zh-CN"/>
                    </w:rPr>
                    <w:t>60</w:t>
                  </w:r>
                </w:p>
              </w:tc>
              <w:tc>
                <w:tcPr>
                  <w:tcW w:w="200" w:type="pct"/>
                  <w:noWrap w:val="0"/>
                  <w:vAlign w:val="center"/>
                </w:tcPr>
                <w:p w14:paraId="3722A0C1">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3057A35A">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73A1D588">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34</w:t>
                  </w:r>
                </w:p>
              </w:tc>
              <w:tc>
                <w:tcPr>
                  <w:tcW w:w="386" w:type="pct"/>
                  <w:noWrap w:val="0"/>
                  <w:vAlign w:val="center"/>
                </w:tcPr>
                <w:p w14:paraId="3CC373C7">
                  <w:pPr>
                    <w:adjustRightInd w:val="0"/>
                    <w:snapToGrid w:val="0"/>
                    <w:ind w:left="-105" w:leftChars="-50" w:right="-105" w:rightChars="-50"/>
                    <w:jc w:val="center"/>
                    <w:rPr>
                      <w:color w:val="auto"/>
                    </w:rPr>
                  </w:pPr>
                  <w:r>
                    <w:rPr>
                      <w:color w:val="auto"/>
                    </w:rPr>
                    <w:t>1m</w:t>
                  </w:r>
                </w:p>
              </w:tc>
            </w:tr>
            <w:tr w14:paraId="59B0B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542372C9">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24</w:t>
                  </w:r>
                </w:p>
              </w:tc>
              <w:tc>
                <w:tcPr>
                  <w:tcW w:w="210" w:type="pct"/>
                  <w:vMerge w:val="continue"/>
                  <w:noWrap w:val="0"/>
                  <w:vAlign w:val="center"/>
                </w:tcPr>
                <w:p w14:paraId="6BF32A0E">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7EE3C7DB">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16#</w:t>
                  </w:r>
                  <w:r>
                    <w:rPr>
                      <w:rFonts w:hint="default" w:ascii="Times New Roman" w:hAnsi="Times New Roman" w:eastAsia="宋体" w:cs="Times New Roman"/>
                      <w:i w:val="0"/>
                      <w:iCs w:val="0"/>
                      <w:color w:val="auto"/>
                      <w:kern w:val="0"/>
                      <w:sz w:val="21"/>
                      <w:szCs w:val="21"/>
                      <w:u w:val="none"/>
                      <w:lang w:val="en-US" w:eastAsia="zh-CN" w:bidi="ar"/>
                    </w:rPr>
                    <w:t>钻攻机</w:t>
                  </w:r>
                </w:p>
              </w:tc>
              <w:tc>
                <w:tcPr>
                  <w:tcW w:w="278" w:type="pct"/>
                  <w:noWrap w:val="0"/>
                  <w:vAlign w:val="center"/>
                </w:tcPr>
                <w:p w14:paraId="094C36D3">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4EB4FCCF">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550" w:type="pct"/>
                  <w:noWrap w:val="0"/>
                  <w:vAlign w:val="center"/>
                </w:tcPr>
                <w:p w14:paraId="443674AF">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272818E7">
                  <w:pPr>
                    <w:adjustRightInd w:val="0"/>
                    <w:snapToGrid w:val="0"/>
                    <w:ind w:left="-105" w:leftChars="-50" w:right="-105" w:rightChars="-50"/>
                    <w:jc w:val="center"/>
                    <w:rPr>
                      <w:rFonts w:hAnsi="宋体"/>
                      <w:bCs/>
                      <w:color w:val="auto"/>
                      <w:szCs w:val="20"/>
                    </w:rPr>
                  </w:pPr>
                </w:p>
              </w:tc>
              <w:tc>
                <w:tcPr>
                  <w:tcW w:w="207" w:type="pct"/>
                  <w:noWrap w:val="0"/>
                  <w:vAlign w:val="center"/>
                </w:tcPr>
                <w:p w14:paraId="0417E20A">
                  <w:pPr>
                    <w:adjustRightInd w:val="0"/>
                    <w:snapToGrid w:val="0"/>
                    <w:ind w:left="-105" w:leftChars="-50" w:right="-105" w:rightChars="-50"/>
                    <w:jc w:val="center"/>
                    <w:rPr>
                      <w:rFonts w:hint="default"/>
                      <w:color w:val="auto"/>
                      <w:lang w:val="en-US" w:eastAsia="zh-CN"/>
                    </w:rPr>
                  </w:pPr>
                  <w:r>
                    <w:rPr>
                      <w:rFonts w:hint="eastAsia"/>
                      <w:color w:val="auto"/>
                      <w:lang w:val="en-US" w:eastAsia="zh-CN"/>
                    </w:rPr>
                    <w:t>19</w:t>
                  </w:r>
                </w:p>
              </w:tc>
              <w:tc>
                <w:tcPr>
                  <w:tcW w:w="207" w:type="pct"/>
                  <w:noWrap w:val="0"/>
                  <w:vAlign w:val="center"/>
                </w:tcPr>
                <w:p w14:paraId="59F27609">
                  <w:pPr>
                    <w:adjustRightInd w:val="0"/>
                    <w:snapToGrid w:val="0"/>
                    <w:ind w:left="-105" w:leftChars="-50" w:right="-105" w:rightChars="-50"/>
                    <w:jc w:val="center"/>
                    <w:rPr>
                      <w:rFonts w:hint="default"/>
                      <w:color w:val="auto"/>
                      <w:lang w:val="en-US" w:eastAsia="zh-CN"/>
                    </w:rPr>
                  </w:pPr>
                  <w:r>
                    <w:rPr>
                      <w:rFonts w:hint="eastAsia"/>
                      <w:color w:val="auto"/>
                      <w:lang w:val="en-US" w:eastAsia="zh-CN"/>
                    </w:rPr>
                    <w:t>82</w:t>
                  </w:r>
                </w:p>
              </w:tc>
              <w:tc>
                <w:tcPr>
                  <w:tcW w:w="229" w:type="pct"/>
                  <w:noWrap w:val="0"/>
                  <w:vAlign w:val="center"/>
                </w:tcPr>
                <w:p w14:paraId="7EC03A77">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2C759F9B">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p>
              </w:tc>
              <w:tc>
                <w:tcPr>
                  <w:tcW w:w="258" w:type="pct"/>
                  <w:noWrap w:val="0"/>
                  <w:vAlign w:val="center"/>
                </w:tcPr>
                <w:p w14:paraId="37095132">
                  <w:pPr>
                    <w:adjustRightInd w:val="0"/>
                    <w:snapToGrid w:val="0"/>
                    <w:ind w:left="-105" w:leftChars="-50" w:right="-105" w:rightChars="-50"/>
                    <w:jc w:val="center"/>
                    <w:rPr>
                      <w:rFonts w:hint="eastAsia"/>
                      <w:color w:val="auto"/>
                      <w:lang w:val="en-US" w:eastAsia="zh-CN"/>
                    </w:rPr>
                  </w:pPr>
                  <w:r>
                    <w:rPr>
                      <w:rFonts w:hint="eastAsia"/>
                      <w:color w:val="auto"/>
                      <w:lang w:val="en-US" w:eastAsia="zh-CN"/>
                    </w:rPr>
                    <w:t>60</w:t>
                  </w:r>
                </w:p>
              </w:tc>
              <w:tc>
                <w:tcPr>
                  <w:tcW w:w="200" w:type="pct"/>
                  <w:noWrap w:val="0"/>
                  <w:vAlign w:val="center"/>
                </w:tcPr>
                <w:p w14:paraId="6464267D">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3F0F7963">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3EC2592D">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34</w:t>
                  </w:r>
                </w:p>
              </w:tc>
              <w:tc>
                <w:tcPr>
                  <w:tcW w:w="386" w:type="pct"/>
                  <w:noWrap w:val="0"/>
                  <w:vAlign w:val="center"/>
                </w:tcPr>
                <w:p w14:paraId="00E7FC3D">
                  <w:pPr>
                    <w:adjustRightInd w:val="0"/>
                    <w:snapToGrid w:val="0"/>
                    <w:ind w:left="-105" w:leftChars="-50" w:right="-105" w:rightChars="-50"/>
                    <w:jc w:val="center"/>
                    <w:rPr>
                      <w:color w:val="auto"/>
                    </w:rPr>
                  </w:pPr>
                  <w:r>
                    <w:rPr>
                      <w:color w:val="auto"/>
                    </w:rPr>
                    <w:t>1m</w:t>
                  </w:r>
                </w:p>
              </w:tc>
            </w:tr>
            <w:tr w14:paraId="52317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7E524E4A">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25</w:t>
                  </w:r>
                </w:p>
              </w:tc>
              <w:tc>
                <w:tcPr>
                  <w:tcW w:w="210" w:type="pct"/>
                  <w:vMerge w:val="continue"/>
                  <w:noWrap w:val="0"/>
                  <w:vAlign w:val="center"/>
                </w:tcPr>
                <w:p w14:paraId="45075525">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74AD4AB2">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17#</w:t>
                  </w:r>
                  <w:r>
                    <w:rPr>
                      <w:rFonts w:hint="default" w:ascii="Times New Roman" w:hAnsi="Times New Roman" w:eastAsia="宋体" w:cs="Times New Roman"/>
                      <w:i w:val="0"/>
                      <w:iCs w:val="0"/>
                      <w:color w:val="auto"/>
                      <w:kern w:val="0"/>
                      <w:sz w:val="21"/>
                      <w:szCs w:val="21"/>
                      <w:u w:val="none"/>
                      <w:lang w:val="en-US" w:eastAsia="zh-CN" w:bidi="ar"/>
                    </w:rPr>
                    <w:t>钻攻机</w:t>
                  </w:r>
                </w:p>
              </w:tc>
              <w:tc>
                <w:tcPr>
                  <w:tcW w:w="278" w:type="pct"/>
                  <w:noWrap w:val="0"/>
                  <w:vAlign w:val="center"/>
                </w:tcPr>
                <w:p w14:paraId="66EE8FBB">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10D04FEB">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550" w:type="pct"/>
                  <w:noWrap w:val="0"/>
                  <w:vAlign w:val="center"/>
                </w:tcPr>
                <w:p w14:paraId="59524F5A">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6D82329D">
                  <w:pPr>
                    <w:adjustRightInd w:val="0"/>
                    <w:snapToGrid w:val="0"/>
                    <w:ind w:left="-105" w:leftChars="-50" w:right="-105" w:rightChars="-50"/>
                    <w:jc w:val="center"/>
                    <w:rPr>
                      <w:rFonts w:hAnsi="宋体"/>
                      <w:bCs/>
                      <w:color w:val="auto"/>
                      <w:szCs w:val="20"/>
                    </w:rPr>
                  </w:pPr>
                </w:p>
              </w:tc>
              <w:tc>
                <w:tcPr>
                  <w:tcW w:w="207" w:type="pct"/>
                  <w:noWrap w:val="0"/>
                  <w:vAlign w:val="center"/>
                </w:tcPr>
                <w:p w14:paraId="36E9A7A4">
                  <w:pPr>
                    <w:adjustRightInd w:val="0"/>
                    <w:snapToGrid w:val="0"/>
                    <w:ind w:left="-105" w:leftChars="-50" w:right="-105" w:rightChars="-50"/>
                    <w:jc w:val="center"/>
                    <w:rPr>
                      <w:rFonts w:hint="default"/>
                      <w:color w:val="auto"/>
                      <w:lang w:val="en-US" w:eastAsia="zh-CN"/>
                    </w:rPr>
                  </w:pPr>
                  <w:r>
                    <w:rPr>
                      <w:rFonts w:hint="eastAsia"/>
                      <w:color w:val="auto"/>
                      <w:lang w:val="en-US" w:eastAsia="zh-CN"/>
                    </w:rPr>
                    <w:t>22</w:t>
                  </w:r>
                </w:p>
              </w:tc>
              <w:tc>
                <w:tcPr>
                  <w:tcW w:w="207" w:type="pct"/>
                  <w:noWrap w:val="0"/>
                  <w:vAlign w:val="center"/>
                </w:tcPr>
                <w:p w14:paraId="54FAD5F1">
                  <w:pPr>
                    <w:adjustRightInd w:val="0"/>
                    <w:snapToGrid w:val="0"/>
                    <w:ind w:left="-105" w:leftChars="-50" w:right="-105" w:rightChars="-50"/>
                    <w:jc w:val="center"/>
                    <w:rPr>
                      <w:rFonts w:hint="default"/>
                      <w:color w:val="auto"/>
                      <w:lang w:val="en-US" w:eastAsia="zh-CN"/>
                    </w:rPr>
                  </w:pPr>
                  <w:r>
                    <w:rPr>
                      <w:rFonts w:hint="eastAsia"/>
                      <w:color w:val="auto"/>
                      <w:lang w:val="en-US" w:eastAsia="zh-CN"/>
                    </w:rPr>
                    <w:t>82</w:t>
                  </w:r>
                </w:p>
              </w:tc>
              <w:tc>
                <w:tcPr>
                  <w:tcW w:w="229" w:type="pct"/>
                  <w:noWrap w:val="0"/>
                  <w:vAlign w:val="center"/>
                </w:tcPr>
                <w:p w14:paraId="5DBD652F">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2E263728">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p>
              </w:tc>
              <w:tc>
                <w:tcPr>
                  <w:tcW w:w="258" w:type="pct"/>
                  <w:noWrap w:val="0"/>
                  <w:vAlign w:val="center"/>
                </w:tcPr>
                <w:p w14:paraId="6E04D510">
                  <w:pPr>
                    <w:adjustRightInd w:val="0"/>
                    <w:snapToGrid w:val="0"/>
                    <w:ind w:left="-105" w:leftChars="-50" w:right="-105" w:rightChars="-50"/>
                    <w:jc w:val="center"/>
                    <w:rPr>
                      <w:rFonts w:hint="eastAsia"/>
                      <w:color w:val="auto"/>
                      <w:lang w:val="en-US" w:eastAsia="zh-CN"/>
                    </w:rPr>
                  </w:pPr>
                  <w:r>
                    <w:rPr>
                      <w:rFonts w:hint="eastAsia"/>
                      <w:color w:val="auto"/>
                      <w:lang w:val="en-US" w:eastAsia="zh-CN"/>
                    </w:rPr>
                    <w:t>60</w:t>
                  </w:r>
                </w:p>
              </w:tc>
              <w:tc>
                <w:tcPr>
                  <w:tcW w:w="200" w:type="pct"/>
                  <w:noWrap w:val="0"/>
                  <w:vAlign w:val="center"/>
                </w:tcPr>
                <w:p w14:paraId="5CC7968C">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7BC6F34E">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04FCEED9">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34</w:t>
                  </w:r>
                </w:p>
              </w:tc>
              <w:tc>
                <w:tcPr>
                  <w:tcW w:w="386" w:type="pct"/>
                  <w:noWrap w:val="0"/>
                  <w:vAlign w:val="center"/>
                </w:tcPr>
                <w:p w14:paraId="2D8A1D12">
                  <w:pPr>
                    <w:adjustRightInd w:val="0"/>
                    <w:snapToGrid w:val="0"/>
                    <w:ind w:left="-105" w:leftChars="-50" w:right="-105" w:rightChars="-50"/>
                    <w:jc w:val="center"/>
                    <w:rPr>
                      <w:color w:val="auto"/>
                    </w:rPr>
                  </w:pPr>
                  <w:r>
                    <w:rPr>
                      <w:color w:val="auto"/>
                    </w:rPr>
                    <w:t>1m</w:t>
                  </w:r>
                </w:p>
              </w:tc>
            </w:tr>
            <w:tr w14:paraId="5AA62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2D044997">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26</w:t>
                  </w:r>
                </w:p>
              </w:tc>
              <w:tc>
                <w:tcPr>
                  <w:tcW w:w="210" w:type="pct"/>
                  <w:vMerge w:val="continue"/>
                  <w:noWrap w:val="0"/>
                  <w:vAlign w:val="center"/>
                </w:tcPr>
                <w:p w14:paraId="028CE8D9">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254073DC">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18#</w:t>
                  </w:r>
                  <w:r>
                    <w:rPr>
                      <w:rFonts w:hint="default" w:ascii="Times New Roman" w:hAnsi="Times New Roman" w:eastAsia="宋体" w:cs="Times New Roman"/>
                      <w:i w:val="0"/>
                      <w:iCs w:val="0"/>
                      <w:color w:val="auto"/>
                      <w:kern w:val="0"/>
                      <w:sz w:val="21"/>
                      <w:szCs w:val="21"/>
                      <w:u w:val="none"/>
                      <w:lang w:val="en-US" w:eastAsia="zh-CN" w:bidi="ar"/>
                    </w:rPr>
                    <w:t>钻攻机</w:t>
                  </w:r>
                </w:p>
              </w:tc>
              <w:tc>
                <w:tcPr>
                  <w:tcW w:w="278" w:type="pct"/>
                  <w:noWrap w:val="0"/>
                  <w:vAlign w:val="center"/>
                </w:tcPr>
                <w:p w14:paraId="69D7FD70">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4626BC94">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4DB8265D">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030D7373">
                  <w:pPr>
                    <w:adjustRightInd w:val="0"/>
                    <w:snapToGrid w:val="0"/>
                    <w:ind w:left="-105" w:leftChars="-50" w:right="-105" w:rightChars="-50"/>
                    <w:jc w:val="center"/>
                    <w:rPr>
                      <w:rFonts w:hAnsi="宋体"/>
                      <w:bCs/>
                      <w:color w:val="auto"/>
                      <w:szCs w:val="20"/>
                    </w:rPr>
                  </w:pPr>
                </w:p>
              </w:tc>
              <w:tc>
                <w:tcPr>
                  <w:tcW w:w="207" w:type="pct"/>
                  <w:noWrap w:val="0"/>
                  <w:vAlign w:val="center"/>
                </w:tcPr>
                <w:p w14:paraId="290FE8CC">
                  <w:pPr>
                    <w:adjustRightInd w:val="0"/>
                    <w:snapToGrid w:val="0"/>
                    <w:ind w:left="-105" w:leftChars="-50" w:right="-105" w:rightChars="-50"/>
                    <w:jc w:val="center"/>
                    <w:rPr>
                      <w:rFonts w:hint="eastAsia"/>
                      <w:color w:val="auto"/>
                      <w:lang w:val="en-US" w:eastAsia="zh-CN"/>
                    </w:rPr>
                  </w:pPr>
                  <w:r>
                    <w:rPr>
                      <w:rFonts w:hint="eastAsia"/>
                      <w:color w:val="auto"/>
                      <w:lang w:val="en-US" w:eastAsia="zh-CN"/>
                    </w:rPr>
                    <w:t>25</w:t>
                  </w:r>
                </w:p>
              </w:tc>
              <w:tc>
                <w:tcPr>
                  <w:tcW w:w="207" w:type="pct"/>
                  <w:noWrap w:val="0"/>
                  <w:vAlign w:val="center"/>
                </w:tcPr>
                <w:p w14:paraId="7BC4DF2F">
                  <w:pPr>
                    <w:adjustRightInd w:val="0"/>
                    <w:snapToGrid w:val="0"/>
                    <w:ind w:left="-105" w:leftChars="-50" w:right="-105" w:rightChars="-50"/>
                    <w:jc w:val="center"/>
                    <w:rPr>
                      <w:rFonts w:hint="eastAsia"/>
                      <w:color w:val="auto"/>
                      <w:lang w:val="en-US" w:eastAsia="zh-CN"/>
                    </w:rPr>
                  </w:pPr>
                  <w:r>
                    <w:rPr>
                      <w:rFonts w:hint="eastAsia"/>
                      <w:color w:val="auto"/>
                      <w:lang w:val="en-US" w:eastAsia="zh-CN"/>
                    </w:rPr>
                    <w:t>82</w:t>
                  </w:r>
                </w:p>
              </w:tc>
              <w:tc>
                <w:tcPr>
                  <w:tcW w:w="229" w:type="pct"/>
                  <w:noWrap w:val="0"/>
                  <w:vAlign w:val="center"/>
                </w:tcPr>
                <w:p w14:paraId="39B6876C">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6BF757D8">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p>
              </w:tc>
              <w:tc>
                <w:tcPr>
                  <w:tcW w:w="258" w:type="pct"/>
                  <w:noWrap w:val="0"/>
                  <w:vAlign w:val="center"/>
                </w:tcPr>
                <w:p w14:paraId="47B99EC8">
                  <w:pPr>
                    <w:adjustRightInd w:val="0"/>
                    <w:snapToGrid w:val="0"/>
                    <w:ind w:left="-105" w:leftChars="-50" w:right="-105" w:rightChars="-50"/>
                    <w:jc w:val="center"/>
                    <w:rPr>
                      <w:rFonts w:hint="eastAsia"/>
                      <w:color w:val="auto"/>
                      <w:lang w:val="en-US" w:eastAsia="zh-CN"/>
                    </w:rPr>
                  </w:pPr>
                  <w:r>
                    <w:rPr>
                      <w:rFonts w:hint="eastAsia"/>
                      <w:color w:val="auto"/>
                      <w:lang w:val="en-US" w:eastAsia="zh-CN"/>
                    </w:rPr>
                    <w:t>60</w:t>
                  </w:r>
                </w:p>
              </w:tc>
              <w:tc>
                <w:tcPr>
                  <w:tcW w:w="200" w:type="pct"/>
                  <w:noWrap w:val="0"/>
                  <w:vAlign w:val="center"/>
                </w:tcPr>
                <w:p w14:paraId="4ECCDF34">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763A5255">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619FEB18">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34</w:t>
                  </w:r>
                </w:p>
              </w:tc>
              <w:tc>
                <w:tcPr>
                  <w:tcW w:w="386" w:type="pct"/>
                  <w:noWrap w:val="0"/>
                  <w:vAlign w:val="center"/>
                </w:tcPr>
                <w:p w14:paraId="484FA702">
                  <w:pPr>
                    <w:adjustRightInd w:val="0"/>
                    <w:snapToGrid w:val="0"/>
                    <w:ind w:left="-105" w:leftChars="-50" w:right="-105" w:rightChars="-50"/>
                    <w:jc w:val="center"/>
                    <w:rPr>
                      <w:color w:val="auto"/>
                    </w:rPr>
                  </w:pPr>
                  <w:r>
                    <w:rPr>
                      <w:color w:val="auto"/>
                    </w:rPr>
                    <w:t>1m</w:t>
                  </w:r>
                </w:p>
              </w:tc>
            </w:tr>
            <w:tr w14:paraId="53E4E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29169642">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27</w:t>
                  </w:r>
                </w:p>
              </w:tc>
              <w:tc>
                <w:tcPr>
                  <w:tcW w:w="210" w:type="pct"/>
                  <w:vMerge w:val="continue"/>
                  <w:noWrap w:val="0"/>
                  <w:vAlign w:val="center"/>
                </w:tcPr>
                <w:p w14:paraId="097791BA">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05624F85">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19#</w:t>
                  </w:r>
                  <w:r>
                    <w:rPr>
                      <w:rFonts w:hint="default" w:ascii="Times New Roman" w:hAnsi="Times New Roman" w:eastAsia="宋体" w:cs="Times New Roman"/>
                      <w:i w:val="0"/>
                      <w:iCs w:val="0"/>
                      <w:color w:val="auto"/>
                      <w:kern w:val="0"/>
                      <w:sz w:val="21"/>
                      <w:szCs w:val="21"/>
                      <w:u w:val="none"/>
                      <w:lang w:val="en-US" w:eastAsia="zh-CN" w:bidi="ar"/>
                    </w:rPr>
                    <w:t>钻攻机</w:t>
                  </w:r>
                </w:p>
              </w:tc>
              <w:tc>
                <w:tcPr>
                  <w:tcW w:w="278" w:type="pct"/>
                  <w:noWrap w:val="0"/>
                  <w:vAlign w:val="center"/>
                </w:tcPr>
                <w:p w14:paraId="59399707">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254B4DE0">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26A9624E">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6933BDF8">
                  <w:pPr>
                    <w:adjustRightInd w:val="0"/>
                    <w:snapToGrid w:val="0"/>
                    <w:ind w:left="-105" w:leftChars="-50" w:right="-105" w:rightChars="-50"/>
                    <w:jc w:val="center"/>
                    <w:rPr>
                      <w:rFonts w:hAnsi="宋体"/>
                      <w:bCs/>
                      <w:color w:val="auto"/>
                      <w:szCs w:val="20"/>
                    </w:rPr>
                  </w:pPr>
                </w:p>
              </w:tc>
              <w:tc>
                <w:tcPr>
                  <w:tcW w:w="207" w:type="pct"/>
                  <w:noWrap w:val="0"/>
                  <w:vAlign w:val="center"/>
                </w:tcPr>
                <w:p w14:paraId="5BE3BD66">
                  <w:pPr>
                    <w:adjustRightInd w:val="0"/>
                    <w:snapToGrid w:val="0"/>
                    <w:ind w:left="-105" w:leftChars="-50" w:right="-105" w:rightChars="-50"/>
                    <w:jc w:val="center"/>
                    <w:rPr>
                      <w:rFonts w:hint="eastAsia"/>
                      <w:color w:val="auto"/>
                      <w:lang w:val="en-US" w:eastAsia="zh-CN"/>
                    </w:rPr>
                  </w:pPr>
                  <w:r>
                    <w:rPr>
                      <w:rFonts w:hint="eastAsia"/>
                      <w:color w:val="auto"/>
                      <w:lang w:val="en-US" w:eastAsia="zh-CN"/>
                    </w:rPr>
                    <w:t>28</w:t>
                  </w:r>
                </w:p>
              </w:tc>
              <w:tc>
                <w:tcPr>
                  <w:tcW w:w="207" w:type="pct"/>
                  <w:noWrap w:val="0"/>
                  <w:vAlign w:val="center"/>
                </w:tcPr>
                <w:p w14:paraId="021A4362">
                  <w:pPr>
                    <w:adjustRightInd w:val="0"/>
                    <w:snapToGrid w:val="0"/>
                    <w:ind w:left="-105" w:leftChars="-50" w:right="-105" w:rightChars="-50"/>
                    <w:jc w:val="center"/>
                    <w:rPr>
                      <w:rFonts w:hint="eastAsia"/>
                      <w:color w:val="auto"/>
                      <w:lang w:val="en-US" w:eastAsia="zh-CN"/>
                    </w:rPr>
                  </w:pPr>
                  <w:r>
                    <w:rPr>
                      <w:rFonts w:hint="eastAsia"/>
                      <w:color w:val="auto"/>
                      <w:lang w:val="en-US" w:eastAsia="zh-CN"/>
                    </w:rPr>
                    <w:t>82</w:t>
                  </w:r>
                </w:p>
              </w:tc>
              <w:tc>
                <w:tcPr>
                  <w:tcW w:w="229" w:type="pct"/>
                  <w:noWrap w:val="0"/>
                  <w:vAlign w:val="center"/>
                </w:tcPr>
                <w:p w14:paraId="1BF43634">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71D9E332">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p>
              </w:tc>
              <w:tc>
                <w:tcPr>
                  <w:tcW w:w="258" w:type="pct"/>
                  <w:noWrap w:val="0"/>
                  <w:vAlign w:val="center"/>
                </w:tcPr>
                <w:p w14:paraId="3DA2E644">
                  <w:pPr>
                    <w:adjustRightInd w:val="0"/>
                    <w:snapToGrid w:val="0"/>
                    <w:ind w:left="-105" w:leftChars="-50" w:right="-105" w:rightChars="-50"/>
                    <w:jc w:val="center"/>
                    <w:rPr>
                      <w:rFonts w:hint="eastAsia"/>
                      <w:color w:val="auto"/>
                      <w:lang w:val="en-US" w:eastAsia="zh-CN"/>
                    </w:rPr>
                  </w:pPr>
                  <w:r>
                    <w:rPr>
                      <w:rFonts w:hint="eastAsia"/>
                      <w:color w:val="auto"/>
                      <w:lang w:val="en-US" w:eastAsia="zh-CN"/>
                    </w:rPr>
                    <w:t>60</w:t>
                  </w:r>
                </w:p>
              </w:tc>
              <w:tc>
                <w:tcPr>
                  <w:tcW w:w="200" w:type="pct"/>
                  <w:noWrap w:val="0"/>
                  <w:vAlign w:val="center"/>
                </w:tcPr>
                <w:p w14:paraId="056BD7D5">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4164E668">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2ED0AD40">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34</w:t>
                  </w:r>
                </w:p>
              </w:tc>
              <w:tc>
                <w:tcPr>
                  <w:tcW w:w="386" w:type="pct"/>
                  <w:noWrap w:val="0"/>
                  <w:vAlign w:val="center"/>
                </w:tcPr>
                <w:p w14:paraId="7EA5C9E4">
                  <w:pPr>
                    <w:adjustRightInd w:val="0"/>
                    <w:snapToGrid w:val="0"/>
                    <w:ind w:left="-105" w:leftChars="-50" w:right="-105" w:rightChars="-50"/>
                    <w:jc w:val="center"/>
                    <w:rPr>
                      <w:color w:val="auto"/>
                    </w:rPr>
                  </w:pPr>
                  <w:r>
                    <w:rPr>
                      <w:color w:val="auto"/>
                    </w:rPr>
                    <w:t>1m</w:t>
                  </w:r>
                </w:p>
              </w:tc>
            </w:tr>
            <w:tr w14:paraId="515DF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2CFB07E1">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28</w:t>
                  </w:r>
                </w:p>
              </w:tc>
              <w:tc>
                <w:tcPr>
                  <w:tcW w:w="210" w:type="pct"/>
                  <w:vMerge w:val="continue"/>
                  <w:noWrap w:val="0"/>
                  <w:vAlign w:val="center"/>
                </w:tcPr>
                <w:p w14:paraId="3508A439">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5E502168">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20#</w:t>
                  </w:r>
                  <w:r>
                    <w:rPr>
                      <w:rFonts w:hint="default" w:ascii="Times New Roman" w:hAnsi="Times New Roman" w:eastAsia="宋体" w:cs="Times New Roman"/>
                      <w:i w:val="0"/>
                      <w:iCs w:val="0"/>
                      <w:color w:val="auto"/>
                      <w:kern w:val="0"/>
                      <w:sz w:val="21"/>
                      <w:szCs w:val="21"/>
                      <w:u w:val="none"/>
                      <w:lang w:val="en-US" w:eastAsia="zh-CN" w:bidi="ar"/>
                    </w:rPr>
                    <w:t>钻攻机</w:t>
                  </w:r>
                </w:p>
              </w:tc>
              <w:tc>
                <w:tcPr>
                  <w:tcW w:w="278" w:type="pct"/>
                  <w:noWrap w:val="0"/>
                  <w:vAlign w:val="center"/>
                </w:tcPr>
                <w:p w14:paraId="4E61AF2B">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18244B99">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3FC70EFA">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1E08F2F7">
                  <w:pPr>
                    <w:adjustRightInd w:val="0"/>
                    <w:snapToGrid w:val="0"/>
                    <w:ind w:left="-105" w:leftChars="-50" w:right="-105" w:rightChars="-50"/>
                    <w:jc w:val="center"/>
                    <w:rPr>
                      <w:rFonts w:hAnsi="宋体"/>
                      <w:bCs/>
                      <w:color w:val="auto"/>
                      <w:szCs w:val="20"/>
                    </w:rPr>
                  </w:pPr>
                </w:p>
              </w:tc>
              <w:tc>
                <w:tcPr>
                  <w:tcW w:w="207" w:type="pct"/>
                  <w:noWrap w:val="0"/>
                  <w:vAlign w:val="center"/>
                </w:tcPr>
                <w:p w14:paraId="16EB997B">
                  <w:pPr>
                    <w:adjustRightInd w:val="0"/>
                    <w:snapToGrid w:val="0"/>
                    <w:ind w:left="-105" w:leftChars="-50" w:right="-105" w:rightChars="-50"/>
                    <w:jc w:val="center"/>
                    <w:rPr>
                      <w:rFonts w:hint="eastAsia"/>
                      <w:color w:val="auto"/>
                      <w:lang w:val="en-US" w:eastAsia="zh-CN"/>
                    </w:rPr>
                  </w:pPr>
                  <w:r>
                    <w:rPr>
                      <w:rFonts w:hint="eastAsia"/>
                      <w:color w:val="auto"/>
                      <w:lang w:val="en-US" w:eastAsia="zh-CN"/>
                    </w:rPr>
                    <w:t>31</w:t>
                  </w:r>
                </w:p>
              </w:tc>
              <w:tc>
                <w:tcPr>
                  <w:tcW w:w="207" w:type="pct"/>
                  <w:noWrap w:val="0"/>
                  <w:vAlign w:val="center"/>
                </w:tcPr>
                <w:p w14:paraId="29A9EA1E">
                  <w:pPr>
                    <w:adjustRightInd w:val="0"/>
                    <w:snapToGrid w:val="0"/>
                    <w:ind w:left="-105" w:leftChars="-50" w:right="-105" w:rightChars="-50"/>
                    <w:jc w:val="center"/>
                    <w:rPr>
                      <w:rFonts w:hint="eastAsia"/>
                      <w:color w:val="auto"/>
                      <w:lang w:val="en-US" w:eastAsia="zh-CN"/>
                    </w:rPr>
                  </w:pPr>
                  <w:r>
                    <w:rPr>
                      <w:rFonts w:hint="eastAsia"/>
                      <w:color w:val="auto"/>
                      <w:lang w:val="en-US" w:eastAsia="zh-CN"/>
                    </w:rPr>
                    <w:t>82</w:t>
                  </w:r>
                </w:p>
              </w:tc>
              <w:tc>
                <w:tcPr>
                  <w:tcW w:w="229" w:type="pct"/>
                  <w:noWrap w:val="0"/>
                  <w:vAlign w:val="center"/>
                </w:tcPr>
                <w:p w14:paraId="275E63C5">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5DF22C43">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p>
              </w:tc>
              <w:tc>
                <w:tcPr>
                  <w:tcW w:w="258" w:type="pct"/>
                  <w:noWrap w:val="0"/>
                  <w:vAlign w:val="center"/>
                </w:tcPr>
                <w:p w14:paraId="71C8171C">
                  <w:pPr>
                    <w:adjustRightInd w:val="0"/>
                    <w:snapToGrid w:val="0"/>
                    <w:ind w:left="-105" w:leftChars="-50" w:right="-105" w:rightChars="-50"/>
                    <w:jc w:val="center"/>
                    <w:rPr>
                      <w:rFonts w:hint="eastAsia"/>
                      <w:color w:val="auto"/>
                      <w:lang w:val="en-US" w:eastAsia="zh-CN"/>
                    </w:rPr>
                  </w:pPr>
                  <w:r>
                    <w:rPr>
                      <w:rFonts w:hint="eastAsia"/>
                      <w:color w:val="auto"/>
                      <w:lang w:val="en-US" w:eastAsia="zh-CN"/>
                    </w:rPr>
                    <w:t>60</w:t>
                  </w:r>
                </w:p>
              </w:tc>
              <w:tc>
                <w:tcPr>
                  <w:tcW w:w="200" w:type="pct"/>
                  <w:noWrap w:val="0"/>
                  <w:vAlign w:val="center"/>
                </w:tcPr>
                <w:p w14:paraId="43FC985D">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1C2FC032">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36BADE0E">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34</w:t>
                  </w:r>
                </w:p>
              </w:tc>
              <w:tc>
                <w:tcPr>
                  <w:tcW w:w="386" w:type="pct"/>
                  <w:noWrap w:val="0"/>
                  <w:vAlign w:val="center"/>
                </w:tcPr>
                <w:p w14:paraId="141AC436">
                  <w:pPr>
                    <w:adjustRightInd w:val="0"/>
                    <w:snapToGrid w:val="0"/>
                    <w:ind w:left="-105" w:leftChars="-50" w:right="-105" w:rightChars="-50"/>
                    <w:jc w:val="center"/>
                    <w:rPr>
                      <w:color w:val="auto"/>
                    </w:rPr>
                  </w:pPr>
                  <w:r>
                    <w:rPr>
                      <w:color w:val="auto"/>
                    </w:rPr>
                    <w:t>1m</w:t>
                  </w:r>
                </w:p>
              </w:tc>
            </w:tr>
            <w:tr w14:paraId="220CA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67619365">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29</w:t>
                  </w:r>
                </w:p>
              </w:tc>
              <w:tc>
                <w:tcPr>
                  <w:tcW w:w="210" w:type="pct"/>
                  <w:vMerge w:val="continue"/>
                  <w:noWrap w:val="0"/>
                  <w:vAlign w:val="center"/>
                </w:tcPr>
                <w:p w14:paraId="643725F0">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3D253EBE">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21#</w:t>
                  </w:r>
                  <w:r>
                    <w:rPr>
                      <w:rFonts w:hint="default" w:ascii="Times New Roman" w:hAnsi="Times New Roman" w:eastAsia="宋体" w:cs="Times New Roman"/>
                      <w:i w:val="0"/>
                      <w:iCs w:val="0"/>
                      <w:color w:val="auto"/>
                      <w:kern w:val="0"/>
                      <w:sz w:val="21"/>
                      <w:szCs w:val="21"/>
                      <w:u w:val="none"/>
                      <w:lang w:val="en-US" w:eastAsia="zh-CN" w:bidi="ar"/>
                    </w:rPr>
                    <w:t>钻攻机</w:t>
                  </w:r>
                </w:p>
              </w:tc>
              <w:tc>
                <w:tcPr>
                  <w:tcW w:w="278" w:type="pct"/>
                  <w:noWrap w:val="0"/>
                  <w:vAlign w:val="center"/>
                </w:tcPr>
                <w:p w14:paraId="51825065">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5A373281">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39177325">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54D1126D">
                  <w:pPr>
                    <w:adjustRightInd w:val="0"/>
                    <w:snapToGrid w:val="0"/>
                    <w:ind w:left="-105" w:leftChars="-50" w:right="-105" w:rightChars="-50"/>
                    <w:jc w:val="center"/>
                    <w:rPr>
                      <w:rFonts w:hAnsi="宋体"/>
                      <w:bCs/>
                      <w:color w:val="auto"/>
                      <w:szCs w:val="20"/>
                    </w:rPr>
                  </w:pPr>
                </w:p>
              </w:tc>
              <w:tc>
                <w:tcPr>
                  <w:tcW w:w="207" w:type="pct"/>
                  <w:noWrap w:val="0"/>
                  <w:vAlign w:val="center"/>
                </w:tcPr>
                <w:p w14:paraId="0CE45E5B">
                  <w:pPr>
                    <w:adjustRightInd w:val="0"/>
                    <w:snapToGrid w:val="0"/>
                    <w:ind w:left="-105" w:leftChars="-50" w:right="-105" w:rightChars="-50"/>
                    <w:jc w:val="center"/>
                    <w:rPr>
                      <w:rFonts w:hint="eastAsia"/>
                      <w:color w:val="auto"/>
                      <w:lang w:val="en-US" w:eastAsia="zh-CN"/>
                    </w:rPr>
                  </w:pPr>
                  <w:r>
                    <w:rPr>
                      <w:rFonts w:hint="eastAsia"/>
                      <w:color w:val="auto"/>
                      <w:lang w:val="en-US" w:eastAsia="zh-CN"/>
                    </w:rPr>
                    <w:t>34</w:t>
                  </w:r>
                </w:p>
              </w:tc>
              <w:tc>
                <w:tcPr>
                  <w:tcW w:w="207" w:type="pct"/>
                  <w:noWrap w:val="0"/>
                  <w:vAlign w:val="center"/>
                </w:tcPr>
                <w:p w14:paraId="72A6B0AD">
                  <w:pPr>
                    <w:adjustRightInd w:val="0"/>
                    <w:snapToGrid w:val="0"/>
                    <w:ind w:left="-105" w:leftChars="-50" w:right="-105" w:rightChars="-50"/>
                    <w:jc w:val="center"/>
                    <w:rPr>
                      <w:rFonts w:hint="eastAsia"/>
                      <w:color w:val="auto"/>
                      <w:lang w:val="en-US" w:eastAsia="zh-CN"/>
                    </w:rPr>
                  </w:pPr>
                  <w:r>
                    <w:rPr>
                      <w:rFonts w:hint="eastAsia"/>
                      <w:color w:val="auto"/>
                      <w:lang w:val="en-US" w:eastAsia="zh-CN"/>
                    </w:rPr>
                    <w:t>82</w:t>
                  </w:r>
                </w:p>
              </w:tc>
              <w:tc>
                <w:tcPr>
                  <w:tcW w:w="229" w:type="pct"/>
                  <w:noWrap w:val="0"/>
                  <w:vAlign w:val="center"/>
                </w:tcPr>
                <w:p w14:paraId="685320EA">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047F0112">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p>
              </w:tc>
              <w:tc>
                <w:tcPr>
                  <w:tcW w:w="258" w:type="pct"/>
                  <w:noWrap w:val="0"/>
                  <w:vAlign w:val="center"/>
                </w:tcPr>
                <w:p w14:paraId="09EC5435">
                  <w:pPr>
                    <w:adjustRightInd w:val="0"/>
                    <w:snapToGrid w:val="0"/>
                    <w:ind w:left="-105" w:leftChars="-50" w:right="-105" w:rightChars="-50"/>
                    <w:jc w:val="center"/>
                    <w:rPr>
                      <w:rFonts w:hint="eastAsia"/>
                      <w:color w:val="auto"/>
                      <w:lang w:val="en-US" w:eastAsia="zh-CN"/>
                    </w:rPr>
                  </w:pPr>
                  <w:r>
                    <w:rPr>
                      <w:rFonts w:hint="eastAsia"/>
                      <w:color w:val="auto"/>
                      <w:lang w:val="en-US" w:eastAsia="zh-CN"/>
                    </w:rPr>
                    <w:t>60</w:t>
                  </w:r>
                </w:p>
              </w:tc>
              <w:tc>
                <w:tcPr>
                  <w:tcW w:w="200" w:type="pct"/>
                  <w:noWrap w:val="0"/>
                  <w:vAlign w:val="center"/>
                </w:tcPr>
                <w:p w14:paraId="6D4E0A9D">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39CED81B">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0674E0E5">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34</w:t>
                  </w:r>
                </w:p>
              </w:tc>
              <w:tc>
                <w:tcPr>
                  <w:tcW w:w="386" w:type="pct"/>
                  <w:noWrap w:val="0"/>
                  <w:vAlign w:val="center"/>
                </w:tcPr>
                <w:p w14:paraId="50607AF9">
                  <w:pPr>
                    <w:adjustRightInd w:val="0"/>
                    <w:snapToGrid w:val="0"/>
                    <w:ind w:left="-105" w:leftChars="-50" w:right="-105" w:rightChars="-50"/>
                    <w:jc w:val="center"/>
                    <w:rPr>
                      <w:color w:val="auto"/>
                    </w:rPr>
                  </w:pPr>
                  <w:r>
                    <w:rPr>
                      <w:color w:val="auto"/>
                    </w:rPr>
                    <w:t>1m</w:t>
                  </w:r>
                </w:p>
              </w:tc>
            </w:tr>
            <w:tr w14:paraId="1389E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248673C6">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w:t>
                  </w:r>
                </w:p>
              </w:tc>
              <w:tc>
                <w:tcPr>
                  <w:tcW w:w="210" w:type="pct"/>
                  <w:vMerge w:val="continue"/>
                  <w:noWrap w:val="0"/>
                  <w:vAlign w:val="center"/>
                </w:tcPr>
                <w:p w14:paraId="4E81C979">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409152DB">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r>
                    <w:rPr>
                      <w:rFonts w:hint="default" w:ascii="Times New Roman" w:hAnsi="Times New Roman" w:eastAsia="宋体" w:cs="Times New Roman"/>
                      <w:i w:val="0"/>
                      <w:iCs w:val="0"/>
                      <w:color w:val="auto"/>
                      <w:kern w:val="0"/>
                      <w:sz w:val="21"/>
                      <w:szCs w:val="21"/>
                      <w:u w:val="none"/>
                      <w:lang w:val="en-US" w:eastAsia="zh-CN" w:bidi="ar"/>
                    </w:rPr>
                    <w:t>数控机床</w:t>
                  </w:r>
                </w:p>
              </w:tc>
              <w:tc>
                <w:tcPr>
                  <w:tcW w:w="278" w:type="pct"/>
                  <w:noWrap w:val="0"/>
                  <w:vAlign w:val="center"/>
                </w:tcPr>
                <w:p w14:paraId="71EE00EE">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7998DAA0">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4490624A">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78CAD52E">
                  <w:pPr>
                    <w:adjustRightInd w:val="0"/>
                    <w:snapToGrid w:val="0"/>
                    <w:ind w:left="-105" w:leftChars="-50" w:right="-105" w:rightChars="-50"/>
                    <w:jc w:val="center"/>
                    <w:rPr>
                      <w:rFonts w:hAnsi="宋体"/>
                      <w:bCs/>
                      <w:color w:val="auto"/>
                      <w:szCs w:val="20"/>
                    </w:rPr>
                  </w:pPr>
                </w:p>
              </w:tc>
              <w:tc>
                <w:tcPr>
                  <w:tcW w:w="207" w:type="pct"/>
                  <w:noWrap w:val="0"/>
                  <w:vAlign w:val="center"/>
                </w:tcPr>
                <w:p w14:paraId="7CE0A230">
                  <w:pPr>
                    <w:adjustRightInd w:val="0"/>
                    <w:snapToGrid w:val="0"/>
                    <w:ind w:left="-105" w:leftChars="-50" w:right="-105" w:rightChars="-50"/>
                    <w:jc w:val="center"/>
                    <w:rPr>
                      <w:rFonts w:hint="default"/>
                      <w:color w:val="auto"/>
                      <w:lang w:val="en-US" w:eastAsia="zh-CN"/>
                    </w:rPr>
                  </w:pPr>
                  <w:r>
                    <w:rPr>
                      <w:rFonts w:hint="eastAsia"/>
                      <w:color w:val="auto"/>
                      <w:lang w:val="en-US" w:eastAsia="zh-CN"/>
                    </w:rPr>
                    <w:t>16</w:t>
                  </w:r>
                </w:p>
              </w:tc>
              <w:tc>
                <w:tcPr>
                  <w:tcW w:w="207" w:type="pct"/>
                  <w:noWrap w:val="0"/>
                  <w:vAlign w:val="center"/>
                </w:tcPr>
                <w:p w14:paraId="4823E6D2">
                  <w:pPr>
                    <w:adjustRightInd w:val="0"/>
                    <w:snapToGrid w:val="0"/>
                    <w:ind w:left="-105" w:leftChars="-50" w:right="-105" w:rightChars="-50"/>
                    <w:jc w:val="center"/>
                    <w:rPr>
                      <w:rFonts w:hint="default"/>
                      <w:color w:val="auto"/>
                      <w:lang w:val="en-US" w:eastAsia="zh-CN"/>
                    </w:rPr>
                  </w:pPr>
                  <w:r>
                    <w:rPr>
                      <w:rFonts w:hint="eastAsia"/>
                      <w:color w:val="auto"/>
                      <w:lang w:val="en-US" w:eastAsia="zh-CN"/>
                    </w:rPr>
                    <w:t>68</w:t>
                  </w:r>
                </w:p>
              </w:tc>
              <w:tc>
                <w:tcPr>
                  <w:tcW w:w="229" w:type="pct"/>
                  <w:noWrap w:val="0"/>
                  <w:vAlign w:val="center"/>
                </w:tcPr>
                <w:p w14:paraId="4CB36845">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3E35C275">
                  <w:pPr>
                    <w:adjustRightInd w:val="0"/>
                    <w:snapToGrid w:val="0"/>
                    <w:ind w:left="-105" w:leftChars="-50" w:right="-105" w:rightChars="-50"/>
                    <w:jc w:val="center"/>
                    <w:rPr>
                      <w:rFonts w:hint="default"/>
                      <w:color w:val="auto"/>
                      <w:lang w:val="en-US" w:eastAsia="zh-CN"/>
                    </w:rPr>
                  </w:pPr>
                  <w:r>
                    <w:rPr>
                      <w:rFonts w:hint="eastAsia"/>
                      <w:color w:val="auto"/>
                      <w:lang w:val="en-US" w:eastAsia="zh-CN"/>
                    </w:rPr>
                    <w:t>17</w:t>
                  </w:r>
                </w:p>
              </w:tc>
              <w:tc>
                <w:tcPr>
                  <w:tcW w:w="258" w:type="pct"/>
                  <w:noWrap w:val="0"/>
                  <w:vAlign w:val="center"/>
                </w:tcPr>
                <w:p w14:paraId="0EF7DD3C">
                  <w:pPr>
                    <w:adjustRightInd w:val="0"/>
                    <w:snapToGrid w:val="0"/>
                    <w:ind w:left="-105" w:leftChars="-50" w:right="-105" w:rightChars="-50"/>
                    <w:jc w:val="center"/>
                    <w:rPr>
                      <w:rFonts w:hint="eastAsia"/>
                      <w:color w:val="auto"/>
                      <w:lang w:val="en-US" w:eastAsia="zh-CN"/>
                    </w:rPr>
                  </w:pPr>
                  <w:r>
                    <w:rPr>
                      <w:rFonts w:hint="eastAsia"/>
                      <w:color w:val="auto"/>
                      <w:lang w:val="en-US" w:eastAsia="zh-CN"/>
                    </w:rPr>
                    <w:t>55.4</w:t>
                  </w:r>
                </w:p>
              </w:tc>
              <w:tc>
                <w:tcPr>
                  <w:tcW w:w="200" w:type="pct"/>
                  <w:noWrap w:val="0"/>
                  <w:vAlign w:val="center"/>
                </w:tcPr>
                <w:p w14:paraId="4DCD2EEE">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29FBBC22">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4854C338">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29.4</w:t>
                  </w:r>
                </w:p>
              </w:tc>
              <w:tc>
                <w:tcPr>
                  <w:tcW w:w="386" w:type="pct"/>
                  <w:noWrap w:val="0"/>
                  <w:vAlign w:val="center"/>
                </w:tcPr>
                <w:p w14:paraId="7B61DF95">
                  <w:pPr>
                    <w:adjustRightInd w:val="0"/>
                    <w:snapToGrid w:val="0"/>
                    <w:ind w:left="-105" w:leftChars="-50" w:right="-105" w:rightChars="-50"/>
                    <w:jc w:val="center"/>
                    <w:rPr>
                      <w:color w:val="auto"/>
                    </w:rPr>
                  </w:pPr>
                  <w:r>
                    <w:rPr>
                      <w:color w:val="auto"/>
                    </w:rPr>
                    <w:t>1m</w:t>
                  </w:r>
                </w:p>
              </w:tc>
            </w:tr>
            <w:tr w14:paraId="1964B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0E9E580A">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31</w:t>
                  </w:r>
                </w:p>
              </w:tc>
              <w:tc>
                <w:tcPr>
                  <w:tcW w:w="210" w:type="pct"/>
                  <w:vMerge w:val="continue"/>
                  <w:noWrap w:val="0"/>
                  <w:vAlign w:val="center"/>
                </w:tcPr>
                <w:p w14:paraId="06BA0241">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00F5F382">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w:t>
                  </w:r>
                  <w:r>
                    <w:rPr>
                      <w:rFonts w:hint="default" w:ascii="Times New Roman" w:hAnsi="Times New Roman" w:eastAsia="宋体" w:cs="Times New Roman"/>
                      <w:i w:val="0"/>
                      <w:iCs w:val="0"/>
                      <w:color w:val="auto"/>
                      <w:kern w:val="0"/>
                      <w:sz w:val="21"/>
                      <w:szCs w:val="21"/>
                      <w:u w:val="none"/>
                      <w:lang w:val="en-US" w:eastAsia="zh-CN" w:bidi="ar"/>
                    </w:rPr>
                    <w:t>数控机床</w:t>
                  </w:r>
                </w:p>
              </w:tc>
              <w:tc>
                <w:tcPr>
                  <w:tcW w:w="278" w:type="pct"/>
                  <w:noWrap w:val="0"/>
                  <w:vAlign w:val="center"/>
                </w:tcPr>
                <w:p w14:paraId="2F2A332B">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59E4BBF5">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704C637F">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628EFE21">
                  <w:pPr>
                    <w:adjustRightInd w:val="0"/>
                    <w:snapToGrid w:val="0"/>
                    <w:ind w:left="-105" w:leftChars="-50" w:right="-105" w:rightChars="-50"/>
                    <w:jc w:val="center"/>
                    <w:rPr>
                      <w:rFonts w:hAnsi="宋体"/>
                      <w:bCs/>
                      <w:color w:val="auto"/>
                      <w:szCs w:val="20"/>
                    </w:rPr>
                  </w:pPr>
                </w:p>
              </w:tc>
              <w:tc>
                <w:tcPr>
                  <w:tcW w:w="207" w:type="pct"/>
                  <w:noWrap w:val="0"/>
                  <w:vAlign w:val="center"/>
                </w:tcPr>
                <w:p w14:paraId="6DBE2F4E">
                  <w:pPr>
                    <w:adjustRightInd w:val="0"/>
                    <w:snapToGrid w:val="0"/>
                    <w:ind w:left="-105" w:leftChars="-50" w:right="-105" w:rightChars="-50"/>
                    <w:jc w:val="center"/>
                    <w:rPr>
                      <w:rFonts w:hint="default"/>
                      <w:color w:val="auto"/>
                      <w:lang w:val="en-US" w:eastAsia="zh-CN"/>
                    </w:rPr>
                  </w:pPr>
                  <w:r>
                    <w:rPr>
                      <w:rFonts w:hint="eastAsia"/>
                      <w:color w:val="auto"/>
                      <w:lang w:val="en-US" w:eastAsia="zh-CN"/>
                    </w:rPr>
                    <w:t>19</w:t>
                  </w:r>
                </w:p>
              </w:tc>
              <w:tc>
                <w:tcPr>
                  <w:tcW w:w="207" w:type="pct"/>
                  <w:noWrap w:val="0"/>
                  <w:vAlign w:val="center"/>
                </w:tcPr>
                <w:p w14:paraId="087B5FA6">
                  <w:pPr>
                    <w:adjustRightInd w:val="0"/>
                    <w:snapToGrid w:val="0"/>
                    <w:ind w:left="-105" w:leftChars="-50" w:right="-105" w:rightChars="-50"/>
                    <w:jc w:val="center"/>
                    <w:rPr>
                      <w:rFonts w:hint="default"/>
                      <w:color w:val="auto"/>
                      <w:lang w:val="en-US" w:eastAsia="zh-CN"/>
                    </w:rPr>
                  </w:pPr>
                  <w:r>
                    <w:rPr>
                      <w:rFonts w:hint="eastAsia"/>
                      <w:color w:val="auto"/>
                      <w:lang w:val="en-US" w:eastAsia="zh-CN"/>
                    </w:rPr>
                    <w:t>68</w:t>
                  </w:r>
                </w:p>
              </w:tc>
              <w:tc>
                <w:tcPr>
                  <w:tcW w:w="229" w:type="pct"/>
                  <w:noWrap w:val="0"/>
                  <w:vAlign w:val="center"/>
                </w:tcPr>
                <w:p w14:paraId="72872987">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45B89914">
                  <w:pPr>
                    <w:adjustRightInd w:val="0"/>
                    <w:snapToGrid w:val="0"/>
                    <w:ind w:left="-105" w:leftChars="-50" w:right="-105" w:rightChars="-50"/>
                    <w:jc w:val="center"/>
                    <w:rPr>
                      <w:rFonts w:hint="default"/>
                      <w:color w:val="auto"/>
                      <w:lang w:val="en-US" w:eastAsia="zh-CN"/>
                    </w:rPr>
                  </w:pPr>
                  <w:r>
                    <w:rPr>
                      <w:rFonts w:hint="eastAsia"/>
                      <w:color w:val="auto"/>
                      <w:lang w:val="en-US" w:eastAsia="zh-CN"/>
                    </w:rPr>
                    <w:t>19</w:t>
                  </w:r>
                </w:p>
              </w:tc>
              <w:tc>
                <w:tcPr>
                  <w:tcW w:w="258" w:type="pct"/>
                  <w:noWrap w:val="0"/>
                  <w:vAlign w:val="center"/>
                </w:tcPr>
                <w:p w14:paraId="2DBB3AA3">
                  <w:pPr>
                    <w:adjustRightInd w:val="0"/>
                    <w:snapToGrid w:val="0"/>
                    <w:ind w:left="-105" w:leftChars="-50" w:right="-105" w:rightChars="-50"/>
                    <w:jc w:val="center"/>
                    <w:rPr>
                      <w:rFonts w:hint="default"/>
                      <w:color w:val="auto"/>
                      <w:lang w:val="en-US" w:eastAsia="zh-CN"/>
                    </w:rPr>
                  </w:pPr>
                  <w:r>
                    <w:rPr>
                      <w:rFonts w:hint="eastAsia"/>
                      <w:color w:val="auto"/>
                      <w:lang w:val="en-US" w:eastAsia="zh-CN"/>
                    </w:rPr>
                    <w:t>54.4</w:t>
                  </w:r>
                </w:p>
              </w:tc>
              <w:tc>
                <w:tcPr>
                  <w:tcW w:w="200" w:type="pct"/>
                  <w:noWrap w:val="0"/>
                  <w:vAlign w:val="center"/>
                </w:tcPr>
                <w:p w14:paraId="52001959">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4BAF8455">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4145E14A">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28.4</w:t>
                  </w:r>
                </w:p>
              </w:tc>
              <w:tc>
                <w:tcPr>
                  <w:tcW w:w="386" w:type="pct"/>
                  <w:noWrap w:val="0"/>
                  <w:vAlign w:val="center"/>
                </w:tcPr>
                <w:p w14:paraId="2EE2A6E7">
                  <w:pPr>
                    <w:adjustRightInd w:val="0"/>
                    <w:snapToGrid w:val="0"/>
                    <w:ind w:left="-105" w:leftChars="-50" w:right="-105" w:rightChars="-50"/>
                    <w:jc w:val="center"/>
                    <w:rPr>
                      <w:color w:val="auto"/>
                    </w:rPr>
                  </w:pPr>
                  <w:r>
                    <w:rPr>
                      <w:color w:val="auto"/>
                    </w:rPr>
                    <w:t>1m</w:t>
                  </w:r>
                </w:p>
              </w:tc>
            </w:tr>
            <w:tr w14:paraId="01FC7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4F4B2CDC">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32</w:t>
                  </w:r>
                </w:p>
              </w:tc>
              <w:tc>
                <w:tcPr>
                  <w:tcW w:w="210" w:type="pct"/>
                  <w:vMerge w:val="continue"/>
                  <w:noWrap w:val="0"/>
                  <w:vAlign w:val="center"/>
                </w:tcPr>
                <w:p w14:paraId="7FBBE820">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5F2DFE4A">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3#</w:t>
                  </w:r>
                  <w:r>
                    <w:rPr>
                      <w:rFonts w:hint="default" w:ascii="Times New Roman" w:hAnsi="Times New Roman" w:eastAsia="宋体" w:cs="Times New Roman"/>
                      <w:i w:val="0"/>
                      <w:iCs w:val="0"/>
                      <w:color w:val="auto"/>
                      <w:kern w:val="0"/>
                      <w:sz w:val="21"/>
                      <w:szCs w:val="21"/>
                      <w:u w:val="none"/>
                      <w:lang w:val="en-US" w:eastAsia="zh-CN" w:bidi="ar"/>
                    </w:rPr>
                    <w:t>数控机床</w:t>
                  </w:r>
                </w:p>
              </w:tc>
              <w:tc>
                <w:tcPr>
                  <w:tcW w:w="278" w:type="pct"/>
                  <w:noWrap w:val="0"/>
                  <w:vAlign w:val="center"/>
                </w:tcPr>
                <w:p w14:paraId="0D044AF2">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2A7CFBF3">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397CE5E7">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3926A44C">
                  <w:pPr>
                    <w:adjustRightInd w:val="0"/>
                    <w:snapToGrid w:val="0"/>
                    <w:ind w:left="-105" w:leftChars="-50" w:right="-105" w:rightChars="-50"/>
                    <w:jc w:val="center"/>
                    <w:rPr>
                      <w:rFonts w:hAnsi="宋体"/>
                      <w:bCs/>
                      <w:color w:val="auto"/>
                      <w:szCs w:val="20"/>
                    </w:rPr>
                  </w:pPr>
                </w:p>
              </w:tc>
              <w:tc>
                <w:tcPr>
                  <w:tcW w:w="207" w:type="pct"/>
                  <w:noWrap w:val="0"/>
                  <w:vAlign w:val="center"/>
                </w:tcPr>
                <w:p w14:paraId="61D242C7">
                  <w:pPr>
                    <w:adjustRightInd w:val="0"/>
                    <w:snapToGrid w:val="0"/>
                    <w:ind w:left="-105" w:leftChars="-50" w:right="-105" w:rightChars="-50"/>
                    <w:jc w:val="center"/>
                    <w:rPr>
                      <w:rFonts w:hint="default"/>
                      <w:color w:val="auto"/>
                      <w:lang w:val="en-US" w:eastAsia="zh-CN"/>
                    </w:rPr>
                  </w:pPr>
                  <w:r>
                    <w:rPr>
                      <w:rFonts w:hint="eastAsia"/>
                      <w:color w:val="auto"/>
                      <w:lang w:val="en-US" w:eastAsia="zh-CN"/>
                    </w:rPr>
                    <w:t>22</w:t>
                  </w:r>
                </w:p>
              </w:tc>
              <w:tc>
                <w:tcPr>
                  <w:tcW w:w="207" w:type="pct"/>
                  <w:noWrap w:val="0"/>
                  <w:vAlign w:val="center"/>
                </w:tcPr>
                <w:p w14:paraId="1A5C827D">
                  <w:pPr>
                    <w:adjustRightInd w:val="0"/>
                    <w:snapToGrid w:val="0"/>
                    <w:ind w:left="-105" w:leftChars="-50" w:right="-105" w:rightChars="-50"/>
                    <w:jc w:val="center"/>
                    <w:rPr>
                      <w:rFonts w:hint="default"/>
                      <w:color w:val="auto"/>
                      <w:lang w:val="en-US" w:eastAsia="zh-CN"/>
                    </w:rPr>
                  </w:pPr>
                  <w:r>
                    <w:rPr>
                      <w:rFonts w:hint="eastAsia"/>
                      <w:color w:val="auto"/>
                      <w:lang w:val="en-US" w:eastAsia="zh-CN"/>
                    </w:rPr>
                    <w:t>68</w:t>
                  </w:r>
                </w:p>
              </w:tc>
              <w:tc>
                <w:tcPr>
                  <w:tcW w:w="229" w:type="pct"/>
                  <w:noWrap w:val="0"/>
                  <w:vAlign w:val="center"/>
                </w:tcPr>
                <w:p w14:paraId="1EE96D4E">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287D7AEB">
                  <w:pPr>
                    <w:adjustRightInd w:val="0"/>
                    <w:snapToGrid w:val="0"/>
                    <w:ind w:left="-105" w:leftChars="-50" w:right="-105" w:rightChars="-50"/>
                    <w:jc w:val="center"/>
                    <w:rPr>
                      <w:rFonts w:hint="eastAsia"/>
                      <w:color w:val="auto"/>
                      <w:lang w:val="en-US" w:eastAsia="zh-CN"/>
                    </w:rPr>
                  </w:pPr>
                  <w:r>
                    <w:rPr>
                      <w:rFonts w:hint="eastAsia"/>
                      <w:color w:val="auto"/>
                      <w:lang w:val="en-US" w:eastAsia="zh-CN"/>
                    </w:rPr>
                    <w:t>19</w:t>
                  </w:r>
                </w:p>
              </w:tc>
              <w:tc>
                <w:tcPr>
                  <w:tcW w:w="258" w:type="pct"/>
                  <w:noWrap w:val="0"/>
                  <w:vAlign w:val="center"/>
                </w:tcPr>
                <w:p w14:paraId="716671BD">
                  <w:pPr>
                    <w:adjustRightInd w:val="0"/>
                    <w:snapToGrid w:val="0"/>
                    <w:ind w:left="-105" w:leftChars="-50" w:right="-105" w:rightChars="-50"/>
                    <w:jc w:val="center"/>
                    <w:rPr>
                      <w:rFonts w:hint="eastAsia"/>
                      <w:color w:val="auto"/>
                      <w:lang w:val="en-US" w:eastAsia="zh-CN"/>
                    </w:rPr>
                  </w:pPr>
                  <w:r>
                    <w:rPr>
                      <w:rFonts w:hint="eastAsia"/>
                      <w:color w:val="auto"/>
                      <w:lang w:val="en-US" w:eastAsia="zh-CN"/>
                    </w:rPr>
                    <w:t>54.4</w:t>
                  </w:r>
                </w:p>
              </w:tc>
              <w:tc>
                <w:tcPr>
                  <w:tcW w:w="200" w:type="pct"/>
                  <w:noWrap w:val="0"/>
                  <w:vAlign w:val="center"/>
                </w:tcPr>
                <w:p w14:paraId="71432F64">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75771B3D">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70D9BD61">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28.4</w:t>
                  </w:r>
                </w:p>
              </w:tc>
              <w:tc>
                <w:tcPr>
                  <w:tcW w:w="386" w:type="pct"/>
                  <w:noWrap w:val="0"/>
                  <w:vAlign w:val="center"/>
                </w:tcPr>
                <w:p w14:paraId="25D0EDB5">
                  <w:pPr>
                    <w:adjustRightInd w:val="0"/>
                    <w:snapToGrid w:val="0"/>
                    <w:ind w:left="-105" w:leftChars="-50" w:right="-105" w:rightChars="-50"/>
                    <w:jc w:val="center"/>
                    <w:rPr>
                      <w:color w:val="auto"/>
                    </w:rPr>
                  </w:pPr>
                  <w:r>
                    <w:rPr>
                      <w:color w:val="auto"/>
                    </w:rPr>
                    <w:t>1m</w:t>
                  </w:r>
                </w:p>
              </w:tc>
            </w:tr>
            <w:tr w14:paraId="70A3C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6543D6A2">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33</w:t>
                  </w:r>
                </w:p>
              </w:tc>
              <w:tc>
                <w:tcPr>
                  <w:tcW w:w="210" w:type="pct"/>
                  <w:vMerge w:val="continue"/>
                  <w:noWrap w:val="0"/>
                  <w:vAlign w:val="center"/>
                </w:tcPr>
                <w:p w14:paraId="6E444398">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1CC8D401">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4#</w:t>
                  </w:r>
                  <w:r>
                    <w:rPr>
                      <w:rFonts w:hint="default" w:ascii="Times New Roman" w:hAnsi="Times New Roman" w:eastAsia="宋体" w:cs="Times New Roman"/>
                      <w:i w:val="0"/>
                      <w:iCs w:val="0"/>
                      <w:color w:val="auto"/>
                      <w:kern w:val="0"/>
                      <w:sz w:val="21"/>
                      <w:szCs w:val="21"/>
                      <w:u w:val="none"/>
                      <w:lang w:val="en-US" w:eastAsia="zh-CN" w:bidi="ar"/>
                    </w:rPr>
                    <w:t>数控机床</w:t>
                  </w:r>
                </w:p>
              </w:tc>
              <w:tc>
                <w:tcPr>
                  <w:tcW w:w="278" w:type="pct"/>
                  <w:noWrap w:val="0"/>
                  <w:vAlign w:val="center"/>
                </w:tcPr>
                <w:p w14:paraId="60CFFCC3">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2CBFD2CE">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1D878047">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59D3EB1A">
                  <w:pPr>
                    <w:adjustRightInd w:val="0"/>
                    <w:snapToGrid w:val="0"/>
                    <w:ind w:left="-105" w:leftChars="-50" w:right="-105" w:rightChars="-50"/>
                    <w:jc w:val="center"/>
                    <w:rPr>
                      <w:rFonts w:hAnsi="宋体"/>
                      <w:bCs/>
                      <w:color w:val="auto"/>
                      <w:szCs w:val="20"/>
                    </w:rPr>
                  </w:pPr>
                </w:p>
              </w:tc>
              <w:tc>
                <w:tcPr>
                  <w:tcW w:w="207" w:type="pct"/>
                  <w:noWrap w:val="0"/>
                  <w:vAlign w:val="center"/>
                </w:tcPr>
                <w:p w14:paraId="4E3A316F">
                  <w:pPr>
                    <w:adjustRightInd w:val="0"/>
                    <w:snapToGrid w:val="0"/>
                    <w:ind w:left="-105" w:leftChars="-50" w:right="-105" w:rightChars="-50"/>
                    <w:jc w:val="center"/>
                    <w:rPr>
                      <w:rFonts w:hint="default"/>
                      <w:color w:val="auto"/>
                      <w:lang w:val="en-US" w:eastAsia="zh-CN"/>
                    </w:rPr>
                  </w:pPr>
                  <w:r>
                    <w:rPr>
                      <w:rFonts w:hint="eastAsia"/>
                      <w:color w:val="auto"/>
                      <w:lang w:val="en-US" w:eastAsia="zh-CN"/>
                    </w:rPr>
                    <w:t>25</w:t>
                  </w:r>
                </w:p>
              </w:tc>
              <w:tc>
                <w:tcPr>
                  <w:tcW w:w="207" w:type="pct"/>
                  <w:noWrap w:val="0"/>
                  <w:vAlign w:val="center"/>
                </w:tcPr>
                <w:p w14:paraId="0AC9EED6">
                  <w:pPr>
                    <w:adjustRightInd w:val="0"/>
                    <w:snapToGrid w:val="0"/>
                    <w:ind w:left="-105" w:leftChars="-50" w:right="-105" w:rightChars="-50"/>
                    <w:jc w:val="center"/>
                    <w:rPr>
                      <w:rFonts w:hint="default"/>
                      <w:color w:val="auto"/>
                      <w:lang w:val="en-US" w:eastAsia="zh-CN"/>
                    </w:rPr>
                  </w:pPr>
                  <w:r>
                    <w:rPr>
                      <w:rFonts w:hint="eastAsia"/>
                      <w:color w:val="auto"/>
                      <w:lang w:val="en-US" w:eastAsia="zh-CN"/>
                    </w:rPr>
                    <w:t>68</w:t>
                  </w:r>
                </w:p>
              </w:tc>
              <w:tc>
                <w:tcPr>
                  <w:tcW w:w="229" w:type="pct"/>
                  <w:noWrap w:val="0"/>
                  <w:vAlign w:val="center"/>
                </w:tcPr>
                <w:p w14:paraId="67DE35BD">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50E05C78">
                  <w:pPr>
                    <w:adjustRightInd w:val="0"/>
                    <w:snapToGrid w:val="0"/>
                    <w:ind w:left="-105" w:leftChars="-50" w:right="-105" w:rightChars="-50"/>
                    <w:jc w:val="center"/>
                    <w:rPr>
                      <w:rFonts w:hint="eastAsia"/>
                      <w:color w:val="auto"/>
                      <w:lang w:val="en-US" w:eastAsia="zh-CN"/>
                    </w:rPr>
                  </w:pPr>
                  <w:r>
                    <w:rPr>
                      <w:rFonts w:hint="eastAsia"/>
                      <w:color w:val="auto"/>
                      <w:lang w:val="en-US" w:eastAsia="zh-CN"/>
                    </w:rPr>
                    <w:t>19</w:t>
                  </w:r>
                </w:p>
              </w:tc>
              <w:tc>
                <w:tcPr>
                  <w:tcW w:w="258" w:type="pct"/>
                  <w:noWrap w:val="0"/>
                  <w:vAlign w:val="center"/>
                </w:tcPr>
                <w:p w14:paraId="1EA29955">
                  <w:pPr>
                    <w:adjustRightInd w:val="0"/>
                    <w:snapToGrid w:val="0"/>
                    <w:ind w:left="-105" w:leftChars="-50" w:right="-105" w:rightChars="-50"/>
                    <w:jc w:val="center"/>
                    <w:rPr>
                      <w:rFonts w:hint="eastAsia"/>
                      <w:color w:val="auto"/>
                      <w:lang w:val="en-US" w:eastAsia="zh-CN"/>
                    </w:rPr>
                  </w:pPr>
                  <w:r>
                    <w:rPr>
                      <w:rFonts w:hint="eastAsia"/>
                      <w:color w:val="auto"/>
                      <w:lang w:val="en-US" w:eastAsia="zh-CN"/>
                    </w:rPr>
                    <w:t>54.4</w:t>
                  </w:r>
                </w:p>
              </w:tc>
              <w:tc>
                <w:tcPr>
                  <w:tcW w:w="200" w:type="pct"/>
                  <w:noWrap w:val="0"/>
                  <w:vAlign w:val="center"/>
                </w:tcPr>
                <w:p w14:paraId="6153059B">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6743EEDB">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0985779E">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28.4</w:t>
                  </w:r>
                </w:p>
              </w:tc>
              <w:tc>
                <w:tcPr>
                  <w:tcW w:w="386" w:type="pct"/>
                  <w:noWrap w:val="0"/>
                  <w:vAlign w:val="center"/>
                </w:tcPr>
                <w:p w14:paraId="3820E77A">
                  <w:pPr>
                    <w:adjustRightInd w:val="0"/>
                    <w:snapToGrid w:val="0"/>
                    <w:ind w:left="-105" w:leftChars="-50" w:right="-105" w:rightChars="-50"/>
                    <w:jc w:val="center"/>
                    <w:rPr>
                      <w:color w:val="auto"/>
                    </w:rPr>
                  </w:pPr>
                  <w:r>
                    <w:rPr>
                      <w:color w:val="auto"/>
                    </w:rPr>
                    <w:t>1m</w:t>
                  </w:r>
                </w:p>
              </w:tc>
            </w:tr>
            <w:tr w14:paraId="5F4B6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37831B4B">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34</w:t>
                  </w:r>
                </w:p>
              </w:tc>
              <w:tc>
                <w:tcPr>
                  <w:tcW w:w="210" w:type="pct"/>
                  <w:vMerge w:val="continue"/>
                  <w:noWrap w:val="0"/>
                  <w:vAlign w:val="center"/>
                </w:tcPr>
                <w:p w14:paraId="6A89C6C1">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2D63611D">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5#</w:t>
                  </w:r>
                  <w:r>
                    <w:rPr>
                      <w:rFonts w:hint="default" w:ascii="Times New Roman" w:hAnsi="Times New Roman" w:eastAsia="宋体" w:cs="Times New Roman"/>
                      <w:i w:val="0"/>
                      <w:iCs w:val="0"/>
                      <w:color w:val="auto"/>
                      <w:kern w:val="0"/>
                      <w:sz w:val="21"/>
                      <w:szCs w:val="21"/>
                      <w:u w:val="none"/>
                      <w:lang w:val="en-US" w:eastAsia="zh-CN" w:bidi="ar"/>
                    </w:rPr>
                    <w:t>数控机床</w:t>
                  </w:r>
                </w:p>
              </w:tc>
              <w:tc>
                <w:tcPr>
                  <w:tcW w:w="278" w:type="pct"/>
                  <w:noWrap w:val="0"/>
                  <w:vAlign w:val="center"/>
                </w:tcPr>
                <w:p w14:paraId="1F3A7D48">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76559205">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22F993EA">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64A565B6">
                  <w:pPr>
                    <w:adjustRightInd w:val="0"/>
                    <w:snapToGrid w:val="0"/>
                    <w:ind w:left="-105" w:leftChars="-50" w:right="-105" w:rightChars="-50"/>
                    <w:jc w:val="center"/>
                    <w:rPr>
                      <w:rFonts w:hAnsi="宋体"/>
                      <w:bCs/>
                      <w:color w:val="auto"/>
                      <w:szCs w:val="20"/>
                    </w:rPr>
                  </w:pPr>
                </w:p>
              </w:tc>
              <w:tc>
                <w:tcPr>
                  <w:tcW w:w="207" w:type="pct"/>
                  <w:noWrap w:val="0"/>
                  <w:vAlign w:val="center"/>
                </w:tcPr>
                <w:p w14:paraId="45769BF2">
                  <w:pPr>
                    <w:adjustRightInd w:val="0"/>
                    <w:snapToGrid w:val="0"/>
                    <w:ind w:left="-105" w:leftChars="-50" w:right="-105" w:rightChars="-50"/>
                    <w:jc w:val="center"/>
                    <w:rPr>
                      <w:rFonts w:hint="default"/>
                      <w:color w:val="auto"/>
                      <w:lang w:val="en-US" w:eastAsia="zh-CN"/>
                    </w:rPr>
                  </w:pPr>
                  <w:r>
                    <w:rPr>
                      <w:rFonts w:hint="eastAsia"/>
                      <w:color w:val="auto"/>
                      <w:lang w:val="en-US" w:eastAsia="zh-CN"/>
                    </w:rPr>
                    <w:t>28</w:t>
                  </w:r>
                </w:p>
              </w:tc>
              <w:tc>
                <w:tcPr>
                  <w:tcW w:w="207" w:type="pct"/>
                  <w:noWrap w:val="0"/>
                  <w:vAlign w:val="center"/>
                </w:tcPr>
                <w:p w14:paraId="74285A20">
                  <w:pPr>
                    <w:adjustRightInd w:val="0"/>
                    <w:snapToGrid w:val="0"/>
                    <w:ind w:left="-105" w:leftChars="-50" w:right="-105" w:rightChars="-50"/>
                    <w:jc w:val="center"/>
                    <w:rPr>
                      <w:rFonts w:hint="default"/>
                      <w:color w:val="auto"/>
                      <w:lang w:val="en-US" w:eastAsia="zh-CN"/>
                    </w:rPr>
                  </w:pPr>
                  <w:r>
                    <w:rPr>
                      <w:rFonts w:hint="eastAsia"/>
                      <w:color w:val="auto"/>
                      <w:lang w:val="en-US" w:eastAsia="zh-CN"/>
                    </w:rPr>
                    <w:t>68</w:t>
                  </w:r>
                </w:p>
              </w:tc>
              <w:tc>
                <w:tcPr>
                  <w:tcW w:w="229" w:type="pct"/>
                  <w:noWrap w:val="0"/>
                  <w:vAlign w:val="center"/>
                </w:tcPr>
                <w:p w14:paraId="2895519E">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332948B0">
                  <w:pPr>
                    <w:adjustRightInd w:val="0"/>
                    <w:snapToGrid w:val="0"/>
                    <w:ind w:left="-105" w:leftChars="-50" w:right="-105" w:rightChars="-50"/>
                    <w:jc w:val="center"/>
                    <w:rPr>
                      <w:rFonts w:hint="default"/>
                      <w:color w:val="auto"/>
                      <w:lang w:val="en-US" w:eastAsia="zh-CN"/>
                    </w:rPr>
                  </w:pPr>
                  <w:r>
                    <w:rPr>
                      <w:rFonts w:hint="eastAsia"/>
                      <w:color w:val="auto"/>
                      <w:lang w:val="en-US" w:eastAsia="zh-CN"/>
                    </w:rPr>
                    <w:t>18</w:t>
                  </w:r>
                </w:p>
              </w:tc>
              <w:tc>
                <w:tcPr>
                  <w:tcW w:w="258" w:type="pct"/>
                  <w:noWrap w:val="0"/>
                  <w:vAlign w:val="center"/>
                </w:tcPr>
                <w:p w14:paraId="682DEE39">
                  <w:pPr>
                    <w:adjustRightInd w:val="0"/>
                    <w:snapToGrid w:val="0"/>
                    <w:ind w:left="-105" w:leftChars="-50" w:right="-105" w:rightChars="-50"/>
                    <w:jc w:val="center"/>
                    <w:rPr>
                      <w:rFonts w:hint="default"/>
                      <w:color w:val="auto"/>
                      <w:lang w:val="en-US" w:eastAsia="zh-CN"/>
                    </w:rPr>
                  </w:pPr>
                  <w:r>
                    <w:rPr>
                      <w:rFonts w:hint="eastAsia"/>
                      <w:color w:val="auto"/>
                      <w:lang w:val="en-US" w:eastAsia="zh-CN"/>
                    </w:rPr>
                    <w:t>54.9</w:t>
                  </w:r>
                </w:p>
              </w:tc>
              <w:tc>
                <w:tcPr>
                  <w:tcW w:w="200" w:type="pct"/>
                  <w:noWrap w:val="0"/>
                  <w:vAlign w:val="center"/>
                </w:tcPr>
                <w:p w14:paraId="57665978">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51056645">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0345161C">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28.9</w:t>
                  </w:r>
                </w:p>
              </w:tc>
              <w:tc>
                <w:tcPr>
                  <w:tcW w:w="386" w:type="pct"/>
                  <w:noWrap w:val="0"/>
                  <w:vAlign w:val="center"/>
                </w:tcPr>
                <w:p w14:paraId="3FAB3391">
                  <w:pPr>
                    <w:adjustRightInd w:val="0"/>
                    <w:snapToGrid w:val="0"/>
                    <w:ind w:left="-105" w:leftChars="-50" w:right="-105" w:rightChars="-50"/>
                    <w:jc w:val="center"/>
                    <w:rPr>
                      <w:color w:val="auto"/>
                    </w:rPr>
                  </w:pPr>
                  <w:r>
                    <w:rPr>
                      <w:color w:val="auto"/>
                    </w:rPr>
                    <w:t>1m</w:t>
                  </w:r>
                </w:p>
              </w:tc>
            </w:tr>
            <w:tr w14:paraId="17FB3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018DB7C4">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35</w:t>
                  </w:r>
                </w:p>
              </w:tc>
              <w:tc>
                <w:tcPr>
                  <w:tcW w:w="210" w:type="pct"/>
                  <w:vMerge w:val="continue"/>
                  <w:noWrap w:val="0"/>
                  <w:vAlign w:val="center"/>
                </w:tcPr>
                <w:p w14:paraId="5E81A34D">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02BFBCBA">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6#</w:t>
                  </w:r>
                  <w:r>
                    <w:rPr>
                      <w:rFonts w:hint="default" w:ascii="Times New Roman" w:hAnsi="Times New Roman" w:eastAsia="宋体" w:cs="Times New Roman"/>
                      <w:i w:val="0"/>
                      <w:iCs w:val="0"/>
                      <w:color w:val="auto"/>
                      <w:kern w:val="0"/>
                      <w:sz w:val="21"/>
                      <w:szCs w:val="21"/>
                      <w:u w:val="none"/>
                      <w:lang w:val="en-US" w:eastAsia="zh-CN" w:bidi="ar"/>
                    </w:rPr>
                    <w:t>数控机床</w:t>
                  </w:r>
                </w:p>
              </w:tc>
              <w:tc>
                <w:tcPr>
                  <w:tcW w:w="278" w:type="pct"/>
                  <w:noWrap w:val="0"/>
                  <w:vAlign w:val="center"/>
                </w:tcPr>
                <w:p w14:paraId="366A55FE">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12A91867">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4012EAF5">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588535BD">
                  <w:pPr>
                    <w:adjustRightInd w:val="0"/>
                    <w:snapToGrid w:val="0"/>
                    <w:ind w:left="-105" w:leftChars="-50" w:right="-105" w:rightChars="-50"/>
                    <w:jc w:val="center"/>
                    <w:rPr>
                      <w:rFonts w:hAnsi="宋体"/>
                      <w:bCs/>
                      <w:color w:val="auto"/>
                      <w:szCs w:val="20"/>
                    </w:rPr>
                  </w:pPr>
                </w:p>
              </w:tc>
              <w:tc>
                <w:tcPr>
                  <w:tcW w:w="207" w:type="pct"/>
                  <w:noWrap w:val="0"/>
                  <w:vAlign w:val="center"/>
                </w:tcPr>
                <w:p w14:paraId="1A43BE94">
                  <w:pPr>
                    <w:adjustRightInd w:val="0"/>
                    <w:snapToGrid w:val="0"/>
                    <w:ind w:left="-105" w:leftChars="-50" w:right="-105" w:rightChars="-50"/>
                    <w:jc w:val="center"/>
                    <w:rPr>
                      <w:rFonts w:hint="default"/>
                      <w:color w:val="auto"/>
                      <w:lang w:val="en-US" w:eastAsia="zh-CN"/>
                    </w:rPr>
                  </w:pPr>
                  <w:r>
                    <w:rPr>
                      <w:rFonts w:hint="eastAsia"/>
                      <w:color w:val="auto"/>
                      <w:lang w:val="en-US" w:eastAsia="zh-CN"/>
                    </w:rPr>
                    <w:t>32</w:t>
                  </w:r>
                </w:p>
              </w:tc>
              <w:tc>
                <w:tcPr>
                  <w:tcW w:w="207" w:type="pct"/>
                  <w:noWrap w:val="0"/>
                  <w:vAlign w:val="center"/>
                </w:tcPr>
                <w:p w14:paraId="5ACAAB5E">
                  <w:pPr>
                    <w:adjustRightInd w:val="0"/>
                    <w:snapToGrid w:val="0"/>
                    <w:ind w:left="-105" w:leftChars="-50" w:right="-105" w:rightChars="-50"/>
                    <w:jc w:val="center"/>
                    <w:rPr>
                      <w:rFonts w:hint="default"/>
                      <w:color w:val="auto"/>
                      <w:lang w:val="en-US" w:eastAsia="zh-CN"/>
                    </w:rPr>
                  </w:pPr>
                  <w:r>
                    <w:rPr>
                      <w:rFonts w:hint="eastAsia"/>
                      <w:color w:val="auto"/>
                      <w:lang w:val="en-US" w:eastAsia="zh-CN"/>
                    </w:rPr>
                    <w:t>68</w:t>
                  </w:r>
                </w:p>
              </w:tc>
              <w:tc>
                <w:tcPr>
                  <w:tcW w:w="229" w:type="pct"/>
                  <w:noWrap w:val="0"/>
                  <w:vAlign w:val="center"/>
                </w:tcPr>
                <w:p w14:paraId="78C68FB0">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5D84946C">
                  <w:pPr>
                    <w:adjustRightInd w:val="0"/>
                    <w:snapToGrid w:val="0"/>
                    <w:ind w:left="-105" w:leftChars="-50" w:right="-105" w:rightChars="-50"/>
                    <w:jc w:val="center"/>
                    <w:rPr>
                      <w:rFonts w:hint="default"/>
                      <w:color w:val="auto"/>
                      <w:lang w:val="en-US" w:eastAsia="zh-CN"/>
                    </w:rPr>
                  </w:pPr>
                  <w:r>
                    <w:rPr>
                      <w:rFonts w:hint="eastAsia"/>
                      <w:color w:val="auto"/>
                      <w:lang w:val="en-US" w:eastAsia="zh-CN"/>
                    </w:rPr>
                    <w:t>12</w:t>
                  </w:r>
                </w:p>
              </w:tc>
              <w:tc>
                <w:tcPr>
                  <w:tcW w:w="258" w:type="pct"/>
                  <w:noWrap w:val="0"/>
                  <w:vAlign w:val="center"/>
                </w:tcPr>
                <w:p w14:paraId="1277606A">
                  <w:pPr>
                    <w:adjustRightInd w:val="0"/>
                    <w:snapToGrid w:val="0"/>
                    <w:ind w:left="-105" w:leftChars="-50" w:right="-105" w:rightChars="-50"/>
                    <w:jc w:val="center"/>
                    <w:rPr>
                      <w:rFonts w:hint="eastAsia"/>
                      <w:color w:val="auto"/>
                      <w:lang w:val="en-US" w:eastAsia="zh-CN"/>
                    </w:rPr>
                  </w:pPr>
                  <w:r>
                    <w:rPr>
                      <w:rFonts w:hint="eastAsia"/>
                      <w:color w:val="auto"/>
                      <w:lang w:val="en-US" w:eastAsia="zh-CN"/>
                    </w:rPr>
                    <w:t>58.4</w:t>
                  </w:r>
                </w:p>
              </w:tc>
              <w:tc>
                <w:tcPr>
                  <w:tcW w:w="200" w:type="pct"/>
                  <w:noWrap w:val="0"/>
                  <w:vAlign w:val="center"/>
                </w:tcPr>
                <w:p w14:paraId="6839019D">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506E4A43">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263F8466">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32.4</w:t>
                  </w:r>
                </w:p>
              </w:tc>
              <w:tc>
                <w:tcPr>
                  <w:tcW w:w="386" w:type="pct"/>
                  <w:noWrap w:val="0"/>
                  <w:vAlign w:val="center"/>
                </w:tcPr>
                <w:p w14:paraId="5AE9A0FF">
                  <w:pPr>
                    <w:adjustRightInd w:val="0"/>
                    <w:snapToGrid w:val="0"/>
                    <w:ind w:left="-105" w:leftChars="-50" w:right="-105" w:rightChars="-50"/>
                    <w:jc w:val="center"/>
                    <w:rPr>
                      <w:color w:val="auto"/>
                    </w:rPr>
                  </w:pPr>
                  <w:r>
                    <w:rPr>
                      <w:color w:val="auto"/>
                    </w:rPr>
                    <w:t>1m</w:t>
                  </w:r>
                </w:p>
              </w:tc>
            </w:tr>
            <w:tr w14:paraId="0E218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34504788">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36</w:t>
                  </w:r>
                </w:p>
              </w:tc>
              <w:tc>
                <w:tcPr>
                  <w:tcW w:w="210" w:type="pct"/>
                  <w:vMerge w:val="continue"/>
                  <w:noWrap w:val="0"/>
                  <w:vAlign w:val="center"/>
                </w:tcPr>
                <w:p w14:paraId="3543EF55">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2A82A929">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7#</w:t>
                  </w:r>
                  <w:r>
                    <w:rPr>
                      <w:rFonts w:hint="default" w:ascii="Times New Roman" w:hAnsi="Times New Roman" w:eastAsia="宋体" w:cs="Times New Roman"/>
                      <w:i w:val="0"/>
                      <w:iCs w:val="0"/>
                      <w:color w:val="auto"/>
                      <w:kern w:val="0"/>
                      <w:sz w:val="21"/>
                      <w:szCs w:val="21"/>
                      <w:u w:val="none"/>
                      <w:lang w:val="en-US" w:eastAsia="zh-CN" w:bidi="ar"/>
                    </w:rPr>
                    <w:t>数控机床</w:t>
                  </w:r>
                </w:p>
              </w:tc>
              <w:tc>
                <w:tcPr>
                  <w:tcW w:w="278" w:type="pct"/>
                  <w:noWrap w:val="0"/>
                  <w:vAlign w:val="center"/>
                </w:tcPr>
                <w:p w14:paraId="7EB2E44C">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319CF136">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44D23BB4">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5796FCB1">
                  <w:pPr>
                    <w:adjustRightInd w:val="0"/>
                    <w:snapToGrid w:val="0"/>
                    <w:ind w:left="-105" w:leftChars="-50" w:right="-105" w:rightChars="-50"/>
                    <w:jc w:val="center"/>
                    <w:rPr>
                      <w:rFonts w:hAnsi="宋体"/>
                      <w:bCs/>
                      <w:color w:val="auto"/>
                      <w:szCs w:val="20"/>
                    </w:rPr>
                  </w:pPr>
                </w:p>
              </w:tc>
              <w:tc>
                <w:tcPr>
                  <w:tcW w:w="207" w:type="pct"/>
                  <w:noWrap w:val="0"/>
                  <w:vAlign w:val="center"/>
                </w:tcPr>
                <w:p w14:paraId="6619D374">
                  <w:pPr>
                    <w:adjustRightInd w:val="0"/>
                    <w:snapToGrid w:val="0"/>
                    <w:ind w:left="-105" w:leftChars="-50" w:right="-105" w:rightChars="-50"/>
                    <w:jc w:val="center"/>
                    <w:rPr>
                      <w:rFonts w:hint="default"/>
                      <w:color w:val="auto"/>
                      <w:lang w:val="en-US" w:eastAsia="zh-CN"/>
                    </w:rPr>
                  </w:pPr>
                  <w:r>
                    <w:rPr>
                      <w:rFonts w:hint="eastAsia"/>
                      <w:color w:val="auto"/>
                      <w:lang w:val="en-US" w:eastAsia="zh-CN"/>
                    </w:rPr>
                    <w:t>35</w:t>
                  </w:r>
                </w:p>
              </w:tc>
              <w:tc>
                <w:tcPr>
                  <w:tcW w:w="207" w:type="pct"/>
                  <w:noWrap w:val="0"/>
                  <w:vAlign w:val="center"/>
                </w:tcPr>
                <w:p w14:paraId="3A589052">
                  <w:pPr>
                    <w:adjustRightInd w:val="0"/>
                    <w:snapToGrid w:val="0"/>
                    <w:ind w:left="-105" w:leftChars="-50" w:right="-105" w:rightChars="-50"/>
                    <w:jc w:val="center"/>
                    <w:rPr>
                      <w:rFonts w:hint="default"/>
                      <w:color w:val="auto"/>
                      <w:lang w:val="en-US" w:eastAsia="zh-CN"/>
                    </w:rPr>
                  </w:pPr>
                  <w:r>
                    <w:rPr>
                      <w:rFonts w:hint="eastAsia"/>
                      <w:color w:val="auto"/>
                      <w:lang w:val="en-US" w:eastAsia="zh-CN"/>
                    </w:rPr>
                    <w:t>68</w:t>
                  </w:r>
                </w:p>
              </w:tc>
              <w:tc>
                <w:tcPr>
                  <w:tcW w:w="229" w:type="pct"/>
                  <w:noWrap w:val="0"/>
                  <w:vAlign w:val="center"/>
                </w:tcPr>
                <w:p w14:paraId="00B8DD70">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33A59F83">
                  <w:pPr>
                    <w:adjustRightInd w:val="0"/>
                    <w:snapToGrid w:val="0"/>
                    <w:ind w:left="-105" w:leftChars="-50" w:right="-105" w:rightChars="-50"/>
                    <w:jc w:val="center"/>
                    <w:rPr>
                      <w:rFonts w:hint="default"/>
                      <w:color w:val="auto"/>
                      <w:lang w:val="en-US" w:eastAsia="zh-CN"/>
                    </w:rPr>
                  </w:pPr>
                  <w:r>
                    <w:rPr>
                      <w:rFonts w:hint="eastAsia"/>
                      <w:color w:val="auto"/>
                      <w:lang w:val="en-US" w:eastAsia="zh-CN"/>
                    </w:rPr>
                    <w:t>10</w:t>
                  </w:r>
                </w:p>
              </w:tc>
              <w:tc>
                <w:tcPr>
                  <w:tcW w:w="258" w:type="pct"/>
                  <w:noWrap w:val="0"/>
                  <w:vAlign w:val="center"/>
                </w:tcPr>
                <w:p w14:paraId="2D965BDC">
                  <w:pPr>
                    <w:adjustRightInd w:val="0"/>
                    <w:snapToGrid w:val="0"/>
                    <w:ind w:left="-105" w:leftChars="-50" w:right="-105" w:rightChars="-50"/>
                    <w:jc w:val="center"/>
                    <w:rPr>
                      <w:rFonts w:hint="eastAsia"/>
                      <w:color w:val="auto"/>
                      <w:lang w:val="en-US" w:eastAsia="zh-CN"/>
                    </w:rPr>
                  </w:pPr>
                  <w:r>
                    <w:rPr>
                      <w:rFonts w:hint="eastAsia"/>
                      <w:color w:val="auto"/>
                      <w:lang w:val="en-US" w:eastAsia="zh-CN"/>
                    </w:rPr>
                    <w:t>58.4</w:t>
                  </w:r>
                </w:p>
              </w:tc>
              <w:tc>
                <w:tcPr>
                  <w:tcW w:w="200" w:type="pct"/>
                  <w:noWrap w:val="0"/>
                  <w:vAlign w:val="center"/>
                </w:tcPr>
                <w:p w14:paraId="2131695A">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1E89AFA0">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7D8A892A">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32.4</w:t>
                  </w:r>
                </w:p>
              </w:tc>
              <w:tc>
                <w:tcPr>
                  <w:tcW w:w="386" w:type="pct"/>
                  <w:noWrap w:val="0"/>
                  <w:vAlign w:val="center"/>
                </w:tcPr>
                <w:p w14:paraId="32C97F93">
                  <w:pPr>
                    <w:adjustRightInd w:val="0"/>
                    <w:snapToGrid w:val="0"/>
                    <w:ind w:left="-105" w:leftChars="-50" w:right="-105" w:rightChars="-50"/>
                    <w:jc w:val="center"/>
                    <w:rPr>
                      <w:color w:val="auto"/>
                    </w:rPr>
                  </w:pPr>
                  <w:r>
                    <w:rPr>
                      <w:color w:val="auto"/>
                    </w:rPr>
                    <w:t>1m</w:t>
                  </w:r>
                </w:p>
              </w:tc>
            </w:tr>
            <w:tr w14:paraId="40744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4EE592F2">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37</w:t>
                  </w:r>
                </w:p>
              </w:tc>
              <w:tc>
                <w:tcPr>
                  <w:tcW w:w="210" w:type="pct"/>
                  <w:vMerge w:val="continue"/>
                  <w:noWrap w:val="0"/>
                  <w:vAlign w:val="center"/>
                </w:tcPr>
                <w:p w14:paraId="1B4A2023">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3BF738F8">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w:t>
                  </w:r>
                  <w:r>
                    <w:rPr>
                      <w:rFonts w:hint="default" w:ascii="Times New Roman" w:hAnsi="Times New Roman" w:eastAsia="宋体" w:cs="Times New Roman"/>
                      <w:i w:val="0"/>
                      <w:iCs w:val="0"/>
                      <w:color w:val="auto"/>
                      <w:kern w:val="0"/>
                      <w:sz w:val="21"/>
                      <w:szCs w:val="21"/>
                      <w:u w:val="none"/>
                      <w:lang w:val="en-US" w:eastAsia="zh-CN" w:bidi="ar"/>
                    </w:rPr>
                    <w:t>数控机床</w:t>
                  </w:r>
                </w:p>
              </w:tc>
              <w:tc>
                <w:tcPr>
                  <w:tcW w:w="278" w:type="pct"/>
                  <w:noWrap w:val="0"/>
                  <w:vAlign w:val="center"/>
                </w:tcPr>
                <w:p w14:paraId="4043FE53">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43FDABBE">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79318A1A">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40EED7A8">
                  <w:pPr>
                    <w:adjustRightInd w:val="0"/>
                    <w:snapToGrid w:val="0"/>
                    <w:ind w:left="-105" w:leftChars="-50" w:right="-105" w:rightChars="-50"/>
                    <w:jc w:val="center"/>
                    <w:rPr>
                      <w:rFonts w:hAnsi="宋体"/>
                      <w:bCs/>
                      <w:color w:val="auto"/>
                      <w:szCs w:val="20"/>
                    </w:rPr>
                  </w:pPr>
                </w:p>
              </w:tc>
              <w:tc>
                <w:tcPr>
                  <w:tcW w:w="207" w:type="pct"/>
                  <w:noWrap w:val="0"/>
                  <w:vAlign w:val="center"/>
                </w:tcPr>
                <w:p w14:paraId="4E86B6EB">
                  <w:pPr>
                    <w:adjustRightInd w:val="0"/>
                    <w:snapToGrid w:val="0"/>
                    <w:ind w:left="-105" w:leftChars="-50" w:right="-105" w:rightChars="-50"/>
                    <w:jc w:val="center"/>
                    <w:rPr>
                      <w:rFonts w:hint="default"/>
                      <w:color w:val="auto"/>
                      <w:lang w:val="en-US" w:eastAsia="zh-CN"/>
                    </w:rPr>
                  </w:pPr>
                  <w:r>
                    <w:rPr>
                      <w:rFonts w:hint="eastAsia"/>
                      <w:color w:val="auto"/>
                      <w:lang w:val="en-US" w:eastAsia="zh-CN"/>
                    </w:rPr>
                    <w:t>16</w:t>
                  </w:r>
                </w:p>
              </w:tc>
              <w:tc>
                <w:tcPr>
                  <w:tcW w:w="207" w:type="pct"/>
                  <w:noWrap w:val="0"/>
                  <w:vAlign w:val="center"/>
                </w:tcPr>
                <w:p w14:paraId="39F8D2EF">
                  <w:pPr>
                    <w:adjustRightInd w:val="0"/>
                    <w:snapToGrid w:val="0"/>
                    <w:ind w:left="-105" w:leftChars="-50" w:right="-105" w:rightChars="-50"/>
                    <w:jc w:val="center"/>
                    <w:rPr>
                      <w:rFonts w:hint="default"/>
                      <w:color w:val="auto"/>
                      <w:lang w:val="en-US" w:eastAsia="zh-CN"/>
                    </w:rPr>
                  </w:pPr>
                  <w:r>
                    <w:rPr>
                      <w:rFonts w:hint="eastAsia"/>
                      <w:color w:val="auto"/>
                      <w:lang w:val="en-US" w:eastAsia="zh-CN"/>
                    </w:rPr>
                    <w:t>64</w:t>
                  </w:r>
                </w:p>
              </w:tc>
              <w:tc>
                <w:tcPr>
                  <w:tcW w:w="229" w:type="pct"/>
                  <w:noWrap w:val="0"/>
                  <w:vAlign w:val="center"/>
                </w:tcPr>
                <w:p w14:paraId="2B4219C9">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6E25F31D">
                  <w:pPr>
                    <w:adjustRightInd w:val="0"/>
                    <w:snapToGrid w:val="0"/>
                    <w:ind w:left="-105" w:leftChars="-50" w:right="-105" w:rightChars="-50"/>
                    <w:jc w:val="center"/>
                    <w:rPr>
                      <w:rFonts w:hint="default"/>
                      <w:color w:val="auto"/>
                      <w:lang w:val="en-US" w:eastAsia="zh-CN"/>
                    </w:rPr>
                  </w:pPr>
                  <w:r>
                    <w:rPr>
                      <w:rFonts w:hint="eastAsia"/>
                      <w:color w:val="auto"/>
                      <w:lang w:val="en-US" w:eastAsia="zh-CN"/>
                    </w:rPr>
                    <w:t>14</w:t>
                  </w:r>
                </w:p>
              </w:tc>
              <w:tc>
                <w:tcPr>
                  <w:tcW w:w="258" w:type="pct"/>
                  <w:noWrap w:val="0"/>
                  <w:vAlign w:val="center"/>
                </w:tcPr>
                <w:p w14:paraId="39C7C228">
                  <w:pPr>
                    <w:adjustRightInd w:val="0"/>
                    <w:snapToGrid w:val="0"/>
                    <w:ind w:left="-105" w:leftChars="-50" w:right="-105" w:rightChars="-50"/>
                    <w:jc w:val="center"/>
                    <w:rPr>
                      <w:rFonts w:hint="eastAsia"/>
                      <w:color w:val="auto"/>
                      <w:lang w:val="en-US" w:eastAsia="zh-CN"/>
                    </w:rPr>
                  </w:pPr>
                  <w:r>
                    <w:rPr>
                      <w:rFonts w:hint="eastAsia"/>
                      <w:color w:val="auto"/>
                      <w:lang w:val="en-US" w:eastAsia="zh-CN"/>
                    </w:rPr>
                    <w:t>57.1</w:t>
                  </w:r>
                </w:p>
              </w:tc>
              <w:tc>
                <w:tcPr>
                  <w:tcW w:w="200" w:type="pct"/>
                  <w:noWrap w:val="0"/>
                  <w:vAlign w:val="center"/>
                </w:tcPr>
                <w:p w14:paraId="069713E5">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71F87B58">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41CEF51B">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31.1</w:t>
                  </w:r>
                </w:p>
              </w:tc>
              <w:tc>
                <w:tcPr>
                  <w:tcW w:w="386" w:type="pct"/>
                  <w:noWrap w:val="0"/>
                  <w:vAlign w:val="center"/>
                </w:tcPr>
                <w:p w14:paraId="1542DAAB">
                  <w:pPr>
                    <w:adjustRightInd w:val="0"/>
                    <w:snapToGrid w:val="0"/>
                    <w:ind w:left="-105" w:leftChars="-50" w:right="-105" w:rightChars="-50"/>
                    <w:jc w:val="center"/>
                    <w:rPr>
                      <w:color w:val="auto"/>
                    </w:rPr>
                  </w:pPr>
                  <w:r>
                    <w:rPr>
                      <w:color w:val="auto"/>
                    </w:rPr>
                    <w:t>1m</w:t>
                  </w:r>
                </w:p>
              </w:tc>
            </w:tr>
            <w:tr w14:paraId="7AC1D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10E08E00">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38</w:t>
                  </w:r>
                </w:p>
              </w:tc>
              <w:tc>
                <w:tcPr>
                  <w:tcW w:w="210" w:type="pct"/>
                  <w:vMerge w:val="continue"/>
                  <w:noWrap w:val="0"/>
                  <w:vAlign w:val="center"/>
                </w:tcPr>
                <w:p w14:paraId="17E8FBF4">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5E6C8BD0">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9#</w:t>
                  </w:r>
                  <w:r>
                    <w:rPr>
                      <w:rFonts w:hint="default" w:ascii="Times New Roman" w:hAnsi="Times New Roman" w:eastAsia="宋体" w:cs="Times New Roman"/>
                      <w:i w:val="0"/>
                      <w:iCs w:val="0"/>
                      <w:color w:val="auto"/>
                      <w:kern w:val="0"/>
                      <w:sz w:val="21"/>
                      <w:szCs w:val="21"/>
                      <w:u w:val="none"/>
                      <w:lang w:val="en-US" w:eastAsia="zh-CN" w:bidi="ar"/>
                    </w:rPr>
                    <w:t>数控机床</w:t>
                  </w:r>
                </w:p>
              </w:tc>
              <w:tc>
                <w:tcPr>
                  <w:tcW w:w="278" w:type="pct"/>
                  <w:noWrap w:val="0"/>
                  <w:vAlign w:val="center"/>
                </w:tcPr>
                <w:p w14:paraId="1B1D5332">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4B9E83C9">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1B8988CD">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7DC82A59">
                  <w:pPr>
                    <w:adjustRightInd w:val="0"/>
                    <w:snapToGrid w:val="0"/>
                    <w:ind w:left="-105" w:leftChars="-50" w:right="-105" w:rightChars="-50"/>
                    <w:jc w:val="center"/>
                    <w:rPr>
                      <w:rFonts w:hAnsi="宋体"/>
                      <w:bCs/>
                      <w:color w:val="auto"/>
                      <w:szCs w:val="20"/>
                    </w:rPr>
                  </w:pPr>
                </w:p>
              </w:tc>
              <w:tc>
                <w:tcPr>
                  <w:tcW w:w="207" w:type="pct"/>
                  <w:noWrap w:val="0"/>
                  <w:vAlign w:val="center"/>
                </w:tcPr>
                <w:p w14:paraId="675A4734">
                  <w:pPr>
                    <w:adjustRightInd w:val="0"/>
                    <w:snapToGrid w:val="0"/>
                    <w:ind w:left="-105" w:leftChars="-50" w:right="-105" w:rightChars="-50"/>
                    <w:jc w:val="center"/>
                    <w:rPr>
                      <w:rFonts w:hint="default"/>
                      <w:color w:val="auto"/>
                      <w:lang w:val="en-US" w:eastAsia="zh-CN"/>
                    </w:rPr>
                  </w:pPr>
                  <w:r>
                    <w:rPr>
                      <w:rFonts w:hint="eastAsia"/>
                      <w:color w:val="auto"/>
                      <w:lang w:val="en-US" w:eastAsia="zh-CN"/>
                    </w:rPr>
                    <w:t>20</w:t>
                  </w:r>
                </w:p>
              </w:tc>
              <w:tc>
                <w:tcPr>
                  <w:tcW w:w="207" w:type="pct"/>
                  <w:noWrap w:val="0"/>
                  <w:vAlign w:val="center"/>
                </w:tcPr>
                <w:p w14:paraId="1A40812C">
                  <w:pPr>
                    <w:adjustRightInd w:val="0"/>
                    <w:snapToGrid w:val="0"/>
                    <w:ind w:left="-105" w:leftChars="-50" w:right="-105" w:rightChars="-50"/>
                    <w:jc w:val="center"/>
                    <w:rPr>
                      <w:rFonts w:hint="default"/>
                      <w:color w:val="auto"/>
                      <w:lang w:val="en-US" w:eastAsia="zh-CN"/>
                    </w:rPr>
                  </w:pPr>
                  <w:r>
                    <w:rPr>
                      <w:rFonts w:hint="eastAsia"/>
                      <w:color w:val="auto"/>
                      <w:lang w:val="en-US" w:eastAsia="zh-CN"/>
                    </w:rPr>
                    <w:t>64</w:t>
                  </w:r>
                </w:p>
              </w:tc>
              <w:tc>
                <w:tcPr>
                  <w:tcW w:w="229" w:type="pct"/>
                  <w:noWrap w:val="0"/>
                  <w:vAlign w:val="center"/>
                </w:tcPr>
                <w:p w14:paraId="581AE37E">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1EE049F4">
                  <w:pPr>
                    <w:adjustRightInd w:val="0"/>
                    <w:snapToGrid w:val="0"/>
                    <w:ind w:left="-105" w:leftChars="-50" w:right="-105" w:rightChars="-50"/>
                    <w:jc w:val="center"/>
                    <w:rPr>
                      <w:rFonts w:hint="eastAsia"/>
                      <w:color w:val="auto"/>
                      <w:lang w:val="en-US" w:eastAsia="zh-CN"/>
                    </w:rPr>
                  </w:pPr>
                  <w:r>
                    <w:rPr>
                      <w:rFonts w:hint="eastAsia"/>
                      <w:color w:val="auto"/>
                      <w:lang w:val="en-US" w:eastAsia="zh-CN"/>
                    </w:rPr>
                    <w:t>14</w:t>
                  </w:r>
                </w:p>
              </w:tc>
              <w:tc>
                <w:tcPr>
                  <w:tcW w:w="258" w:type="pct"/>
                  <w:noWrap w:val="0"/>
                  <w:vAlign w:val="center"/>
                </w:tcPr>
                <w:p w14:paraId="38338AF2">
                  <w:pPr>
                    <w:adjustRightInd w:val="0"/>
                    <w:snapToGrid w:val="0"/>
                    <w:ind w:left="-105" w:leftChars="-50" w:right="-105" w:rightChars="-50"/>
                    <w:jc w:val="center"/>
                    <w:rPr>
                      <w:rFonts w:hint="eastAsia"/>
                      <w:color w:val="auto"/>
                      <w:lang w:val="en-US" w:eastAsia="zh-CN"/>
                    </w:rPr>
                  </w:pPr>
                  <w:r>
                    <w:rPr>
                      <w:rFonts w:hint="eastAsia"/>
                      <w:color w:val="auto"/>
                      <w:lang w:val="en-US" w:eastAsia="zh-CN"/>
                    </w:rPr>
                    <w:t>57.1</w:t>
                  </w:r>
                </w:p>
              </w:tc>
              <w:tc>
                <w:tcPr>
                  <w:tcW w:w="200" w:type="pct"/>
                  <w:noWrap w:val="0"/>
                  <w:vAlign w:val="center"/>
                </w:tcPr>
                <w:p w14:paraId="5E00BEDC">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2788E73F">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7823C21C">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31.1</w:t>
                  </w:r>
                </w:p>
              </w:tc>
              <w:tc>
                <w:tcPr>
                  <w:tcW w:w="386" w:type="pct"/>
                  <w:noWrap w:val="0"/>
                  <w:vAlign w:val="center"/>
                </w:tcPr>
                <w:p w14:paraId="22A4D2C5">
                  <w:pPr>
                    <w:adjustRightInd w:val="0"/>
                    <w:snapToGrid w:val="0"/>
                    <w:ind w:left="-105" w:leftChars="-50" w:right="-105" w:rightChars="-50"/>
                    <w:jc w:val="center"/>
                    <w:rPr>
                      <w:color w:val="auto"/>
                    </w:rPr>
                  </w:pPr>
                  <w:r>
                    <w:rPr>
                      <w:color w:val="auto"/>
                    </w:rPr>
                    <w:t>1m</w:t>
                  </w:r>
                </w:p>
              </w:tc>
            </w:tr>
            <w:tr w14:paraId="4C34A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28999046">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39</w:t>
                  </w:r>
                </w:p>
              </w:tc>
              <w:tc>
                <w:tcPr>
                  <w:tcW w:w="210" w:type="pct"/>
                  <w:vMerge w:val="continue"/>
                  <w:noWrap w:val="0"/>
                  <w:vAlign w:val="center"/>
                </w:tcPr>
                <w:p w14:paraId="35C8DD80">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69DFD777">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10#</w:t>
                  </w:r>
                  <w:r>
                    <w:rPr>
                      <w:rFonts w:hint="default" w:ascii="Times New Roman" w:hAnsi="Times New Roman" w:eastAsia="宋体" w:cs="Times New Roman"/>
                      <w:i w:val="0"/>
                      <w:iCs w:val="0"/>
                      <w:color w:val="auto"/>
                      <w:kern w:val="0"/>
                      <w:sz w:val="21"/>
                      <w:szCs w:val="21"/>
                      <w:u w:val="none"/>
                      <w:lang w:val="en-US" w:eastAsia="zh-CN" w:bidi="ar"/>
                    </w:rPr>
                    <w:t>数控机床</w:t>
                  </w:r>
                </w:p>
              </w:tc>
              <w:tc>
                <w:tcPr>
                  <w:tcW w:w="278" w:type="pct"/>
                  <w:noWrap w:val="0"/>
                  <w:vAlign w:val="center"/>
                </w:tcPr>
                <w:p w14:paraId="6AEBD57B">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1865DD55">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40FE1E70">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68F0CD7A">
                  <w:pPr>
                    <w:adjustRightInd w:val="0"/>
                    <w:snapToGrid w:val="0"/>
                    <w:ind w:left="-105" w:leftChars="-50" w:right="-105" w:rightChars="-50"/>
                    <w:jc w:val="center"/>
                    <w:rPr>
                      <w:rFonts w:hAnsi="宋体"/>
                      <w:bCs/>
                      <w:color w:val="auto"/>
                      <w:szCs w:val="20"/>
                    </w:rPr>
                  </w:pPr>
                </w:p>
              </w:tc>
              <w:tc>
                <w:tcPr>
                  <w:tcW w:w="207" w:type="pct"/>
                  <w:noWrap w:val="0"/>
                  <w:vAlign w:val="center"/>
                </w:tcPr>
                <w:p w14:paraId="40276A6A">
                  <w:pPr>
                    <w:adjustRightInd w:val="0"/>
                    <w:snapToGrid w:val="0"/>
                    <w:ind w:left="-105" w:leftChars="-50" w:right="-105" w:rightChars="-50"/>
                    <w:jc w:val="center"/>
                    <w:rPr>
                      <w:rFonts w:hint="default"/>
                      <w:color w:val="auto"/>
                      <w:lang w:val="en-US" w:eastAsia="zh-CN"/>
                    </w:rPr>
                  </w:pPr>
                  <w:r>
                    <w:rPr>
                      <w:rFonts w:hint="eastAsia"/>
                      <w:color w:val="auto"/>
                      <w:lang w:val="en-US" w:eastAsia="zh-CN"/>
                    </w:rPr>
                    <w:t>22</w:t>
                  </w:r>
                </w:p>
              </w:tc>
              <w:tc>
                <w:tcPr>
                  <w:tcW w:w="207" w:type="pct"/>
                  <w:noWrap w:val="0"/>
                  <w:vAlign w:val="center"/>
                </w:tcPr>
                <w:p w14:paraId="700AF08B">
                  <w:pPr>
                    <w:adjustRightInd w:val="0"/>
                    <w:snapToGrid w:val="0"/>
                    <w:ind w:left="-105" w:leftChars="-50" w:right="-105" w:rightChars="-50"/>
                    <w:jc w:val="center"/>
                    <w:rPr>
                      <w:rFonts w:hint="default"/>
                      <w:color w:val="auto"/>
                      <w:lang w:val="en-US" w:eastAsia="zh-CN"/>
                    </w:rPr>
                  </w:pPr>
                  <w:r>
                    <w:rPr>
                      <w:rFonts w:hint="eastAsia"/>
                      <w:color w:val="auto"/>
                      <w:lang w:val="en-US" w:eastAsia="zh-CN"/>
                    </w:rPr>
                    <w:t>64</w:t>
                  </w:r>
                </w:p>
              </w:tc>
              <w:tc>
                <w:tcPr>
                  <w:tcW w:w="229" w:type="pct"/>
                  <w:noWrap w:val="0"/>
                  <w:vAlign w:val="center"/>
                </w:tcPr>
                <w:p w14:paraId="271C07BF">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7EDA4F32">
                  <w:pPr>
                    <w:adjustRightInd w:val="0"/>
                    <w:snapToGrid w:val="0"/>
                    <w:ind w:left="-105" w:leftChars="-50" w:right="-105" w:rightChars="-50"/>
                    <w:jc w:val="center"/>
                    <w:rPr>
                      <w:rFonts w:hint="eastAsia"/>
                      <w:color w:val="auto"/>
                      <w:lang w:val="en-US" w:eastAsia="zh-CN"/>
                    </w:rPr>
                  </w:pPr>
                  <w:r>
                    <w:rPr>
                      <w:rFonts w:hint="eastAsia"/>
                      <w:color w:val="auto"/>
                      <w:lang w:val="en-US" w:eastAsia="zh-CN"/>
                    </w:rPr>
                    <w:t>14</w:t>
                  </w:r>
                </w:p>
              </w:tc>
              <w:tc>
                <w:tcPr>
                  <w:tcW w:w="258" w:type="pct"/>
                  <w:noWrap w:val="0"/>
                  <w:vAlign w:val="center"/>
                </w:tcPr>
                <w:p w14:paraId="7E0DEBB7">
                  <w:pPr>
                    <w:adjustRightInd w:val="0"/>
                    <w:snapToGrid w:val="0"/>
                    <w:ind w:left="-105" w:leftChars="-50" w:right="-105" w:rightChars="-50"/>
                    <w:jc w:val="center"/>
                    <w:rPr>
                      <w:rFonts w:hint="eastAsia"/>
                      <w:color w:val="auto"/>
                      <w:lang w:val="en-US" w:eastAsia="zh-CN"/>
                    </w:rPr>
                  </w:pPr>
                  <w:r>
                    <w:rPr>
                      <w:rFonts w:hint="eastAsia"/>
                      <w:color w:val="auto"/>
                      <w:lang w:val="en-US" w:eastAsia="zh-CN"/>
                    </w:rPr>
                    <w:t>57.1</w:t>
                  </w:r>
                </w:p>
              </w:tc>
              <w:tc>
                <w:tcPr>
                  <w:tcW w:w="200" w:type="pct"/>
                  <w:noWrap w:val="0"/>
                  <w:vAlign w:val="center"/>
                </w:tcPr>
                <w:p w14:paraId="2041733D">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25CE2B6C">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315B8AC6">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31.1</w:t>
                  </w:r>
                </w:p>
              </w:tc>
              <w:tc>
                <w:tcPr>
                  <w:tcW w:w="386" w:type="pct"/>
                  <w:noWrap w:val="0"/>
                  <w:vAlign w:val="center"/>
                </w:tcPr>
                <w:p w14:paraId="39E97BF0">
                  <w:pPr>
                    <w:adjustRightInd w:val="0"/>
                    <w:snapToGrid w:val="0"/>
                    <w:ind w:left="-105" w:leftChars="-50" w:right="-105" w:rightChars="-50"/>
                    <w:jc w:val="center"/>
                    <w:rPr>
                      <w:color w:val="auto"/>
                    </w:rPr>
                  </w:pPr>
                  <w:r>
                    <w:rPr>
                      <w:color w:val="auto"/>
                    </w:rPr>
                    <w:t>1m</w:t>
                  </w:r>
                </w:p>
              </w:tc>
            </w:tr>
            <w:tr w14:paraId="2BF84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44B24AB4">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40</w:t>
                  </w:r>
                </w:p>
              </w:tc>
              <w:tc>
                <w:tcPr>
                  <w:tcW w:w="210" w:type="pct"/>
                  <w:vMerge w:val="continue"/>
                  <w:noWrap w:val="0"/>
                  <w:vAlign w:val="center"/>
                </w:tcPr>
                <w:p w14:paraId="0F3A3977">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22DF6820">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11#</w:t>
                  </w:r>
                  <w:r>
                    <w:rPr>
                      <w:rFonts w:hint="default" w:ascii="Times New Roman" w:hAnsi="Times New Roman" w:eastAsia="宋体" w:cs="Times New Roman"/>
                      <w:i w:val="0"/>
                      <w:iCs w:val="0"/>
                      <w:color w:val="auto"/>
                      <w:kern w:val="0"/>
                      <w:sz w:val="21"/>
                      <w:szCs w:val="21"/>
                      <w:u w:val="none"/>
                      <w:lang w:val="en-US" w:eastAsia="zh-CN" w:bidi="ar"/>
                    </w:rPr>
                    <w:t>数控机床</w:t>
                  </w:r>
                </w:p>
              </w:tc>
              <w:tc>
                <w:tcPr>
                  <w:tcW w:w="278" w:type="pct"/>
                  <w:noWrap w:val="0"/>
                  <w:vAlign w:val="center"/>
                </w:tcPr>
                <w:p w14:paraId="41410B4E">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49D1D9D6">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0921F853">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11BB425A">
                  <w:pPr>
                    <w:adjustRightInd w:val="0"/>
                    <w:snapToGrid w:val="0"/>
                    <w:ind w:left="-105" w:leftChars="-50" w:right="-105" w:rightChars="-50"/>
                    <w:jc w:val="center"/>
                    <w:rPr>
                      <w:rFonts w:hAnsi="宋体"/>
                      <w:bCs/>
                      <w:color w:val="auto"/>
                      <w:szCs w:val="20"/>
                    </w:rPr>
                  </w:pPr>
                </w:p>
              </w:tc>
              <w:tc>
                <w:tcPr>
                  <w:tcW w:w="207" w:type="pct"/>
                  <w:noWrap w:val="0"/>
                  <w:vAlign w:val="center"/>
                </w:tcPr>
                <w:p w14:paraId="7BCA4ACE">
                  <w:pPr>
                    <w:adjustRightInd w:val="0"/>
                    <w:snapToGrid w:val="0"/>
                    <w:ind w:left="-105" w:leftChars="-50" w:right="-105" w:rightChars="-50"/>
                    <w:jc w:val="center"/>
                    <w:rPr>
                      <w:rFonts w:hint="default"/>
                      <w:color w:val="auto"/>
                      <w:lang w:val="en-US" w:eastAsia="zh-CN"/>
                    </w:rPr>
                  </w:pPr>
                  <w:r>
                    <w:rPr>
                      <w:rFonts w:hint="eastAsia"/>
                      <w:color w:val="auto"/>
                      <w:lang w:val="en-US" w:eastAsia="zh-CN"/>
                    </w:rPr>
                    <w:t>25</w:t>
                  </w:r>
                </w:p>
              </w:tc>
              <w:tc>
                <w:tcPr>
                  <w:tcW w:w="207" w:type="pct"/>
                  <w:noWrap w:val="0"/>
                  <w:vAlign w:val="center"/>
                </w:tcPr>
                <w:p w14:paraId="5B62D36C">
                  <w:pPr>
                    <w:adjustRightInd w:val="0"/>
                    <w:snapToGrid w:val="0"/>
                    <w:ind w:left="-105" w:leftChars="-50" w:right="-105" w:rightChars="-50"/>
                    <w:jc w:val="center"/>
                    <w:rPr>
                      <w:rFonts w:hint="default"/>
                      <w:color w:val="auto"/>
                      <w:lang w:val="en-US" w:eastAsia="zh-CN"/>
                    </w:rPr>
                  </w:pPr>
                  <w:r>
                    <w:rPr>
                      <w:rFonts w:hint="eastAsia"/>
                      <w:color w:val="auto"/>
                      <w:lang w:val="en-US" w:eastAsia="zh-CN"/>
                    </w:rPr>
                    <w:t>64</w:t>
                  </w:r>
                </w:p>
              </w:tc>
              <w:tc>
                <w:tcPr>
                  <w:tcW w:w="229" w:type="pct"/>
                  <w:noWrap w:val="0"/>
                  <w:vAlign w:val="center"/>
                </w:tcPr>
                <w:p w14:paraId="06DFE469">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0B652234">
                  <w:pPr>
                    <w:adjustRightInd w:val="0"/>
                    <w:snapToGrid w:val="0"/>
                    <w:ind w:left="-105" w:leftChars="-50" w:right="-105" w:rightChars="-50"/>
                    <w:jc w:val="center"/>
                    <w:rPr>
                      <w:rFonts w:hint="eastAsia"/>
                      <w:color w:val="auto"/>
                      <w:lang w:val="en-US" w:eastAsia="zh-CN"/>
                    </w:rPr>
                  </w:pPr>
                  <w:r>
                    <w:rPr>
                      <w:rFonts w:hint="eastAsia"/>
                      <w:color w:val="auto"/>
                      <w:lang w:val="en-US" w:eastAsia="zh-CN"/>
                    </w:rPr>
                    <w:t>14</w:t>
                  </w:r>
                </w:p>
              </w:tc>
              <w:tc>
                <w:tcPr>
                  <w:tcW w:w="258" w:type="pct"/>
                  <w:noWrap w:val="0"/>
                  <w:vAlign w:val="center"/>
                </w:tcPr>
                <w:p w14:paraId="48DD1A65">
                  <w:pPr>
                    <w:adjustRightInd w:val="0"/>
                    <w:snapToGrid w:val="0"/>
                    <w:ind w:left="-105" w:leftChars="-50" w:right="-105" w:rightChars="-50"/>
                    <w:jc w:val="center"/>
                    <w:rPr>
                      <w:rFonts w:hint="eastAsia"/>
                      <w:color w:val="auto"/>
                      <w:lang w:val="en-US" w:eastAsia="zh-CN"/>
                    </w:rPr>
                  </w:pPr>
                  <w:r>
                    <w:rPr>
                      <w:rFonts w:hint="eastAsia"/>
                      <w:color w:val="auto"/>
                      <w:lang w:val="en-US" w:eastAsia="zh-CN"/>
                    </w:rPr>
                    <w:t>57.1</w:t>
                  </w:r>
                </w:p>
              </w:tc>
              <w:tc>
                <w:tcPr>
                  <w:tcW w:w="200" w:type="pct"/>
                  <w:noWrap w:val="0"/>
                  <w:vAlign w:val="center"/>
                </w:tcPr>
                <w:p w14:paraId="79BF1C4F">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2E0DE11C">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1F421296">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31.1</w:t>
                  </w:r>
                </w:p>
              </w:tc>
              <w:tc>
                <w:tcPr>
                  <w:tcW w:w="386" w:type="pct"/>
                  <w:noWrap w:val="0"/>
                  <w:vAlign w:val="center"/>
                </w:tcPr>
                <w:p w14:paraId="120DAE19">
                  <w:pPr>
                    <w:adjustRightInd w:val="0"/>
                    <w:snapToGrid w:val="0"/>
                    <w:ind w:left="-105" w:leftChars="-50" w:right="-105" w:rightChars="-50"/>
                    <w:jc w:val="center"/>
                    <w:rPr>
                      <w:color w:val="auto"/>
                    </w:rPr>
                  </w:pPr>
                  <w:r>
                    <w:rPr>
                      <w:color w:val="auto"/>
                    </w:rPr>
                    <w:t>1m</w:t>
                  </w:r>
                </w:p>
              </w:tc>
            </w:tr>
            <w:tr w14:paraId="6DD61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0C65178C">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41</w:t>
                  </w:r>
                </w:p>
              </w:tc>
              <w:tc>
                <w:tcPr>
                  <w:tcW w:w="210" w:type="pct"/>
                  <w:vMerge w:val="continue"/>
                  <w:noWrap w:val="0"/>
                  <w:vAlign w:val="center"/>
                </w:tcPr>
                <w:p w14:paraId="147677B4">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333EC0A4">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12#</w:t>
                  </w:r>
                  <w:r>
                    <w:rPr>
                      <w:rFonts w:hint="default" w:ascii="Times New Roman" w:hAnsi="Times New Roman" w:eastAsia="宋体" w:cs="Times New Roman"/>
                      <w:i w:val="0"/>
                      <w:iCs w:val="0"/>
                      <w:color w:val="auto"/>
                      <w:kern w:val="0"/>
                      <w:sz w:val="21"/>
                      <w:szCs w:val="21"/>
                      <w:u w:val="none"/>
                      <w:lang w:val="en-US" w:eastAsia="zh-CN" w:bidi="ar"/>
                    </w:rPr>
                    <w:t>数控机床</w:t>
                  </w:r>
                </w:p>
              </w:tc>
              <w:tc>
                <w:tcPr>
                  <w:tcW w:w="278" w:type="pct"/>
                  <w:noWrap w:val="0"/>
                  <w:vAlign w:val="center"/>
                </w:tcPr>
                <w:p w14:paraId="680478AC">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7DB46BB6">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3074B22F">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6EEEAE6F">
                  <w:pPr>
                    <w:adjustRightInd w:val="0"/>
                    <w:snapToGrid w:val="0"/>
                    <w:ind w:left="-105" w:leftChars="-50" w:right="-105" w:rightChars="-50"/>
                    <w:jc w:val="center"/>
                    <w:rPr>
                      <w:rFonts w:hAnsi="宋体"/>
                      <w:bCs/>
                      <w:color w:val="auto"/>
                      <w:szCs w:val="20"/>
                    </w:rPr>
                  </w:pPr>
                </w:p>
              </w:tc>
              <w:tc>
                <w:tcPr>
                  <w:tcW w:w="207" w:type="pct"/>
                  <w:noWrap w:val="0"/>
                  <w:vAlign w:val="center"/>
                </w:tcPr>
                <w:p w14:paraId="2369D48B">
                  <w:pPr>
                    <w:adjustRightInd w:val="0"/>
                    <w:snapToGrid w:val="0"/>
                    <w:ind w:left="-105" w:leftChars="-50" w:right="-105" w:rightChars="-50"/>
                    <w:jc w:val="center"/>
                    <w:rPr>
                      <w:rFonts w:hint="default"/>
                      <w:color w:val="auto"/>
                      <w:lang w:val="en-US" w:eastAsia="zh-CN"/>
                    </w:rPr>
                  </w:pPr>
                  <w:r>
                    <w:rPr>
                      <w:rFonts w:hint="eastAsia"/>
                      <w:color w:val="auto"/>
                      <w:lang w:val="en-US" w:eastAsia="zh-CN"/>
                    </w:rPr>
                    <w:t>28</w:t>
                  </w:r>
                </w:p>
              </w:tc>
              <w:tc>
                <w:tcPr>
                  <w:tcW w:w="207" w:type="pct"/>
                  <w:noWrap w:val="0"/>
                  <w:vAlign w:val="center"/>
                </w:tcPr>
                <w:p w14:paraId="7D33ECEE">
                  <w:pPr>
                    <w:adjustRightInd w:val="0"/>
                    <w:snapToGrid w:val="0"/>
                    <w:ind w:left="-105" w:leftChars="-50" w:right="-105" w:rightChars="-50"/>
                    <w:jc w:val="center"/>
                    <w:rPr>
                      <w:rFonts w:hint="default"/>
                      <w:color w:val="auto"/>
                      <w:lang w:val="en-US" w:eastAsia="zh-CN"/>
                    </w:rPr>
                  </w:pPr>
                  <w:r>
                    <w:rPr>
                      <w:rFonts w:hint="eastAsia"/>
                      <w:color w:val="auto"/>
                      <w:lang w:val="en-US" w:eastAsia="zh-CN"/>
                    </w:rPr>
                    <w:t>64</w:t>
                  </w:r>
                </w:p>
              </w:tc>
              <w:tc>
                <w:tcPr>
                  <w:tcW w:w="229" w:type="pct"/>
                  <w:noWrap w:val="0"/>
                  <w:vAlign w:val="center"/>
                </w:tcPr>
                <w:p w14:paraId="36A37DA2">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7E6B7AFF">
                  <w:pPr>
                    <w:adjustRightInd w:val="0"/>
                    <w:snapToGrid w:val="0"/>
                    <w:ind w:left="-105" w:leftChars="-50" w:right="-105" w:rightChars="-50"/>
                    <w:jc w:val="center"/>
                    <w:rPr>
                      <w:rFonts w:hint="eastAsia"/>
                      <w:color w:val="auto"/>
                      <w:lang w:val="en-US" w:eastAsia="zh-CN"/>
                    </w:rPr>
                  </w:pPr>
                  <w:r>
                    <w:rPr>
                      <w:rFonts w:hint="eastAsia"/>
                      <w:color w:val="auto"/>
                      <w:lang w:val="en-US" w:eastAsia="zh-CN"/>
                    </w:rPr>
                    <w:t>14</w:t>
                  </w:r>
                </w:p>
              </w:tc>
              <w:tc>
                <w:tcPr>
                  <w:tcW w:w="258" w:type="pct"/>
                  <w:noWrap w:val="0"/>
                  <w:vAlign w:val="center"/>
                </w:tcPr>
                <w:p w14:paraId="48B47397">
                  <w:pPr>
                    <w:adjustRightInd w:val="0"/>
                    <w:snapToGrid w:val="0"/>
                    <w:ind w:left="-105" w:leftChars="-50" w:right="-105" w:rightChars="-50"/>
                    <w:jc w:val="center"/>
                    <w:rPr>
                      <w:rFonts w:hint="eastAsia"/>
                      <w:color w:val="auto"/>
                      <w:lang w:val="en-US" w:eastAsia="zh-CN"/>
                    </w:rPr>
                  </w:pPr>
                  <w:r>
                    <w:rPr>
                      <w:rFonts w:hint="eastAsia"/>
                      <w:color w:val="auto"/>
                      <w:lang w:val="en-US" w:eastAsia="zh-CN"/>
                    </w:rPr>
                    <w:t>57.1</w:t>
                  </w:r>
                </w:p>
              </w:tc>
              <w:tc>
                <w:tcPr>
                  <w:tcW w:w="200" w:type="pct"/>
                  <w:noWrap w:val="0"/>
                  <w:vAlign w:val="center"/>
                </w:tcPr>
                <w:p w14:paraId="5768C3AD">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36702E5A">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71E7447C">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31.1</w:t>
                  </w:r>
                </w:p>
              </w:tc>
              <w:tc>
                <w:tcPr>
                  <w:tcW w:w="386" w:type="pct"/>
                  <w:noWrap w:val="0"/>
                  <w:vAlign w:val="center"/>
                </w:tcPr>
                <w:p w14:paraId="7CD36E3D">
                  <w:pPr>
                    <w:adjustRightInd w:val="0"/>
                    <w:snapToGrid w:val="0"/>
                    <w:ind w:left="-105" w:leftChars="-50" w:right="-105" w:rightChars="-50"/>
                    <w:jc w:val="center"/>
                    <w:rPr>
                      <w:color w:val="auto"/>
                    </w:rPr>
                  </w:pPr>
                  <w:r>
                    <w:rPr>
                      <w:color w:val="auto"/>
                    </w:rPr>
                    <w:t>1m</w:t>
                  </w:r>
                </w:p>
              </w:tc>
            </w:tr>
            <w:tr w14:paraId="13DD6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3D363368">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42</w:t>
                  </w:r>
                </w:p>
              </w:tc>
              <w:tc>
                <w:tcPr>
                  <w:tcW w:w="210" w:type="pct"/>
                  <w:vMerge w:val="continue"/>
                  <w:noWrap w:val="0"/>
                  <w:vAlign w:val="center"/>
                </w:tcPr>
                <w:p w14:paraId="58FBFE76">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59570799">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13#</w:t>
                  </w:r>
                  <w:r>
                    <w:rPr>
                      <w:rFonts w:hint="default" w:ascii="Times New Roman" w:hAnsi="Times New Roman" w:eastAsia="宋体" w:cs="Times New Roman"/>
                      <w:i w:val="0"/>
                      <w:iCs w:val="0"/>
                      <w:color w:val="auto"/>
                      <w:kern w:val="0"/>
                      <w:sz w:val="21"/>
                      <w:szCs w:val="21"/>
                      <w:u w:val="none"/>
                      <w:lang w:val="en-US" w:eastAsia="zh-CN" w:bidi="ar"/>
                    </w:rPr>
                    <w:t>数控机床</w:t>
                  </w:r>
                </w:p>
              </w:tc>
              <w:tc>
                <w:tcPr>
                  <w:tcW w:w="278" w:type="pct"/>
                  <w:noWrap w:val="0"/>
                  <w:vAlign w:val="center"/>
                </w:tcPr>
                <w:p w14:paraId="11AE8752">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79F9F513">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6674DE7D">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06E14370">
                  <w:pPr>
                    <w:adjustRightInd w:val="0"/>
                    <w:snapToGrid w:val="0"/>
                    <w:ind w:left="-105" w:leftChars="-50" w:right="-105" w:rightChars="-50"/>
                    <w:jc w:val="center"/>
                    <w:rPr>
                      <w:rFonts w:hAnsi="宋体"/>
                      <w:bCs/>
                      <w:color w:val="auto"/>
                      <w:szCs w:val="20"/>
                    </w:rPr>
                  </w:pPr>
                </w:p>
              </w:tc>
              <w:tc>
                <w:tcPr>
                  <w:tcW w:w="207" w:type="pct"/>
                  <w:noWrap w:val="0"/>
                  <w:vAlign w:val="center"/>
                </w:tcPr>
                <w:p w14:paraId="189A5A03">
                  <w:pPr>
                    <w:adjustRightInd w:val="0"/>
                    <w:snapToGrid w:val="0"/>
                    <w:ind w:left="-105" w:leftChars="-50" w:right="-105" w:rightChars="-50"/>
                    <w:jc w:val="center"/>
                    <w:rPr>
                      <w:rFonts w:hint="default"/>
                      <w:color w:val="auto"/>
                      <w:lang w:val="en-US" w:eastAsia="zh-CN"/>
                    </w:rPr>
                  </w:pPr>
                  <w:r>
                    <w:rPr>
                      <w:rFonts w:hint="eastAsia"/>
                      <w:color w:val="auto"/>
                      <w:lang w:val="en-US" w:eastAsia="zh-CN"/>
                    </w:rPr>
                    <w:t>32</w:t>
                  </w:r>
                </w:p>
              </w:tc>
              <w:tc>
                <w:tcPr>
                  <w:tcW w:w="207" w:type="pct"/>
                  <w:noWrap w:val="0"/>
                  <w:vAlign w:val="center"/>
                </w:tcPr>
                <w:p w14:paraId="44A628A6">
                  <w:pPr>
                    <w:adjustRightInd w:val="0"/>
                    <w:snapToGrid w:val="0"/>
                    <w:ind w:left="-105" w:leftChars="-50" w:right="-105" w:rightChars="-50"/>
                    <w:jc w:val="center"/>
                    <w:rPr>
                      <w:rFonts w:hint="default"/>
                      <w:color w:val="auto"/>
                      <w:lang w:val="en-US" w:eastAsia="zh-CN"/>
                    </w:rPr>
                  </w:pPr>
                  <w:r>
                    <w:rPr>
                      <w:rFonts w:hint="eastAsia"/>
                      <w:color w:val="auto"/>
                      <w:lang w:val="en-US" w:eastAsia="zh-CN"/>
                    </w:rPr>
                    <w:t>64</w:t>
                  </w:r>
                </w:p>
              </w:tc>
              <w:tc>
                <w:tcPr>
                  <w:tcW w:w="229" w:type="pct"/>
                  <w:noWrap w:val="0"/>
                  <w:vAlign w:val="center"/>
                </w:tcPr>
                <w:p w14:paraId="2A629855">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6E73A53B">
                  <w:pPr>
                    <w:adjustRightInd w:val="0"/>
                    <w:snapToGrid w:val="0"/>
                    <w:ind w:left="-105" w:leftChars="-50" w:right="-105" w:rightChars="-50"/>
                    <w:jc w:val="center"/>
                    <w:rPr>
                      <w:rFonts w:hint="eastAsia"/>
                      <w:color w:val="auto"/>
                      <w:lang w:val="en-US" w:eastAsia="zh-CN"/>
                    </w:rPr>
                  </w:pPr>
                  <w:r>
                    <w:rPr>
                      <w:rFonts w:hint="eastAsia"/>
                      <w:color w:val="auto"/>
                      <w:lang w:val="en-US" w:eastAsia="zh-CN"/>
                    </w:rPr>
                    <w:t>12</w:t>
                  </w:r>
                </w:p>
              </w:tc>
              <w:tc>
                <w:tcPr>
                  <w:tcW w:w="258" w:type="pct"/>
                  <w:noWrap w:val="0"/>
                  <w:vAlign w:val="center"/>
                </w:tcPr>
                <w:p w14:paraId="0331CAAB">
                  <w:pPr>
                    <w:adjustRightInd w:val="0"/>
                    <w:snapToGrid w:val="0"/>
                    <w:ind w:left="-105" w:leftChars="-50" w:right="-105" w:rightChars="-50"/>
                    <w:jc w:val="center"/>
                    <w:rPr>
                      <w:rFonts w:hint="eastAsia"/>
                      <w:color w:val="auto"/>
                      <w:lang w:val="en-US" w:eastAsia="zh-CN"/>
                    </w:rPr>
                  </w:pPr>
                  <w:r>
                    <w:rPr>
                      <w:rFonts w:hint="eastAsia"/>
                      <w:color w:val="auto"/>
                      <w:lang w:val="en-US" w:eastAsia="zh-CN"/>
                    </w:rPr>
                    <w:t>58.4</w:t>
                  </w:r>
                </w:p>
              </w:tc>
              <w:tc>
                <w:tcPr>
                  <w:tcW w:w="200" w:type="pct"/>
                  <w:noWrap w:val="0"/>
                  <w:vAlign w:val="center"/>
                </w:tcPr>
                <w:p w14:paraId="35B762A3">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6E8D1D6A">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66E25936">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32.4</w:t>
                  </w:r>
                </w:p>
              </w:tc>
              <w:tc>
                <w:tcPr>
                  <w:tcW w:w="386" w:type="pct"/>
                  <w:noWrap w:val="0"/>
                  <w:vAlign w:val="center"/>
                </w:tcPr>
                <w:p w14:paraId="2635CC65">
                  <w:pPr>
                    <w:adjustRightInd w:val="0"/>
                    <w:snapToGrid w:val="0"/>
                    <w:ind w:left="-105" w:leftChars="-50" w:right="-105" w:rightChars="-50"/>
                    <w:jc w:val="center"/>
                    <w:rPr>
                      <w:color w:val="auto"/>
                    </w:rPr>
                  </w:pPr>
                  <w:r>
                    <w:rPr>
                      <w:color w:val="auto"/>
                    </w:rPr>
                    <w:t>1m</w:t>
                  </w:r>
                </w:p>
              </w:tc>
            </w:tr>
            <w:tr w14:paraId="07E8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5F49EC0F">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43</w:t>
                  </w:r>
                </w:p>
              </w:tc>
              <w:tc>
                <w:tcPr>
                  <w:tcW w:w="210" w:type="pct"/>
                  <w:vMerge w:val="continue"/>
                  <w:noWrap w:val="0"/>
                  <w:vAlign w:val="center"/>
                </w:tcPr>
                <w:p w14:paraId="4B6CDD81">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128D2073">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14#</w:t>
                  </w:r>
                  <w:r>
                    <w:rPr>
                      <w:rFonts w:hint="default" w:ascii="Times New Roman" w:hAnsi="Times New Roman" w:eastAsia="宋体" w:cs="Times New Roman"/>
                      <w:i w:val="0"/>
                      <w:iCs w:val="0"/>
                      <w:color w:val="auto"/>
                      <w:kern w:val="0"/>
                      <w:sz w:val="21"/>
                      <w:szCs w:val="21"/>
                      <w:u w:val="none"/>
                      <w:lang w:val="en-US" w:eastAsia="zh-CN" w:bidi="ar"/>
                    </w:rPr>
                    <w:t>数控机床</w:t>
                  </w:r>
                </w:p>
              </w:tc>
              <w:tc>
                <w:tcPr>
                  <w:tcW w:w="278" w:type="pct"/>
                  <w:noWrap w:val="0"/>
                  <w:vAlign w:val="center"/>
                </w:tcPr>
                <w:p w14:paraId="7A2BFF14">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430E356B">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5669630B">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80/2</w:t>
                  </w:r>
                </w:p>
              </w:tc>
              <w:tc>
                <w:tcPr>
                  <w:tcW w:w="400" w:type="pct"/>
                  <w:vMerge w:val="continue"/>
                  <w:noWrap w:val="0"/>
                  <w:vAlign w:val="center"/>
                </w:tcPr>
                <w:p w14:paraId="08612859">
                  <w:pPr>
                    <w:adjustRightInd w:val="0"/>
                    <w:snapToGrid w:val="0"/>
                    <w:ind w:left="-105" w:leftChars="-50" w:right="-105" w:rightChars="-50"/>
                    <w:jc w:val="center"/>
                    <w:rPr>
                      <w:rFonts w:hAnsi="宋体"/>
                      <w:bCs/>
                      <w:color w:val="auto"/>
                      <w:szCs w:val="20"/>
                    </w:rPr>
                  </w:pPr>
                </w:p>
              </w:tc>
              <w:tc>
                <w:tcPr>
                  <w:tcW w:w="207" w:type="pct"/>
                  <w:noWrap w:val="0"/>
                  <w:vAlign w:val="center"/>
                </w:tcPr>
                <w:p w14:paraId="09CD8205">
                  <w:pPr>
                    <w:adjustRightInd w:val="0"/>
                    <w:snapToGrid w:val="0"/>
                    <w:ind w:left="-105" w:leftChars="-50" w:right="-105" w:rightChars="-50"/>
                    <w:jc w:val="center"/>
                    <w:rPr>
                      <w:rFonts w:hint="default"/>
                      <w:color w:val="auto"/>
                      <w:lang w:val="en-US" w:eastAsia="zh-CN"/>
                    </w:rPr>
                  </w:pPr>
                  <w:r>
                    <w:rPr>
                      <w:rFonts w:hint="eastAsia"/>
                      <w:color w:val="auto"/>
                      <w:lang w:val="en-US" w:eastAsia="zh-CN"/>
                    </w:rPr>
                    <w:t>35</w:t>
                  </w:r>
                </w:p>
              </w:tc>
              <w:tc>
                <w:tcPr>
                  <w:tcW w:w="207" w:type="pct"/>
                  <w:noWrap w:val="0"/>
                  <w:vAlign w:val="center"/>
                </w:tcPr>
                <w:p w14:paraId="0A896CE9">
                  <w:pPr>
                    <w:adjustRightInd w:val="0"/>
                    <w:snapToGrid w:val="0"/>
                    <w:ind w:left="-105" w:leftChars="-50" w:right="-105" w:rightChars="-50"/>
                    <w:jc w:val="center"/>
                    <w:rPr>
                      <w:rFonts w:hint="default"/>
                      <w:color w:val="auto"/>
                      <w:lang w:val="en-US" w:eastAsia="zh-CN"/>
                    </w:rPr>
                  </w:pPr>
                  <w:r>
                    <w:rPr>
                      <w:rFonts w:hint="eastAsia"/>
                      <w:color w:val="auto"/>
                      <w:lang w:val="en-US" w:eastAsia="zh-CN"/>
                    </w:rPr>
                    <w:t>64</w:t>
                  </w:r>
                </w:p>
              </w:tc>
              <w:tc>
                <w:tcPr>
                  <w:tcW w:w="229" w:type="pct"/>
                  <w:noWrap w:val="0"/>
                  <w:vAlign w:val="center"/>
                </w:tcPr>
                <w:p w14:paraId="0D6BE615">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74602611">
                  <w:pPr>
                    <w:adjustRightInd w:val="0"/>
                    <w:snapToGrid w:val="0"/>
                    <w:ind w:left="-105" w:leftChars="-50" w:right="-105" w:rightChars="-50"/>
                    <w:jc w:val="center"/>
                    <w:rPr>
                      <w:rFonts w:hint="eastAsia"/>
                      <w:color w:val="auto"/>
                      <w:lang w:val="en-US" w:eastAsia="zh-CN"/>
                    </w:rPr>
                  </w:pPr>
                  <w:r>
                    <w:rPr>
                      <w:rFonts w:hint="eastAsia"/>
                      <w:color w:val="auto"/>
                      <w:lang w:val="en-US" w:eastAsia="zh-CN"/>
                    </w:rPr>
                    <w:t>10</w:t>
                  </w:r>
                </w:p>
              </w:tc>
              <w:tc>
                <w:tcPr>
                  <w:tcW w:w="258" w:type="pct"/>
                  <w:noWrap w:val="0"/>
                  <w:vAlign w:val="center"/>
                </w:tcPr>
                <w:p w14:paraId="2B39FB8F">
                  <w:pPr>
                    <w:adjustRightInd w:val="0"/>
                    <w:snapToGrid w:val="0"/>
                    <w:ind w:left="-105" w:leftChars="-50" w:right="-105" w:rightChars="-50"/>
                    <w:jc w:val="center"/>
                    <w:rPr>
                      <w:rFonts w:hint="default"/>
                      <w:color w:val="auto"/>
                      <w:lang w:val="en-US" w:eastAsia="zh-CN"/>
                    </w:rPr>
                  </w:pPr>
                  <w:r>
                    <w:rPr>
                      <w:rFonts w:hint="eastAsia"/>
                      <w:color w:val="auto"/>
                      <w:lang w:val="en-US" w:eastAsia="zh-CN"/>
                    </w:rPr>
                    <w:t>60</w:t>
                  </w:r>
                </w:p>
              </w:tc>
              <w:tc>
                <w:tcPr>
                  <w:tcW w:w="200" w:type="pct"/>
                  <w:noWrap w:val="0"/>
                  <w:vAlign w:val="center"/>
                </w:tcPr>
                <w:p w14:paraId="00DFEEF9">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25B3B4D6">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5F80576F">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34</w:t>
                  </w:r>
                </w:p>
              </w:tc>
              <w:tc>
                <w:tcPr>
                  <w:tcW w:w="386" w:type="pct"/>
                  <w:noWrap w:val="0"/>
                  <w:vAlign w:val="center"/>
                </w:tcPr>
                <w:p w14:paraId="1FE686AF">
                  <w:pPr>
                    <w:adjustRightInd w:val="0"/>
                    <w:snapToGrid w:val="0"/>
                    <w:ind w:left="-105" w:leftChars="-50" w:right="-105" w:rightChars="-50"/>
                    <w:jc w:val="center"/>
                    <w:rPr>
                      <w:color w:val="auto"/>
                    </w:rPr>
                  </w:pPr>
                  <w:r>
                    <w:rPr>
                      <w:color w:val="auto"/>
                    </w:rPr>
                    <w:t>1m</w:t>
                  </w:r>
                </w:p>
              </w:tc>
            </w:tr>
            <w:tr w14:paraId="25B2E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61AB2600">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44</w:t>
                  </w:r>
                </w:p>
              </w:tc>
              <w:tc>
                <w:tcPr>
                  <w:tcW w:w="210" w:type="pct"/>
                  <w:vMerge w:val="continue"/>
                  <w:noWrap w:val="0"/>
                  <w:vAlign w:val="center"/>
                </w:tcPr>
                <w:p w14:paraId="5BD80555">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7283F8C6">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r>
                    <w:rPr>
                      <w:rFonts w:hint="default" w:ascii="Times New Roman" w:hAnsi="Times New Roman" w:cs="Times New Roman"/>
                      <w:color w:val="auto"/>
                      <w:sz w:val="21"/>
                      <w:szCs w:val="21"/>
                      <w:lang w:val="en-US" w:eastAsia="zh-CN"/>
                    </w:rPr>
                    <w:t>清洗机</w:t>
                  </w:r>
                </w:p>
              </w:tc>
              <w:tc>
                <w:tcPr>
                  <w:tcW w:w="278" w:type="pct"/>
                  <w:noWrap w:val="0"/>
                  <w:vAlign w:val="center"/>
                </w:tcPr>
                <w:p w14:paraId="41110C59">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1C442F26">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59EE1415">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70/2</w:t>
                  </w:r>
                </w:p>
              </w:tc>
              <w:tc>
                <w:tcPr>
                  <w:tcW w:w="400" w:type="pct"/>
                  <w:vMerge w:val="continue"/>
                  <w:noWrap w:val="0"/>
                  <w:vAlign w:val="center"/>
                </w:tcPr>
                <w:p w14:paraId="6F3B26E0">
                  <w:pPr>
                    <w:adjustRightInd w:val="0"/>
                    <w:snapToGrid w:val="0"/>
                    <w:ind w:left="-105" w:leftChars="-50" w:right="-105" w:rightChars="-50"/>
                    <w:jc w:val="center"/>
                    <w:rPr>
                      <w:rFonts w:hAnsi="宋体"/>
                      <w:bCs/>
                      <w:color w:val="auto"/>
                      <w:szCs w:val="20"/>
                    </w:rPr>
                  </w:pPr>
                </w:p>
              </w:tc>
              <w:tc>
                <w:tcPr>
                  <w:tcW w:w="207" w:type="pct"/>
                  <w:noWrap w:val="0"/>
                  <w:vAlign w:val="center"/>
                </w:tcPr>
                <w:p w14:paraId="372EF526">
                  <w:pPr>
                    <w:adjustRightInd w:val="0"/>
                    <w:snapToGrid w:val="0"/>
                    <w:ind w:left="-105" w:leftChars="-50" w:right="-105" w:rightChars="-50"/>
                    <w:jc w:val="center"/>
                    <w:rPr>
                      <w:rFonts w:hint="default"/>
                      <w:color w:val="auto"/>
                      <w:lang w:val="en-US" w:eastAsia="zh-CN"/>
                    </w:rPr>
                  </w:pPr>
                  <w:r>
                    <w:rPr>
                      <w:rFonts w:hint="eastAsia"/>
                      <w:color w:val="auto"/>
                      <w:lang w:val="en-US" w:eastAsia="zh-CN"/>
                    </w:rPr>
                    <w:t>5</w:t>
                  </w:r>
                </w:p>
              </w:tc>
              <w:tc>
                <w:tcPr>
                  <w:tcW w:w="207" w:type="pct"/>
                  <w:noWrap w:val="0"/>
                  <w:vAlign w:val="center"/>
                </w:tcPr>
                <w:p w14:paraId="69357D5E">
                  <w:pPr>
                    <w:adjustRightInd w:val="0"/>
                    <w:snapToGrid w:val="0"/>
                    <w:ind w:left="-105" w:leftChars="-50" w:right="-105" w:rightChars="-50"/>
                    <w:jc w:val="center"/>
                    <w:rPr>
                      <w:rFonts w:hint="default"/>
                      <w:color w:val="auto"/>
                      <w:lang w:val="en-US" w:eastAsia="zh-CN"/>
                    </w:rPr>
                  </w:pPr>
                  <w:r>
                    <w:rPr>
                      <w:rFonts w:hint="eastAsia"/>
                      <w:color w:val="auto"/>
                      <w:lang w:val="en-US" w:eastAsia="zh-CN"/>
                    </w:rPr>
                    <w:t>69</w:t>
                  </w:r>
                </w:p>
              </w:tc>
              <w:tc>
                <w:tcPr>
                  <w:tcW w:w="229" w:type="pct"/>
                  <w:noWrap w:val="0"/>
                  <w:vAlign w:val="center"/>
                </w:tcPr>
                <w:p w14:paraId="6F7E4C78">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37864038">
                  <w:pPr>
                    <w:adjustRightInd w:val="0"/>
                    <w:snapToGrid w:val="0"/>
                    <w:ind w:left="-105" w:leftChars="-50" w:right="-105" w:rightChars="-50"/>
                    <w:jc w:val="center"/>
                    <w:rPr>
                      <w:rFonts w:hint="default"/>
                      <w:color w:val="auto"/>
                      <w:lang w:val="en-US" w:eastAsia="zh-CN"/>
                    </w:rPr>
                  </w:pPr>
                  <w:r>
                    <w:rPr>
                      <w:rFonts w:hint="eastAsia"/>
                      <w:color w:val="auto"/>
                      <w:lang w:val="en-US" w:eastAsia="zh-CN"/>
                    </w:rPr>
                    <w:t>5</w:t>
                  </w:r>
                </w:p>
              </w:tc>
              <w:tc>
                <w:tcPr>
                  <w:tcW w:w="258" w:type="pct"/>
                  <w:noWrap w:val="0"/>
                  <w:vAlign w:val="center"/>
                </w:tcPr>
                <w:p w14:paraId="107130F4">
                  <w:pPr>
                    <w:adjustRightInd w:val="0"/>
                    <w:snapToGrid w:val="0"/>
                    <w:ind w:left="-105" w:leftChars="-50" w:right="-105" w:rightChars="-50"/>
                    <w:jc w:val="center"/>
                    <w:rPr>
                      <w:rFonts w:hint="default"/>
                      <w:color w:val="auto"/>
                      <w:lang w:val="en-US" w:eastAsia="zh-CN"/>
                    </w:rPr>
                  </w:pPr>
                  <w:r>
                    <w:rPr>
                      <w:rFonts w:hint="eastAsia"/>
                      <w:color w:val="auto"/>
                      <w:lang w:val="en-US" w:eastAsia="zh-CN"/>
                    </w:rPr>
                    <w:t>56.0</w:t>
                  </w:r>
                </w:p>
              </w:tc>
              <w:tc>
                <w:tcPr>
                  <w:tcW w:w="200" w:type="pct"/>
                  <w:noWrap w:val="0"/>
                  <w:vAlign w:val="center"/>
                </w:tcPr>
                <w:p w14:paraId="4C2C1622">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4EEDCC54">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1D660FE6">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30</w:t>
                  </w:r>
                </w:p>
              </w:tc>
              <w:tc>
                <w:tcPr>
                  <w:tcW w:w="386" w:type="pct"/>
                  <w:noWrap w:val="0"/>
                  <w:vAlign w:val="center"/>
                </w:tcPr>
                <w:p w14:paraId="23AAA631">
                  <w:pPr>
                    <w:adjustRightInd w:val="0"/>
                    <w:snapToGrid w:val="0"/>
                    <w:ind w:left="-105" w:leftChars="-50" w:right="-105" w:rightChars="-50"/>
                    <w:jc w:val="center"/>
                    <w:rPr>
                      <w:color w:val="auto"/>
                    </w:rPr>
                  </w:pPr>
                  <w:r>
                    <w:rPr>
                      <w:color w:val="auto"/>
                    </w:rPr>
                    <w:t>1m</w:t>
                  </w:r>
                </w:p>
              </w:tc>
            </w:tr>
            <w:tr w14:paraId="3043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5837F000">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45</w:t>
                  </w:r>
                </w:p>
              </w:tc>
              <w:tc>
                <w:tcPr>
                  <w:tcW w:w="210" w:type="pct"/>
                  <w:vMerge w:val="continue"/>
                  <w:noWrap w:val="0"/>
                  <w:vAlign w:val="center"/>
                </w:tcPr>
                <w:p w14:paraId="29B7CDA9">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398AB3A6">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2#</w:t>
                  </w:r>
                  <w:r>
                    <w:rPr>
                      <w:rFonts w:hint="default" w:ascii="Times New Roman" w:hAnsi="Times New Roman" w:cs="Times New Roman"/>
                      <w:color w:val="auto"/>
                      <w:sz w:val="21"/>
                      <w:szCs w:val="21"/>
                      <w:lang w:val="en-US" w:eastAsia="zh-CN"/>
                    </w:rPr>
                    <w:t>清洗机</w:t>
                  </w:r>
                </w:p>
              </w:tc>
              <w:tc>
                <w:tcPr>
                  <w:tcW w:w="278" w:type="pct"/>
                  <w:noWrap w:val="0"/>
                  <w:vAlign w:val="center"/>
                </w:tcPr>
                <w:p w14:paraId="0F9F4D5E">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3650ADA2">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66A58255">
                  <w:pPr>
                    <w:adjustRightInd w:val="0"/>
                    <w:snapToGrid w:val="0"/>
                    <w:ind w:left="-105" w:leftChars="-50" w:right="-105" w:rightChars="-50"/>
                    <w:jc w:val="center"/>
                    <w:rPr>
                      <w:rFonts w:hint="default" w:cs="Times New Roman"/>
                      <w:color w:val="auto"/>
                      <w:lang w:val="en-US" w:eastAsia="zh-CN"/>
                    </w:rPr>
                  </w:pPr>
                  <w:r>
                    <w:rPr>
                      <w:rFonts w:hint="eastAsia" w:cs="Times New Roman"/>
                      <w:color w:val="auto"/>
                      <w:lang w:val="en-US" w:eastAsia="zh-CN"/>
                    </w:rPr>
                    <w:t>70/2</w:t>
                  </w:r>
                </w:p>
              </w:tc>
              <w:tc>
                <w:tcPr>
                  <w:tcW w:w="400" w:type="pct"/>
                  <w:vMerge w:val="continue"/>
                  <w:noWrap w:val="0"/>
                  <w:vAlign w:val="center"/>
                </w:tcPr>
                <w:p w14:paraId="74CA992E">
                  <w:pPr>
                    <w:adjustRightInd w:val="0"/>
                    <w:snapToGrid w:val="0"/>
                    <w:ind w:left="-105" w:leftChars="-50" w:right="-105" w:rightChars="-50"/>
                    <w:jc w:val="center"/>
                    <w:rPr>
                      <w:rFonts w:hAnsi="宋体"/>
                      <w:bCs/>
                      <w:color w:val="auto"/>
                      <w:szCs w:val="20"/>
                    </w:rPr>
                  </w:pPr>
                </w:p>
              </w:tc>
              <w:tc>
                <w:tcPr>
                  <w:tcW w:w="207" w:type="pct"/>
                  <w:noWrap w:val="0"/>
                  <w:vAlign w:val="center"/>
                </w:tcPr>
                <w:p w14:paraId="58295B61">
                  <w:pPr>
                    <w:adjustRightInd w:val="0"/>
                    <w:snapToGrid w:val="0"/>
                    <w:ind w:left="-105" w:leftChars="-50" w:right="-105" w:rightChars="-50"/>
                    <w:jc w:val="center"/>
                    <w:rPr>
                      <w:rFonts w:hint="default"/>
                      <w:color w:val="auto"/>
                      <w:lang w:val="en-US" w:eastAsia="zh-CN"/>
                    </w:rPr>
                  </w:pPr>
                  <w:r>
                    <w:rPr>
                      <w:rFonts w:hint="eastAsia"/>
                      <w:color w:val="auto"/>
                      <w:lang w:val="en-US" w:eastAsia="zh-CN"/>
                    </w:rPr>
                    <w:t>5</w:t>
                  </w:r>
                </w:p>
              </w:tc>
              <w:tc>
                <w:tcPr>
                  <w:tcW w:w="207" w:type="pct"/>
                  <w:noWrap w:val="0"/>
                  <w:vAlign w:val="center"/>
                </w:tcPr>
                <w:p w14:paraId="2A90AE05">
                  <w:pPr>
                    <w:adjustRightInd w:val="0"/>
                    <w:snapToGrid w:val="0"/>
                    <w:ind w:left="-105" w:leftChars="-50" w:right="-105" w:rightChars="-50"/>
                    <w:jc w:val="center"/>
                    <w:rPr>
                      <w:rFonts w:hint="default"/>
                      <w:color w:val="auto"/>
                      <w:lang w:val="en-US" w:eastAsia="zh-CN"/>
                    </w:rPr>
                  </w:pPr>
                  <w:r>
                    <w:rPr>
                      <w:rFonts w:hint="eastAsia"/>
                      <w:color w:val="auto"/>
                      <w:lang w:val="en-US" w:eastAsia="zh-CN"/>
                    </w:rPr>
                    <w:t>64</w:t>
                  </w:r>
                </w:p>
              </w:tc>
              <w:tc>
                <w:tcPr>
                  <w:tcW w:w="229" w:type="pct"/>
                  <w:noWrap w:val="0"/>
                  <w:vAlign w:val="center"/>
                </w:tcPr>
                <w:p w14:paraId="3E27D635">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7BC6C487">
                  <w:pPr>
                    <w:adjustRightInd w:val="0"/>
                    <w:snapToGrid w:val="0"/>
                    <w:ind w:left="-105" w:leftChars="-50" w:right="-105" w:rightChars="-50"/>
                    <w:jc w:val="center"/>
                    <w:rPr>
                      <w:rFonts w:hint="default"/>
                      <w:color w:val="auto"/>
                      <w:lang w:val="en-US" w:eastAsia="zh-CN"/>
                    </w:rPr>
                  </w:pPr>
                  <w:r>
                    <w:rPr>
                      <w:rFonts w:hint="eastAsia"/>
                      <w:color w:val="auto"/>
                      <w:lang w:val="en-US" w:eastAsia="zh-CN"/>
                    </w:rPr>
                    <w:t>5</w:t>
                  </w:r>
                </w:p>
              </w:tc>
              <w:tc>
                <w:tcPr>
                  <w:tcW w:w="258" w:type="pct"/>
                  <w:noWrap w:val="0"/>
                  <w:vAlign w:val="center"/>
                </w:tcPr>
                <w:p w14:paraId="193A8430">
                  <w:pPr>
                    <w:adjustRightInd w:val="0"/>
                    <w:snapToGrid w:val="0"/>
                    <w:ind w:left="-105" w:leftChars="-50" w:right="-105" w:rightChars="-50"/>
                    <w:jc w:val="center"/>
                    <w:rPr>
                      <w:rFonts w:hint="eastAsia"/>
                      <w:color w:val="auto"/>
                      <w:lang w:val="en-US" w:eastAsia="zh-CN"/>
                    </w:rPr>
                  </w:pPr>
                  <w:r>
                    <w:rPr>
                      <w:rFonts w:hint="eastAsia"/>
                      <w:color w:val="auto"/>
                      <w:lang w:val="en-US" w:eastAsia="zh-CN"/>
                    </w:rPr>
                    <w:t>56.0</w:t>
                  </w:r>
                </w:p>
              </w:tc>
              <w:tc>
                <w:tcPr>
                  <w:tcW w:w="200" w:type="pct"/>
                  <w:noWrap w:val="0"/>
                  <w:vAlign w:val="center"/>
                </w:tcPr>
                <w:p w14:paraId="106CAE04">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43048BE7">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6367AE30">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30</w:t>
                  </w:r>
                </w:p>
              </w:tc>
              <w:tc>
                <w:tcPr>
                  <w:tcW w:w="386" w:type="pct"/>
                  <w:noWrap w:val="0"/>
                  <w:vAlign w:val="center"/>
                </w:tcPr>
                <w:p w14:paraId="78AE0A13">
                  <w:pPr>
                    <w:adjustRightInd w:val="0"/>
                    <w:snapToGrid w:val="0"/>
                    <w:ind w:left="-105" w:leftChars="-50" w:right="-105" w:rightChars="-50"/>
                    <w:jc w:val="center"/>
                    <w:rPr>
                      <w:color w:val="auto"/>
                    </w:rPr>
                  </w:pPr>
                  <w:r>
                    <w:rPr>
                      <w:color w:val="auto"/>
                    </w:rPr>
                    <w:t>1m</w:t>
                  </w:r>
                </w:p>
              </w:tc>
            </w:tr>
            <w:tr w14:paraId="2257B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785D6ACC">
                  <w:pPr>
                    <w:keepNext w:val="0"/>
                    <w:keepLines w:val="0"/>
                    <w:widowControl/>
                    <w:suppressLineNumbers w:val="0"/>
                    <w:jc w:val="right"/>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46</w:t>
                  </w:r>
                </w:p>
              </w:tc>
              <w:tc>
                <w:tcPr>
                  <w:tcW w:w="210" w:type="pct"/>
                  <w:vMerge w:val="continue"/>
                  <w:noWrap w:val="0"/>
                  <w:vAlign w:val="center"/>
                </w:tcPr>
                <w:p w14:paraId="1163E5CF">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3CBEBB23">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3#</w:t>
                  </w:r>
                  <w:r>
                    <w:rPr>
                      <w:rFonts w:hint="default" w:ascii="Times New Roman" w:hAnsi="Times New Roman" w:cs="Times New Roman"/>
                      <w:color w:val="auto"/>
                      <w:sz w:val="21"/>
                      <w:szCs w:val="21"/>
                      <w:lang w:val="en-US" w:eastAsia="zh-CN"/>
                    </w:rPr>
                    <w:t>清洗机</w:t>
                  </w:r>
                </w:p>
              </w:tc>
              <w:tc>
                <w:tcPr>
                  <w:tcW w:w="278" w:type="pct"/>
                  <w:noWrap w:val="0"/>
                  <w:vAlign w:val="center"/>
                </w:tcPr>
                <w:p w14:paraId="412285A8">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3B017A17">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550" w:type="pct"/>
                  <w:noWrap w:val="0"/>
                  <w:vAlign w:val="center"/>
                </w:tcPr>
                <w:p w14:paraId="1905339E">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70/2</w:t>
                  </w:r>
                </w:p>
              </w:tc>
              <w:tc>
                <w:tcPr>
                  <w:tcW w:w="400" w:type="pct"/>
                  <w:vMerge w:val="continue"/>
                  <w:noWrap w:val="0"/>
                  <w:vAlign w:val="center"/>
                </w:tcPr>
                <w:p w14:paraId="47D7D9C6">
                  <w:pPr>
                    <w:adjustRightInd w:val="0"/>
                    <w:snapToGrid w:val="0"/>
                    <w:ind w:left="-105" w:leftChars="-50" w:right="-105" w:rightChars="-50"/>
                    <w:jc w:val="center"/>
                    <w:rPr>
                      <w:rFonts w:hAnsi="宋体"/>
                      <w:bCs/>
                      <w:color w:val="auto"/>
                      <w:szCs w:val="20"/>
                    </w:rPr>
                  </w:pPr>
                </w:p>
              </w:tc>
              <w:tc>
                <w:tcPr>
                  <w:tcW w:w="207" w:type="pct"/>
                  <w:noWrap w:val="0"/>
                  <w:vAlign w:val="center"/>
                </w:tcPr>
                <w:p w14:paraId="44A703BB">
                  <w:pPr>
                    <w:adjustRightInd w:val="0"/>
                    <w:snapToGrid w:val="0"/>
                    <w:ind w:left="-105" w:leftChars="-50" w:right="-105" w:rightChars="-50"/>
                    <w:jc w:val="center"/>
                    <w:rPr>
                      <w:rFonts w:hint="default"/>
                      <w:color w:val="auto"/>
                      <w:lang w:val="en-US" w:eastAsia="zh-CN"/>
                    </w:rPr>
                  </w:pPr>
                  <w:r>
                    <w:rPr>
                      <w:rFonts w:hint="eastAsia"/>
                      <w:color w:val="auto"/>
                      <w:lang w:val="en-US" w:eastAsia="zh-CN"/>
                    </w:rPr>
                    <w:t>5</w:t>
                  </w:r>
                </w:p>
              </w:tc>
              <w:tc>
                <w:tcPr>
                  <w:tcW w:w="207" w:type="pct"/>
                  <w:noWrap w:val="0"/>
                  <w:vAlign w:val="center"/>
                </w:tcPr>
                <w:p w14:paraId="551B1B86">
                  <w:pPr>
                    <w:adjustRightInd w:val="0"/>
                    <w:snapToGrid w:val="0"/>
                    <w:ind w:left="-105" w:leftChars="-50" w:right="-105" w:rightChars="-50"/>
                    <w:jc w:val="center"/>
                    <w:rPr>
                      <w:rFonts w:hint="default"/>
                      <w:color w:val="auto"/>
                      <w:lang w:val="en-US" w:eastAsia="zh-CN"/>
                    </w:rPr>
                  </w:pPr>
                  <w:r>
                    <w:rPr>
                      <w:rFonts w:hint="eastAsia"/>
                      <w:color w:val="auto"/>
                      <w:lang w:val="en-US" w:eastAsia="zh-CN"/>
                    </w:rPr>
                    <w:t>59</w:t>
                  </w:r>
                </w:p>
              </w:tc>
              <w:tc>
                <w:tcPr>
                  <w:tcW w:w="229" w:type="pct"/>
                  <w:noWrap w:val="0"/>
                  <w:vAlign w:val="center"/>
                </w:tcPr>
                <w:p w14:paraId="6AD4BCA8">
                  <w:pPr>
                    <w:adjustRightInd w:val="0"/>
                    <w:snapToGrid w:val="0"/>
                    <w:ind w:left="-105" w:leftChars="-50" w:right="-105" w:rightChars="-50"/>
                    <w:jc w:val="center"/>
                    <w:rPr>
                      <w:rFonts w:hint="eastAsia"/>
                      <w:color w:val="auto"/>
                      <w:lang w:val="en-US" w:eastAsia="zh-CN"/>
                    </w:rPr>
                  </w:pPr>
                  <w:r>
                    <w:rPr>
                      <w:rFonts w:hint="eastAsia"/>
                      <w:color w:val="auto"/>
                      <w:lang w:val="en-US" w:eastAsia="zh-CN"/>
                    </w:rPr>
                    <w:t>1</w:t>
                  </w:r>
                </w:p>
              </w:tc>
              <w:tc>
                <w:tcPr>
                  <w:tcW w:w="260" w:type="pct"/>
                  <w:noWrap w:val="0"/>
                  <w:vAlign w:val="center"/>
                </w:tcPr>
                <w:p w14:paraId="491A311D">
                  <w:pPr>
                    <w:adjustRightInd w:val="0"/>
                    <w:snapToGrid w:val="0"/>
                    <w:ind w:left="-105" w:leftChars="-50" w:right="-105" w:rightChars="-50"/>
                    <w:jc w:val="center"/>
                    <w:rPr>
                      <w:rFonts w:hint="default"/>
                      <w:color w:val="auto"/>
                      <w:lang w:val="en-US" w:eastAsia="zh-CN"/>
                    </w:rPr>
                  </w:pPr>
                  <w:r>
                    <w:rPr>
                      <w:rFonts w:hint="eastAsia"/>
                      <w:color w:val="auto"/>
                      <w:lang w:val="en-US" w:eastAsia="zh-CN"/>
                    </w:rPr>
                    <w:t>5</w:t>
                  </w:r>
                </w:p>
              </w:tc>
              <w:tc>
                <w:tcPr>
                  <w:tcW w:w="258" w:type="pct"/>
                  <w:noWrap w:val="0"/>
                  <w:vAlign w:val="center"/>
                </w:tcPr>
                <w:p w14:paraId="4DCCD37F">
                  <w:pPr>
                    <w:adjustRightInd w:val="0"/>
                    <w:snapToGrid w:val="0"/>
                    <w:ind w:left="-105" w:leftChars="-50" w:right="-105" w:rightChars="-50"/>
                    <w:jc w:val="center"/>
                    <w:rPr>
                      <w:rFonts w:hint="default"/>
                      <w:color w:val="auto"/>
                      <w:lang w:val="en-US" w:eastAsia="zh-CN"/>
                    </w:rPr>
                  </w:pPr>
                  <w:r>
                    <w:rPr>
                      <w:rFonts w:hint="eastAsia"/>
                      <w:color w:val="auto"/>
                      <w:lang w:val="en-US" w:eastAsia="zh-CN"/>
                    </w:rPr>
                    <w:t>56.0</w:t>
                  </w:r>
                </w:p>
              </w:tc>
              <w:tc>
                <w:tcPr>
                  <w:tcW w:w="200" w:type="pct"/>
                  <w:noWrap w:val="0"/>
                  <w:vAlign w:val="center"/>
                </w:tcPr>
                <w:p w14:paraId="6DACC114">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2C8B4B1D">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2F0EB760">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30</w:t>
                  </w:r>
                </w:p>
              </w:tc>
              <w:tc>
                <w:tcPr>
                  <w:tcW w:w="386" w:type="pct"/>
                  <w:noWrap w:val="0"/>
                  <w:vAlign w:val="center"/>
                </w:tcPr>
                <w:p w14:paraId="212C3053">
                  <w:pPr>
                    <w:adjustRightInd w:val="0"/>
                    <w:snapToGrid w:val="0"/>
                    <w:ind w:left="-105" w:leftChars="-50" w:right="-105" w:rightChars="-50"/>
                    <w:jc w:val="center"/>
                    <w:rPr>
                      <w:color w:val="auto"/>
                    </w:rPr>
                  </w:pPr>
                  <w:r>
                    <w:rPr>
                      <w:color w:val="auto"/>
                    </w:rPr>
                    <w:t>1m</w:t>
                  </w:r>
                </w:p>
              </w:tc>
            </w:tr>
            <w:tr w14:paraId="620DC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5CAC1E25">
                  <w:pPr>
                    <w:keepNext w:val="0"/>
                    <w:keepLines w:val="0"/>
                    <w:widowControl/>
                    <w:suppressLineNumbers w:val="0"/>
                    <w:jc w:val="right"/>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47</w:t>
                  </w:r>
                </w:p>
              </w:tc>
              <w:tc>
                <w:tcPr>
                  <w:tcW w:w="210" w:type="pct"/>
                  <w:vMerge w:val="continue"/>
                  <w:noWrap w:val="0"/>
                  <w:vAlign w:val="center"/>
                </w:tcPr>
                <w:p w14:paraId="5EA33197">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39A2A307">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default" w:ascii="Times New Roman" w:hAnsi="Times New Roman" w:cs="Times New Roman"/>
                      <w:color w:val="auto"/>
                      <w:sz w:val="21"/>
                      <w:szCs w:val="21"/>
                      <w:lang w:val="en-US" w:eastAsia="zh-CN"/>
                    </w:rPr>
                    <w:t>烘箱</w:t>
                  </w:r>
                </w:p>
              </w:tc>
              <w:tc>
                <w:tcPr>
                  <w:tcW w:w="278" w:type="pct"/>
                  <w:noWrap w:val="0"/>
                  <w:vAlign w:val="center"/>
                </w:tcPr>
                <w:p w14:paraId="15370810">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044075D0">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cs="Times New Roman"/>
                      <w:color w:val="auto"/>
                      <w:lang w:val="en-US" w:eastAsia="zh-CN"/>
                    </w:rPr>
                    <w:t>1</w:t>
                  </w:r>
                </w:p>
              </w:tc>
              <w:tc>
                <w:tcPr>
                  <w:tcW w:w="550" w:type="pct"/>
                  <w:noWrap w:val="0"/>
                  <w:vAlign w:val="center"/>
                </w:tcPr>
                <w:p w14:paraId="6F001C00">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75/2</w:t>
                  </w:r>
                </w:p>
              </w:tc>
              <w:tc>
                <w:tcPr>
                  <w:tcW w:w="400" w:type="pct"/>
                  <w:vMerge w:val="continue"/>
                  <w:noWrap w:val="0"/>
                  <w:vAlign w:val="center"/>
                </w:tcPr>
                <w:p w14:paraId="36C27117">
                  <w:pPr>
                    <w:adjustRightInd w:val="0"/>
                    <w:snapToGrid w:val="0"/>
                    <w:ind w:left="-105" w:leftChars="-50" w:right="-105" w:rightChars="-50"/>
                    <w:jc w:val="center"/>
                    <w:rPr>
                      <w:rFonts w:hAnsi="宋体"/>
                      <w:bCs/>
                      <w:color w:val="auto"/>
                      <w:szCs w:val="20"/>
                    </w:rPr>
                  </w:pPr>
                </w:p>
              </w:tc>
              <w:tc>
                <w:tcPr>
                  <w:tcW w:w="207" w:type="pct"/>
                  <w:noWrap w:val="0"/>
                  <w:vAlign w:val="center"/>
                </w:tcPr>
                <w:p w14:paraId="3F738120">
                  <w:pPr>
                    <w:adjustRightInd w:val="0"/>
                    <w:snapToGrid w:val="0"/>
                    <w:ind w:left="-105" w:leftChars="-50" w:right="-105" w:rightChars="-50"/>
                    <w:jc w:val="center"/>
                    <w:rPr>
                      <w:rFonts w:hint="default"/>
                      <w:color w:val="auto"/>
                      <w:lang w:val="en-US" w:eastAsia="zh-CN"/>
                    </w:rPr>
                  </w:pPr>
                  <w:r>
                    <w:rPr>
                      <w:rFonts w:hint="eastAsia"/>
                      <w:color w:val="auto"/>
                      <w:lang w:val="en-US" w:eastAsia="zh-CN"/>
                    </w:rPr>
                    <w:t>13</w:t>
                  </w:r>
                </w:p>
              </w:tc>
              <w:tc>
                <w:tcPr>
                  <w:tcW w:w="207" w:type="pct"/>
                  <w:noWrap w:val="0"/>
                  <w:vAlign w:val="center"/>
                </w:tcPr>
                <w:p w14:paraId="7FDE8D41">
                  <w:pPr>
                    <w:adjustRightInd w:val="0"/>
                    <w:snapToGrid w:val="0"/>
                    <w:ind w:left="-105" w:leftChars="-50" w:right="-105" w:rightChars="-50"/>
                    <w:jc w:val="center"/>
                    <w:rPr>
                      <w:rFonts w:hint="default"/>
                      <w:color w:val="auto"/>
                      <w:lang w:val="en-US" w:eastAsia="zh-CN"/>
                    </w:rPr>
                  </w:pPr>
                  <w:r>
                    <w:rPr>
                      <w:rFonts w:hint="eastAsia"/>
                      <w:color w:val="auto"/>
                      <w:lang w:val="en-US" w:eastAsia="zh-CN"/>
                    </w:rPr>
                    <w:t>69</w:t>
                  </w:r>
                </w:p>
              </w:tc>
              <w:tc>
                <w:tcPr>
                  <w:tcW w:w="229" w:type="pct"/>
                  <w:noWrap w:val="0"/>
                  <w:vAlign w:val="center"/>
                </w:tcPr>
                <w:p w14:paraId="5E68B3BA">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260" w:type="pct"/>
                  <w:noWrap w:val="0"/>
                  <w:vAlign w:val="center"/>
                </w:tcPr>
                <w:p w14:paraId="12DD8954">
                  <w:pPr>
                    <w:adjustRightInd w:val="0"/>
                    <w:snapToGrid w:val="0"/>
                    <w:ind w:left="-105" w:leftChars="-50" w:right="-105" w:rightChars="-50"/>
                    <w:jc w:val="center"/>
                    <w:rPr>
                      <w:rFonts w:hint="default"/>
                      <w:color w:val="auto"/>
                      <w:lang w:val="en-US" w:eastAsia="zh-CN"/>
                    </w:rPr>
                  </w:pPr>
                  <w:r>
                    <w:rPr>
                      <w:rFonts w:hint="eastAsia"/>
                      <w:color w:val="auto"/>
                      <w:lang w:val="en-US" w:eastAsia="zh-CN"/>
                    </w:rPr>
                    <w:t>13</w:t>
                  </w:r>
                </w:p>
              </w:tc>
              <w:tc>
                <w:tcPr>
                  <w:tcW w:w="258" w:type="pct"/>
                  <w:noWrap w:val="0"/>
                  <w:vAlign w:val="center"/>
                </w:tcPr>
                <w:p w14:paraId="1073D974">
                  <w:pPr>
                    <w:adjustRightInd w:val="0"/>
                    <w:snapToGrid w:val="0"/>
                    <w:ind w:left="-105" w:leftChars="-50" w:right="-105" w:rightChars="-50"/>
                    <w:jc w:val="center"/>
                    <w:rPr>
                      <w:rFonts w:hint="default"/>
                      <w:color w:val="auto"/>
                      <w:lang w:val="en-US" w:eastAsia="zh-CN"/>
                    </w:rPr>
                  </w:pPr>
                  <w:r>
                    <w:rPr>
                      <w:rFonts w:hint="eastAsia"/>
                      <w:color w:val="auto"/>
                      <w:lang w:val="en-US" w:eastAsia="zh-CN"/>
                    </w:rPr>
                    <w:t>52.7</w:t>
                  </w:r>
                </w:p>
              </w:tc>
              <w:tc>
                <w:tcPr>
                  <w:tcW w:w="200" w:type="pct"/>
                  <w:noWrap w:val="0"/>
                  <w:vAlign w:val="center"/>
                </w:tcPr>
                <w:p w14:paraId="612715DE">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17058981">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5B191941">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26.7</w:t>
                  </w:r>
                </w:p>
              </w:tc>
              <w:tc>
                <w:tcPr>
                  <w:tcW w:w="386" w:type="pct"/>
                  <w:noWrap w:val="0"/>
                  <w:vAlign w:val="center"/>
                </w:tcPr>
                <w:p w14:paraId="6B46F2D9">
                  <w:pPr>
                    <w:adjustRightInd w:val="0"/>
                    <w:snapToGrid w:val="0"/>
                    <w:ind w:left="-105" w:leftChars="-50" w:right="-105" w:rightChars="-50"/>
                    <w:jc w:val="center"/>
                    <w:rPr>
                      <w:color w:val="auto"/>
                    </w:rPr>
                  </w:pPr>
                  <w:r>
                    <w:rPr>
                      <w:color w:val="auto"/>
                    </w:rPr>
                    <w:t>1m</w:t>
                  </w:r>
                </w:p>
              </w:tc>
            </w:tr>
            <w:tr w14:paraId="01B09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3" w:type="pct"/>
                  <w:noWrap w:val="0"/>
                  <w:vAlign w:val="center"/>
                </w:tcPr>
                <w:p w14:paraId="0073E370">
                  <w:pPr>
                    <w:keepNext w:val="0"/>
                    <w:keepLines w:val="0"/>
                    <w:widowControl/>
                    <w:suppressLineNumbers w:val="0"/>
                    <w:jc w:val="righ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48</w:t>
                  </w:r>
                </w:p>
              </w:tc>
              <w:tc>
                <w:tcPr>
                  <w:tcW w:w="210" w:type="pct"/>
                  <w:vMerge w:val="continue"/>
                  <w:noWrap w:val="0"/>
                  <w:vAlign w:val="center"/>
                </w:tcPr>
                <w:p w14:paraId="572F417B">
                  <w:pPr>
                    <w:adjustRightInd w:val="0"/>
                    <w:snapToGrid w:val="0"/>
                    <w:ind w:left="-105" w:leftChars="-50" w:right="-105" w:rightChars="-50"/>
                    <w:jc w:val="center"/>
                    <w:rPr>
                      <w:rFonts w:hint="eastAsia" w:hAnsi="宋体"/>
                      <w:color w:val="auto"/>
                      <w:lang w:eastAsia="zh-CN"/>
                    </w:rPr>
                  </w:pPr>
                </w:p>
              </w:tc>
              <w:tc>
                <w:tcPr>
                  <w:tcW w:w="681" w:type="pct"/>
                  <w:noWrap w:val="0"/>
                  <w:vAlign w:val="center"/>
                </w:tcPr>
                <w:p w14:paraId="1AA4F42C">
                  <w:pPr>
                    <w:adjustRightInd w:val="0"/>
                    <w:snapToGrid w:val="0"/>
                    <w:ind w:left="-105" w:leftChars="-50" w:right="-105" w:rightChars="-50"/>
                    <w:jc w:val="center"/>
                    <w:rPr>
                      <w:rFonts w:hint="default" w:ascii="Times New Roman" w:hAnsi="Times New Roman" w:eastAsia="宋体" w:cs="Times New Roman"/>
                      <w:color w:val="auto"/>
                      <w:sz w:val="21"/>
                      <w:szCs w:val="21"/>
                      <w:lang w:val="en-US" w:eastAsia="zh-CN"/>
                    </w:rPr>
                  </w:pPr>
                  <w:r>
                    <w:rPr>
                      <w:rFonts w:hint="eastAsia"/>
                      <w:color w:val="auto"/>
                      <w:lang w:val="en-US" w:eastAsia="zh-CN"/>
                    </w:rPr>
                    <w:t>污水处理站</w:t>
                  </w:r>
                </w:p>
              </w:tc>
              <w:tc>
                <w:tcPr>
                  <w:tcW w:w="278" w:type="pct"/>
                  <w:noWrap w:val="0"/>
                  <w:vAlign w:val="center"/>
                </w:tcPr>
                <w:p w14:paraId="4AFADEFE">
                  <w:pPr>
                    <w:adjustRightInd w:val="0"/>
                    <w:snapToGrid w:val="0"/>
                    <w:ind w:left="-105" w:leftChars="-50" w:right="-105" w:rightChars="-5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227" w:type="pct"/>
                  <w:noWrap w:val="0"/>
                  <w:vAlign w:val="center"/>
                </w:tcPr>
                <w:p w14:paraId="34A96B1F">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1</w:t>
                  </w:r>
                </w:p>
              </w:tc>
              <w:tc>
                <w:tcPr>
                  <w:tcW w:w="550" w:type="pct"/>
                  <w:noWrap w:val="0"/>
                  <w:vAlign w:val="center"/>
                </w:tcPr>
                <w:p w14:paraId="5DF84AA5">
                  <w:pPr>
                    <w:adjustRightInd w:val="0"/>
                    <w:snapToGrid w:val="0"/>
                    <w:ind w:left="-105" w:leftChars="-50" w:right="-105" w:rightChars="-50"/>
                    <w:jc w:val="center"/>
                    <w:rPr>
                      <w:rFonts w:hint="eastAsia" w:cs="Times New Roman"/>
                      <w:color w:val="auto"/>
                      <w:lang w:val="en-US" w:eastAsia="zh-CN"/>
                    </w:rPr>
                  </w:pPr>
                  <w:r>
                    <w:rPr>
                      <w:rFonts w:hint="eastAsia" w:cs="Times New Roman"/>
                      <w:color w:val="auto"/>
                      <w:lang w:val="en-US" w:eastAsia="zh-CN"/>
                    </w:rPr>
                    <w:t>75/2</w:t>
                  </w:r>
                </w:p>
              </w:tc>
              <w:tc>
                <w:tcPr>
                  <w:tcW w:w="400" w:type="pct"/>
                  <w:vMerge w:val="continue"/>
                  <w:noWrap w:val="0"/>
                  <w:vAlign w:val="center"/>
                </w:tcPr>
                <w:p w14:paraId="65E40594">
                  <w:pPr>
                    <w:adjustRightInd w:val="0"/>
                    <w:snapToGrid w:val="0"/>
                    <w:ind w:left="-105" w:leftChars="-50" w:right="-105" w:rightChars="-50"/>
                    <w:jc w:val="center"/>
                    <w:rPr>
                      <w:rFonts w:hAnsi="宋体"/>
                      <w:bCs/>
                      <w:color w:val="auto"/>
                      <w:szCs w:val="20"/>
                    </w:rPr>
                  </w:pPr>
                </w:p>
              </w:tc>
              <w:tc>
                <w:tcPr>
                  <w:tcW w:w="207" w:type="pct"/>
                  <w:noWrap w:val="0"/>
                  <w:vAlign w:val="center"/>
                </w:tcPr>
                <w:p w14:paraId="291309B5">
                  <w:pPr>
                    <w:adjustRightInd w:val="0"/>
                    <w:snapToGrid w:val="0"/>
                    <w:ind w:left="-105" w:leftChars="-50" w:right="-105" w:rightChars="-50"/>
                    <w:jc w:val="center"/>
                    <w:rPr>
                      <w:rFonts w:hint="default"/>
                      <w:color w:val="auto"/>
                      <w:lang w:val="en-US" w:eastAsia="zh-CN"/>
                    </w:rPr>
                  </w:pPr>
                  <w:r>
                    <w:rPr>
                      <w:rFonts w:hint="eastAsia"/>
                      <w:color w:val="auto"/>
                      <w:lang w:val="en-US" w:eastAsia="zh-CN"/>
                    </w:rPr>
                    <w:t>5</w:t>
                  </w:r>
                </w:p>
              </w:tc>
              <w:tc>
                <w:tcPr>
                  <w:tcW w:w="207" w:type="pct"/>
                  <w:noWrap w:val="0"/>
                  <w:vAlign w:val="center"/>
                </w:tcPr>
                <w:p w14:paraId="28E9611B">
                  <w:pPr>
                    <w:adjustRightInd w:val="0"/>
                    <w:snapToGrid w:val="0"/>
                    <w:ind w:left="-105" w:leftChars="-50" w:right="-105" w:rightChars="-50"/>
                    <w:jc w:val="center"/>
                    <w:rPr>
                      <w:rFonts w:hint="default"/>
                      <w:color w:val="auto"/>
                      <w:lang w:val="en-US" w:eastAsia="zh-CN"/>
                    </w:rPr>
                  </w:pPr>
                  <w:r>
                    <w:rPr>
                      <w:rFonts w:hint="eastAsia"/>
                      <w:color w:val="auto"/>
                      <w:lang w:val="en-US" w:eastAsia="zh-CN"/>
                    </w:rPr>
                    <w:t>72</w:t>
                  </w:r>
                </w:p>
              </w:tc>
              <w:tc>
                <w:tcPr>
                  <w:tcW w:w="229" w:type="pct"/>
                  <w:noWrap w:val="0"/>
                  <w:vAlign w:val="center"/>
                </w:tcPr>
                <w:p w14:paraId="6E7622B0">
                  <w:pPr>
                    <w:adjustRightInd w:val="0"/>
                    <w:snapToGrid w:val="0"/>
                    <w:ind w:left="-105" w:leftChars="-50" w:right="-105" w:rightChars="-50"/>
                    <w:jc w:val="center"/>
                    <w:rPr>
                      <w:rFonts w:hint="default"/>
                      <w:color w:val="auto"/>
                      <w:lang w:val="en-US" w:eastAsia="zh-CN"/>
                    </w:rPr>
                  </w:pPr>
                  <w:r>
                    <w:rPr>
                      <w:rFonts w:hint="eastAsia"/>
                      <w:color w:val="auto"/>
                      <w:lang w:val="en-US" w:eastAsia="zh-CN"/>
                    </w:rPr>
                    <w:t>1</w:t>
                  </w:r>
                </w:p>
              </w:tc>
              <w:tc>
                <w:tcPr>
                  <w:tcW w:w="260" w:type="pct"/>
                  <w:noWrap w:val="0"/>
                  <w:vAlign w:val="center"/>
                </w:tcPr>
                <w:p w14:paraId="2D67D291">
                  <w:pPr>
                    <w:adjustRightInd w:val="0"/>
                    <w:snapToGrid w:val="0"/>
                    <w:ind w:left="-105" w:leftChars="-50" w:right="-105" w:rightChars="-50"/>
                    <w:jc w:val="center"/>
                    <w:rPr>
                      <w:rFonts w:hint="default"/>
                      <w:color w:val="auto"/>
                      <w:lang w:val="en-US" w:eastAsia="zh-CN"/>
                    </w:rPr>
                  </w:pPr>
                  <w:r>
                    <w:rPr>
                      <w:rFonts w:hint="eastAsia"/>
                      <w:color w:val="auto"/>
                      <w:lang w:val="en-US" w:eastAsia="zh-CN"/>
                    </w:rPr>
                    <w:t>5</w:t>
                  </w:r>
                </w:p>
              </w:tc>
              <w:tc>
                <w:tcPr>
                  <w:tcW w:w="258" w:type="pct"/>
                  <w:noWrap w:val="0"/>
                  <w:vAlign w:val="center"/>
                </w:tcPr>
                <w:p w14:paraId="51EDA033">
                  <w:pPr>
                    <w:adjustRightInd w:val="0"/>
                    <w:snapToGrid w:val="0"/>
                    <w:ind w:left="-105" w:leftChars="-50" w:right="-105" w:rightChars="-50"/>
                    <w:jc w:val="center"/>
                    <w:rPr>
                      <w:rFonts w:hint="default"/>
                      <w:color w:val="auto"/>
                      <w:lang w:val="en-US" w:eastAsia="zh-CN"/>
                    </w:rPr>
                  </w:pPr>
                  <w:r>
                    <w:rPr>
                      <w:rFonts w:hint="eastAsia"/>
                      <w:color w:val="auto"/>
                      <w:lang w:val="en-US" w:eastAsia="zh-CN"/>
                    </w:rPr>
                    <w:t>61</w:t>
                  </w:r>
                </w:p>
              </w:tc>
              <w:tc>
                <w:tcPr>
                  <w:tcW w:w="200" w:type="pct"/>
                  <w:noWrap w:val="0"/>
                  <w:vAlign w:val="center"/>
                </w:tcPr>
                <w:p w14:paraId="41C50668">
                  <w:pPr>
                    <w:adjustRightInd w:val="0"/>
                    <w:snapToGrid w:val="0"/>
                    <w:ind w:left="-105" w:leftChars="-50" w:right="-105" w:rightChars="-50"/>
                    <w:jc w:val="center"/>
                    <w:rPr>
                      <w:rFonts w:hint="eastAsia"/>
                      <w:color w:val="auto"/>
                      <w:lang w:val="en-US" w:eastAsia="zh-CN"/>
                    </w:rPr>
                  </w:pPr>
                  <w:r>
                    <w:rPr>
                      <w:rFonts w:hint="eastAsia"/>
                      <w:color w:val="auto"/>
                      <w:lang w:val="en-US" w:eastAsia="zh-CN"/>
                    </w:rPr>
                    <w:t>24</w:t>
                  </w:r>
                  <w:r>
                    <w:rPr>
                      <w:color w:val="auto"/>
                    </w:rPr>
                    <w:t>h</w:t>
                  </w:r>
                </w:p>
              </w:tc>
              <w:tc>
                <w:tcPr>
                  <w:tcW w:w="360" w:type="pct"/>
                  <w:noWrap w:val="0"/>
                  <w:vAlign w:val="center"/>
                </w:tcPr>
                <w:p w14:paraId="3D138567">
                  <w:pPr>
                    <w:adjustRightInd w:val="0"/>
                    <w:snapToGrid w:val="0"/>
                    <w:ind w:left="-105" w:leftChars="-50" w:right="-105" w:rightChars="-50"/>
                    <w:jc w:val="center"/>
                    <w:rPr>
                      <w:rFonts w:hint="eastAsia"/>
                      <w:color w:val="auto"/>
                      <w:lang w:val="en-US" w:eastAsia="zh-CN"/>
                    </w:rPr>
                  </w:pPr>
                  <w:r>
                    <w:rPr>
                      <w:rFonts w:hint="eastAsia"/>
                      <w:color w:val="auto"/>
                      <w:lang w:val="en-US" w:eastAsia="zh-CN"/>
                    </w:rPr>
                    <w:t>26</w:t>
                  </w:r>
                </w:p>
              </w:tc>
              <w:tc>
                <w:tcPr>
                  <w:tcW w:w="360" w:type="pct"/>
                  <w:noWrap w:val="0"/>
                  <w:vAlign w:val="center"/>
                </w:tcPr>
                <w:p w14:paraId="6C1D08F1">
                  <w:pPr>
                    <w:adjustRightInd w:val="0"/>
                    <w:snapToGrid w:val="0"/>
                    <w:ind w:left="-105" w:leftChars="-50" w:right="-105" w:rightChars="-50"/>
                    <w:jc w:val="center"/>
                    <w:rPr>
                      <w:rFonts w:hint="default" w:ascii="Times New Roman" w:hAnsi="Times New Roman" w:eastAsia="宋体" w:cs="Times New Roman"/>
                      <w:color w:val="auto"/>
                      <w:lang w:val="en-US" w:eastAsia="zh-CN"/>
                    </w:rPr>
                  </w:pPr>
                  <w:r>
                    <w:rPr>
                      <w:rFonts w:hint="eastAsia" w:cs="Times New Roman"/>
                      <w:color w:val="auto"/>
                      <w:lang w:val="en-US" w:eastAsia="zh-CN"/>
                    </w:rPr>
                    <w:t>35</w:t>
                  </w:r>
                </w:p>
              </w:tc>
              <w:tc>
                <w:tcPr>
                  <w:tcW w:w="386" w:type="pct"/>
                  <w:noWrap w:val="0"/>
                  <w:vAlign w:val="center"/>
                </w:tcPr>
                <w:p w14:paraId="5D470B36">
                  <w:pPr>
                    <w:adjustRightInd w:val="0"/>
                    <w:snapToGrid w:val="0"/>
                    <w:ind w:left="-105" w:leftChars="-50" w:right="-105" w:rightChars="-50"/>
                    <w:jc w:val="center"/>
                    <w:rPr>
                      <w:color w:val="auto"/>
                    </w:rPr>
                  </w:pPr>
                  <w:r>
                    <w:rPr>
                      <w:color w:val="auto"/>
                    </w:rPr>
                    <w:t>1m</w:t>
                  </w:r>
                </w:p>
              </w:tc>
            </w:tr>
          </w:tbl>
          <w:p w14:paraId="6E6D7715">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注</w:t>
            </w:r>
            <w:r>
              <w:rPr>
                <w:rFonts w:hint="default" w:ascii="Times New Roman" w:hAnsi="Times New Roman" w:cs="Times New Roman"/>
                <w:b w:val="0"/>
                <w:bCs w:val="0"/>
                <w:color w:val="auto"/>
                <w:sz w:val="21"/>
                <w:szCs w:val="21"/>
                <w:lang w:val="en-US" w:eastAsia="zh-CN"/>
              </w:rPr>
              <w:t>表4-</w:t>
            </w:r>
            <w:r>
              <w:rPr>
                <w:rFonts w:hint="eastAsia" w:cs="Times New Roman"/>
                <w:b w:val="0"/>
                <w:bCs w:val="0"/>
                <w:color w:val="auto"/>
                <w:sz w:val="21"/>
                <w:szCs w:val="21"/>
                <w:lang w:val="en-US" w:eastAsia="zh-CN"/>
              </w:rPr>
              <w:t>15</w:t>
            </w:r>
            <w:r>
              <w:rPr>
                <w:rFonts w:hint="default" w:ascii="Times New Roman" w:hAnsi="Times New Roman" w:cs="Times New Roman"/>
                <w:b w:val="0"/>
                <w:bCs w:val="0"/>
                <w:color w:val="auto"/>
                <w:sz w:val="21"/>
                <w:szCs w:val="21"/>
                <w:lang w:val="en-US" w:eastAsia="zh-CN"/>
              </w:rPr>
              <w:t>中</w:t>
            </w:r>
            <w:r>
              <w:rPr>
                <w:rFonts w:hint="default" w:ascii="Times New Roman" w:hAnsi="Times New Roman" w:eastAsia="宋体" w:cs="Times New Roman"/>
                <w:b w:val="0"/>
                <w:bCs w:val="0"/>
                <w:color w:val="auto"/>
                <w:sz w:val="21"/>
                <w:szCs w:val="21"/>
                <w:lang w:val="en-US" w:eastAsia="zh-CN"/>
              </w:rPr>
              <w:t>空间相对坐标以</w:t>
            </w:r>
            <w:r>
              <w:rPr>
                <w:rFonts w:hint="eastAsia" w:cs="Times New Roman"/>
                <w:b w:val="0"/>
                <w:bCs w:val="0"/>
                <w:color w:val="auto"/>
                <w:sz w:val="21"/>
                <w:szCs w:val="21"/>
                <w:lang w:val="en-US" w:eastAsia="zh-CN"/>
              </w:rPr>
              <w:t>车间二</w:t>
            </w:r>
            <w:r>
              <w:rPr>
                <w:rFonts w:hint="default" w:ascii="Times New Roman" w:hAnsi="Times New Roman" w:eastAsia="宋体" w:cs="Times New Roman"/>
                <w:b w:val="0"/>
                <w:bCs w:val="0"/>
                <w:color w:val="auto"/>
                <w:sz w:val="21"/>
                <w:szCs w:val="21"/>
                <w:lang w:val="en-US" w:eastAsia="zh-CN"/>
              </w:rPr>
              <w:t>西南角为原点（0，0，0）</w:t>
            </w:r>
            <w:r>
              <w:rPr>
                <w:rFonts w:hint="default" w:ascii="Times New Roman" w:hAnsi="Times New Roman" w:cs="Times New Roman"/>
                <w:b w:val="0"/>
                <w:bCs w:val="0"/>
                <w:color w:val="auto"/>
                <w:sz w:val="21"/>
                <w:szCs w:val="21"/>
                <w:lang w:val="en-US" w:eastAsia="zh-CN"/>
              </w:rPr>
              <w:t>，东西方向为X轴，南北方向为Y轴，垂直方向为Z轴</w:t>
            </w:r>
            <w:r>
              <w:rPr>
                <w:rFonts w:hint="default" w:ascii="Times New Roman" w:hAnsi="Times New Roman" w:eastAsia="宋体" w:cs="Times New Roman"/>
                <w:b w:val="0"/>
                <w:bCs w:val="0"/>
                <w:color w:val="auto"/>
                <w:sz w:val="21"/>
                <w:szCs w:val="21"/>
                <w:lang w:val="en-US" w:eastAsia="zh-CN"/>
              </w:rPr>
              <w:t>。</w:t>
            </w:r>
          </w:p>
          <w:p w14:paraId="4A230D57">
            <w:pPr>
              <w:ind w:firstLine="480"/>
              <w:rPr>
                <w:rFonts w:hint="default" w:ascii="Times New Roman" w:hAnsi="Times New Roman" w:eastAsia="宋体" w:cs="Times New Roman"/>
                <w:color w:val="auto"/>
                <w:lang w:val="en-US" w:eastAsia="zh-CN"/>
              </w:rPr>
            </w:pPr>
          </w:p>
        </w:tc>
      </w:tr>
    </w:tbl>
    <w:p w14:paraId="01B43D91">
      <w:pPr>
        <w:pStyle w:val="25"/>
        <w:rPr>
          <w:rFonts w:hint="default" w:ascii="Times New Roman" w:hAnsi="Times New Roman" w:eastAsia="宋体" w:cs="Times New Roman"/>
          <w:color w:val="auto"/>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2"/>
        <w:gridCol w:w="8467"/>
      </w:tblGrid>
      <w:tr w14:paraId="5D834C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624" w:hRule="atLeast"/>
          <w:jc w:val="center"/>
        </w:trPr>
        <w:tc>
          <w:tcPr>
            <w:tcW w:w="372" w:type="dxa"/>
            <w:noWrap w:val="0"/>
            <w:tcMar>
              <w:left w:w="28" w:type="dxa"/>
              <w:right w:w="28" w:type="dxa"/>
            </w:tcMar>
            <w:vAlign w:val="center"/>
          </w:tcPr>
          <w:p w14:paraId="3F81F2B7">
            <w:pPr>
              <w:adjustRightInd w:val="0"/>
              <w:snapToGrid w:val="0"/>
              <w:jc w:val="center"/>
              <w:rPr>
                <w:rFonts w:hint="default" w:ascii="Times New Roman" w:hAnsi="Times New Roman" w:eastAsia="宋体" w:cs="Times New Roman"/>
                <w:bCs/>
                <w:color w:val="auto"/>
                <w:szCs w:val="21"/>
              </w:rPr>
            </w:pPr>
          </w:p>
        </w:tc>
        <w:tc>
          <w:tcPr>
            <w:tcW w:w="8467" w:type="dxa"/>
            <w:noWrap w:val="0"/>
            <w:vAlign w:val="top"/>
          </w:tcPr>
          <w:p w14:paraId="2B8D1D6F">
            <w:pPr>
              <w:pStyle w:val="41"/>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auto"/>
                <w:lang w:val="en-US" w:eastAsia="zh-CN"/>
              </w:rPr>
            </w:pPr>
            <w:r>
              <w:rPr>
                <w:rFonts w:hint="default" w:ascii="Times New Roman" w:hAnsi="Times New Roman" w:eastAsia="宋体" w:cs="Times New Roman"/>
                <w:b/>
                <w:bCs w:val="0"/>
                <w:color w:val="auto"/>
                <w:lang w:val="en-US" w:eastAsia="zh-CN"/>
              </w:rPr>
              <w:t>4.3.2企业拟采取的降噪措施</w:t>
            </w:r>
          </w:p>
          <w:p w14:paraId="07CF16F3">
            <w:pPr>
              <w:pStyle w:val="41"/>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本项目噪声主要为车间生产设备噪声，通过合理布局噪声源，设置</w:t>
            </w:r>
            <w:r>
              <w:rPr>
                <w:rFonts w:hint="default" w:ascii="Times New Roman" w:hAnsi="Times New Roman" w:eastAsia="宋体" w:cs="Times New Roman"/>
                <w:color w:val="auto"/>
                <w:shd w:val="clear" w:fill="auto"/>
                <w:lang w:val="en-US" w:eastAsia="zh-CN"/>
              </w:rPr>
              <w:t>减振</w:t>
            </w:r>
            <w:r>
              <w:rPr>
                <w:rFonts w:hint="default" w:ascii="Times New Roman" w:hAnsi="Times New Roman" w:eastAsia="宋体" w:cs="Times New Roman"/>
                <w:color w:val="auto"/>
                <w:lang w:val="en-US" w:eastAsia="zh-CN"/>
              </w:rPr>
              <w:t>垫、隔声门窗和距离衰减后，使厂界噪声达到《工业企业厂界环境噪声排放标准》3类标准，对周围环境影响较小。为使厂界噪声能稳定达标，确保项目投产后减轻对周围环境的噪声污染，必须重视对噪声的治理，采取切实有效的降噪措施：</w:t>
            </w:r>
          </w:p>
          <w:p w14:paraId="0114FE3F">
            <w:pPr>
              <w:pStyle w:val="41"/>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 1 \* GB3 \* MERGEFORMAT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rPr>
              <w:t>①</w:t>
            </w:r>
            <w:r>
              <w:rPr>
                <w:rFonts w:hint="default" w:ascii="Times New Roman" w:hAnsi="Times New Roman" w:eastAsia="宋体" w:cs="Times New Roman"/>
                <w:color w:val="auto"/>
                <w:lang w:val="en-US" w:eastAsia="zh-CN"/>
              </w:rPr>
              <w:fldChar w:fldCharType="end"/>
            </w:r>
            <w:r>
              <w:rPr>
                <w:rFonts w:hint="default" w:ascii="Times New Roman" w:hAnsi="Times New Roman" w:eastAsia="宋体" w:cs="Times New Roman"/>
                <w:color w:val="auto"/>
                <w:lang w:val="en-US" w:eastAsia="zh-CN"/>
              </w:rPr>
              <w:t>优先选用低噪声设备；</w:t>
            </w:r>
          </w:p>
          <w:p w14:paraId="13918657">
            <w:pPr>
              <w:pStyle w:val="41"/>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 2 \* GB3 \* MERGEFORMAT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rPr>
              <w:t>②</w:t>
            </w:r>
            <w:r>
              <w:rPr>
                <w:rFonts w:hint="default" w:ascii="Times New Roman" w:hAnsi="Times New Roman" w:eastAsia="宋体" w:cs="Times New Roman"/>
                <w:color w:val="auto"/>
                <w:lang w:val="en-US" w:eastAsia="zh-CN"/>
              </w:rPr>
              <w:fldChar w:fldCharType="end"/>
            </w:r>
            <w:r>
              <w:rPr>
                <w:rFonts w:hint="default" w:ascii="Times New Roman" w:hAnsi="Times New Roman" w:eastAsia="宋体" w:cs="Times New Roman"/>
                <w:color w:val="auto"/>
                <w:lang w:val="en-US" w:eastAsia="zh-CN"/>
              </w:rPr>
              <w:t>根据生产车间，对生产设备进行合理布局；</w:t>
            </w:r>
          </w:p>
          <w:p w14:paraId="393A1977">
            <w:pPr>
              <w:pStyle w:val="41"/>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 3 \* GB3 \* MERGEFORMAT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rPr>
              <w:t>③</w:t>
            </w:r>
            <w:r>
              <w:rPr>
                <w:rFonts w:hint="default" w:ascii="Times New Roman" w:hAnsi="Times New Roman" w:eastAsia="宋体" w:cs="Times New Roman"/>
                <w:color w:val="auto"/>
                <w:lang w:val="en-US" w:eastAsia="zh-CN"/>
              </w:rPr>
              <w:fldChar w:fldCharType="end"/>
            </w:r>
            <w:r>
              <w:rPr>
                <w:rFonts w:hint="default" w:ascii="Times New Roman" w:hAnsi="Times New Roman" w:eastAsia="宋体" w:cs="Times New Roman"/>
                <w:color w:val="auto"/>
                <w:lang w:val="en-US" w:eastAsia="zh-CN"/>
              </w:rPr>
              <w:t>项目在主要噪声源设备及厂房周围，布置对噪声较不敏感的、有利于隔声的建筑物辅助车间、仓库等；通过建筑物墙体等综合隔声效果可达20dB（A）以上；</w:t>
            </w:r>
          </w:p>
          <w:p w14:paraId="05E3EEDD">
            <w:pPr>
              <w:pStyle w:val="41"/>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 4 \* GB3 \* MERGEFORMAT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rPr>
              <w:t>④</w:t>
            </w:r>
            <w:r>
              <w:rPr>
                <w:rFonts w:hint="default" w:ascii="Times New Roman" w:hAnsi="Times New Roman" w:eastAsia="宋体" w:cs="Times New Roman"/>
                <w:color w:val="auto"/>
                <w:lang w:val="en-US" w:eastAsia="zh-CN"/>
              </w:rPr>
              <w:fldChar w:fldCharType="end"/>
            </w:r>
            <w:r>
              <w:rPr>
                <w:rFonts w:hint="default" w:ascii="Times New Roman" w:hAnsi="Times New Roman" w:eastAsia="宋体" w:cs="Times New Roman"/>
                <w:color w:val="auto"/>
                <w:lang w:val="en-US" w:eastAsia="zh-CN"/>
              </w:rPr>
              <w:t>风机和管道连接部分做软连接，管道采取包扎措施；</w:t>
            </w:r>
          </w:p>
          <w:p w14:paraId="055F8E2F">
            <w:pPr>
              <w:pStyle w:val="41"/>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 5 \* GB3 \* MERGEFORMAT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rPr>
              <w:t>⑤</w:t>
            </w:r>
            <w:r>
              <w:rPr>
                <w:rFonts w:hint="default" w:ascii="Times New Roman" w:hAnsi="Times New Roman" w:eastAsia="宋体" w:cs="Times New Roman"/>
                <w:color w:val="auto"/>
                <w:lang w:val="en-US" w:eastAsia="zh-CN"/>
              </w:rPr>
              <w:fldChar w:fldCharType="end"/>
            </w:r>
            <w:r>
              <w:rPr>
                <w:rFonts w:hint="default" w:ascii="Times New Roman" w:hAnsi="Times New Roman" w:eastAsia="宋体" w:cs="Times New Roman"/>
                <w:color w:val="auto"/>
                <w:lang w:val="en-US" w:eastAsia="zh-CN"/>
              </w:rPr>
              <w:t>在设备运行过程中注意运行</w:t>
            </w:r>
            <w:r>
              <w:rPr>
                <w:rFonts w:hint="eastAsia" w:ascii="Times New Roman" w:hAnsi="Times New Roman" w:cs="Times New Roman"/>
                <w:color w:val="auto"/>
                <w:lang w:val="en-US" w:eastAsia="zh-CN"/>
              </w:rPr>
              <w:t>设施</w:t>
            </w:r>
            <w:r>
              <w:rPr>
                <w:rFonts w:hint="default" w:ascii="Times New Roman" w:hAnsi="Times New Roman" w:eastAsia="宋体" w:cs="Times New Roman"/>
                <w:color w:val="auto"/>
                <w:lang w:val="en-US" w:eastAsia="zh-CN"/>
              </w:rPr>
              <w:t>维护；</w:t>
            </w:r>
          </w:p>
          <w:p w14:paraId="5E4FCD33">
            <w:pPr>
              <w:pStyle w:val="41"/>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 6 \* GB3 \* MERGEFORMAT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rPr>
              <w:t>⑥</w:t>
            </w:r>
            <w:r>
              <w:rPr>
                <w:rFonts w:hint="default" w:ascii="Times New Roman" w:hAnsi="Times New Roman" w:eastAsia="宋体" w:cs="Times New Roman"/>
                <w:color w:val="auto"/>
                <w:lang w:val="en-US" w:eastAsia="zh-CN"/>
              </w:rPr>
              <w:fldChar w:fldCharType="end"/>
            </w:r>
            <w:r>
              <w:rPr>
                <w:rFonts w:hint="default" w:ascii="Times New Roman" w:hAnsi="Times New Roman" w:eastAsia="宋体" w:cs="Times New Roman"/>
                <w:color w:val="auto"/>
                <w:lang w:val="en-US" w:eastAsia="zh-CN"/>
              </w:rPr>
              <w:t>项目主要噪声源布置、安装，均远离厂界。</w:t>
            </w:r>
          </w:p>
          <w:p w14:paraId="307D0220">
            <w:pPr>
              <w:pStyle w:val="41"/>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auto"/>
                <w:lang w:val="en-US" w:eastAsia="zh-CN"/>
              </w:rPr>
            </w:pPr>
            <w:r>
              <w:rPr>
                <w:rFonts w:hint="default" w:ascii="Times New Roman" w:hAnsi="Times New Roman" w:eastAsia="宋体" w:cs="Times New Roman"/>
                <w:b/>
                <w:bCs w:val="0"/>
                <w:color w:val="auto"/>
                <w:lang w:val="en-US" w:eastAsia="zh-CN"/>
              </w:rPr>
              <w:t>4.3.3预测计算情况</w:t>
            </w:r>
          </w:p>
          <w:p w14:paraId="59D27905">
            <w:pPr>
              <w:pStyle w:val="41"/>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选用《环境影响评价技术导则声环境》（HJ2.4-2021）中的工业噪声预测模式。根据</w:t>
            </w:r>
            <w:r>
              <w:rPr>
                <w:rFonts w:hint="default" w:ascii="Times New Roman" w:hAnsi="Times New Roman" w:eastAsia="宋体" w:cs="Times New Roman"/>
                <w:color w:val="auto"/>
                <w:shd w:val="clear" w:fill="auto"/>
                <w:lang w:val="en-US" w:eastAsia="zh-CN"/>
              </w:rPr>
              <w:t>声</w:t>
            </w:r>
            <w:r>
              <w:rPr>
                <w:rFonts w:hint="default" w:ascii="Times New Roman" w:hAnsi="Times New Roman" w:eastAsia="宋体" w:cs="Times New Roman"/>
                <w:color w:val="auto"/>
                <w:lang w:val="en-US" w:eastAsia="zh-CN"/>
              </w:rPr>
              <w:t>环境评价</w:t>
            </w:r>
            <w:r>
              <w:rPr>
                <w:rFonts w:hint="default" w:ascii="Times New Roman" w:hAnsi="Times New Roman" w:eastAsia="宋体" w:cs="Times New Roman"/>
                <w:color w:val="auto"/>
                <w:shd w:val="clear" w:fill="auto"/>
                <w:lang w:val="en-US" w:eastAsia="zh-CN"/>
              </w:rPr>
              <w:t>导</w:t>
            </w:r>
            <w:r>
              <w:rPr>
                <w:rFonts w:hint="default" w:ascii="Times New Roman" w:hAnsi="Times New Roman" w:eastAsia="宋体" w:cs="Times New Roman"/>
                <w:color w:val="auto"/>
                <w:lang w:val="en-US" w:eastAsia="zh-CN"/>
              </w:rPr>
              <w:t>则的规定，选用预测模式，应用过程中将根据具体情况做必要简化。</w:t>
            </w:r>
          </w:p>
          <w:p w14:paraId="0E06A5ED">
            <w:pPr>
              <w:pStyle w:val="41"/>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b/>
                <w:bCs w:val="0"/>
                <w:color w:val="auto"/>
                <w:lang w:val="en-US" w:eastAsia="zh-CN"/>
              </w:rPr>
            </w:pPr>
            <w:r>
              <w:rPr>
                <w:rFonts w:hint="default" w:ascii="Times New Roman" w:hAnsi="Times New Roman" w:eastAsia="宋体" w:cs="Times New Roman"/>
                <w:b/>
                <w:bCs w:val="0"/>
                <w:color w:val="auto"/>
                <w:lang w:val="en-US" w:eastAsia="zh-CN"/>
              </w:rPr>
              <w:t>4.3.4预测结果及评价</w:t>
            </w:r>
          </w:p>
          <w:p w14:paraId="151CB73A">
            <w:pPr>
              <w:pStyle w:val="41"/>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噪声在室外空间的传播，由于受到遮挡物的隔断，各种介质的吸收与反射，以及空气介质的吸收等物理作用而逐渐减弱。为了简化计算条件并能考虑到</w:t>
            </w:r>
            <w:r>
              <w:rPr>
                <w:rFonts w:hint="default" w:ascii="Times New Roman" w:hAnsi="Times New Roman" w:eastAsia="宋体" w:cs="Times New Roman"/>
                <w:color w:val="auto"/>
                <w:shd w:val="clear" w:fill="auto"/>
                <w:lang w:val="en-US" w:eastAsia="zh-CN"/>
              </w:rPr>
              <w:t>最</w:t>
            </w:r>
            <w:r>
              <w:rPr>
                <w:rFonts w:hint="default" w:ascii="Times New Roman" w:hAnsi="Times New Roman" w:eastAsia="宋体" w:cs="Times New Roman"/>
                <w:color w:val="auto"/>
                <w:lang w:val="en-US" w:eastAsia="zh-CN"/>
              </w:rPr>
              <w:t>不利因素，计算时只考虑噪声控制措施及噪声随距离的衰减时噪声源对外环境影响情况。</w:t>
            </w:r>
          </w:p>
          <w:p w14:paraId="1CC33273">
            <w:pPr>
              <w:adjustRightInd w:val="0"/>
              <w:snapToGrid w:val="0"/>
              <w:jc w:val="center"/>
              <w:rPr>
                <w:rFonts w:hint="default" w:ascii="Times New Roman" w:hAnsi="Times New Roman" w:eastAsia="宋体" w:cs="Times New Roman"/>
                <w:b/>
                <w:bCs w:val="0"/>
                <w:color w:val="auto"/>
                <w:spacing w:val="-10"/>
                <w:sz w:val="18"/>
                <w:szCs w:val="18"/>
                <w:lang w:val="en-US" w:eastAsia="zh-CN"/>
              </w:rPr>
            </w:pPr>
            <w:r>
              <w:rPr>
                <w:rFonts w:hint="default" w:ascii="Times New Roman" w:hAnsi="Times New Roman" w:eastAsia="宋体" w:cs="Times New Roman"/>
                <w:b/>
                <w:bCs w:val="0"/>
                <w:color w:val="auto"/>
                <w:spacing w:val="-10"/>
                <w:sz w:val="21"/>
                <w:szCs w:val="21"/>
                <w:lang w:val="en-US" w:eastAsia="zh-CN"/>
              </w:rPr>
              <w:t>表4-</w:t>
            </w:r>
            <w:r>
              <w:rPr>
                <w:rFonts w:hint="eastAsia" w:cs="Times New Roman"/>
                <w:b/>
                <w:bCs w:val="0"/>
                <w:color w:val="auto"/>
                <w:spacing w:val="-10"/>
                <w:sz w:val="21"/>
                <w:szCs w:val="21"/>
                <w:lang w:val="en-US" w:eastAsia="zh-CN"/>
              </w:rPr>
              <w:t xml:space="preserve">16 </w:t>
            </w:r>
            <w:r>
              <w:rPr>
                <w:rFonts w:hint="default" w:ascii="Times New Roman" w:hAnsi="Times New Roman" w:eastAsia="宋体" w:cs="Times New Roman"/>
                <w:b/>
                <w:bCs w:val="0"/>
                <w:color w:val="auto"/>
                <w:spacing w:val="-10"/>
                <w:sz w:val="21"/>
                <w:szCs w:val="21"/>
                <w:shd w:val="clear" w:fill="auto"/>
                <w:lang w:val="en-US" w:eastAsia="zh-CN"/>
              </w:rPr>
              <w:t>厂</w:t>
            </w:r>
            <w:r>
              <w:rPr>
                <w:rFonts w:hint="default" w:ascii="Times New Roman" w:hAnsi="Times New Roman" w:eastAsia="宋体" w:cs="Times New Roman"/>
                <w:b/>
                <w:bCs w:val="0"/>
                <w:color w:val="auto"/>
                <w:spacing w:val="-10"/>
                <w:sz w:val="21"/>
                <w:szCs w:val="21"/>
                <w:lang w:val="en-US" w:eastAsia="zh-CN"/>
              </w:rPr>
              <w:t>界噪声预测结果表</w:t>
            </w:r>
          </w:p>
          <w:tbl>
            <w:tblPr>
              <w:tblStyle w:val="17"/>
              <w:tblW w:w="8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2173"/>
              <w:gridCol w:w="1121"/>
              <w:gridCol w:w="1647"/>
              <w:gridCol w:w="1647"/>
              <w:gridCol w:w="1648"/>
            </w:tblGrid>
            <w:tr w14:paraId="18351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2173" w:type="dxa"/>
                  <w:vMerge w:val="restart"/>
                  <w:noWrap w:val="0"/>
                  <w:vAlign w:val="center"/>
                </w:tcPr>
                <w:p w14:paraId="7DE2914A">
                  <w:pPr>
                    <w:adjustRightInd w:val="0"/>
                    <w:snapToGrid w:val="0"/>
                    <w:jc w:val="center"/>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pacing w:val="-10"/>
                      <w:szCs w:val="21"/>
                      <w:lang w:val="en-US" w:eastAsia="zh-CN"/>
                    </w:rPr>
                    <w:t>预测点</w:t>
                  </w:r>
                </w:p>
              </w:tc>
              <w:tc>
                <w:tcPr>
                  <w:tcW w:w="1121" w:type="dxa"/>
                  <w:noWrap w:val="0"/>
                  <w:vAlign w:val="center"/>
                </w:tcPr>
                <w:p w14:paraId="3F455C44">
                  <w:pPr>
                    <w:adjustRightInd w:val="0"/>
                    <w:snapToGrid w:val="0"/>
                    <w:jc w:val="center"/>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pacing w:val="-10"/>
                      <w:szCs w:val="21"/>
                      <w:lang w:val="en-US" w:eastAsia="zh-CN"/>
                    </w:rPr>
                    <w:t>东厂界</w:t>
                  </w:r>
                  <w:r>
                    <w:rPr>
                      <w:rFonts w:hint="default" w:ascii="Times New Roman" w:hAnsi="Times New Roman" w:eastAsia="宋体" w:cs="Times New Roman"/>
                      <w:b/>
                      <w:bCs w:val="0"/>
                      <w:color w:val="auto"/>
                      <w:spacing w:val="-10"/>
                      <w:szCs w:val="21"/>
                      <w:shd w:val="clear" w:fill="auto"/>
                      <w:lang w:val="en-US" w:eastAsia="zh-CN"/>
                    </w:rPr>
                    <w:t>（</w:t>
                  </w:r>
                  <w:r>
                    <w:rPr>
                      <w:rFonts w:hint="default" w:ascii="Times New Roman" w:hAnsi="Times New Roman" w:eastAsia="宋体" w:cs="Times New Roman"/>
                      <w:b/>
                      <w:bCs w:val="0"/>
                      <w:color w:val="auto"/>
                      <w:spacing w:val="-10"/>
                      <w:szCs w:val="21"/>
                      <w:lang w:val="en-US" w:eastAsia="zh-CN"/>
                    </w:rPr>
                    <w:t>dB）</w:t>
                  </w:r>
                </w:p>
              </w:tc>
              <w:tc>
                <w:tcPr>
                  <w:tcW w:w="1647" w:type="dxa"/>
                  <w:noWrap w:val="0"/>
                  <w:vAlign w:val="center"/>
                </w:tcPr>
                <w:p w14:paraId="762D4A98">
                  <w:pPr>
                    <w:adjustRightInd w:val="0"/>
                    <w:snapToGrid w:val="0"/>
                    <w:jc w:val="center"/>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pacing w:val="-10"/>
                      <w:szCs w:val="21"/>
                      <w:lang w:val="en-US" w:eastAsia="zh-CN"/>
                    </w:rPr>
                    <w:t>南厂界</w:t>
                  </w:r>
                  <w:r>
                    <w:rPr>
                      <w:rFonts w:hint="default" w:ascii="Times New Roman" w:hAnsi="Times New Roman" w:eastAsia="宋体" w:cs="Times New Roman"/>
                      <w:b/>
                      <w:bCs w:val="0"/>
                      <w:color w:val="auto"/>
                      <w:spacing w:val="-10"/>
                      <w:szCs w:val="21"/>
                      <w:shd w:val="clear" w:fill="auto"/>
                      <w:lang w:val="en-US" w:eastAsia="zh-CN"/>
                    </w:rPr>
                    <w:t>（</w:t>
                  </w:r>
                  <w:r>
                    <w:rPr>
                      <w:rFonts w:hint="default" w:ascii="Times New Roman" w:hAnsi="Times New Roman" w:eastAsia="宋体" w:cs="Times New Roman"/>
                      <w:b/>
                      <w:bCs w:val="0"/>
                      <w:color w:val="auto"/>
                      <w:spacing w:val="-10"/>
                      <w:szCs w:val="21"/>
                      <w:lang w:val="en-US" w:eastAsia="zh-CN"/>
                    </w:rPr>
                    <w:t>dB）</w:t>
                  </w:r>
                </w:p>
              </w:tc>
              <w:tc>
                <w:tcPr>
                  <w:tcW w:w="1647" w:type="dxa"/>
                  <w:noWrap w:val="0"/>
                  <w:vAlign w:val="center"/>
                </w:tcPr>
                <w:p w14:paraId="576396A4">
                  <w:pPr>
                    <w:adjustRightInd w:val="0"/>
                    <w:snapToGrid w:val="0"/>
                    <w:jc w:val="center"/>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pacing w:val="-10"/>
                      <w:szCs w:val="21"/>
                      <w:lang w:val="en-US" w:eastAsia="zh-CN"/>
                    </w:rPr>
                    <w:t>西厂界</w:t>
                  </w:r>
                  <w:r>
                    <w:rPr>
                      <w:rFonts w:hint="default" w:ascii="Times New Roman" w:hAnsi="Times New Roman" w:eastAsia="宋体" w:cs="Times New Roman"/>
                      <w:b/>
                      <w:bCs w:val="0"/>
                      <w:color w:val="auto"/>
                      <w:spacing w:val="-10"/>
                      <w:szCs w:val="21"/>
                      <w:shd w:val="clear" w:fill="auto"/>
                      <w:lang w:val="en-US" w:eastAsia="zh-CN"/>
                    </w:rPr>
                    <w:t>（</w:t>
                  </w:r>
                  <w:r>
                    <w:rPr>
                      <w:rFonts w:hint="default" w:ascii="Times New Roman" w:hAnsi="Times New Roman" w:eastAsia="宋体" w:cs="Times New Roman"/>
                      <w:b/>
                      <w:bCs w:val="0"/>
                      <w:color w:val="auto"/>
                      <w:spacing w:val="-10"/>
                      <w:szCs w:val="21"/>
                      <w:lang w:val="en-US" w:eastAsia="zh-CN"/>
                    </w:rPr>
                    <w:t>dB）</w:t>
                  </w:r>
                </w:p>
              </w:tc>
              <w:tc>
                <w:tcPr>
                  <w:tcW w:w="1648" w:type="dxa"/>
                  <w:noWrap w:val="0"/>
                  <w:vAlign w:val="center"/>
                </w:tcPr>
                <w:p w14:paraId="328C1195">
                  <w:pPr>
                    <w:adjustRightInd w:val="0"/>
                    <w:snapToGrid w:val="0"/>
                    <w:jc w:val="center"/>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pacing w:val="-10"/>
                      <w:szCs w:val="21"/>
                      <w:lang w:val="en-US" w:eastAsia="zh-CN"/>
                    </w:rPr>
                    <w:t>北厂界</w:t>
                  </w:r>
                  <w:r>
                    <w:rPr>
                      <w:rFonts w:hint="default" w:ascii="Times New Roman" w:hAnsi="Times New Roman" w:eastAsia="宋体" w:cs="Times New Roman"/>
                      <w:b/>
                      <w:bCs w:val="0"/>
                      <w:color w:val="auto"/>
                      <w:spacing w:val="-10"/>
                      <w:szCs w:val="21"/>
                      <w:shd w:val="clear" w:fill="auto"/>
                      <w:lang w:val="en-US" w:eastAsia="zh-CN"/>
                    </w:rPr>
                    <w:t>（</w:t>
                  </w:r>
                  <w:r>
                    <w:rPr>
                      <w:rFonts w:hint="default" w:ascii="Times New Roman" w:hAnsi="Times New Roman" w:eastAsia="宋体" w:cs="Times New Roman"/>
                      <w:b/>
                      <w:bCs w:val="0"/>
                      <w:color w:val="auto"/>
                      <w:spacing w:val="-10"/>
                      <w:szCs w:val="21"/>
                      <w:lang w:val="en-US" w:eastAsia="zh-CN"/>
                    </w:rPr>
                    <w:t>dB）</w:t>
                  </w:r>
                </w:p>
              </w:tc>
            </w:tr>
            <w:tr w14:paraId="09332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2173" w:type="dxa"/>
                  <w:vMerge w:val="continue"/>
                  <w:noWrap w:val="0"/>
                  <w:vAlign w:val="center"/>
                </w:tcPr>
                <w:p w14:paraId="5BEFBD34">
                  <w:pPr>
                    <w:adjustRightInd w:val="0"/>
                    <w:snapToGrid w:val="0"/>
                    <w:jc w:val="center"/>
                    <w:rPr>
                      <w:rFonts w:hint="default" w:ascii="Times New Roman" w:hAnsi="Times New Roman" w:eastAsia="宋体" w:cs="Times New Roman"/>
                      <w:b/>
                      <w:bCs w:val="0"/>
                      <w:color w:val="auto"/>
                      <w:spacing w:val="-10"/>
                      <w:szCs w:val="21"/>
                      <w:lang w:val="en-US" w:eastAsia="zh-CN"/>
                    </w:rPr>
                  </w:pPr>
                </w:p>
              </w:tc>
              <w:tc>
                <w:tcPr>
                  <w:tcW w:w="6063" w:type="dxa"/>
                  <w:gridSpan w:val="4"/>
                  <w:noWrap w:val="0"/>
                  <w:vAlign w:val="center"/>
                </w:tcPr>
                <w:p w14:paraId="7AB08A8F">
                  <w:pPr>
                    <w:adjustRightInd w:val="0"/>
                    <w:snapToGrid w:val="0"/>
                    <w:jc w:val="center"/>
                    <w:rPr>
                      <w:rFonts w:hint="default" w:ascii="Times New Roman" w:hAnsi="Times New Roman" w:eastAsia="宋体" w:cs="Times New Roman"/>
                      <w:b/>
                      <w:bCs w:val="0"/>
                      <w:color w:val="auto"/>
                      <w:spacing w:val="-10"/>
                      <w:szCs w:val="21"/>
                      <w:lang w:val="en-US" w:eastAsia="zh-CN"/>
                    </w:rPr>
                  </w:pPr>
                  <w:r>
                    <w:rPr>
                      <w:rFonts w:hint="default" w:ascii="Times New Roman" w:hAnsi="Times New Roman" w:cs="Times New Roman"/>
                      <w:b/>
                      <w:color w:val="auto"/>
                      <w:szCs w:val="21"/>
                    </w:rPr>
                    <w:t>昼间</w:t>
                  </w:r>
                  <w:r>
                    <w:rPr>
                      <w:rFonts w:hint="eastAsia" w:cs="Times New Roman"/>
                      <w:b/>
                      <w:color w:val="auto"/>
                      <w:szCs w:val="21"/>
                      <w:lang w:val="en-US" w:eastAsia="zh-CN"/>
                    </w:rPr>
                    <w:t>/夜间</w:t>
                  </w:r>
                </w:p>
              </w:tc>
            </w:tr>
            <w:tr w14:paraId="723F1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2173" w:type="dxa"/>
                  <w:noWrap w:val="0"/>
                  <w:vAlign w:val="center"/>
                </w:tcPr>
                <w:p w14:paraId="4874D2BF">
                  <w:pPr>
                    <w:adjustRightInd w:val="0"/>
                    <w:snapToGrid w:val="0"/>
                    <w:jc w:val="center"/>
                    <w:rPr>
                      <w:rFonts w:hint="default" w:ascii="Times New Roman" w:hAnsi="Times New Roman" w:eastAsia="宋体" w:cs="Times New Roman"/>
                      <w:bCs/>
                      <w:color w:val="auto"/>
                      <w:spacing w:val="-10"/>
                      <w:szCs w:val="21"/>
                      <w:lang w:val="en-US" w:eastAsia="zh-CN"/>
                    </w:rPr>
                  </w:pPr>
                  <w:r>
                    <w:rPr>
                      <w:rFonts w:hint="eastAsia" w:cs="Times New Roman"/>
                      <w:bCs/>
                      <w:color w:val="auto"/>
                      <w:spacing w:val="-10"/>
                      <w:szCs w:val="21"/>
                      <w:lang w:val="en-US" w:eastAsia="zh-CN"/>
                    </w:rPr>
                    <w:t>项目</w:t>
                  </w:r>
                  <w:r>
                    <w:rPr>
                      <w:rFonts w:hint="default" w:ascii="Times New Roman" w:hAnsi="Times New Roman" w:eastAsia="宋体" w:cs="Times New Roman"/>
                      <w:bCs/>
                      <w:color w:val="auto"/>
                      <w:spacing w:val="-10"/>
                      <w:szCs w:val="21"/>
                      <w:lang w:val="en-US" w:eastAsia="zh-CN"/>
                    </w:rPr>
                    <w:t>贡献值</w:t>
                  </w:r>
                </w:p>
              </w:tc>
              <w:tc>
                <w:tcPr>
                  <w:tcW w:w="1121" w:type="dxa"/>
                  <w:noWrap w:val="0"/>
                  <w:vAlign w:val="center"/>
                </w:tcPr>
                <w:p w14:paraId="59B1D0E1">
                  <w:pPr>
                    <w:adjustRightInd w:val="0"/>
                    <w:snapToGrid w:val="0"/>
                    <w:jc w:val="center"/>
                    <w:rPr>
                      <w:rFonts w:hint="default" w:ascii="Times New Roman" w:hAnsi="Times New Roman" w:eastAsia="宋体" w:cs="Times New Roman"/>
                      <w:bCs/>
                      <w:color w:val="auto"/>
                      <w:spacing w:val="-10"/>
                      <w:szCs w:val="21"/>
                      <w:lang w:val="en-US" w:eastAsia="zh-CN"/>
                    </w:rPr>
                  </w:pPr>
                  <w:r>
                    <w:rPr>
                      <w:rFonts w:hint="eastAsia" w:cs="Times New Roman"/>
                      <w:bCs/>
                      <w:color w:val="auto"/>
                      <w:spacing w:val="-10"/>
                      <w:szCs w:val="21"/>
                      <w:lang w:val="en-US" w:eastAsia="zh-CN"/>
                    </w:rPr>
                    <w:t>50.1</w:t>
                  </w:r>
                  <w:r>
                    <w:rPr>
                      <w:rFonts w:hint="eastAsia" w:ascii="Times New Roman" w:hAnsi="Times New Roman" w:eastAsia="宋体" w:cs="Times New Roman"/>
                      <w:bCs/>
                      <w:color w:val="auto"/>
                      <w:spacing w:val="-10"/>
                      <w:szCs w:val="21"/>
                      <w:lang w:val="en-US" w:eastAsia="zh-CN"/>
                    </w:rPr>
                    <w:t>/</w:t>
                  </w:r>
                  <w:r>
                    <w:rPr>
                      <w:rFonts w:hint="eastAsia" w:cs="Times New Roman"/>
                      <w:bCs/>
                      <w:color w:val="auto"/>
                      <w:spacing w:val="-10"/>
                      <w:szCs w:val="21"/>
                      <w:lang w:val="en-US" w:eastAsia="zh-CN"/>
                    </w:rPr>
                    <w:t>50.1</w:t>
                  </w:r>
                </w:p>
              </w:tc>
              <w:tc>
                <w:tcPr>
                  <w:tcW w:w="1647" w:type="dxa"/>
                  <w:noWrap w:val="0"/>
                  <w:vAlign w:val="center"/>
                </w:tcPr>
                <w:p w14:paraId="71655C92">
                  <w:pPr>
                    <w:adjustRightInd w:val="0"/>
                    <w:snapToGrid w:val="0"/>
                    <w:jc w:val="center"/>
                    <w:rPr>
                      <w:rFonts w:hint="default" w:ascii="Times New Roman" w:hAnsi="Times New Roman" w:eastAsia="宋体" w:cs="Times New Roman"/>
                      <w:bCs/>
                      <w:color w:val="auto"/>
                      <w:spacing w:val="-10"/>
                      <w:szCs w:val="21"/>
                      <w:lang w:val="en-US" w:eastAsia="zh-CN"/>
                    </w:rPr>
                  </w:pPr>
                  <w:r>
                    <w:rPr>
                      <w:rFonts w:hint="eastAsia" w:cs="Times New Roman"/>
                      <w:bCs/>
                      <w:color w:val="auto"/>
                      <w:spacing w:val="-10"/>
                      <w:szCs w:val="21"/>
                      <w:lang w:val="en-US" w:eastAsia="zh-CN"/>
                    </w:rPr>
                    <w:t>28.1</w:t>
                  </w:r>
                  <w:r>
                    <w:rPr>
                      <w:rFonts w:hint="eastAsia" w:ascii="Times New Roman" w:hAnsi="Times New Roman" w:eastAsia="宋体" w:cs="Times New Roman"/>
                      <w:bCs/>
                      <w:color w:val="auto"/>
                      <w:spacing w:val="-10"/>
                      <w:szCs w:val="21"/>
                      <w:lang w:val="en-US" w:eastAsia="zh-CN"/>
                    </w:rPr>
                    <w:t>/</w:t>
                  </w:r>
                  <w:r>
                    <w:rPr>
                      <w:rFonts w:hint="eastAsia" w:cs="Times New Roman"/>
                      <w:bCs/>
                      <w:color w:val="auto"/>
                      <w:spacing w:val="-10"/>
                      <w:szCs w:val="21"/>
                      <w:lang w:val="en-US" w:eastAsia="zh-CN"/>
                    </w:rPr>
                    <w:t>28.1</w:t>
                  </w:r>
                </w:p>
              </w:tc>
              <w:tc>
                <w:tcPr>
                  <w:tcW w:w="1647" w:type="dxa"/>
                  <w:noWrap w:val="0"/>
                  <w:vAlign w:val="center"/>
                </w:tcPr>
                <w:p w14:paraId="67F5A1FD">
                  <w:pPr>
                    <w:adjustRightInd w:val="0"/>
                    <w:snapToGrid w:val="0"/>
                    <w:jc w:val="center"/>
                    <w:rPr>
                      <w:rFonts w:hint="default" w:ascii="Times New Roman" w:hAnsi="Times New Roman" w:eastAsia="宋体" w:cs="Times New Roman"/>
                      <w:bCs/>
                      <w:color w:val="auto"/>
                      <w:spacing w:val="-10"/>
                      <w:szCs w:val="21"/>
                      <w:lang w:val="en-US" w:eastAsia="zh-CN"/>
                    </w:rPr>
                  </w:pPr>
                  <w:r>
                    <w:rPr>
                      <w:rFonts w:hint="eastAsia" w:cs="Times New Roman"/>
                      <w:bCs/>
                      <w:color w:val="auto"/>
                      <w:spacing w:val="-10"/>
                      <w:szCs w:val="21"/>
                      <w:lang w:val="en-US" w:eastAsia="zh-CN"/>
                    </w:rPr>
                    <w:t>51.4</w:t>
                  </w:r>
                  <w:r>
                    <w:rPr>
                      <w:rFonts w:hint="eastAsia" w:ascii="Times New Roman" w:hAnsi="Times New Roman" w:eastAsia="宋体" w:cs="Times New Roman"/>
                      <w:bCs/>
                      <w:color w:val="auto"/>
                      <w:spacing w:val="-10"/>
                      <w:szCs w:val="21"/>
                      <w:lang w:val="en-US" w:eastAsia="zh-CN"/>
                    </w:rPr>
                    <w:t>/</w:t>
                  </w:r>
                  <w:r>
                    <w:rPr>
                      <w:rFonts w:hint="eastAsia" w:cs="Times New Roman"/>
                      <w:bCs/>
                      <w:color w:val="auto"/>
                      <w:spacing w:val="-10"/>
                      <w:szCs w:val="21"/>
                      <w:lang w:val="en-US" w:eastAsia="zh-CN"/>
                    </w:rPr>
                    <w:t>51.4</w:t>
                  </w:r>
                </w:p>
              </w:tc>
              <w:tc>
                <w:tcPr>
                  <w:tcW w:w="1648" w:type="dxa"/>
                  <w:noWrap w:val="0"/>
                  <w:vAlign w:val="center"/>
                </w:tcPr>
                <w:p w14:paraId="2556FBBF">
                  <w:pPr>
                    <w:adjustRightInd w:val="0"/>
                    <w:snapToGrid w:val="0"/>
                    <w:jc w:val="center"/>
                    <w:rPr>
                      <w:rFonts w:hint="default" w:ascii="Times New Roman" w:hAnsi="Times New Roman" w:eastAsia="宋体" w:cs="Times New Roman"/>
                      <w:bCs/>
                      <w:color w:val="auto"/>
                      <w:spacing w:val="-10"/>
                      <w:szCs w:val="21"/>
                      <w:lang w:val="en-US" w:eastAsia="zh-CN"/>
                    </w:rPr>
                  </w:pPr>
                  <w:r>
                    <w:rPr>
                      <w:rFonts w:hint="eastAsia" w:cs="Times New Roman"/>
                      <w:bCs/>
                      <w:color w:val="auto"/>
                      <w:spacing w:val="-10"/>
                      <w:szCs w:val="21"/>
                      <w:lang w:val="en-US" w:eastAsia="zh-CN"/>
                    </w:rPr>
                    <w:t>48.6/48.6</w:t>
                  </w:r>
                </w:p>
              </w:tc>
            </w:tr>
            <w:tr w14:paraId="5BD83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2173" w:type="dxa"/>
                  <w:noWrap w:val="0"/>
                  <w:vAlign w:val="center"/>
                </w:tcPr>
                <w:p w14:paraId="40B12EB8">
                  <w:pPr>
                    <w:adjustRightInd w:val="0"/>
                    <w:snapToGrid w:val="0"/>
                    <w:jc w:val="center"/>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bCs/>
                      <w:color w:val="auto"/>
                      <w:spacing w:val="-10"/>
                      <w:szCs w:val="21"/>
                      <w:lang w:val="en-US" w:eastAsia="zh-CN"/>
                    </w:rPr>
                    <w:t>标准值</w:t>
                  </w:r>
                </w:p>
              </w:tc>
              <w:tc>
                <w:tcPr>
                  <w:tcW w:w="6063" w:type="dxa"/>
                  <w:gridSpan w:val="4"/>
                  <w:noWrap w:val="0"/>
                  <w:vAlign w:val="center"/>
                </w:tcPr>
                <w:p w14:paraId="5CCBEB3F">
                  <w:pPr>
                    <w:adjustRightInd w:val="0"/>
                    <w:snapToGrid w:val="0"/>
                    <w:jc w:val="center"/>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b w:val="0"/>
                      <w:bCs/>
                      <w:color w:val="auto"/>
                      <w:spacing w:val="-10"/>
                      <w:szCs w:val="21"/>
                      <w:lang w:val="en-US" w:eastAsia="zh-CN"/>
                    </w:rPr>
                    <w:t>昼间：65</w:t>
                  </w:r>
                  <w:r>
                    <w:rPr>
                      <w:rFonts w:hint="eastAsia" w:cs="Times New Roman"/>
                      <w:b w:val="0"/>
                      <w:bCs/>
                      <w:color w:val="auto"/>
                      <w:spacing w:val="-10"/>
                      <w:szCs w:val="21"/>
                      <w:lang w:val="en-US" w:eastAsia="zh-CN"/>
                    </w:rPr>
                    <w:t>/</w:t>
                  </w:r>
                  <w:r>
                    <w:rPr>
                      <w:rFonts w:hint="eastAsia" w:cs="Times New Roman"/>
                      <w:b w:val="0"/>
                      <w:bCs/>
                      <w:color w:val="auto"/>
                      <w:szCs w:val="21"/>
                      <w:lang w:val="en-US" w:eastAsia="zh-CN"/>
                    </w:rPr>
                    <w:t>夜间:55</w:t>
                  </w:r>
                </w:p>
              </w:tc>
            </w:tr>
            <w:tr w14:paraId="2B53F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2173" w:type="dxa"/>
                  <w:noWrap w:val="0"/>
                  <w:vAlign w:val="center"/>
                </w:tcPr>
                <w:p w14:paraId="17F51820">
                  <w:pPr>
                    <w:adjustRightInd w:val="0"/>
                    <w:snapToGrid w:val="0"/>
                    <w:jc w:val="center"/>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bCs/>
                      <w:color w:val="auto"/>
                      <w:spacing w:val="-10"/>
                      <w:szCs w:val="21"/>
                      <w:lang w:val="en-US" w:eastAsia="zh-CN"/>
                    </w:rPr>
                    <w:t>超标量</w:t>
                  </w:r>
                </w:p>
              </w:tc>
              <w:tc>
                <w:tcPr>
                  <w:tcW w:w="1121" w:type="dxa"/>
                  <w:noWrap w:val="0"/>
                  <w:vAlign w:val="center"/>
                </w:tcPr>
                <w:p w14:paraId="5FBF8CFF">
                  <w:pPr>
                    <w:adjustRightInd w:val="0"/>
                    <w:snapToGrid w:val="0"/>
                    <w:jc w:val="center"/>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bCs/>
                      <w:color w:val="auto"/>
                      <w:spacing w:val="-10"/>
                      <w:szCs w:val="21"/>
                      <w:lang w:val="en-US" w:eastAsia="zh-CN"/>
                    </w:rPr>
                    <w:t>0</w:t>
                  </w:r>
                </w:p>
              </w:tc>
              <w:tc>
                <w:tcPr>
                  <w:tcW w:w="1647" w:type="dxa"/>
                  <w:noWrap w:val="0"/>
                  <w:vAlign w:val="center"/>
                </w:tcPr>
                <w:p w14:paraId="2691A65B">
                  <w:pPr>
                    <w:adjustRightInd w:val="0"/>
                    <w:snapToGrid w:val="0"/>
                    <w:jc w:val="center"/>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bCs/>
                      <w:color w:val="auto"/>
                      <w:spacing w:val="-10"/>
                      <w:szCs w:val="21"/>
                      <w:lang w:val="en-US" w:eastAsia="zh-CN"/>
                    </w:rPr>
                    <w:t>0</w:t>
                  </w:r>
                </w:p>
              </w:tc>
              <w:tc>
                <w:tcPr>
                  <w:tcW w:w="1647" w:type="dxa"/>
                  <w:noWrap w:val="0"/>
                  <w:vAlign w:val="center"/>
                </w:tcPr>
                <w:p w14:paraId="03DA073B">
                  <w:pPr>
                    <w:adjustRightInd w:val="0"/>
                    <w:snapToGrid w:val="0"/>
                    <w:jc w:val="center"/>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bCs/>
                      <w:color w:val="auto"/>
                      <w:spacing w:val="-10"/>
                      <w:szCs w:val="21"/>
                      <w:lang w:val="en-US" w:eastAsia="zh-CN"/>
                    </w:rPr>
                    <w:t>0</w:t>
                  </w:r>
                </w:p>
              </w:tc>
              <w:tc>
                <w:tcPr>
                  <w:tcW w:w="1648" w:type="dxa"/>
                  <w:noWrap w:val="0"/>
                  <w:vAlign w:val="center"/>
                </w:tcPr>
                <w:p w14:paraId="2BC3650C">
                  <w:pPr>
                    <w:adjustRightInd w:val="0"/>
                    <w:snapToGrid w:val="0"/>
                    <w:jc w:val="center"/>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bCs/>
                      <w:color w:val="auto"/>
                      <w:spacing w:val="-10"/>
                      <w:szCs w:val="21"/>
                      <w:lang w:val="en-US" w:eastAsia="zh-CN"/>
                    </w:rPr>
                    <w:t>0</w:t>
                  </w:r>
                </w:p>
              </w:tc>
            </w:tr>
          </w:tbl>
          <w:p w14:paraId="34BA0CD5">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由上表预测结果可知：在采取噪声</w:t>
            </w:r>
            <w:r>
              <w:rPr>
                <w:rFonts w:hint="default" w:ascii="Times New Roman" w:hAnsi="Times New Roman" w:eastAsia="宋体" w:cs="Times New Roman"/>
                <w:bCs/>
                <w:color w:val="auto"/>
                <w:spacing w:val="-10"/>
                <w:sz w:val="24"/>
                <w:szCs w:val="24"/>
                <w:shd w:val="clear" w:fill="auto"/>
                <w:lang w:val="en-US" w:eastAsia="zh-CN"/>
              </w:rPr>
              <w:t>防治</w:t>
            </w:r>
            <w:r>
              <w:rPr>
                <w:rFonts w:hint="default" w:ascii="Times New Roman" w:hAnsi="Times New Roman" w:eastAsia="宋体" w:cs="Times New Roman"/>
                <w:bCs/>
                <w:color w:val="auto"/>
                <w:spacing w:val="-10"/>
                <w:sz w:val="24"/>
                <w:szCs w:val="24"/>
                <w:lang w:val="en-US" w:eastAsia="zh-CN"/>
              </w:rPr>
              <w:t>措施的前提下，</w:t>
            </w:r>
            <w:r>
              <w:rPr>
                <w:rFonts w:hint="eastAsia" w:cs="Times New Roman"/>
                <w:bCs/>
                <w:color w:val="auto"/>
                <w:spacing w:val="-10"/>
                <w:sz w:val="24"/>
                <w:szCs w:val="24"/>
                <w:lang w:val="en-US" w:eastAsia="zh-CN"/>
              </w:rPr>
              <w:t>所有</w:t>
            </w:r>
            <w:r>
              <w:rPr>
                <w:rFonts w:hint="default" w:ascii="Times New Roman" w:hAnsi="Times New Roman" w:eastAsia="宋体" w:cs="Times New Roman"/>
                <w:bCs/>
                <w:color w:val="auto"/>
                <w:spacing w:val="-10"/>
                <w:sz w:val="24"/>
                <w:szCs w:val="24"/>
                <w:lang w:val="en-US" w:eastAsia="zh-CN"/>
              </w:rPr>
              <w:t>项目</w:t>
            </w:r>
            <w:r>
              <w:rPr>
                <w:rFonts w:hint="eastAsia" w:cs="Times New Roman"/>
                <w:bCs/>
                <w:color w:val="auto"/>
                <w:spacing w:val="-10"/>
                <w:sz w:val="24"/>
                <w:szCs w:val="24"/>
                <w:lang w:val="en-US" w:eastAsia="zh-CN"/>
              </w:rPr>
              <w:t>建成后出租方厂区</w:t>
            </w:r>
            <w:r>
              <w:rPr>
                <w:rFonts w:hint="default" w:ascii="Times New Roman" w:hAnsi="Times New Roman" w:eastAsia="宋体" w:cs="Times New Roman"/>
                <w:bCs/>
                <w:color w:val="auto"/>
                <w:spacing w:val="-10"/>
                <w:sz w:val="24"/>
                <w:szCs w:val="24"/>
                <w:lang w:val="en-US" w:eastAsia="zh-CN"/>
              </w:rPr>
              <w:t>东、西、南、北厂界昼间、夜间噪声贡献值均符合《工业企业厂界环境噪声排放标准》（GB12348-2008）3类标准。</w:t>
            </w:r>
          </w:p>
          <w:p w14:paraId="5A5386B8">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bCs w:val="0"/>
                <w:color w:val="auto"/>
                <w:spacing w:val="-10"/>
                <w:sz w:val="24"/>
                <w:szCs w:val="24"/>
                <w:lang w:val="en-US" w:eastAsia="zh-CN"/>
              </w:rPr>
            </w:pPr>
            <w:r>
              <w:rPr>
                <w:rFonts w:hint="default" w:ascii="Times New Roman" w:hAnsi="Times New Roman" w:eastAsia="宋体" w:cs="Times New Roman"/>
                <w:b/>
                <w:bCs w:val="0"/>
                <w:color w:val="auto"/>
                <w:spacing w:val="-10"/>
                <w:sz w:val="24"/>
                <w:szCs w:val="24"/>
                <w:lang w:val="en-US" w:eastAsia="zh-CN"/>
              </w:rPr>
              <w:t>4.3.5监测要求</w:t>
            </w:r>
          </w:p>
          <w:p w14:paraId="7737A350">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
                <w:bCs w:val="0"/>
                <w:color w:val="auto"/>
                <w:spacing w:val="-10"/>
                <w:sz w:val="24"/>
                <w:szCs w:val="24"/>
                <w:lang w:val="en-US" w:eastAsia="zh-CN"/>
              </w:rPr>
            </w:pPr>
            <w:r>
              <w:rPr>
                <w:rFonts w:hint="eastAsia" w:cs="Times New Roman"/>
                <w:bCs/>
                <w:color w:val="auto"/>
                <w:spacing w:val="-10"/>
                <w:sz w:val="24"/>
                <w:szCs w:val="24"/>
                <w:lang w:val="en-US" w:eastAsia="zh-CN"/>
              </w:rPr>
              <w:t>企业</w:t>
            </w:r>
            <w:r>
              <w:rPr>
                <w:rFonts w:hint="default" w:ascii="Times New Roman" w:hAnsi="Times New Roman" w:eastAsia="宋体" w:cs="Times New Roman"/>
                <w:bCs/>
                <w:color w:val="auto"/>
                <w:spacing w:val="-10"/>
                <w:sz w:val="24"/>
                <w:szCs w:val="24"/>
                <w:lang w:val="en-US" w:eastAsia="zh-CN"/>
              </w:rPr>
              <w:t>委托有资质环境监测机构对厂界噪声进行监测，具体见下表：</w:t>
            </w:r>
          </w:p>
          <w:p w14:paraId="25F9428C">
            <w:pPr>
              <w:adjustRightInd w:val="0"/>
              <w:snapToGrid w:val="0"/>
              <w:jc w:val="center"/>
              <w:rPr>
                <w:rFonts w:hint="default" w:ascii="Times New Roman" w:hAnsi="Times New Roman" w:eastAsia="宋体" w:cs="Times New Roman"/>
                <w:b/>
                <w:bCs w:val="0"/>
                <w:color w:val="auto"/>
                <w:spacing w:val="-10"/>
                <w:sz w:val="21"/>
                <w:szCs w:val="21"/>
                <w:lang w:val="en-US" w:eastAsia="zh-CN"/>
              </w:rPr>
            </w:pPr>
          </w:p>
          <w:p w14:paraId="681D058A">
            <w:pPr>
              <w:adjustRightInd w:val="0"/>
              <w:snapToGrid w:val="0"/>
              <w:jc w:val="center"/>
              <w:rPr>
                <w:rFonts w:hint="default" w:ascii="Times New Roman" w:hAnsi="Times New Roman" w:eastAsia="宋体" w:cs="Times New Roman"/>
                <w:b/>
                <w:bCs w:val="0"/>
                <w:color w:val="auto"/>
                <w:spacing w:val="-10"/>
                <w:sz w:val="21"/>
                <w:szCs w:val="21"/>
                <w:lang w:val="en-US" w:eastAsia="zh-CN"/>
              </w:rPr>
            </w:pPr>
          </w:p>
          <w:p w14:paraId="1CCAF0B2">
            <w:pPr>
              <w:adjustRightInd w:val="0"/>
              <w:snapToGrid w:val="0"/>
              <w:jc w:val="center"/>
              <w:rPr>
                <w:rFonts w:hint="default" w:ascii="Times New Roman" w:hAnsi="Times New Roman" w:eastAsia="宋体" w:cs="Times New Roman"/>
                <w:b/>
                <w:bCs w:val="0"/>
                <w:color w:val="auto"/>
                <w:spacing w:val="-10"/>
                <w:sz w:val="21"/>
                <w:szCs w:val="21"/>
                <w:lang w:val="en-US" w:eastAsia="zh-CN"/>
              </w:rPr>
            </w:pPr>
            <w:r>
              <w:rPr>
                <w:rFonts w:hint="default" w:ascii="Times New Roman" w:hAnsi="Times New Roman" w:eastAsia="宋体" w:cs="Times New Roman"/>
                <w:b/>
                <w:bCs w:val="0"/>
                <w:color w:val="auto"/>
                <w:spacing w:val="-10"/>
                <w:sz w:val="21"/>
                <w:szCs w:val="21"/>
                <w:lang w:val="en-US" w:eastAsia="zh-CN"/>
              </w:rPr>
              <w:t>表4-</w:t>
            </w:r>
            <w:r>
              <w:rPr>
                <w:rFonts w:hint="eastAsia" w:cs="Times New Roman"/>
                <w:b/>
                <w:bCs w:val="0"/>
                <w:color w:val="auto"/>
                <w:spacing w:val="-10"/>
                <w:sz w:val="21"/>
                <w:szCs w:val="21"/>
                <w:lang w:val="en-US" w:eastAsia="zh-CN"/>
              </w:rPr>
              <w:t xml:space="preserve">17  </w:t>
            </w:r>
            <w:r>
              <w:rPr>
                <w:rFonts w:hint="default" w:ascii="Times New Roman" w:hAnsi="Times New Roman" w:eastAsia="宋体" w:cs="Times New Roman"/>
                <w:b/>
                <w:bCs w:val="0"/>
                <w:color w:val="auto"/>
                <w:spacing w:val="-10"/>
                <w:sz w:val="21"/>
                <w:szCs w:val="21"/>
                <w:lang w:val="en-US" w:eastAsia="zh-CN"/>
              </w:rPr>
              <w:t>噪声监测计划一览表</w:t>
            </w:r>
          </w:p>
          <w:tbl>
            <w:tblPr>
              <w:tblStyle w:val="17"/>
              <w:tblW w:w="82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178"/>
              <w:gridCol w:w="1533"/>
              <w:gridCol w:w="1061"/>
              <w:gridCol w:w="3742"/>
            </w:tblGrid>
            <w:tr w14:paraId="5195B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3" w:type="dxa"/>
                  <w:noWrap w:val="0"/>
                  <w:vAlign w:val="center"/>
                </w:tcPr>
                <w:p w14:paraId="2B3C4012">
                  <w:pPr>
                    <w:adjustRightInd w:val="0"/>
                    <w:snapToGrid w:val="0"/>
                    <w:jc w:val="center"/>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pacing w:val="-10"/>
                      <w:szCs w:val="21"/>
                      <w:lang w:val="en-US" w:eastAsia="zh-CN"/>
                    </w:rPr>
                    <w:t>编号</w:t>
                  </w:r>
                </w:p>
              </w:tc>
              <w:tc>
                <w:tcPr>
                  <w:tcW w:w="1178" w:type="dxa"/>
                  <w:noWrap w:val="0"/>
                  <w:vAlign w:val="center"/>
                </w:tcPr>
                <w:p w14:paraId="7738778F">
                  <w:pPr>
                    <w:adjustRightInd w:val="0"/>
                    <w:snapToGrid w:val="0"/>
                    <w:jc w:val="center"/>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pacing w:val="-10"/>
                      <w:szCs w:val="21"/>
                      <w:lang w:val="en-US" w:eastAsia="zh-CN"/>
                    </w:rPr>
                    <w:t>监测因子</w:t>
                  </w:r>
                </w:p>
              </w:tc>
              <w:tc>
                <w:tcPr>
                  <w:tcW w:w="1533" w:type="dxa"/>
                  <w:noWrap w:val="0"/>
                  <w:vAlign w:val="center"/>
                </w:tcPr>
                <w:p w14:paraId="79FDB29C">
                  <w:pPr>
                    <w:adjustRightInd w:val="0"/>
                    <w:snapToGrid w:val="0"/>
                    <w:jc w:val="center"/>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pacing w:val="-10"/>
                      <w:szCs w:val="21"/>
                      <w:lang w:val="en-US" w:eastAsia="zh-CN"/>
                    </w:rPr>
                    <w:t>监测点位</w:t>
                  </w:r>
                </w:p>
              </w:tc>
              <w:tc>
                <w:tcPr>
                  <w:tcW w:w="1061" w:type="dxa"/>
                  <w:noWrap w:val="0"/>
                  <w:vAlign w:val="center"/>
                </w:tcPr>
                <w:p w14:paraId="29800844">
                  <w:pPr>
                    <w:adjustRightInd w:val="0"/>
                    <w:snapToGrid w:val="0"/>
                    <w:jc w:val="center"/>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pacing w:val="-10"/>
                      <w:szCs w:val="21"/>
                      <w:lang w:val="en-US" w:eastAsia="zh-CN"/>
                    </w:rPr>
                    <w:t>监测频次</w:t>
                  </w:r>
                </w:p>
              </w:tc>
              <w:tc>
                <w:tcPr>
                  <w:tcW w:w="3742" w:type="dxa"/>
                  <w:noWrap w:val="0"/>
                  <w:vAlign w:val="center"/>
                </w:tcPr>
                <w:p w14:paraId="72847FD4">
                  <w:pPr>
                    <w:adjustRightInd w:val="0"/>
                    <w:snapToGrid w:val="0"/>
                    <w:jc w:val="center"/>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pacing w:val="-10"/>
                      <w:szCs w:val="21"/>
                      <w:lang w:val="en-US" w:eastAsia="zh-CN"/>
                    </w:rPr>
                    <w:t>执行标准</w:t>
                  </w:r>
                </w:p>
              </w:tc>
            </w:tr>
            <w:tr w14:paraId="7E03F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3" w:type="dxa"/>
                  <w:noWrap w:val="0"/>
                  <w:vAlign w:val="center"/>
                </w:tcPr>
                <w:p w14:paraId="1CEBB98D">
                  <w:pPr>
                    <w:adjustRightInd w:val="0"/>
                    <w:snapToGrid w:val="0"/>
                    <w:jc w:val="center"/>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bCs/>
                      <w:color w:val="auto"/>
                      <w:spacing w:val="-10"/>
                      <w:szCs w:val="21"/>
                      <w:lang w:val="en-US" w:eastAsia="zh-CN"/>
                    </w:rPr>
                    <w:t>1</w:t>
                  </w:r>
                </w:p>
              </w:tc>
              <w:tc>
                <w:tcPr>
                  <w:tcW w:w="1178" w:type="dxa"/>
                  <w:vMerge w:val="restart"/>
                  <w:noWrap w:val="0"/>
                  <w:vAlign w:val="center"/>
                </w:tcPr>
                <w:p w14:paraId="20E01C4D">
                  <w:pPr>
                    <w:adjustRightInd w:val="0"/>
                    <w:snapToGrid w:val="0"/>
                    <w:jc w:val="center"/>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bCs/>
                      <w:color w:val="auto"/>
                      <w:spacing w:val="-10"/>
                      <w:szCs w:val="21"/>
                      <w:lang w:val="en-US" w:eastAsia="zh-CN"/>
                    </w:rPr>
                    <w:t>等效连续A声级</w:t>
                  </w:r>
                </w:p>
              </w:tc>
              <w:tc>
                <w:tcPr>
                  <w:tcW w:w="1533" w:type="dxa"/>
                  <w:noWrap w:val="0"/>
                  <w:vAlign w:val="center"/>
                </w:tcPr>
                <w:p w14:paraId="77C8FE4B">
                  <w:pPr>
                    <w:adjustRightInd w:val="0"/>
                    <w:snapToGrid w:val="0"/>
                    <w:jc w:val="center"/>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bCs/>
                      <w:color w:val="auto"/>
                      <w:spacing w:val="-10"/>
                      <w:szCs w:val="21"/>
                      <w:lang w:val="en-US" w:eastAsia="zh-CN"/>
                    </w:rPr>
                    <w:t>N1东厂界</w:t>
                  </w:r>
                </w:p>
              </w:tc>
              <w:tc>
                <w:tcPr>
                  <w:tcW w:w="1061" w:type="dxa"/>
                  <w:vMerge w:val="restart"/>
                  <w:noWrap w:val="0"/>
                  <w:vAlign w:val="center"/>
                </w:tcPr>
                <w:p w14:paraId="61335209">
                  <w:pPr>
                    <w:adjustRightInd w:val="0"/>
                    <w:snapToGrid w:val="0"/>
                    <w:jc w:val="center"/>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bCs/>
                      <w:color w:val="auto"/>
                      <w:spacing w:val="-10"/>
                      <w:szCs w:val="21"/>
                      <w:lang w:val="en-US" w:eastAsia="zh-CN"/>
                    </w:rPr>
                    <w:t>一季度一次</w:t>
                  </w:r>
                </w:p>
              </w:tc>
              <w:tc>
                <w:tcPr>
                  <w:tcW w:w="3742" w:type="dxa"/>
                  <w:vMerge w:val="restart"/>
                  <w:noWrap w:val="0"/>
                  <w:vAlign w:val="center"/>
                </w:tcPr>
                <w:p w14:paraId="50745BB8">
                  <w:pPr>
                    <w:adjustRightInd w:val="0"/>
                    <w:snapToGrid w:val="0"/>
                    <w:jc w:val="center"/>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bCs/>
                      <w:color w:val="auto"/>
                      <w:spacing w:val="-10"/>
                      <w:szCs w:val="21"/>
                      <w:lang w:val="en-US" w:eastAsia="zh-CN"/>
                    </w:rPr>
                    <w:t>《工业企业厂界环境噪声排放标准》（GB12348-2008）3类</w:t>
                  </w:r>
                </w:p>
              </w:tc>
            </w:tr>
            <w:tr w14:paraId="7CA3D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3" w:type="dxa"/>
                  <w:noWrap w:val="0"/>
                  <w:vAlign w:val="center"/>
                </w:tcPr>
                <w:p w14:paraId="34AC36A2">
                  <w:pPr>
                    <w:adjustRightInd w:val="0"/>
                    <w:snapToGrid w:val="0"/>
                    <w:jc w:val="center"/>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bCs/>
                      <w:color w:val="auto"/>
                      <w:spacing w:val="-10"/>
                      <w:szCs w:val="21"/>
                      <w:lang w:val="en-US" w:eastAsia="zh-CN"/>
                    </w:rPr>
                    <w:t>2</w:t>
                  </w:r>
                </w:p>
              </w:tc>
              <w:tc>
                <w:tcPr>
                  <w:tcW w:w="1178" w:type="dxa"/>
                  <w:vMerge w:val="continue"/>
                  <w:noWrap w:val="0"/>
                  <w:vAlign w:val="center"/>
                </w:tcPr>
                <w:p w14:paraId="295DAD59">
                  <w:pPr>
                    <w:adjustRightInd w:val="0"/>
                    <w:snapToGrid w:val="0"/>
                    <w:jc w:val="center"/>
                    <w:rPr>
                      <w:rFonts w:hint="default" w:ascii="Times New Roman" w:hAnsi="Times New Roman" w:eastAsia="宋体" w:cs="Times New Roman"/>
                      <w:bCs/>
                      <w:color w:val="auto"/>
                      <w:spacing w:val="-10"/>
                      <w:szCs w:val="21"/>
                      <w:lang w:val="en-US" w:eastAsia="zh-CN"/>
                    </w:rPr>
                  </w:pPr>
                </w:p>
              </w:tc>
              <w:tc>
                <w:tcPr>
                  <w:tcW w:w="1533" w:type="dxa"/>
                  <w:noWrap w:val="0"/>
                  <w:vAlign w:val="center"/>
                </w:tcPr>
                <w:p w14:paraId="64628B5B">
                  <w:pPr>
                    <w:adjustRightInd w:val="0"/>
                    <w:snapToGrid w:val="0"/>
                    <w:jc w:val="center"/>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bCs/>
                      <w:color w:val="auto"/>
                      <w:spacing w:val="-10"/>
                      <w:szCs w:val="21"/>
                      <w:lang w:val="en-US" w:eastAsia="zh-CN"/>
                    </w:rPr>
                    <w:t>N2南厂界</w:t>
                  </w:r>
                </w:p>
              </w:tc>
              <w:tc>
                <w:tcPr>
                  <w:tcW w:w="1061" w:type="dxa"/>
                  <w:vMerge w:val="continue"/>
                  <w:noWrap w:val="0"/>
                  <w:vAlign w:val="center"/>
                </w:tcPr>
                <w:p w14:paraId="0406CA5A">
                  <w:pPr>
                    <w:adjustRightInd w:val="0"/>
                    <w:snapToGrid w:val="0"/>
                    <w:jc w:val="center"/>
                    <w:rPr>
                      <w:rFonts w:hint="default" w:ascii="Times New Roman" w:hAnsi="Times New Roman" w:eastAsia="宋体" w:cs="Times New Roman"/>
                      <w:bCs/>
                      <w:color w:val="auto"/>
                      <w:spacing w:val="-10"/>
                      <w:szCs w:val="21"/>
                      <w:lang w:val="en-US" w:eastAsia="zh-CN"/>
                    </w:rPr>
                  </w:pPr>
                </w:p>
              </w:tc>
              <w:tc>
                <w:tcPr>
                  <w:tcW w:w="3742" w:type="dxa"/>
                  <w:vMerge w:val="continue"/>
                  <w:noWrap w:val="0"/>
                  <w:vAlign w:val="center"/>
                </w:tcPr>
                <w:p w14:paraId="26ED7836">
                  <w:pPr>
                    <w:adjustRightInd w:val="0"/>
                    <w:snapToGrid w:val="0"/>
                    <w:jc w:val="center"/>
                    <w:rPr>
                      <w:rFonts w:hint="default" w:ascii="Times New Roman" w:hAnsi="Times New Roman" w:eastAsia="宋体" w:cs="Times New Roman"/>
                      <w:bCs/>
                      <w:color w:val="auto"/>
                      <w:spacing w:val="-10"/>
                      <w:szCs w:val="21"/>
                      <w:lang w:val="en-US" w:eastAsia="zh-CN"/>
                    </w:rPr>
                  </w:pPr>
                </w:p>
              </w:tc>
            </w:tr>
            <w:tr w14:paraId="5E762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3" w:type="dxa"/>
                  <w:noWrap w:val="0"/>
                  <w:vAlign w:val="center"/>
                </w:tcPr>
                <w:p w14:paraId="1121FCA2">
                  <w:pPr>
                    <w:adjustRightInd w:val="0"/>
                    <w:snapToGrid w:val="0"/>
                    <w:jc w:val="center"/>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bCs/>
                      <w:color w:val="auto"/>
                      <w:spacing w:val="-10"/>
                      <w:szCs w:val="21"/>
                      <w:lang w:val="en-US" w:eastAsia="zh-CN"/>
                    </w:rPr>
                    <w:t>3</w:t>
                  </w:r>
                </w:p>
              </w:tc>
              <w:tc>
                <w:tcPr>
                  <w:tcW w:w="1178" w:type="dxa"/>
                  <w:vMerge w:val="continue"/>
                  <w:noWrap w:val="0"/>
                  <w:vAlign w:val="center"/>
                </w:tcPr>
                <w:p w14:paraId="3E6E21B2">
                  <w:pPr>
                    <w:adjustRightInd w:val="0"/>
                    <w:snapToGrid w:val="0"/>
                    <w:jc w:val="center"/>
                    <w:rPr>
                      <w:rFonts w:hint="default" w:ascii="Times New Roman" w:hAnsi="Times New Roman" w:eastAsia="宋体" w:cs="Times New Roman"/>
                      <w:bCs/>
                      <w:color w:val="auto"/>
                      <w:spacing w:val="-10"/>
                      <w:szCs w:val="21"/>
                      <w:lang w:val="en-US" w:eastAsia="zh-CN"/>
                    </w:rPr>
                  </w:pPr>
                </w:p>
              </w:tc>
              <w:tc>
                <w:tcPr>
                  <w:tcW w:w="1533" w:type="dxa"/>
                  <w:noWrap w:val="0"/>
                  <w:vAlign w:val="center"/>
                </w:tcPr>
                <w:p w14:paraId="094B9CA1">
                  <w:pPr>
                    <w:adjustRightInd w:val="0"/>
                    <w:snapToGrid w:val="0"/>
                    <w:jc w:val="center"/>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bCs/>
                      <w:color w:val="auto"/>
                      <w:spacing w:val="-10"/>
                      <w:szCs w:val="21"/>
                      <w:lang w:val="en-US" w:eastAsia="zh-CN"/>
                    </w:rPr>
                    <w:t>N3西厂界</w:t>
                  </w:r>
                </w:p>
              </w:tc>
              <w:tc>
                <w:tcPr>
                  <w:tcW w:w="1061" w:type="dxa"/>
                  <w:vMerge w:val="continue"/>
                  <w:noWrap w:val="0"/>
                  <w:vAlign w:val="center"/>
                </w:tcPr>
                <w:p w14:paraId="217DEDC7">
                  <w:pPr>
                    <w:adjustRightInd w:val="0"/>
                    <w:snapToGrid w:val="0"/>
                    <w:jc w:val="center"/>
                    <w:rPr>
                      <w:rFonts w:hint="default" w:ascii="Times New Roman" w:hAnsi="Times New Roman" w:eastAsia="宋体" w:cs="Times New Roman"/>
                      <w:bCs/>
                      <w:color w:val="auto"/>
                      <w:spacing w:val="-10"/>
                      <w:szCs w:val="21"/>
                      <w:lang w:val="en-US" w:eastAsia="zh-CN"/>
                    </w:rPr>
                  </w:pPr>
                </w:p>
              </w:tc>
              <w:tc>
                <w:tcPr>
                  <w:tcW w:w="3742" w:type="dxa"/>
                  <w:vMerge w:val="continue"/>
                  <w:noWrap w:val="0"/>
                  <w:vAlign w:val="center"/>
                </w:tcPr>
                <w:p w14:paraId="6505EC2D">
                  <w:pPr>
                    <w:adjustRightInd w:val="0"/>
                    <w:snapToGrid w:val="0"/>
                    <w:jc w:val="center"/>
                    <w:rPr>
                      <w:rFonts w:hint="default" w:ascii="Times New Roman" w:hAnsi="Times New Roman" w:eastAsia="宋体" w:cs="Times New Roman"/>
                      <w:bCs/>
                      <w:color w:val="auto"/>
                      <w:spacing w:val="-10"/>
                      <w:szCs w:val="21"/>
                      <w:lang w:val="en-US" w:eastAsia="zh-CN"/>
                    </w:rPr>
                  </w:pPr>
                </w:p>
              </w:tc>
            </w:tr>
            <w:tr w14:paraId="2745D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63" w:type="dxa"/>
                  <w:noWrap w:val="0"/>
                  <w:vAlign w:val="center"/>
                </w:tcPr>
                <w:p w14:paraId="4C1894A8">
                  <w:pPr>
                    <w:adjustRightInd w:val="0"/>
                    <w:snapToGrid w:val="0"/>
                    <w:jc w:val="center"/>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bCs/>
                      <w:color w:val="auto"/>
                      <w:spacing w:val="-10"/>
                      <w:szCs w:val="21"/>
                      <w:lang w:val="en-US" w:eastAsia="zh-CN"/>
                    </w:rPr>
                    <w:t>4</w:t>
                  </w:r>
                </w:p>
              </w:tc>
              <w:tc>
                <w:tcPr>
                  <w:tcW w:w="1178" w:type="dxa"/>
                  <w:vMerge w:val="continue"/>
                  <w:noWrap w:val="0"/>
                  <w:vAlign w:val="center"/>
                </w:tcPr>
                <w:p w14:paraId="3F21D88F">
                  <w:pPr>
                    <w:adjustRightInd w:val="0"/>
                    <w:snapToGrid w:val="0"/>
                    <w:jc w:val="center"/>
                    <w:rPr>
                      <w:rFonts w:hint="default" w:ascii="Times New Roman" w:hAnsi="Times New Roman" w:eastAsia="宋体" w:cs="Times New Roman"/>
                      <w:bCs/>
                      <w:color w:val="auto"/>
                      <w:spacing w:val="-10"/>
                      <w:szCs w:val="21"/>
                      <w:lang w:val="en-US" w:eastAsia="zh-CN"/>
                    </w:rPr>
                  </w:pPr>
                </w:p>
              </w:tc>
              <w:tc>
                <w:tcPr>
                  <w:tcW w:w="1533" w:type="dxa"/>
                  <w:noWrap w:val="0"/>
                  <w:vAlign w:val="center"/>
                </w:tcPr>
                <w:p w14:paraId="315BA6AB">
                  <w:pPr>
                    <w:adjustRightInd w:val="0"/>
                    <w:snapToGrid w:val="0"/>
                    <w:jc w:val="center"/>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bCs/>
                      <w:color w:val="auto"/>
                      <w:spacing w:val="-10"/>
                      <w:szCs w:val="21"/>
                      <w:lang w:val="en-US" w:eastAsia="zh-CN"/>
                    </w:rPr>
                    <w:t>N4北厂界</w:t>
                  </w:r>
                </w:p>
              </w:tc>
              <w:tc>
                <w:tcPr>
                  <w:tcW w:w="1061" w:type="dxa"/>
                  <w:vMerge w:val="continue"/>
                  <w:noWrap w:val="0"/>
                  <w:vAlign w:val="center"/>
                </w:tcPr>
                <w:p w14:paraId="62F88EF1">
                  <w:pPr>
                    <w:adjustRightInd w:val="0"/>
                    <w:snapToGrid w:val="0"/>
                    <w:jc w:val="center"/>
                    <w:rPr>
                      <w:rFonts w:hint="default" w:ascii="Times New Roman" w:hAnsi="Times New Roman" w:eastAsia="宋体" w:cs="Times New Roman"/>
                      <w:bCs/>
                      <w:color w:val="auto"/>
                      <w:spacing w:val="-10"/>
                      <w:szCs w:val="21"/>
                      <w:lang w:val="en-US" w:eastAsia="zh-CN"/>
                    </w:rPr>
                  </w:pPr>
                </w:p>
              </w:tc>
              <w:tc>
                <w:tcPr>
                  <w:tcW w:w="3742" w:type="dxa"/>
                  <w:vMerge w:val="continue"/>
                  <w:noWrap w:val="0"/>
                  <w:vAlign w:val="center"/>
                </w:tcPr>
                <w:p w14:paraId="53CCAE25">
                  <w:pPr>
                    <w:adjustRightInd w:val="0"/>
                    <w:snapToGrid w:val="0"/>
                    <w:jc w:val="center"/>
                    <w:rPr>
                      <w:rFonts w:hint="default" w:ascii="Times New Roman" w:hAnsi="Times New Roman" w:eastAsia="宋体" w:cs="Times New Roman"/>
                      <w:bCs/>
                      <w:color w:val="auto"/>
                      <w:spacing w:val="-10"/>
                      <w:szCs w:val="21"/>
                      <w:lang w:val="en-US" w:eastAsia="zh-CN"/>
                    </w:rPr>
                  </w:pPr>
                </w:p>
              </w:tc>
            </w:tr>
          </w:tbl>
          <w:p w14:paraId="6B2974E6">
            <w:pPr>
              <w:adjustRightInd w:val="0"/>
              <w:snapToGrid w:val="0"/>
              <w:jc w:val="both"/>
              <w:rPr>
                <w:rFonts w:hint="default" w:ascii="Times New Roman" w:hAnsi="Times New Roman" w:eastAsia="宋体" w:cs="Times New Roman"/>
                <w:bCs/>
                <w:color w:val="auto"/>
                <w:spacing w:val="-10"/>
                <w:szCs w:val="21"/>
                <w:lang w:val="en-US" w:eastAsia="zh-CN"/>
              </w:rPr>
            </w:pPr>
          </w:p>
        </w:tc>
      </w:tr>
    </w:tbl>
    <w:p w14:paraId="24F6BC25">
      <w:pPr>
        <w:pStyle w:val="25"/>
        <w:rPr>
          <w:rFonts w:hint="default" w:ascii="Times New Roman" w:hAnsi="Times New Roman" w:eastAsia="宋体" w:cs="Times New Roman"/>
          <w:color w:val="auto"/>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7"/>
        <w:tblW w:w="891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83"/>
        <w:gridCol w:w="8636"/>
      </w:tblGrid>
      <w:tr w14:paraId="1F197B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90" w:hRule="atLeast"/>
          <w:jc w:val="center"/>
        </w:trPr>
        <w:tc>
          <w:tcPr>
            <w:tcW w:w="283" w:type="dxa"/>
            <w:noWrap w:val="0"/>
            <w:tcMar>
              <w:left w:w="11" w:type="dxa"/>
              <w:right w:w="11" w:type="dxa"/>
            </w:tcMar>
            <w:vAlign w:val="center"/>
          </w:tcPr>
          <w:p w14:paraId="72A07137">
            <w:pPr>
              <w:pStyle w:val="25"/>
              <w:rPr>
                <w:rFonts w:hint="default" w:ascii="Times New Roman" w:hAnsi="Times New Roman" w:eastAsia="宋体" w:cs="Times New Roman"/>
                <w:color w:val="auto"/>
              </w:rPr>
            </w:pPr>
          </w:p>
        </w:tc>
        <w:tc>
          <w:tcPr>
            <w:tcW w:w="8636" w:type="dxa"/>
            <w:noWrap w:val="0"/>
            <w:tcMar>
              <w:left w:w="11" w:type="dxa"/>
              <w:right w:w="11" w:type="dxa"/>
            </w:tcMar>
            <w:vAlign w:val="top"/>
          </w:tcPr>
          <w:p w14:paraId="73694C88">
            <w:pPr>
              <w:keepNext w:val="0"/>
              <w:keepLines w:val="0"/>
              <w:pageBreakBefore w:val="0"/>
              <w:widowControl w:val="0"/>
              <w:kinsoku/>
              <w:wordWrap/>
              <w:overflowPunct/>
              <w:topLinePunct w:val="0"/>
              <w:bidi w:val="0"/>
              <w:adjustRightInd w:val="0"/>
              <w:snapToGrid w:val="0"/>
              <w:spacing w:line="360" w:lineRule="auto"/>
              <w:ind w:leftChars="0"/>
              <w:jc w:val="both"/>
              <w:textAlignment w:val="auto"/>
              <w:rPr>
                <w:rFonts w:hint="default" w:ascii="Times New Roman" w:hAnsi="Times New Roman" w:eastAsia="宋体" w:cs="Times New Roman"/>
                <w:b/>
                <w:bCs w:val="0"/>
                <w:color w:val="auto"/>
                <w:spacing w:val="-10"/>
                <w:sz w:val="24"/>
                <w:szCs w:val="24"/>
                <w:shd w:val="clear" w:fill="auto"/>
                <w:lang w:val="en-US" w:eastAsia="zh-CN"/>
              </w:rPr>
            </w:pPr>
            <w:r>
              <w:rPr>
                <w:rFonts w:hint="default" w:ascii="Times New Roman" w:hAnsi="Times New Roman" w:eastAsia="宋体" w:cs="Times New Roman"/>
                <w:b/>
                <w:bCs w:val="0"/>
                <w:color w:val="auto"/>
                <w:spacing w:val="-10"/>
                <w:sz w:val="24"/>
                <w:szCs w:val="24"/>
                <w:lang w:val="en-US" w:eastAsia="zh-CN"/>
              </w:rPr>
              <w:t>4.4固体</w:t>
            </w:r>
            <w:r>
              <w:rPr>
                <w:rFonts w:hint="default" w:ascii="Times New Roman" w:hAnsi="Times New Roman" w:eastAsia="宋体" w:cs="Times New Roman"/>
                <w:b/>
                <w:bCs w:val="0"/>
                <w:color w:val="auto"/>
                <w:spacing w:val="-10"/>
                <w:sz w:val="24"/>
                <w:szCs w:val="24"/>
                <w:shd w:val="clear" w:fill="auto"/>
                <w:lang w:val="en-US" w:eastAsia="zh-CN"/>
              </w:rPr>
              <w:t>废物</w:t>
            </w:r>
          </w:p>
          <w:p w14:paraId="14E7799F">
            <w:pPr>
              <w:pStyle w:val="25"/>
              <w:keepNext w:val="0"/>
              <w:keepLines w:val="0"/>
              <w:pageBreakBefore w:val="0"/>
              <w:widowControl w:val="0"/>
              <w:kinsoku/>
              <w:wordWrap/>
              <w:overflowPunct/>
              <w:topLinePunct w:val="0"/>
              <w:bidi w:val="0"/>
              <w:adjustRightInd w:val="0"/>
              <w:snapToGrid w:val="0"/>
              <w:spacing w:line="360" w:lineRule="auto"/>
              <w:ind w:leftChars="0"/>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b/>
                <w:bCs w:val="0"/>
                <w:color w:val="auto"/>
                <w:spacing w:val="-10"/>
                <w:sz w:val="24"/>
                <w:szCs w:val="24"/>
                <w:shd w:val="clear" w:fill="auto"/>
                <w:lang w:val="en-US" w:eastAsia="zh-CN"/>
              </w:rPr>
              <w:t>4.4.1固体废物产生情况</w:t>
            </w:r>
          </w:p>
          <w:p w14:paraId="70328455">
            <w:pPr>
              <w:pStyle w:val="25"/>
              <w:keepNext w:val="0"/>
              <w:keepLines w:val="0"/>
              <w:pageBreakBefore w:val="0"/>
              <w:widowControl w:val="0"/>
              <w:kinsoku/>
              <w:wordWrap/>
              <w:overflowPunct/>
              <w:topLinePunct w:val="0"/>
              <w:autoSpaceDE w:val="0"/>
              <w:autoSpaceDN w:val="0"/>
              <w:bidi w:val="0"/>
              <w:adjustRightInd w:val="0"/>
              <w:snapToGrid w:val="0"/>
              <w:spacing w:line="360" w:lineRule="auto"/>
              <w:ind w:leftChars="0" w:firstLine="440" w:firstLineChars="200"/>
              <w:textAlignment w:val="auto"/>
              <w:rPr>
                <w:rFonts w:hint="default" w:ascii="Times New Roman" w:hAnsi="Times New Roman" w:eastAsia="宋体" w:cs="Times New Roman"/>
                <w:b w:val="0"/>
                <w:bCs/>
                <w:color w:val="auto"/>
                <w:spacing w:val="-10"/>
                <w:sz w:val="24"/>
                <w:szCs w:val="24"/>
                <w:lang w:val="en-US" w:eastAsia="zh-CN"/>
              </w:rPr>
            </w:pPr>
            <w:r>
              <w:rPr>
                <w:rFonts w:hint="default" w:ascii="Times New Roman" w:hAnsi="Times New Roman" w:eastAsia="宋体" w:cs="Times New Roman"/>
                <w:b w:val="0"/>
                <w:bCs/>
                <w:color w:val="auto"/>
                <w:spacing w:val="-10"/>
                <w:sz w:val="24"/>
                <w:szCs w:val="24"/>
                <w:lang w:val="en-US" w:eastAsia="zh-CN"/>
              </w:rPr>
              <w:t>本项目产生的固体废物：主要包括生活垃圾、边角料、</w:t>
            </w:r>
            <w:r>
              <w:rPr>
                <w:rFonts w:hint="eastAsia" w:ascii="Times New Roman" w:hAnsi="Times New Roman" w:cs="Times New Roman"/>
                <w:b w:val="0"/>
                <w:bCs/>
                <w:color w:val="auto"/>
                <w:spacing w:val="-10"/>
                <w:sz w:val="24"/>
                <w:szCs w:val="24"/>
                <w:lang w:val="en-US" w:eastAsia="zh-CN"/>
              </w:rPr>
              <w:t>含切削液铝屑</w:t>
            </w:r>
            <w:r>
              <w:rPr>
                <w:rFonts w:hint="eastAsia" w:ascii="Times New Roman" w:hAnsi="Times New Roman" w:eastAsia="宋体" w:cs="Times New Roman"/>
                <w:b w:val="0"/>
                <w:bCs/>
                <w:color w:val="auto"/>
                <w:spacing w:val="-10"/>
                <w:sz w:val="24"/>
                <w:szCs w:val="24"/>
                <w:lang w:val="en-US" w:eastAsia="zh-CN"/>
              </w:rPr>
              <w:t>、次品</w:t>
            </w:r>
            <w:r>
              <w:rPr>
                <w:rFonts w:hint="default" w:ascii="Times New Roman" w:hAnsi="Times New Roman" w:eastAsia="宋体" w:cs="Times New Roman"/>
                <w:b w:val="0"/>
                <w:bCs/>
                <w:color w:val="auto"/>
                <w:spacing w:val="-10"/>
                <w:sz w:val="24"/>
                <w:szCs w:val="24"/>
                <w:lang w:val="en-US" w:eastAsia="zh-CN"/>
              </w:rPr>
              <w:t>、</w:t>
            </w:r>
            <w:r>
              <w:rPr>
                <w:rFonts w:hint="eastAsia" w:ascii="Times New Roman" w:hAnsi="Times New Roman" w:eastAsia="宋体" w:cs="Times New Roman"/>
                <w:b w:val="0"/>
                <w:bCs/>
                <w:color w:val="auto"/>
                <w:spacing w:val="-10"/>
                <w:sz w:val="24"/>
                <w:szCs w:val="24"/>
                <w:lang w:val="en-US" w:eastAsia="zh-CN"/>
              </w:rPr>
              <w:t>废切削液</w:t>
            </w:r>
            <w:r>
              <w:rPr>
                <w:rFonts w:hint="default" w:ascii="Times New Roman" w:hAnsi="Times New Roman" w:eastAsia="宋体" w:cs="Times New Roman"/>
                <w:b w:val="0"/>
                <w:bCs/>
                <w:color w:val="auto"/>
                <w:spacing w:val="-10"/>
                <w:sz w:val="24"/>
                <w:szCs w:val="24"/>
                <w:lang w:val="en-US" w:eastAsia="zh-CN"/>
              </w:rPr>
              <w:t>、</w:t>
            </w:r>
            <w:r>
              <w:rPr>
                <w:rFonts w:hint="eastAsia" w:ascii="Times New Roman" w:hAnsi="Times New Roman" w:eastAsia="宋体" w:cs="Times New Roman"/>
                <w:b w:val="0"/>
                <w:bCs/>
                <w:color w:val="auto"/>
                <w:spacing w:val="-10"/>
                <w:sz w:val="24"/>
                <w:szCs w:val="24"/>
                <w:lang w:val="en-US" w:eastAsia="zh-CN"/>
              </w:rPr>
              <w:t>清洗废液、</w:t>
            </w:r>
            <w:r>
              <w:rPr>
                <w:rFonts w:hint="eastAsia" w:ascii="Times New Roman" w:hAnsi="Times New Roman" w:cs="Times New Roman"/>
                <w:b w:val="0"/>
                <w:bCs/>
                <w:color w:val="auto"/>
                <w:spacing w:val="-10"/>
                <w:sz w:val="24"/>
                <w:szCs w:val="24"/>
                <w:lang w:val="en-US" w:eastAsia="zh-CN"/>
              </w:rPr>
              <w:t>废切削液桶</w:t>
            </w:r>
            <w:r>
              <w:rPr>
                <w:rFonts w:hint="default" w:ascii="Times New Roman" w:hAnsi="Times New Roman" w:eastAsia="宋体" w:cs="Times New Roman"/>
                <w:b w:val="0"/>
                <w:bCs/>
                <w:color w:val="auto"/>
                <w:spacing w:val="-10"/>
                <w:sz w:val="24"/>
                <w:szCs w:val="24"/>
                <w:lang w:val="en-US" w:eastAsia="zh-CN"/>
              </w:rPr>
              <w:t>、</w:t>
            </w:r>
            <w:r>
              <w:rPr>
                <w:rFonts w:hint="eastAsia" w:ascii="Times New Roman" w:hAnsi="Times New Roman" w:cs="Times New Roman"/>
                <w:b w:val="0"/>
                <w:bCs/>
                <w:color w:val="auto"/>
                <w:spacing w:val="-10"/>
                <w:sz w:val="24"/>
                <w:szCs w:val="24"/>
                <w:lang w:val="en-US" w:eastAsia="zh-CN"/>
              </w:rPr>
              <w:t>废机油桶、废清洗剂桶</w:t>
            </w:r>
            <w:r>
              <w:rPr>
                <w:rFonts w:hint="default" w:ascii="Times New Roman" w:hAnsi="Times New Roman" w:eastAsia="宋体" w:cs="Times New Roman"/>
                <w:b w:val="0"/>
                <w:bCs/>
                <w:color w:val="auto"/>
                <w:spacing w:val="-10"/>
                <w:sz w:val="24"/>
                <w:szCs w:val="24"/>
                <w:lang w:val="en-US" w:eastAsia="zh-CN"/>
              </w:rPr>
              <w:t>、</w:t>
            </w:r>
            <w:r>
              <w:rPr>
                <w:rFonts w:hint="eastAsia" w:ascii="Times New Roman" w:hAnsi="Times New Roman" w:eastAsia="宋体" w:cs="Times New Roman"/>
                <w:b w:val="0"/>
                <w:bCs/>
                <w:color w:val="auto"/>
                <w:spacing w:val="-10"/>
                <w:sz w:val="24"/>
                <w:szCs w:val="24"/>
                <w:lang w:val="en-US" w:eastAsia="zh-CN"/>
              </w:rPr>
              <w:t>废机油、</w:t>
            </w:r>
            <w:r>
              <w:rPr>
                <w:rFonts w:hint="eastAsia" w:ascii="Times New Roman" w:hAnsi="Times New Roman" w:cs="Times New Roman"/>
                <w:b w:val="0"/>
                <w:bCs/>
                <w:color w:val="auto"/>
                <w:spacing w:val="-10"/>
                <w:sz w:val="24"/>
                <w:szCs w:val="24"/>
                <w:lang w:val="en-US" w:eastAsia="zh-CN"/>
              </w:rPr>
              <w:t>含油废抹布手套</w:t>
            </w:r>
            <w:r>
              <w:rPr>
                <w:rFonts w:hint="eastAsia" w:ascii="Times New Roman" w:hAnsi="Times New Roman" w:eastAsia="宋体" w:cs="Times New Roman"/>
                <w:b w:val="0"/>
                <w:bCs/>
                <w:color w:val="auto"/>
                <w:spacing w:val="-10"/>
                <w:sz w:val="24"/>
                <w:szCs w:val="24"/>
                <w:lang w:val="en-US" w:eastAsia="zh-CN"/>
              </w:rPr>
              <w:t>、污泥</w:t>
            </w:r>
            <w:r>
              <w:rPr>
                <w:rFonts w:hint="eastAsia" w:ascii="Times New Roman" w:hAnsi="Times New Roman" w:cs="Times New Roman"/>
                <w:b w:val="0"/>
                <w:bCs/>
                <w:color w:val="auto"/>
                <w:spacing w:val="-10"/>
                <w:sz w:val="24"/>
                <w:szCs w:val="24"/>
                <w:lang w:val="en-US" w:eastAsia="zh-CN"/>
              </w:rPr>
              <w:t>、废包装袋</w:t>
            </w:r>
            <w:r>
              <w:rPr>
                <w:rFonts w:hint="default" w:ascii="Times New Roman" w:hAnsi="Times New Roman" w:eastAsia="宋体" w:cs="Times New Roman"/>
                <w:b w:val="0"/>
                <w:bCs/>
                <w:color w:val="auto"/>
                <w:spacing w:val="-10"/>
                <w:sz w:val="24"/>
                <w:szCs w:val="24"/>
                <w:lang w:val="en-US" w:eastAsia="zh-CN"/>
              </w:rPr>
              <w:t>等。</w:t>
            </w:r>
          </w:p>
          <w:p w14:paraId="57A5AA9B">
            <w:pPr>
              <w:pStyle w:val="25"/>
              <w:keepNext w:val="0"/>
              <w:keepLines w:val="0"/>
              <w:pageBreakBefore w:val="0"/>
              <w:widowControl w:val="0"/>
              <w:kinsoku/>
              <w:wordWrap/>
              <w:overflowPunct/>
              <w:topLinePunct w:val="0"/>
              <w:bidi w:val="0"/>
              <w:adjustRightInd w:val="0"/>
              <w:snapToGrid w:val="0"/>
              <w:spacing w:line="360" w:lineRule="auto"/>
              <w:ind w:leftChars="0" w:firstLine="440" w:firstLineChars="200"/>
              <w:textAlignment w:val="auto"/>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val="0"/>
                <w:bCs/>
                <w:color w:val="auto"/>
                <w:spacing w:val="-10"/>
                <w:sz w:val="24"/>
                <w:szCs w:val="24"/>
                <w:lang w:val="en-US" w:eastAsia="zh-CN"/>
              </w:rPr>
              <w:t>（1）生活</w:t>
            </w:r>
            <w:r>
              <w:rPr>
                <w:rFonts w:hint="default" w:ascii="Times New Roman" w:hAnsi="Times New Roman" w:eastAsia="宋体" w:cs="Times New Roman"/>
                <w:b w:val="0"/>
                <w:bCs/>
                <w:color w:val="auto"/>
                <w:spacing w:val="-10"/>
                <w:sz w:val="24"/>
                <w:szCs w:val="24"/>
                <w:shd w:val="clear" w:fill="auto"/>
                <w:lang w:val="en-US" w:eastAsia="zh-CN"/>
              </w:rPr>
              <w:t>垃圾</w:t>
            </w:r>
          </w:p>
          <w:p w14:paraId="70EB20AE">
            <w:pPr>
              <w:pStyle w:val="25"/>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firstLine="480" w:firstLineChars="200"/>
              <w:textAlignment w:val="auto"/>
              <w:rPr>
                <w:rFonts w:hint="default" w:ascii="Times New Roman" w:hAnsi="Times New Roman" w:eastAsia="宋体" w:cs="Times New Roman"/>
                <w:b w:val="0"/>
                <w:bCs/>
                <w:color w:val="auto"/>
                <w:spacing w:val="-10"/>
                <w:sz w:val="24"/>
                <w:szCs w:val="24"/>
                <w:lang w:val="en-US" w:eastAsia="zh-CN"/>
              </w:rPr>
            </w:pPr>
            <w:r>
              <w:rPr>
                <w:rFonts w:hint="eastAsia" w:ascii="Times New Roman" w:hAnsi="Times New Roman" w:cs="Times New Roman"/>
                <w:b w:val="0"/>
                <w:bCs/>
                <w:color w:val="auto"/>
                <w:sz w:val="24"/>
                <w:szCs w:val="24"/>
                <w:lang w:val="en-US" w:eastAsia="zh-CN"/>
              </w:rPr>
              <w:t>项目劳动定</w:t>
            </w:r>
            <w:r>
              <w:rPr>
                <w:rFonts w:hint="default" w:ascii="Times New Roman" w:hAnsi="Times New Roman" w:eastAsia="宋体" w:cs="Times New Roman"/>
                <w:b w:val="0"/>
                <w:bCs/>
                <w:color w:val="auto"/>
                <w:sz w:val="24"/>
                <w:szCs w:val="24"/>
              </w:rPr>
              <w:t>员</w:t>
            </w:r>
            <w:r>
              <w:rPr>
                <w:rFonts w:hint="eastAsia" w:ascii="Times New Roman" w:hAnsi="Times New Roman" w:cs="Times New Roman"/>
                <w:b w:val="0"/>
                <w:bCs/>
                <w:color w:val="auto"/>
                <w:sz w:val="24"/>
                <w:szCs w:val="24"/>
                <w:lang w:val="en-US" w:eastAsia="zh-CN"/>
              </w:rPr>
              <w:t>2</w:t>
            </w:r>
            <w:r>
              <w:rPr>
                <w:rFonts w:hint="default" w:ascii="Times New Roman" w:hAnsi="Times New Roman" w:eastAsia="宋体" w:cs="Times New Roman"/>
                <w:b w:val="0"/>
                <w:bCs/>
                <w:color w:val="auto"/>
                <w:sz w:val="24"/>
                <w:szCs w:val="24"/>
                <w:lang w:val="en-US" w:eastAsia="zh-CN"/>
              </w:rPr>
              <w:t>0</w:t>
            </w:r>
            <w:r>
              <w:rPr>
                <w:rFonts w:hint="default" w:ascii="Times New Roman" w:hAnsi="Times New Roman" w:eastAsia="宋体" w:cs="Times New Roman"/>
                <w:b w:val="0"/>
                <w:bCs/>
                <w:color w:val="auto"/>
                <w:spacing w:val="-10"/>
                <w:sz w:val="24"/>
                <w:szCs w:val="24"/>
                <w:lang w:val="en-US" w:eastAsia="zh-CN"/>
              </w:rPr>
              <w:t>人，每人每天生活垃圾产生量为0.5kg，全年工作</w:t>
            </w:r>
            <w:r>
              <w:rPr>
                <w:rFonts w:hint="eastAsia" w:ascii="Times New Roman" w:hAnsi="Times New Roman" w:eastAsia="宋体" w:cs="Times New Roman"/>
                <w:b w:val="0"/>
                <w:bCs/>
                <w:color w:val="auto"/>
                <w:spacing w:val="-10"/>
                <w:sz w:val="24"/>
                <w:szCs w:val="24"/>
                <w:lang w:val="en-US" w:eastAsia="zh-CN"/>
              </w:rPr>
              <w:t>30</w:t>
            </w:r>
            <w:r>
              <w:rPr>
                <w:rFonts w:hint="default" w:ascii="Times New Roman" w:hAnsi="Times New Roman" w:eastAsia="宋体" w:cs="Times New Roman"/>
                <w:b w:val="0"/>
                <w:bCs/>
                <w:color w:val="auto"/>
                <w:spacing w:val="-10"/>
                <w:sz w:val="24"/>
                <w:szCs w:val="24"/>
                <w:lang w:val="en-US" w:eastAsia="zh-CN"/>
              </w:rPr>
              <w:t>0天，生活垃圾产生量为</w:t>
            </w:r>
            <w:r>
              <w:rPr>
                <w:rFonts w:hint="eastAsia" w:ascii="Times New Roman" w:hAnsi="Times New Roman" w:eastAsia="宋体" w:cs="Times New Roman"/>
                <w:b w:val="0"/>
                <w:bCs/>
                <w:color w:val="auto"/>
                <w:spacing w:val="-10"/>
                <w:sz w:val="24"/>
                <w:szCs w:val="24"/>
                <w:lang w:val="en-US" w:eastAsia="zh-CN"/>
              </w:rPr>
              <w:t>3</w:t>
            </w:r>
            <w:r>
              <w:rPr>
                <w:rFonts w:hint="default" w:ascii="Times New Roman" w:hAnsi="Times New Roman" w:eastAsia="宋体" w:cs="Times New Roman"/>
                <w:b w:val="0"/>
                <w:bCs/>
                <w:color w:val="auto"/>
                <w:spacing w:val="-10"/>
                <w:sz w:val="24"/>
                <w:szCs w:val="24"/>
                <w:lang w:val="en-US" w:eastAsia="zh-CN"/>
              </w:rPr>
              <w:t>t/a。</w:t>
            </w:r>
          </w:p>
          <w:p w14:paraId="74762462">
            <w:pPr>
              <w:pStyle w:val="25"/>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firstLine="440" w:firstLineChars="200"/>
              <w:textAlignment w:val="auto"/>
              <w:rPr>
                <w:rFonts w:hint="eastAsia" w:ascii="Times New Roman" w:hAnsi="Times New Roman" w:eastAsia="宋体" w:cs="Times New Roman"/>
                <w:b w:val="0"/>
                <w:bCs/>
                <w:color w:val="auto"/>
                <w:spacing w:val="-10"/>
                <w:sz w:val="24"/>
                <w:szCs w:val="24"/>
                <w:lang w:val="en-US" w:eastAsia="zh-CN"/>
              </w:rPr>
            </w:pPr>
            <w:r>
              <w:rPr>
                <w:rFonts w:hint="eastAsia" w:ascii="Times New Roman" w:hAnsi="Times New Roman" w:eastAsia="宋体" w:cs="Times New Roman"/>
                <w:b w:val="0"/>
                <w:bCs/>
                <w:color w:val="auto"/>
                <w:spacing w:val="-10"/>
                <w:sz w:val="24"/>
                <w:szCs w:val="24"/>
                <w:lang w:val="en-US" w:eastAsia="zh-CN"/>
              </w:rPr>
              <w:t>（2）</w:t>
            </w:r>
            <w:r>
              <w:rPr>
                <w:rFonts w:hint="default" w:ascii="Times New Roman" w:hAnsi="Times New Roman" w:eastAsia="宋体" w:cs="Times New Roman"/>
                <w:b w:val="0"/>
                <w:bCs/>
                <w:color w:val="auto"/>
                <w:spacing w:val="-10"/>
                <w:sz w:val="24"/>
                <w:szCs w:val="24"/>
                <w:lang w:val="en-US" w:eastAsia="zh-CN"/>
              </w:rPr>
              <w:t>边角料</w:t>
            </w:r>
          </w:p>
          <w:p w14:paraId="33F8B075">
            <w:pPr>
              <w:pStyle w:val="25"/>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firstLine="440" w:firstLineChars="200"/>
              <w:textAlignment w:val="auto"/>
              <w:rPr>
                <w:rFonts w:hint="default" w:ascii="Times New Roman" w:hAnsi="Times New Roman" w:eastAsia="宋体" w:cs="Times New Roman"/>
                <w:b w:val="0"/>
                <w:bCs/>
                <w:color w:val="auto"/>
                <w:spacing w:val="-10"/>
                <w:sz w:val="24"/>
                <w:szCs w:val="24"/>
                <w:lang w:val="en-US" w:eastAsia="zh-CN"/>
              </w:rPr>
            </w:pPr>
            <w:r>
              <w:rPr>
                <w:rFonts w:hint="eastAsia" w:ascii="Times New Roman" w:hAnsi="Times New Roman" w:eastAsia="宋体" w:cs="Times New Roman"/>
                <w:b w:val="0"/>
                <w:bCs/>
                <w:color w:val="auto"/>
                <w:spacing w:val="-10"/>
                <w:sz w:val="24"/>
                <w:szCs w:val="24"/>
                <w:lang w:val="en-US" w:eastAsia="zh-CN"/>
              </w:rPr>
              <w:t>项目下料、机加工过程产生少量金属</w:t>
            </w:r>
            <w:r>
              <w:rPr>
                <w:rFonts w:hint="default" w:ascii="Times New Roman" w:hAnsi="Times New Roman" w:eastAsia="宋体" w:cs="Times New Roman"/>
                <w:b w:val="0"/>
                <w:bCs/>
                <w:color w:val="auto"/>
                <w:spacing w:val="-10"/>
                <w:sz w:val="24"/>
                <w:szCs w:val="24"/>
                <w:lang w:val="en-US" w:eastAsia="zh-CN"/>
              </w:rPr>
              <w:t>边角料</w:t>
            </w:r>
            <w:r>
              <w:rPr>
                <w:rFonts w:hint="eastAsia" w:ascii="Times New Roman" w:hAnsi="Times New Roman" w:eastAsia="宋体" w:cs="Times New Roman"/>
                <w:b w:val="0"/>
                <w:bCs/>
                <w:color w:val="auto"/>
                <w:spacing w:val="-10"/>
                <w:sz w:val="24"/>
                <w:szCs w:val="24"/>
                <w:lang w:val="en-US" w:eastAsia="zh-CN"/>
              </w:rPr>
              <w:t>，项目</w:t>
            </w:r>
            <w:r>
              <w:rPr>
                <w:rFonts w:hint="default" w:ascii="Times New Roman" w:hAnsi="Times New Roman" w:eastAsia="宋体" w:cs="Times New Roman"/>
                <w:b w:val="0"/>
                <w:bCs/>
                <w:color w:val="auto"/>
                <w:spacing w:val="-10"/>
                <w:sz w:val="24"/>
                <w:szCs w:val="24"/>
                <w:lang w:val="en-US" w:eastAsia="zh-CN"/>
              </w:rPr>
              <w:t>铝型材</w:t>
            </w:r>
            <w:r>
              <w:rPr>
                <w:rFonts w:hint="eastAsia" w:ascii="Times New Roman" w:hAnsi="Times New Roman" w:eastAsia="宋体" w:cs="Times New Roman"/>
                <w:b w:val="0"/>
                <w:bCs/>
                <w:color w:val="auto"/>
                <w:spacing w:val="-10"/>
                <w:sz w:val="24"/>
                <w:szCs w:val="24"/>
                <w:lang w:val="en-US" w:eastAsia="zh-CN"/>
              </w:rPr>
              <w:t>用量为</w:t>
            </w:r>
            <w:r>
              <w:rPr>
                <w:rFonts w:hint="eastAsia" w:ascii="Times New Roman" w:hAnsi="Times New Roman" w:cs="Times New Roman"/>
                <w:b w:val="0"/>
                <w:bCs/>
                <w:color w:val="auto"/>
                <w:spacing w:val="-10"/>
                <w:sz w:val="24"/>
                <w:szCs w:val="24"/>
                <w:lang w:val="en-US" w:eastAsia="zh-CN"/>
              </w:rPr>
              <w:t>1040</w:t>
            </w:r>
            <w:r>
              <w:rPr>
                <w:rFonts w:hint="eastAsia" w:ascii="Times New Roman" w:hAnsi="Times New Roman" w:eastAsia="宋体" w:cs="Times New Roman"/>
                <w:b w:val="0"/>
                <w:bCs/>
                <w:color w:val="auto"/>
                <w:spacing w:val="-10"/>
                <w:sz w:val="24"/>
                <w:szCs w:val="24"/>
                <w:lang w:val="en-US" w:eastAsia="zh-CN"/>
              </w:rPr>
              <w:t>t/a，</w:t>
            </w:r>
            <w:r>
              <w:rPr>
                <w:rFonts w:hint="default" w:ascii="Times New Roman" w:hAnsi="Times New Roman" w:eastAsia="宋体" w:cs="Times New Roman"/>
                <w:b w:val="0"/>
                <w:bCs/>
                <w:color w:val="auto"/>
                <w:spacing w:val="-10"/>
                <w:sz w:val="24"/>
                <w:szCs w:val="24"/>
                <w:lang w:val="en-US" w:eastAsia="zh-CN"/>
              </w:rPr>
              <w:t>边角料</w:t>
            </w:r>
            <w:r>
              <w:rPr>
                <w:rFonts w:hint="eastAsia" w:ascii="Times New Roman" w:hAnsi="Times New Roman" w:eastAsia="宋体" w:cs="Times New Roman"/>
                <w:b w:val="0"/>
                <w:bCs/>
                <w:color w:val="auto"/>
                <w:spacing w:val="-10"/>
                <w:sz w:val="24"/>
                <w:szCs w:val="24"/>
                <w:lang w:val="en-US" w:eastAsia="zh-CN"/>
              </w:rPr>
              <w:t>约为原料用量的2%，则</w:t>
            </w:r>
            <w:r>
              <w:rPr>
                <w:rFonts w:hint="default" w:ascii="Times New Roman" w:hAnsi="Times New Roman" w:eastAsia="宋体" w:cs="Times New Roman"/>
                <w:b w:val="0"/>
                <w:bCs/>
                <w:color w:val="auto"/>
                <w:spacing w:val="-10"/>
                <w:sz w:val="24"/>
                <w:szCs w:val="24"/>
                <w:lang w:val="en-US" w:eastAsia="zh-CN"/>
              </w:rPr>
              <w:t>边角料</w:t>
            </w:r>
            <w:r>
              <w:rPr>
                <w:rFonts w:hint="eastAsia" w:ascii="Times New Roman" w:hAnsi="Times New Roman" w:eastAsia="宋体" w:cs="Times New Roman"/>
                <w:b w:val="0"/>
                <w:bCs/>
                <w:color w:val="auto"/>
                <w:spacing w:val="-10"/>
                <w:sz w:val="24"/>
                <w:szCs w:val="24"/>
                <w:lang w:val="en-US" w:eastAsia="zh-CN"/>
              </w:rPr>
              <w:t>产生量约</w:t>
            </w:r>
            <w:r>
              <w:rPr>
                <w:rFonts w:hint="eastAsia" w:ascii="Times New Roman" w:hAnsi="Times New Roman" w:cs="Times New Roman"/>
                <w:b w:val="0"/>
                <w:bCs/>
                <w:color w:val="auto"/>
                <w:spacing w:val="-10"/>
                <w:sz w:val="24"/>
                <w:szCs w:val="24"/>
                <w:lang w:val="en-US" w:eastAsia="zh-CN"/>
              </w:rPr>
              <w:t>20.8</w:t>
            </w:r>
            <w:r>
              <w:rPr>
                <w:rFonts w:hint="default" w:ascii="Times New Roman" w:hAnsi="Times New Roman" w:eastAsia="宋体" w:cs="Times New Roman"/>
                <w:b w:val="0"/>
                <w:bCs/>
                <w:color w:val="auto"/>
                <w:spacing w:val="-10"/>
                <w:sz w:val="24"/>
                <w:szCs w:val="24"/>
                <w:lang w:val="en-US" w:eastAsia="zh-CN"/>
              </w:rPr>
              <w:t>t/a。</w:t>
            </w:r>
          </w:p>
          <w:p w14:paraId="7C9A6EE9">
            <w:pPr>
              <w:pStyle w:val="25"/>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firstLine="440" w:firstLineChars="200"/>
              <w:textAlignment w:val="auto"/>
              <w:rPr>
                <w:rFonts w:hint="default" w:ascii="Times New Roman" w:hAnsi="Times New Roman" w:eastAsia="宋体" w:cs="Times New Roman"/>
                <w:b w:val="0"/>
                <w:bCs/>
                <w:color w:val="auto"/>
                <w:spacing w:val="-10"/>
                <w:sz w:val="24"/>
                <w:szCs w:val="24"/>
                <w:highlight w:val="none"/>
                <w:lang w:val="en-US" w:eastAsia="zh-CN"/>
              </w:rPr>
            </w:pPr>
            <w:r>
              <w:rPr>
                <w:rFonts w:hint="eastAsia" w:ascii="Times New Roman" w:hAnsi="Times New Roman" w:cs="Times New Roman"/>
                <w:b w:val="0"/>
                <w:bCs/>
                <w:color w:val="auto"/>
                <w:spacing w:val="-10"/>
                <w:sz w:val="24"/>
                <w:szCs w:val="24"/>
                <w:highlight w:val="none"/>
                <w:lang w:val="en-US" w:eastAsia="zh-CN"/>
              </w:rPr>
              <w:t>（3）次品</w:t>
            </w:r>
          </w:p>
          <w:p w14:paraId="222A7A8F">
            <w:pPr>
              <w:pStyle w:val="25"/>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firstLine="440" w:firstLineChars="200"/>
              <w:textAlignment w:val="auto"/>
              <w:rPr>
                <w:rFonts w:hint="default" w:ascii="Times New Roman" w:hAnsi="Times New Roman" w:eastAsia="宋体" w:cs="Times New Roman"/>
                <w:b w:val="0"/>
                <w:bCs/>
                <w:color w:val="auto"/>
                <w:spacing w:val="-10"/>
                <w:sz w:val="24"/>
                <w:szCs w:val="24"/>
                <w:highlight w:val="none"/>
                <w:lang w:val="en-US" w:eastAsia="zh-CN"/>
              </w:rPr>
            </w:pPr>
            <w:r>
              <w:rPr>
                <w:rFonts w:hint="default" w:ascii="Times New Roman" w:hAnsi="Times New Roman" w:eastAsia="宋体" w:cs="Times New Roman"/>
                <w:b w:val="0"/>
                <w:bCs/>
                <w:color w:val="auto"/>
                <w:spacing w:val="-10"/>
                <w:sz w:val="24"/>
                <w:szCs w:val="24"/>
                <w:lang w:val="en-US" w:eastAsia="zh-CN"/>
              </w:rPr>
              <w:t>本项目</w:t>
            </w:r>
            <w:r>
              <w:rPr>
                <w:rFonts w:hint="eastAsia" w:ascii="Times New Roman" w:hAnsi="Times New Roman" w:cs="Times New Roman"/>
                <w:b w:val="0"/>
                <w:bCs/>
                <w:color w:val="auto"/>
                <w:spacing w:val="-10"/>
                <w:sz w:val="24"/>
                <w:szCs w:val="24"/>
                <w:lang w:val="en-US" w:eastAsia="zh-CN"/>
              </w:rPr>
              <w:t>检验过程产生少量次品，根</w:t>
            </w:r>
            <w:r>
              <w:rPr>
                <w:rFonts w:hint="default" w:ascii="Times New Roman" w:hAnsi="Times New Roman" w:eastAsia="宋体" w:cs="Times New Roman"/>
                <w:b w:val="0"/>
                <w:bCs/>
                <w:color w:val="auto"/>
                <w:spacing w:val="-10"/>
                <w:sz w:val="24"/>
                <w:szCs w:val="24"/>
                <w:lang w:val="en-US" w:eastAsia="zh-CN"/>
              </w:rPr>
              <w:t>据建设单位提供资料</w:t>
            </w:r>
            <w:r>
              <w:rPr>
                <w:rFonts w:hint="eastAsia" w:ascii="Times New Roman" w:hAnsi="Times New Roman" w:eastAsia="宋体" w:cs="Times New Roman"/>
                <w:b w:val="0"/>
                <w:bCs/>
                <w:color w:val="auto"/>
                <w:spacing w:val="-10"/>
                <w:sz w:val="24"/>
                <w:szCs w:val="24"/>
                <w:lang w:val="en-US" w:eastAsia="zh-CN"/>
              </w:rPr>
              <w:t>，次品产生量约为原料用量的1%，则</w:t>
            </w:r>
            <w:r>
              <w:rPr>
                <w:rFonts w:hint="eastAsia" w:ascii="Times New Roman" w:hAnsi="Times New Roman" w:cs="Times New Roman"/>
                <w:b w:val="0"/>
                <w:bCs/>
                <w:color w:val="auto"/>
                <w:spacing w:val="-10"/>
                <w:sz w:val="24"/>
                <w:szCs w:val="24"/>
                <w:lang w:val="en-US" w:eastAsia="zh-CN"/>
              </w:rPr>
              <w:t>次品</w:t>
            </w:r>
            <w:r>
              <w:rPr>
                <w:rFonts w:hint="default" w:ascii="Times New Roman" w:hAnsi="Times New Roman" w:eastAsia="宋体" w:cs="Times New Roman"/>
                <w:b w:val="0"/>
                <w:bCs/>
                <w:color w:val="auto"/>
                <w:spacing w:val="-10"/>
                <w:sz w:val="24"/>
                <w:szCs w:val="24"/>
                <w:lang w:val="en-US" w:eastAsia="zh-CN"/>
              </w:rPr>
              <w:t>产生量</w:t>
            </w:r>
            <w:r>
              <w:rPr>
                <w:rFonts w:hint="eastAsia" w:ascii="Times New Roman" w:hAnsi="Times New Roman" w:eastAsia="宋体" w:cs="Times New Roman"/>
                <w:b w:val="0"/>
                <w:bCs/>
                <w:color w:val="auto"/>
                <w:spacing w:val="-10"/>
                <w:sz w:val="24"/>
                <w:szCs w:val="24"/>
                <w:lang w:val="en-US" w:eastAsia="zh-CN"/>
              </w:rPr>
              <w:t>约</w:t>
            </w:r>
            <w:r>
              <w:rPr>
                <w:rFonts w:hint="default" w:ascii="Times New Roman" w:hAnsi="Times New Roman" w:eastAsia="宋体" w:cs="Times New Roman"/>
                <w:b w:val="0"/>
                <w:bCs/>
                <w:color w:val="auto"/>
                <w:spacing w:val="-10"/>
                <w:sz w:val="24"/>
                <w:szCs w:val="24"/>
                <w:lang w:val="en-US" w:eastAsia="zh-CN"/>
              </w:rPr>
              <w:t>为</w:t>
            </w:r>
            <w:r>
              <w:rPr>
                <w:rFonts w:hint="eastAsia" w:ascii="Times New Roman" w:hAnsi="Times New Roman" w:cs="Times New Roman"/>
                <w:b w:val="0"/>
                <w:bCs/>
                <w:color w:val="auto"/>
                <w:spacing w:val="-10"/>
                <w:sz w:val="24"/>
                <w:szCs w:val="24"/>
                <w:lang w:val="en-US" w:eastAsia="zh-CN"/>
              </w:rPr>
              <w:t>10.4</w:t>
            </w:r>
            <w:r>
              <w:rPr>
                <w:rFonts w:hint="default" w:ascii="Times New Roman" w:hAnsi="Times New Roman" w:eastAsia="宋体" w:cs="Times New Roman"/>
                <w:b w:val="0"/>
                <w:bCs/>
                <w:color w:val="auto"/>
                <w:spacing w:val="-10"/>
                <w:sz w:val="24"/>
                <w:szCs w:val="24"/>
                <w:lang w:val="en-US" w:eastAsia="zh-CN"/>
              </w:rPr>
              <w:t>t/a</w:t>
            </w:r>
            <w:r>
              <w:rPr>
                <w:rFonts w:hint="default" w:ascii="Times New Roman" w:hAnsi="Times New Roman" w:eastAsia="宋体" w:cs="Times New Roman"/>
                <w:b w:val="0"/>
                <w:bCs/>
                <w:color w:val="auto"/>
                <w:spacing w:val="-10"/>
                <w:sz w:val="24"/>
                <w:szCs w:val="24"/>
                <w:highlight w:val="none"/>
                <w:lang w:val="en-US" w:eastAsia="zh-CN"/>
              </w:rPr>
              <w:t>。</w:t>
            </w:r>
          </w:p>
          <w:p w14:paraId="13CAE6DF">
            <w:pPr>
              <w:pStyle w:val="25"/>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firstLine="440" w:firstLineChars="200"/>
              <w:textAlignment w:val="auto"/>
              <w:rPr>
                <w:rFonts w:hint="default" w:ascii="Times New Roman" w:hAnsi="Times New Roman" w:eastAsia="宋体" w:cs="Times New Roman"/>
                <w:b w:val="0"/>
                <w:bCs/>
                <w:color w:val="auto"/>
                <w:spacing w:val="-10"/>
                <w:sz w:val="24"/>
                <w:szCs w:val="24"/>
                <w:highlight w:val="none"/>
                <w:lang w:val="en-US" w:eastAsia="zh-CN"/>
              </w:rPr>
            </w:pPr>
            <w:r>
              <w:rPr>
                <w:rFonts w:hint="default" w:ascii="Times New Roman" w:hAnsi="Times New Roman" w:eastAsia="宋体" w:cs="Times New Roman"/>
                <w:b w:val="0"/>
                <w:bCs/>
                <w:color w:val="auto"/>
                <w:spacing w:val="-10"/>
                <w:sz w:val="24"/>
                <w:szCs w:val="24"/>
                <w:lang w:val="en-US" w:eastAsia="zh-CN"/>
              </w:rPr>
              <w:t>（4）</w:t>
            </w:r>
            <w:r>
              <w:rPr>
                <w:rFonts w:hint="eastAsia" w:ascii="Times New Roman" w:hAnsi="Times New Roman" w:cs="Times New Roman"/>
                <w:b w:val="0"/>
                <w:bCs/>
                <w:color w:val="auto"/>
                <w:spacing w:val="-10"/>
                <w:sz w:val="24"/>
                <w:szCs w:val="24"/>
                <w:lang w:val="en-US" w:eastAsia="zh-CN"/>
              </w:rPr>
              <w:t>含切削液铝屑</w:t>
            </w:r>
          </w:p>
          <w:p w14:paraId="47CAFEE8">
            <w:pPr>
              <w:pStyle w:val="25"/>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firstLine="440" w:firstLineChars="200"/>
              <w:textAlignment w:val="auto"/>
              <w:rPr>
                <w:rFonts w:hint="default" w:ascii="Times New Roman" w:hAnsi="Times New Roman" w:eastAsia="宋体" w:cs="Times New Roman"/>
                <w:b w:val="0"/>
                <w:bCs/>
                <w:color w:val="auto"/>
                <w:spacing w:val="-10"/>
                <w:sz w:val="24"/>
                <w:szCs w:val="24"/>
                <w:lang w:val="en-US" w:eastAsia="zh-CN"/>
              </w:rPr>
            </w:pPr>
            <w:r>
              <w:rPr>
                <w:rFonts w:hint="eastAsia" w:ascii="Times New Roman" w:hAnsi="Times New Roman" w:eastAsia="宋体" w:cs="Times New Roman"/>
                <w:b w:val="0"/>
                <w:bCs/>
                <w:color w:val="auto"/>
                <w:spacing w:val="-10"/>
                <w:sz w:val="24"/>
                <w:szCs w:val="24"/>
                <w:lang w:val="en-US" w:eastAsia="zh-CN"/>
              </w:rPr>
              <w:t>项目下料、机加工过程产生少量</w:t>
            </w:r>
            <w:r>
              <w:rPr>
                <w:rFonts w:hint="eastAsia" w:ascii="Times New Roman" w:hAnsi="Times New Roman" w:cs="Times New Roman"/>
                <w:b w:val="0"/>
                <w:bCs/>
                <w:color w:val="auto"/>
                <w:spacing w:val="-10"/>
                <w:sz w:val="24"/>
                <w:szCs w:val="24"/>
                <w:lang w:val="en-US" w:eastAsia="zh-CN"/>
              </w:rPr>
              <w:t>含切削液铝屑</w:t>
            </w:r>
            <w:r>
              <w:rPr>
                <w:rFonts w:hint="eastAsia" w:ascii="Times New Roman" w:hAnsi="Times New Roman" w:eastAsia="宋体" w:cs="Times New Roman"/>
                <w:b w:val="0"/>
                <w:bCs/>
                <w:color w:val="auto"/>
                <w:spacing w:val="-10"/>
                <w:sz w:val="24"/>
                <w:szCs w:val="24"/>
                <w:lang w:val="en-US" w:eastAsia="zh-CN"/>
              </w:rPr>
              <w:t>，约为原料用量的0.5%，项目</w:t>
            </w:r>
            <w:r>
              <w:rPr>
                <w:rFonts w:hint="default" w:ascii="Times New Roman" w:hAnsi="Times New Roman" w:eastAsia="宋体" w:cs="Times New Roman"/>
                <w:b w:val="0"/>
                <w:bCs/>
                <w:color w:val="auto"/>
                <w:spacing w:val="-10"/>
                <w:sz w:val="24"/>
                <w:szCs w:val="24"/>
                <w:lang w:val="en-US" w:eastAsia="zh-CN"/>
              </w:rPr>
              <w:t>铝型材</w:t>
            </w:r>
            <w:r>
              <w:rPr>
                <w:rFonts w:hint="eastAsia" w:ascii="Times New Roman" w:hAnsi="Times New Roman" w:eastAsia="宋体" w:cs="Times New Roman"/>
                <w:b w:val="0"/>
                <w:bCs/>
                <w:color w:val="auto"/>
                <w:spacing w:val="-10"/>
                <w:sz w:val="24"/>
                <w:szCs w:val="24"/>
                <w:lang w:val="en-US" w:eastAsia="zh-CN"/>
              </w:rPr>
              <w:t>用量为840t/a，则</w:t>
            </w:r>
            <w:r>
              <w:rPr>
                <w:rFonts w:hint="eastAsia" w:ascii="Times New Roman" w:hAnsi="Times New Roman" w:cs="Times New Roman"/>
                <w:b w:val="0"/>
                <w:bCs/>
                <w:color w:val="auto"/>
                <w:spacing w:val="-10"/>
                <w:sz w:val="24"/>
                <w:szCs w:val="24"/>
                <w:lang w:val="en-US" w:eastAsia="zh-CN"/>
              </w:rPr>
              <w:t>含切削液铝屑</w:t>
            </w:r>
            <w:r>
              <w:rPr>
                <w:rFonts w:hint="eastAsia" w:ascii="Times New Roman" w:hAnsi="Times New Roman" w:eastAsia="宋体" w:cs="Times New Roman"/>
                <w:b w:val="0"/>
                <w:bCs/>
                <w:color w:val="auto"/>
                <w:spacing w:val="-10"/>
                <w:sz w:val="24"/>
                <w:szCs w:val="24"/>
                <w:lang w:val="en-US" w:eastAsia="zh-CN"/>
              </w:rPr>
              <w:t>产生量约4.2</w:t>
            </w:r>
            <w:r>
              <w:rPr>
                <w:rFonts w:hint="default" w:ascii="Times New Roman" w:hAnsi="Times New Roman" w:eastAsia="宋体" w:cs="Times New Roman"/>
                <w:b w:val="0"/>
                <w:bCs/>
                <w:color w:val="auto"/>
                <w:spacing w:val="-10"/>
                <w:sz w:val="24"/>
                <w:szCs w:val="24"/>
                <w:lang w:val="en-US" w:eastAsia="zh-CN"/>
              </w:rPr>
              <w:t>t/a。</w:t>
            </w:r>
          </w:p>
          <w:p w14:paraId="5D1C34B7">
            <w:pPr>
              <w:pStyle w:val="25"/>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firstLine="440" w:firstLineChars="200"/>
              <w:textAlignment w:val="auto"/>
              <w:rPr>
                <w:rFonts w:hint="default" w:ascii="Times New Roman" w:hAnsi="Times New Roman" w:eastAsia="宋体" w:cs="Times New Roman"/>
                <w:b w:val="0"/>
                <w:bCs/>
                <w:color w:val="auto"/>
                <w:spacing w:val="-10"/>
                <w:sz w:val="24"/>
                <w:szCs w:val="24"/>
                <w:highlight w:val="none"/>
                <w:lang w:val="en-US" w:eastAsia="zh-CN"/>
              </w:rPr>
            </w:pPr>
            <w:r>
              <w:rPr>
                <w:rFonts w:hint="default" w:ascii="Times New Roman" w:hAnsi="Times New Roman" w:eastAsia="宋体" w:cs="Times New Roman"/>
                <w:b w:val="0"/>
                <w:bCs/>
                <w:color w:val="auto"/>
                <w:spacing w:val="-10"/>
                <w:sz w:val="24"/>
                <w:szCs w:val="24"/>
                <w:lang w:val="en-US" w:eastAsia="zh-CN"/>
              </w:rPr>
              <w:t>（</w:t>
            </w:r>
            <w:r>
              <w:rPr>
                <w:rFonts w:hint="eastAsia" w:ascii="Times New Roman" w:hAnsi="Times New Roman" w:eastAsia="宋体" w:cs="Times New Roman"/>
                <w:b w:val="0"/>
                <w:bCs/>
                <w:color w:val="auto"/>
                <w:spacing w:val="-10"/>
                <w:sz w:val="24"/>
                <w:szCs w:val="24"/>
                <w:lang w:val="en-US" w:eastAsia="zh-CN"/>
              </w:rPr>
              <w:t>5</w:t>
            </w:r>
            <w:r>
              <w:rPr>
                <w:rFonts w:hint="default" w:ascii="Times New Roman" w:hAnsi="Times New Roman" w:eastAsia="宋体" w:cs="Times New Roman"/>
                <w:b w:val="0"/>
                <w:bCs/>
                <w:color w:val="auto"/>
                <w:spacing w:val="-10"/>
                <w:sz w:val="24"/>
                <w:szCs w:val="24"/>
                <w:lang w:val="en-US" w:eastAsia="zh-CN"/>
              </w:rPr>
              <w:t>）</w:t>
            </w:r>
            <w:r>
              <w:rPr>
                <w:rFonts w:hint="eastAsia" w:ascii="Times New Roman" w:hAnsi="Times New Roman" w:eastAsia="宋体" w:cs="Times New Roman"/>
                <w:b w:val="0"/>
                <w:bCs/>
                <w:color w:val="auto"/>
                <w:spacing w:val="-10"/>
                <w:sz w:val="24"/>
                <w:szCs w:val="24"/>
                <w:lang w:val="en-US" w:eastAsia="zh-CN"/>
              </w:rPr>
              <w:t>废切削液</w:t>
            </w:r>
          </w:p>
          <w:p w14:paraId="62AB9419">
            <w:pPr>
              <w:pStyle w:val="25"/>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firstLine="440" w:firstLineChars="200"/>
              <w:textAlignment w:val="auto"/>
              <w:rPr>
                <w:rFonts w:hint="default" w:ascii="Times New Roman" w:hAnsi="Times New Roman" w:eastAsia="宋体" w:cs="Times New Roman"/>
                <w:b w:val="0"/>
                <w:bCs/>
                <w:color w:val="auto"/>
                <w:spacing w:val="-10"/>
                <w:sz w:val="24"/>
                <w:szCs w:val="24"/>
                <w:lang w:val="en-US" w:eastAsia="zh-CN"/>
              </w:rPr>
            </w:pPr>
            <w:r>
              <w:rPr>
                <w:rFonts w:hint="eastAsia" w:ascii="Times New Roman" w:hAnsi="Times New Roman" w:eastAsia="宋体" w:cs="Times New Roman"/>
                <w:b w:val="0"/>
                <w:bCs/>
                <w:color w:val="auto"/>
                <w:spacing w:val="-10"/>
                <w:sz w:val="24"/>
                <w:szCs w:val="24"/>
                <w:lang w:val="en-US" w:eastAsia="zh-CN"/>
              </w:rPr>
              <w:t>项目机加工过程产生少量废切削液，根据前文分析，废切削液产生量约2.2</w:t>
            </w:r>
            <w:r>
              <w:rPr>
                <w:rFonts w:hint="default" w:ascii="Times New Roman" w:hAnsi="Times New Roman" w:eastAsia="宋体" w:cs="Times New Roman"/>
                <w:b w:val="0"/>
                <w:bCs/>
                <w:color w:val="auto"/>
                <w:spacing w:val="-10"/>
                <w:sz w:val="24"/>
                <w:szCs w:val="24"/>
                <w:lang w:val="en-US" w:eastAsia="zh-CN"/>
              </w:rPr>
              <w:t>t/a。</w:t>
            </w:r>
          </w:p>
          <w:p w14:paraId="29AE00EE">
            <w:pPr>
              <w:pStyle w:val="25"/>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firstLine="440" w:firstLineChars="200"/>
              <w:textAlignment w:val="auto"/>
              <w:rPr>
                <w:rFonts w:hint="default" w:ascii="Times New Roman" w:hAnsi="Times New Roman" w:eastAsia="宋体" w:cs="Times New Roman"/>
                <w:b w:val="0"/>
                <w:bCs/>
                <w:color w:val="auto"/>
                <w:spacing w:val="-10"/>
                <w:sz w:val="24"/>
                <w:szCs w:val="24"/>
                <w:highlight w:val="none"/>
                <w:lang w:val="en-US" w:eastAsia="zh-CN"/>
              </w:rPr>
            </w:pPr>
            <w:r>
              <w:rPr>
                <w:rFonts w:hint="default" w:ascii="Times New Roman" w:hAnsi="Times New Roman" w:eastAsia="宋体" w:cs="Times New Roman"/>
                <w:b w:val="0"/>
                <w:bCs/>
                <w:color w:val="auto"/>
                <w:spacing w:val="-10"/>
                <w:sz w:val="24"/>
                <w:szCs w:val="24"/>
                <w:lang w:val="en-US" w:eastAsia="zh-CN"/>
              </w:rPr>
              <w:t>（</w:t>
            </w:r>
            <w:r>
              <w:rPr>
                <w:rFonts w:hint="eastAsia" w:ascii="Times New Roman" w:hAnsi="Times New Roman" w:eastAsia="宋体" w:cs="Times New Roman"/>
                <w:b w:val="0"/>
                <w:bCs/>
                <w:color w:val="auto"/>
                <w:spacing w:val="-10"/>
                <w:sz w:val="24"/>
                <w:szCs w:val="24"/>
                <w:lang w:val="en-US" w:eastAsia="zh-CN"/>
              </w:rPr>
              <w:t>6</w:t>
            </w:r>
            <w:r>
              <w:rPr>
                <w:rFonts w:hint="default" w:ascii="Times New Roman" w:hAnsi="Times New Roman" w:eastAsia="宋体" w:cs="Times New Roman"/>
                <w:b w:val="0"/>
                <w:bCs/>
                <w:color w:val="auto"/>
                <w:spacing w:val="-10"/>
                <w:sz w:val="24"/>
                <w:szCs w:val="24"/>
                <w:lang w:val="en-US" w:eastAsia="zh-CN"/>
              </w:rPr>
              <w:t>）</w:t>
            </w:r>
            <w:r>
              <w:rPr>
                <w:rFonts w:hint="eastAsia" w:ascii="Times New Roman" w:hAnsi="Times New Roman" w:eastAsia="宋体" w:cs="Times New Roman"/>
                <w:b w:val="0"/>
                <w:bCs/>
                <w:color w:val="auto"/>
                <w:spacing w:val="-10"/>
                <w:sz w:val="24"/>
                <w:szCs w:val="24"/>
                <w:lang w:val="en-US" w:eastAsia="zh-CN"/>
              </w:rPr>
              <w:t>清洗废液</w:t>
            </w:r>
          </w:p>
          <w:p w14:paraId="672B4113">
            <w:pPr>
              <w:pStyle w:val="25"/>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Chars="0" w:firstLine="440" w:firstLineChars="200"/>
              <w:textAlignment w:val="auto"/>
              <w:rPr>
                <w:rFonts w:hint="default" w:ascii="Times New Roman" w:hAnsi="Times New Roman" w:eastAsia="宋体" w:cs="Times New Roman"/>
                <w:b w:val="0"/>
                <w:bCs/>
                <w:color w:val="auto"/>
                <w:kern w:val="2"/>
                <w:sz w:val="24"/>
                <w:szCs w:val="24"/>
                <w:lang w:val="en-US" w:eastAsia="zh-CN" w:bidi="ar-SA"/>
              </w:rPr>
            </w:pPr>
            <w:r>
              <w:rPr>
                <w:rFonts w:hint="eastAsia" w:ascii="Times New Roman" w:hAnsi="Times New Roman" w:eastAsia="宋体" w:cs="Times New Roman"/>
                <w:b w:val="0"/>
                <w:bCs/>
                <w:color w:val="auto"/>
                <w:spacing w:val="-10"/>
                <w:sz w:val="24"/>
                <w:szCs w:val="24"/>
                <w:lang w:val="en-US" w:eastAsia="zh-CN"/>
              </w:rPr>
              <w:t>项目</w:t>
            </w:r>
            <w:r>
              <w:rPr>
                <w:rFonts w:hint="eastAsia" w:ascii="Times New Roman" w:hAnsi="Times New Roman" w:eastAsia="宋体" w:cs="Times New Roman"/>
                <w:b w:val="0"/>
                <w:bCs/>
                <w:color w:val="auto"/>
                <w:kern w:val="2"/>
                <w:sz w:val="24"/>
                <w:szCs w:val="24"/>
                <w:lang w:val="en-US" w:eastAsia="zh-CN" w:bidi="ar-SA"/>
              </w:rPr>
              <w:t>清洗过程产生少量清洗废液，根据前文分析，清洗废液产生量约8.1</w:t>
            </w:r>
            <w:r>
              <w:rPr>
                <w:rFonts w:hint="default" w:ascii="Times New Roman" w:hAnsi="Times New Roman" w:eastAsia="宋体" w:cs="Times New Roman"/>
                <w:b w:val="0"/>
                <w:bCs/>
                <w:color w:val="auto"/>
                <w:kern w:val="2"/>
                <w:sz w:val="24"/>
                <w:szCs w:val="24"/>
                <w:lang w:val="en-US" w:eastAsia="zh-CN" w:bidi="ar-SA"/>
              </w:rPr>
              <w:t>t/a。</w:t>
            </w:r>
          </w:p>
          <w:p w14:paraId="33855E03">
            <w:pPr>
              <w:pStyle w:val="25"/>
              <w:keepNext w:val="0"/>
              <w:keepLines w:val="0"/>
              <w:pageBreakBefore w:val="0"/>
              <w:widowControl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w:t>
            </w:r>
            <w:r>
              <w:rPr>
                <w:rFonts w:hint="eastAsia" w:ascii="Times New Roman" w:hAnsi="Times New Roman" w:eastAsia="宋体" w:cs="Times New Roman"/>
                <w:b w:val="0"/>
                <w:bCs/>
                <w:color w:val="auto"/>
                <w:kern w:val="2"/>
                <w:sz w:val="24"/>
                <w:szCs w:val="24"/>
                <w:lang w:val="en-US" w:eastAsia="zh-CN" w:bidi="ar-SA"/>
              </w:rPr>
              <w:t>7</w:t>
            </w:r>
            <w:r>
              <w:rPr>
                <w:rFonts w:hint="default" w:ascii="Times New Roman" w:hAnsi="Times New Roman" w:eastAsia="宋体" w:cs="Times New Roman"/>
                <w:b w:val="0"/>
                <w:bCs/>
                <w:color w:val="auto"/>
                <w:kern w:val="2"/>
                <w:sz w:val="24"/>
                <w:szCs w:val="24"/>
                <w:lang w:val="en-US" w:eastAsia="zh-CN" w:bidi="ar-SA"/>
              </w:rPr>
              <w:t>）</w:t>
            </w:r>
            <w:r>
              <w:rPr>
                <w:rFonts w:hint="eastAsia" w:ascii="Times New Roman" w:hAnsi="Times New Roman" w:cs="Times New Roman"/>
                <w:b w:val="0"/>
                <w:bCs/>
                <w:color w:val="auto"/>
                <w:kern w:val="2"/>
                <w:sz w:val="24"/>
                <w:szCs w:val="24"/>
                <w:lang w:val="en-US" w:eastAsia="zh-CN" w:bidi="ar-SA"/>
              </w:rPr>
              <w:t>废切削液桶</w:t>
            </w:r>
          </w:p>
          <w:p w14:paraId="5CD4F99D">
            <w:pPr>
              <w:keepNext w:val="0"/>
              <w:keepLines w:val="0"/>
              <w:pageBreakBefore w:val="0"/>
              <w:widowControl/>
              <w:suppressLineNumbers w:val="0"/>
              <w:kinsoku/>
              <w:wordWrap/>
              <w:overflowPunct/>
              <w:topLinePunct w:val="0"/>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kern w:val="2"/>
                <w:sz w:val="24"/>
                <w:szCs w:val="28"/>
                <w:highlight w:val="none"/>
                <w:lang w:val="en-US" w:eastAsia="zh-CN" w:bidi="ar-SA"/>
              </w:rPr>
            </w:pPr>
            <w:r>
              <w:rPr>
                <w:rFonts w:hint="default" w:ascii="Times New Roman" w:hAnsi="Times New Roman" w:eastAsia="宋体" w:cs="Times New Roman"/>
                <w:b w:val="0"/>
                <w:bCs/>
                <w:color w:val="auto"/>
                <w:kern w:val="2"/>
                <w:sz w:val="24"/>
                <w:szCs w:val="24"/>
                <w:lang w:val="en-US" w:eastAsia="zh-CN" w:bidi="ar-SA"/>
              </w:rPr>
              <w:t>本项目</w:t>
            </w:r>
            <w:r>
              <w:rPr>
                <w:rFonts w:hint="eastAsia" w:cs="Times New Roman"/>
                <w:b w:val="0"/>
                <w:bCs/>
                <w:color w:val="auto"/>
                <w:kern w:val="2"/>
                <w:sz w:val="24"/>
                <w:szCs w:val="24"/>
                <w:lang w:val="en-US" w:eastAsia="zh-CN" w:bidi="ar-SA"/>
              </w:rPr>
              <w:t>切削液</w:t>
            </w:r>
            <w:r>
              <w:rPr>
                <w:rFonts w:hint="default" w:ascii="Times New Roman" w:hAnsi="Times New Roman" w:eastAsia="宋体" w:cs="Times New Roman"/>
                <w:b w:val="0"/>
                <w:bCs/>
                <w:color w:val="auto"/>
                <w:kern w:val="2"/>
                <w:sz w:val="24"/>
                <w:szCs w:val="24"/>
                <w:lang w:val="en-US" w:eastAsia="zh-CN" w:bidi="ar-SA"/>
              </w:rPr>
              <w:t>使用</w:t>
            </w:r>
            <w:r>
              <w:rPr>
                <w:rFonts w:hint="eastAsia" w:ascii="Times New Roman" w:hAnsi="Times New Roman" w:eastAsia="宋体" w:cs="Times New Roman"/>
                <w:b w:val="0"/>
                <w:bCs/>
                <w:color w:val="auto"/>
                <w:kern w:val="2"/>
                <w:sz w:val="24"/>
                <w:szCs w:val="24"/>
                <w:lang w:val="en-US" w:eastAsia="zh-CN" w:bidi="ar-SA"/>
              </w:rPr>
              <w:t>后</w:t>
            </w:r>
            <w:r>
              <w:rPr>
                <w:rFonts w:hint="default" w:ascii="Times New Roman" w:hAnsi="Times New Roman" w:eastAsia="宋体" w:cs="Times New Roman"/>
                <w:b w:val="0"/>
                <w:bCs/>
                <w:color w:val="auto"/>
                <w:kern w:val="2"/>
                <w:sz w:val="24"/>
                <w:szCs w:val="24"/>
                <w:lang w:val="en-US" w:eastAsia="zh-CN" w:bidi="ar-SA"/>
              </w:rPr>
              <w:t>会有</w:t>
            </w:r>
            <w:r>
              <w:rPr>
                <w:rFonts w:hint="eastAsia" w:cs="Times New Roman"/>
                <w:b w:val="0"/>
                <w:bCs/>
                <w:color w:val="auto"/>
                <w:kern w:val="2"/>
                <w:sz w:val="24"/>
                <w:szCs w:val="24"/>
                <w:lang w:val="en-US" w:eastAsia="zh-CN" w:bidi="ar-SA"/>
              </w:rPr>
              <w:t>废切削液桶</w:t>
            </w:r>
            <w:r>
              <w:rPr>
                <w:rFonts w:hint="default" w:ascii="Times New Roman" w:hAnsi="Times New Roman" w:eastAsia="宋体" w:cs="Times New Roman"/>
                <w:b w:val="0"/>
                <w:bCs/>
                <w:color w:val="auto"/>
                <w:kern w:val="2"/>
                <w:sz w:val="24"/>
                <w:szCs w:val="24"/>
                <w:lang w:val="en-US" w:eastAsia="zh-CN" w:bidi="ar-SA"/>
              </w:rPr>
              <w:t>产</w:t>
            </w:r>
            <w:r>
              <w:rPr>
                <w:rFonts w:hint="eastAsia" w:ascii="Times New Roman" w:hAnsi="Times New Roman" w:eastAsia="宋体" w:cs="Times New Roman"/>
                <w:b w:val="0"/>
                <w:bCs/>
                <w:color w:val="auto"/>
                <w:kern w:val="2"/>
                <w:sz w:val="24"/>
                <w:szCs w:val="24"/>
                <w:lang w:val="en-US" w:eastAsia="zh-CN" w:bidi="ar-SA"/>
              </w:rPr>
              <w:t>生，</w:t>
            </w:r>
            <w:r>
              <w:rPr>
                <w:rFonts w:hint="default" w:ascii="Times New Roman" w:hAnsi="Times New Roman" w:eastAsia="宋体" w:cs="Times New Roman"/>
                <w:b w:val="0"/>
                <w:bCs/>
                <w:color w:val="auto"/>
                <w:kern w:val="2"/>
                <w:sz w:val="24"/>
                <w:szCs w:val="24"/>
                <w:lang w:val="en-US" w:eastAsia="zh-CN" w:bidi="ar-SA"/>
              </w:rPr>
              <w:t>切削液</w:t>
            </w:r>
            <w:r>
              <w:rPr>
                <w:rFonts w:hint="eastAsia" w:ascii="Times New Roman" w:hAnsi="Times New Roman" w:eastAsia="宋体" w:cs="Times New Roman"/>
                <w:b w:val="0"/>
                <w:bCs/>
                <w:color w:val="auto"/>
                <w:kern w:val="2"/>
                <w:sz w:val="24"/>
                <w:szCs w:val="24"/>
                <w:lang w:val="en-US" w:eastAsia="zh-CN" w:bidi="ar-SA"/>
              </w:rPr>
              <w:t>包装规格为</w:t>
            </w:r>
            <w:r>
              <w:rPr>
                <w:rFonts w:hint="default" w:ascii="Times New Roman" w:hAnsi="Times New Roman" w:eastAsia="宋体" w:cs="Times New Roman"/>
                <w:b w:val="0"/>
                <w:bCs/>
                <w:color w:val="auto"/>
                <w:kern w:val="2"/>
                <w:sz w:val="24"/>
                <w:szCs w:val="24"/>
                <w:lang w:val="en-US" w:eastAsia="zh-CN" w:bidi="ar-SA"/>
              </w:rPr>
              <w:t>200kg/</w:t>
            </w:r>
            <w:r>
              <w:rPr>
                <w:rFonts w:hint="eastAsia" w:ascii="Times New Roman" w:hAnsi="Times New Roman" w:eastAsia="宋体" w:cs="Times New Roman"/>
                <w:b w:val="0"/>
                <w:bCs/>
                <w:color w:val="auto"/>
                <w:kern w:val="2"/>
                <w:sz w:val="24"/>
                <w:szCs w:val="24"/>
                <w:lang w:val="en-US" w:eastAsia="zh-CN" w:bidi="ar-SA"/>
              </w:rPr>
              <w:t>桶，</w:t>
            </w:r>
            <w:r>
              <w:rPr>
                <w:rFonts w:hint="eastAsia" w:cs="Times New Roman"/>
                <w:b w:val="0"/>
                <w:bCs/>
                <w:color w:val="auto"/>
                <w:kern w:val="2"/>
                <w:sz w:val="24"/>
                <w:szCs w:val="24"/>
                <w:lang w:val="en-US" w:eastAsia="zh-CN" w:bidi="ar-SA"/>
              </w:rPr>
              <w:t>切削液</w:t>
            </w:r>
            <w:r>
              <w:rPr>
                <w:rFonts w:hint="eastAsia" w:ascii="Times New Roman" w:hAnsi="Times New Roman" w:eastAsia="宋体" w:cs="Times New Roman"/>
                <w:b w:val="0"/>
                <w:bCs/>
                <w:color w:val="auto"/>
                <w:kern w:val="2"/>
                <w:sz w:val="24"/>
                <w:szCs w:val="24"/>
                <w:lang w:val="en-US" w:eastAsia="zh-CN" w:bidi="ar-SA"/>
              </w:rPr>
              <w:t>用量为0.4</w:t>
            </w:r>
            <w:r>
              <w:rPr>
                <w:rFonts w:hint="default" w:ascii="Times New Roman" w:hAnsi="Times New Roman" w:eastAsia="宋体" w:cs="Times New Roman"/>
                <w:b w:val="0"/>
                <w:bCs/>
                <w:color w:val="auto"/>
                <w:kern w:val="2"/>
                <w:sz w:val="24"/>
                <w:szCs w:val="24"/>
                <w:lang w:val="en-US" w:eastAsia="zh-CN" w:bidi="ar-SA"/>
              </w:rPr>
              <w:t>t/a</w:t>
            </w:r>
            <w:r>
              <w:rPr>
                <w:rFonts w:hint="eastAsia" w:ascii="Times New Roman" w:hAnsi="Times New Roman" w:eastAsia="宋体" w:cs="Times New Roman"/>
                <w:b w:val="0"/>
                <w:bCs/>
                <w:color w:val="auto"/>
                <w:kern w:val="2"/>
                <w:sz w:val="24"/>
                <w:szCs w:val="24"/>
                <w:lang w:val="en-US" w:eastAsia="zh-CN" w:bidi="ar-SA"/>
              </w:rPr>
              <w:t>，则</w:t>
            </w:r>
            <w:r>
              <w:rPr>
                <w:rFonts w:hint="eastAsia" w:cs="Times New Roman"/>
                <w:b w:val="0"/>
                <w:bCs/>
                <w:color w:val="auto"/>
                <w:kern w:val="2"/>
                <w:sz w:val="24"/>
                <w:szCs w:val="24"/>
                <w:lang w:val="en-US" w:eastAsia="zh-CN" w:bidi="ar-SA"/>
              </w:rPr>
              <w:t>废切削液桶</w:t>
            </w:r>
            <w:r>
              <w:rPr>
                <w:rFonts w:hint="eastAsia" w:ascii="Times New Roman" w:hAnsi="Times New Roman" w:eastAsia="宋体" w:cs="Times New Roman"/>
                <w:b w:val="0"/>
                <w:bCs/>
                <w:color w:val="auto"/>
                <w:kern w:val="2"/>
                <w:sz w:val="24"/>
                <w:szCs w:val="24"/>
                <w:lang w:val="en-US" w:eastAsia="zh-CN" w:bidi="ar-SA"/>
              </w:rPr>
              <w:t>产生量为</w:t>
            </w:r>
            <w:r>
              <w:rPr>
                <w:rFonts w:hint="eastAsia" w:cs="Times New Roman"/>
                <w:b w:val="0"/>
                <w:bCs/>
                <w:color w:val="auto"/>
                <w:kern w:val="2"/>
                <w:sz w:val="24"/>
                <w:szCs w:val="24"/>
                <w:lang w:val="en-US" w:eastAsia="zh-CN" w:bidi="ar-SA"/>
              </w:rPr>
              <w:t>2</w:t>
            </w:r>
            <w:r>
              <w:rPr>
                <w:rFonts w:hint="eastAsia" w:ascii="Times New Roman" w:hAnsi="Times New Roman" w:eastAsia="宋体" w:cs="Times New Roman"/>
                <w:b w:val="0"/>
                <w:bCs/>
                <w:color w:val="auto"/>
                <w:kern w:val="2"/>
                <w:sz w:val="24"/>
                <w:szCs w:val="24"/>
                <w:lang w:val="en-US" w:eastAsia="zh-CN" w:bidi="ar-SA"/>
              </w:rPr>
              <w:t>个，单个油</w:t>
            </w:r>
            <w:r>
              <w:rPr>
                <w:rFonts w:hint="default" w:ascii="Times New Roman" w:hAnsi="Times New Roman" w:eastAsia="宋体" w:cs="Times New Roman"/>
                <w:b w:val="0"/>
                <w:bCs/>
                <w:color w:val="auto"/>
                <w:kern w:val="2"/>
                <w:sz w:val="24"/>
                <w:szCs w:val="24"/>
                <w:lang w:val="en-US" w:eastAsia="zh-CN" w:bidi="ar-SA"/>
              </w:rPr>
              <w:t>桶</w:t>
            </w:r>
            <w:r>
              <w:rPr>
                <w:rFonts w:hint="eastAsia" w:ascii="Times New Roman" w:hAnsi="Times New Roman" w:eastAsia="宋体" w:cs="Times New Roman"/>
                <w:b w:val="0"/>
                <w:bCs/>
                <w:color w:val="auto"/>
                <w:kern w:val="2"/>
                <w:sz w:val="24"/>
                <w:szCs w:val="24"/>
                <w:lang w:val="en-US" w:eastAsia="zh-CN" w:bidi="ar-SA"/>
              </w:rPr>
              <w:t>重量以5</w:t>
            </w:r>
            <w:r>
              <w:rPr>
                <w:rFonts w:hint="default" w:ascii="Times New Roman" w:hAnsi="Times New Roman" w:eastAsia="宋体" w:cs="Times New Roman"/>
                <w:b w:val="0"/>
                <w:bCs/>
                <w:color w:val="auto"/>
                <w:kern w:val="2"/>
                <w:sz w:val="24"/>
                <w:szCs w:val="24"/>
                <w:lang w:val="en-US" w:eastAsia="zh-CN" w:bidi="ar-SA"/>
              </w:rPr>
              <w:t>kg</w:t>
            </w:r>
            <w:r>
              <w:rPr>
                <w:rFonts w:hint="eastAsia" w:ascii="Times New Roman" w:hAnsi="Times New Roman" w:eastAsia="宋体" w:cs="Times New Roman"/>
                <w:b w:val="0"/>
                <w:bCs/>
                <w:color w:val="auto"/>
                <w:kern w:val="2"/>
                <w:sz w:val="24"/>
                <w:szCs w:val="24"/>
                <w:lang w:val="en-US" w:eastAsia="zh-CN" w:bidi="ar-SA"/>
              </w:rPr>
              <w:t>计，则</w:t>
            </w:r>
            <w:r>
              <w:rPr>
                <w:rFonts w:hint="eastAsia" w:cs="Times New Roman"/>
                <w:b w:val="0"/>
                <w:bCs/>
                <w:color w:val="auto"/>
                <w:kern w:val="2"/>
                <w:sz w:val="24"/>
                <w:szCs w:val="24"/>
                <w:lang w:val="en-US" w:eastAsia="zh-CN" w:bidi="ar-SA"/>
              </w:rPr>
              <w:t>废切削液桶</w:t>
            </w:r>
            <w:r>
              <w:rPr>
                <w:rFonts w:hint="eastAsia" w:ascii="Times New Roman" w:hAnsi="Times New Roman" w:eastAsia="宋体" w:cs="Times New Roman"/>
                <w:b w:val="0"/>
                <w:bCs/>
                <w:color w:val="auto"/>
                <w:kern w:val="2"/>
                <w:sz w:val="24"/>
                <w:szCs w:val="24"/>
                <w:lang w:val="en-US" w:eastAsia="zh-CN" w:bidi="ar-SA"/>
              </w:rPr>
              <w:t>产生量约为</w:t>
            </w:r>
            <w:r>
              <w:rPr>
                <w:rFonts w:hint="eastAsia" w:cs="Times New Roman"/>
                <w:b w:val="0"/>
                <w:bCs/>
                <w:color w:val="auto"/>
                <w:kern w:val="2"/>
                <w:sz w:val="24"/>
                <w:szCs w:val="24"/>
                <w:lang w:val="en-US" w:eastAsia="zh-CN" w:bidi="ar-SA"/>
              </w:rPr>
              <w:t>0.01</w:t>
            </w:r>
            <w:r>
              <w:rPr>
                <w:rFonts w:hint="default" w:ascii="Times New Roman" w:hAnsi="Times New Roman" w:eastAsia="宋体" w:cs="Times New Roman"/>
                <w:b w:val="0"/>
                <w:bCs/>
                <w:color w:val="auto"/>
                <w:kern w:val="2"/>
                <w:sz w:val="24"/>
                <w:szCs w:val="24"/>
                <w:lang w:val="en-US" w:eastAsia="zh-CN" w:bidi="ar-SA"/>
              </w:rPr>
              <w:t>t/a</w:t>
            </w:r>
            <w:r>
              <w:rPr>
                <w:rFonts w:hint="eastAsia" w:ascii="Times New Roman" w:hAnsi="Times New Roman" w:eastAsia="宋体" w:cs="Times New Roman"/>
                <w:b w:val="0"/>
                <w:bCs/>
                <w:color w:val="auto"/>
                <w:kern w:val="2"/>
                <w:sz w:val="24"/>
                <w:szCs w:val="24"/>
                <w:lang w:val="en-US" w:eastAsia="zh-CN" w:bidi="ar-SA"/>
              </w:rPr>
              <w:t>。</w:t>
            </w:r>
          </w:p>
          <w:p w14:paraId="2DBEC97D">
            <w:pPr>
              <w:pStyle w:val="25"/>
              <w:keepNext w:val="0"/>
              <w:keepLines w:val="0"/>
              <w:pageBreakBefore w:val="0"/>
              <w:widowControl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w:t>
            </w:r>
            <w:r>
              <w:rPr>
                <w:rFonts w:hint="eastAsia" w:ascii="Times New Roman" w:hAnsi="Times New Roman" w:eastAsia="宋体" w:cs="Times New Roman"/>
                <w:b w:val="0"/>
                <w:bCs/>
                <w:color w:val="auto"/>
                <w:kern w:val="2"/>
                <w:sz w:val="24"/>
                <w:szCs w:val="24"/>
                <w:lang w:val="en-US" w:eastAsia="zh-CN" w:bidi="ar-SA"/>
              </w:rPr>
              <w:t>8</w:t>
            </w:r>
            <w:r>
              <w:rPr>
                <w:rFonts w:hint="default" w:ascii="Times New Roman" w:hAnsi="Times New Roman" w:eastAsia="宋体" w:cs="Times New Roman"/>
                <w:b w:val="0"/>
                <w:bCs/>
                <w:color w:val="auto"/>
                <w:kern w:val="2"/>
                <w:sz w:val="24"/>
                <w:szCs w:val="24"/>
                <w:lang w:val="en-US" w:eastAsia="zh-CN" w:bidi="ar-SA"/>
              </w:rPr>
              <w:t>）</w:t>
            </w:r>
            <w:r>
              <w:rPr>
                <w:rFonts w:hint="eastAsia" w:ascii="Times New Roman" w:hAnsi="Times New Roman" w:cs="Times New Roman"/>
                <w:b w:val="0"/>
                <w:bCs/>
                <w:color w:val="auto"/>
                <w:kern w:val="2"/>
                <w:sz w:val="24"/>
                <w:szCs w:val="24"/>
                <w:lang w:val="en-US" w:eastAsia="zh-CN" w:bidi="ar-SA"/>
              </w:rPr>
              <w:t>废机油桶</w:t>
            </w:r>
          </w:p>
          <w:p w14:paraId="1E853FF1">
            <w:pPr>
              <w:keepNext w:val="0"/>
              <w:keepLines w:val="0"/>
              <w:pageBreakBefore w:val="0"/>
              <w:widowControl/>
              <w:suppressLineNumbers w:val="0"/>
              <w:kinsoku/>
              <w:wordWrap/>
              <w:overflowPunct/>
              <w:topLinePunct w:val="0"/>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kern w:val="2"/>
                <w:sz w:val="24"/>
                <w:szCs w:val="28"/>
                <w:highlight w:val="none"/>
                <w:lang w:val="en-US" w:eastAsia="zh-CN" w:bidi="ar-SA"/>
              </w:rPr>
            </w:pPr>
            <w:r>
              <w:rPr>
                <w:rFonts w:hint="default" w:ascii="Times New Roman" w:hAnsi="Times New Roman" w:eastAsia="宋体" w:cs="Times New Roman"/>
                <w:b w:val="0"/>
                <w:bCs/>
                <w:color w:val="auto"/>
                <w:kern w:val="2"/>
                <w:sz w:val="24"/>
                <w:szCs w:val="24"/>
                <w:lang w:val="en-US" w:eastAsia="zh-CN" w:bidi="ar-SA"/>
              </w:rPr>
              <w:t>本项目</w:t>
            </w:r>
            <w:r>
              <w:rPr>
                <w:rFonts w:hint="eastAsia" w:ascii="Times New Roman" w:hAnsi="Times New Roman" w:eastAsia="宋体" w:cs="Times New Roman"/>
                <w:b w:val="0"/>
                <w:bCs/>
                <w:color w:val="auto"/>
                <w:kern w:val="2"/>
                <w:sz w:val="24"/>
                <w:szCs w:val="24"/>
                <w:lang w:val="en-US" w:eastAsia="zh-CN" w:bidi="ar-SA"/>
              </w:rPr>
              <w:t>机油</w:t>
            </w:r>
            <w:r>
              <w:rPr>
                <w:rFonts w:hint="default" w:ascii="Times New Roman" w:hAnsi="Times New Roman" w:eastAsia="宋体" w:cs="Times New Roman"/>
                <w:b w:val="0"/>
                <w:bCs/>
                <w:color w:val="auto"/>
                <w:kern w:val="2"/>
                <w:sz w:val="24"/>
                <w:szCs w:val="24"/>
                <w:lang w:val="en-US" w:eastAsia="zh-CN" w:bidi="ar-SA"/>
              </w:rPr>
              <w:t>使用</w:t>
            </w:r>
            <w:r>
              <w:rPr>
                <w:rFonts w:hint="eastAsia" w:ascii="Times New Roman" w:hAnsi="Times New Roman" w:eastAsia="宋体" w:cs="Times New Roman"/>
                <w:b w:val="0"/>
                <w:bCs/>
                <w:color w:val="auto"/>
                <w:kern w:val="2"/>
                <w:sz w:val="24"/>
                <w:szCs w:val="24"/>
                <w:lang w:val="en-US" w:eastAsia="zh-CN" w:bidi="ar-SA"/>
              </w:rPr>
              <w:t>后</w:t>
            </w:r>
            <w:r>
              <w:rPr>
                <w:rFonts w:hint="default" w:ascii="Times New Roman" w:hAnsi="Times New Roman" w:eastAsia="宋体" w:cs="Times New Roman"/>
                <w:b w:val="0"/>
                <w:bCs/>
                <w:color w:val="auto"/>
                <w:kern w:val="2"/>
                <w:sz w:val="24"/>
                <w:szCs w:val="24"/>
                <w:lang w:val="en-US" w:eastAsia="zh-CN" w:bidi="ar-SA"/>
              </w:rPr>
              <w:t>会有</w:t>
            </w:r>
            <w:r>
              <w:rPr>
                <w:rFonts w:hint="eastAsia" w:ascii="Times New Roman" w:hAnsi="Times New Roman" w:cs="Times New Roman"/>
                <w:b w:val="0"/>
                <w:bCs/>
                <w:color w:val="auto"/>
                <w:kern w:val="2"/>
                <w:sz w:val="24"/>
                <w:szCs w:val="24"/>
                <w:lang w:val="en-US" w:eastAsia="zh-CN" w:bidi="ar-SA"/>
              </w:rPr>
              <w:t>废机油桶</w:t>
            </w:r>
            <w:r>
              <w:rPr>
                <w:rFonts w:hint="default" w:ascii="Times New Roman" w:hAnsi="Times New Roman" w:eastAsia="宋体" w:cs="Times New Roman"/>
                <w:b w:val="0"/>
                <w:bCs/>
                <w:color w:val="auto"/>
                <w:kern w:val="2"/>
                <w:sz w:val="24"/>
                <w:szCs w:val="24"/>
                <w:lang w:val="en-US" w:eastAsia="zh-CN" w:bidi="ar-SA"/>
              </w:rPr>
              <w:t>产</w:t>
            </w:r>
            <w:r>
              <w:rPr>
                <w:rFonts w:hint="eastAsia" w:ascii="Times New Roman" w:hAnsi="Times New Roman" w:eastAsia="宋体" w:cs="Times New Roman"/>
                <w:b w:val="0"/>
                <w:bCs/>
                <w:color w:val="auto"/>
                <w:kern w:val="2"/>
                <w:sz w:val="24"/>
                <w:szCs w:val="24"/>
                <w:lang w:val="en-US" w:eastAsia="zh-CN" w:bidi="ar-SA"/>
              </w:rPr>
              <w:t>生，机油包装规格为</w:t>
            </w:r>
            <w:r>
              <w:rPr>
                <w:rFonts w:hint="default" w:ascii="Times New Roman" w:hAnsi="Times New Roman" w:eastAsia="宋体" w:cs="Times New Roman"/>
                <w:b w:val="0"/>
                <w:bCs/>
                <w:color w:val="auto"/>
                <w:kern w:val="2"/>
                <w:sz w:val="24"/>
                <w:szCs w:val="24"/>
                <w:lang w:val="en-US" w:eastAsia="zh-CN" w:bidi="ar-SA"/>
              </w:rPr>
              <w:t>200kg/</w:t>
            </w:r>
            <w:r>
              <w:rPr>
                <w:rFonts w:hint="eastAsia" w:ascii="Times New Roman" w:hAnsi="Times New Roman" w:eastAsia="宋体" w:cs="Times New Roman"/>
                <w:b w:val="0"/>
                <w:bCs/>
                <w:color w:val="auto"/>
                <w:kern w:val="2"/>
                <w:sz w:val="24"/>
                <w:szCs w:val="24"/>
                <w:lang w:val="en-US" w:eastAsia="zh-CN" w:bidi="ar-SA"/>
              </w:rPr>
              <w:t>桶，机油用量1</w:t>
            </w:r>
            <w:r>
              <w:rPr>
                <w:rFonts w:hint="default" w:ascii="Times New Roman" w:hAnsi="Times New Roman" w:eastAsia="宋体" w:cs="Times New Roman"/>
                <w:b w:val="0"/>
                <w:bCs/>
                <w:color w:val="auto"/>
                <w:kern w:val="2"/>
                <w:sz w:val="24"/>
                <w:szCs w:val="24"/>
                <w:lang w:val="en-US" w:eastAsia="zh-CN" w:bidi="ar-SA"/>
              </w:rPr>
              <w:t>t/a</w:t>
            </w:r>
            <w:r>
              <w:rPr>
                <w:rFonts w:hint="eastAsia" w:ascii="Times New Roman" w:hAnsi="Times New Roman" w:eastAsia="宋体" w:cs="Times New Roman"/>
                <w:b w:val="0"/>
                <w:bCs/>
                <w:color w:val="auto"/>
                <w:kern w:val="2"/>
                <w:sz w:val="24"/>
                <w:szCs w:val="24"/>
                <w:lang w:val="en-US" w:eastAsia="zh-CN" w:bidi="ar-SA"/>
              </w:rPr>
              <w:t>，则</w:t>
            </w:r>
            <w:r>
              <w:rPr>
                <w:rFonts w:hint="eastAsia" w:ascii="Times New Roman" w:hAnsi="Times New Roman" w:cs="Times New Roman"/>
                <w:b w:val="0"/>
                <w:bCs/>
                <w:color w:val="auto"/>
                <w:kern w:val="2"/>
                <w:sz w:val="24"/>
                <w:szCs w:val="24"/>
                <w:lang w:val="en-US" w:eastAsia="zh-CN" w:bidi="ar-SA"/>
              </w:rPr>
              <w:t>废机油桶</w:t>
            </w:r>
            <w:r>
              <w:rPr>
                <w:rFonts w:hint="eastAsia" w:ascii="Times New Roman" w:hAnsi="Times New Roman" w:eastAsia="宋体" w:cs="Times New Roman"/>
                <w:b w:val="0"/>
                <w:bCs/>
                <w:color w:val="auto"/>
                <w:kern w:val="2"/>
                <w:sz w:val="24"/>
                <w:szCs w:val="24"/>
                <w:lang w:val="en-US" w:eastAsia="zh-CN" w:bidi="ar-SA"/>
              </w:rPr>
              <w:t>产生量为</w:t>
            </w:r>
            <w:r>
              <w:rPr>
                <w:rFonts w:hint="eastAsia" w:cs="Times New Roman"/>
                <w:b w:val="0"/>
                <w:bCs/>
                <w:color w:val="auto"/>
                <w:kern w:val="2"/>
                <w:sz w:val="24"/>
                <w:szCs w:val="24"/>
                <w:lang w:val="en-US" w:eastAsia="zh-CN" w:bidi="ar-SA"/>
              </w:rPr>
              <w:t>5</w:t>
            </w:r>
            <w:r>
              <w:rPr>
                <w:rFonts w:hint="eastAsia" w:ascii="Times New Roman" w:hAnsi="Times New Roman" w:eastAsia="宋体" w:cs="Times New Roman"/>
                <w:b w:val="0"/>
                <w:bCs/>
                <w:color w:val="auto"/>
                <w:kern w:val="2"/>
                <w:sz w:val="24"/>
                <w:szCs w:val="24"/>
                <w:lang w:val="en-US" w:eastAsia="zh-CN" w:bidi="ar-SA"/>
              </w:rPr>
              <w:t>个，单个油</w:t>
            </w:r>
            <w:r>
              <w:rPr>
                <w:rFonts w:hint="default" w:ascii="Times New Roman" w:hAnsi="Times New Roman" w:eastAsia="宋体" w:cs="Times New Roman"/>
                <w:b w:val="0"/>
                <w:bCs/>
                <w:color w:val="auto"/>
                <w:kern w:val="2"/>
                <w:sz w:val="24"/>
                <w:szCs w:val="24"/>
                <w:lang w:val="en-US" w:eastAsia="zh-CN" w:bidi="ar-SA"/>
              </w:rPr>
              <w:t>桶</w:t>
            </w:r>
            <w:r>
              <w:rPr>
                <w:rFonts w:hint="eastAsia" w:ascii="Times New Roman" w:hAnsi="Times New Roman" w:eastAsia="宋体" w:cs="Times New Roman"/>
                <w:b w:val="0"/>
                <w:bCs/>
                <w:color w:val="auto"/>
                <w:kern w:val="2"/>
                <w:sz w:val="24"/>
                <w:szCs w:val="24"/>
                <w:lang w:val="en-US" w:eastAsia="zh-CN" w:bidi="ar-SA"/>
              </w:rPr>
              <w:t>重量以5</w:t>
            </w:r>
            <w:r>
              <w:rPr>
                <w:rFonts w:hint="default" w:ascii="Times New Roman" w:hAnsi="Times New Roman" w:eastAsia="宋体" w:cs="Times New Roman"/>
                <w:b w:val="0"/>
                <w:bCs/>
                <w:color w:val="auto"/>
                <w:kern w:val="2"/>
                <w:sz w:val="24"/>
                <w:szCs w:val="24"/>
                <w:lang w:val="en-US" w:eastAsia="zh-CN" w:bidi="ar-SA"/>
              </w:rPr>
              <w:t>kg</w:t>
            </w:r>
            <w:r>
              <w:rPr>
                <w:rFonts w:hint="eastAsia" w:ascii="Times New Roman" w:hAnsi="Times New Roman" w:eastAsia="宋体" w:cs="Times New Roman"/>
                <w:b w:val="0"/>
                <w:bCs/>
                <w:color w:val="auto"/>
                <w:kern w:val="2"/>
                <w:sz w:val="24"/>
                <w:szCs w:val="24"/>
                <w:lang w:val="en-US" w:eastAsia="zh-CN" w:bidi="ar-SA"/>
              </w:rPr>
              <w:t>计，则</w:t>
            </w:r>
            <w:r>
              <w:rPr>
                <w:rFonts w:hint="eastAsia" w:ascii="Times New Roman" w:hAnsi="Times New Roman" w:cs="Times New Roman"/>
                <w:b w:val="0"/>
                <w:bCs/>
                <w:color w:val="auto"/>
                <w:kern w:val="2"/>
                <w:sz w:val="24"/>
                <w:szCs w:val="24"/>
                <w:lang w:val="en-US" w:eastAsia="zh-CN" w:bidi="ar-SA"/>
              </w:rPr>
              <w:t>废机油桶</w:t>
            </w:r>
            <w:r>
              <w:rPr>
                <w:rFonts w:hint="eastAsia" w:ascii="Times New Roman" w:hAnsi="Times New Roman" w:eastAsia="宋体" w:cs="Times New Roman"/>
                <w:b w:val="0"/>
                <w:bCs/>
                <w:color w:val="auto"/>
                <w:kern w:val="2"/>
                <w:sz w:val="24"/>
                <w:szCs w:val="24"/>
                <w:lang w:val="en-US" w:eastAsia="zh-CN" w:bidi="ar-SA"/>
              </w:rPr>
              <w:t>产生量约为</w:t>
            </w:r>
            <w:r>
              <w:rPr>
                <w:rFonts w:hint="eastAsia" w:cs="Times New Roman"/>
                <w:b w:val="0"/>
                <w:bCs/>
                <w:color w:val="auto"/>
                <w:kern w:val="2"/>
                <w:sz w:val="24"/>
                <w:szCs w:val="24"/>
                <w:lang w:val="en-US" w:eastAsia="zh-CN" w:bidi="ar-SA"/>
              </w:rPr>
              <w:t>0.025</w:t>
            </w:r>
            <w:r>
              <w:rPr>
                <w:rFonts w:hint="default" w:ascii="Times New Roman" w:hAnsi="Times New Roman" w:eastAsia="宋体" w:cs="Times New Roman"/>
                <w:b w:val="0"/>
                <w:bCs/>
                <w:color w:val="auto"/>
                <w:kern w:val="2"/>
                <w:sz w:val="24"/>
                <w:szCs w:val="24"/>
                <w:lang w:val="en-US" w:eastAsia="zh-CN" w:bidi="ar-SA"/>
              </w:rPr>
              <w:t>t/a</w:t>
            </w:r>
            <w:r>
              <w:rPr>
                <w:rFonts w:hint="eastAsia" w:ascii="Times New Roman" w:hAnsi="Times New Roman" w:eastAsia="宋体" w:cs="Times New Roman"/>
                <w:b w:val="0"/>
                <w:bCs/>
                <w:color w:val="auto"/>
                <w:kern w:val="2"/>
                <w:sz w:val="24"/>
                <w:szCs w:val="24"/>
                <w:lang w:val="en-US" w:eastAsia="zh-CN" w:bidi="ar-SA"/>
              </w:rPr>
              <w:t>。</w:t>
            </w:r>
          </w:p>
          <w:p w14:paraId="58D2EB93">
            <w:pPr>
              <w:pStyle w:val="25"/>
              <w:keepNext w:val="0"/>
              <w:keepLines w:val="0"/>
              <w:pageBreakBefore w:val="0"/>
              <w:widowControl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w:t>
            </w:r>
            <w:r>
              <w:rPr>
                <w:rFonts w:hint="eastAsia" w:ascii="Times New Roman" w:hAnsi="Times New Roman" w:cs="Times New Roman"/>
                <w:b w:val="0"/>
                <w:bCs/>
                <w:color w:val="auto"/>
                <w:sz w:val="24"/>
                <w:szCs w:val="24"/>
                <w:lang w:val="en-US" w:eastAsia="zh-CN"/>
              </w:rPr>
              <w:t>9</w:t>
            </w:r>
            <w:r>
              <w:rPr>
                <w:rFonts w:hint="default" w:ascii="Times New Roman" w:hAnsi="Times New Roman" w:eastAsia="宋体" w:cs="Times New Roman"/>
                <w:b w:val="0"/>
                <w:bCs/>
                <w:color w:val="auto"/>
                <w:sz w:val="24"/>
                <w:szCs w:val="24"/>
                <w:lang w:val="en-US" w:eastAsia="zh-CN"/>
              </w:rPr>
              <w:t>）废</w:t>
            </w:r>
            <w:r>
              <w:rPr>
                <w:rFonts w:hint="eastAsia" w:ascii="Times New Roman" w:hAnsi="Times New Roman" w:cs="Times New Roman"/>
                <w:b w:val="0"/>
                <w:bCs/>
                <w:color w:val="auto"/>
                <w:sz w:val="24"/>
                <w:szCs w:val="24"/>
                <w:lang w:val="en-US" w:eastAsia="zh-CN"/>
              </w:rPr>
              <w:t>机</w:t>
            </w:r>
            <w:r>
              <w:rPr>
                <w:rFonts w:hint="default" w:ascii="Times New Roman" w:hAnsi="Times New Roman" w:eastAsia="宋体" w:cs="Times New Roman"/>
                <w:b w:val="0"/>
                <w:bCs/>
                <w:color w:val="auto"/>
                <w:sz w:val="24"/>
                <w:szCs w:val="24"/>
                <w:lang w:val="en-US" w:eastAsia="zh-CN"/>
              </w:rPr>
              <w:t>油</w:t>
            </w:r>
          </w:p>
          <w:p w14:paraId="7EAC7DBF">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lang w:val="en-US"/>
              </w:rPr>
            </w:pPr>
            <w:r>
              <w:rPr>
                <w:rFonts w:hint="default" w:ascii="Times New Roman" w:hAnsi="Times New Roman" w:eastAsia="宋体" w:cs="Times New Roman"/>
                <w:color w:val="auto"/>
                <w:sz w:val="24"/>
                <w:szCs w:val="24"/>
                <w:lang w:val="en-US" w:eastAsia="zh-CN"/>
              </w:rPr>
              <w:t>本</w:t>
            </w:r>
            <w:r>
              <w:rPr>
                <w:rFonts w:hint="default" w:ascii="Times New Roman" w:hAnsi="Times New Roman" w:eastAsia="宋体" w:cs="Times New Roman"/>
                <w:color w:val="auto"/>
                <w:sz w:val="24"/>
                <w:szCs w:val="24"/>
                <w:highlight w:val="none"/>
                <w:lang w:val="en-US" w:eastAsia="zh-CN"/>
              </w:rPr>
              <w:t>项目</w:t>
            </w:r>
            <w:r>
              <w:rPr>
                <w:rFonts w:hint="eastAsia" w:cs="Times New Roman"/>
                <w:color w:val="auto"/>
                <w:kern w:val="2"/>
                <w:sz w:val="24"/>
                <w:szCs w:val="28"/>
                <w:highlight w:val="none"/>
                <w:lang w:val="en-US" w:eastAsia="zh-CN" w:bidi="ar-SA"/>
              </w:rPr>
              <w:t>机加工设备</w:t>
            </w:r>
            <w:r>
              <w:rPr>
                <w:rFonts w:hint="default" w:ascii="Times New Roman" w:hAnsi="Times New Roman" w:eastAsia="宋体" w:cs="Times New Roman"/>
                <w:color w:val="auto"/>
                <w:sz w:val="24"/>
                <w:szCs w:val="24"/>
                <w:highlight w:val="none"/>
                <w:lang w:val="en-US" w:eastAsia="zh-CN"/>
              </w:rPr>
              <w:t>定期委托相关单位进行维护保养，本项目消耗</w:t>
            </w:r>
            <w:r>
              <w:rPr>
                <w:rFonts w:hint="eastAsia" w:cs="Times New Roman"/>
                <w:color w:val="auto"/>
                <w:sz w:val="24"/>
                <w:szCs w:val="24"/>
                <w:highlight w:val="none"/>
                <w:lang w:val="en-US" w:eastAsia="zh-CN"/>
              </w:rPr>
              <w:t>机油</w:t>
            </w:r>
            <w:r>
              <w:rPr>
                <w:rFonts w:hint="eastAsia" w:ascii="Times New Roman" w:hAnsi="Times New Roman" w:eastAsia="宋体" w:cs="Times New Roman"/>
                <w:color w:val="auto"/>
                <w:sz w:val="24"/>
                <w:szCs w:val="24"/>
                <w:highlight w:val="none"/>
                <w:lang w:val="en-US" w:eastAsia="zh-CN"/>
              </w:rPr>
              <w:t>1t</w:t>
            </w:r>
            <w:r>
              <w:rPr>
                <w:rFonts w:hint="default" w:ascii="Times New Roman" w:hAnsi="Times New Roman" w:eastAsia="宋体" w:cs="Times New Roman"/>
                <w:color w:val="auto"/>
                <w:sz w:val="24"/>
                <w:szCs w:val="24"/>
                <w:highlight w:val="none"/>
                <w:lang w:val="en-US" w:eastAsia="zh-CN"/>
              </w:rPr>
              <w:t>/a，产生废</w:t>
            </w:r>
            <w:r>
              <w:rPr>
                <w:rFonts w:hint="eastAsia" w:cs="Times New Roman"/>
                <w:color w:val="auto"/>
                <w:sz w:val="24"/>
                <w:szCs w:val="24"/>
                <w:highlight w:val="none"/>
                <w:lang w:val="en-US" w:eastAsia="zh-CN"/>
              </w:rPr>
              <w:t>机油</w:t>
            </w:r>
            <w:r>
              <w:rPr>
                <w:rFonts w:hint="default" w:ascii="Times New Roman" w:hAnsi="Times New Roman" w:eastAsia="宋体" w:cs="Times New Roman"/>
                <w:color w:val="auto"/>
                <w:sz w:val="24"/>
                <w:szCs w:val="24"/>
                <w:highlight w:val="none"/>
                <w:lang w:val="en-US" w:eastAsia="zh-CN"/>
              </w:rPr>
              <w:t>约</w:t>
            </w:r>
            <w:r>
              <w:rPr>
                <w:rFonts w:hint="eastAsia" w:ascii="Times New Roman" w:hAnsi="Times New Roman" w:eastAsia="宋体" w:cs="Times New Roman"/>
                <w:color w:val="auto"/>
                <w:sz w:val="24"/>
                <w:szCs w:val="24"/>
                <w:highlight w:val="none"/>
                <w:lang w:val="en-US" w:eastAsia="zh-CN"/>
              </w:rPr>
              <w:t>0.9</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eastAsia="宋体" w:cs="Times New Roman"/>
                <w:b w:val="0"/>
                <w:bCs/>
                <w:color w:val="auto"/>
                <w:spacing w:val="-10"/>
                <w:sz w:val="24"/>
                <w:szCs w:val="24"/>
              </w:rPr>
              <w:t>。</w:t>
            </w:r>
          </w:p>
          <w:p w14:paraId="54A9AEA1">
            <w:pPr>
              <w:pStyle w:val="25"/>
              <w:keepNext w:val="0"/>
              <w:keepLines w:val="0"/>
              <w:pageBreakBefore w:val="0"/>
              <w:widowControl w:val="0"/>
              <w:kinsoku/>
              <w:wordWrap/>
              <w:overflowPunct/>
              <w:topLinePunct w:val="0"/>
              <w:bidi w:val="0"/>
              <w:adjustRightInd w:val="0"/>
              <w:snapToGrid w:val="0"/>
              <w:spacing w:line="360" w:lineRule="auto"/>
              <w:ind w:leftChars="0" w:firstLine="440" w:firstLineChars="200"/>
              <w:textAlignment w:val="auto"/>
              <w:rPr>
                <w:rFonts w:hint="default" w:ascii="Times New Roman" w:hAnsi="Times New Roman" w:eastAsia="宋体" w:cs="Times New Roman"/>
                <w:b w:val="0"/>
                <w:bCs/>
                <w:color w:val="auto"/>
                <w:spacing w:val="-10"/>
                <w:sz w:val="24"/>
                <w:szCs w:val="24"/>
                <w:lang w:val="en-US" w:eastAsia="zh-CN"/>
              </w:rPr>
            </w:pPr>
            <w:r>
              <w:rPr>
                <w:rFonts w:hint="default" w:ascii="Times New Roman" w:hAnsi="Times New Roman" w:eastAsia="宋体" w:cs="Times New Roman"/>
                <w:b w:val="0"/>
                <w:bCs/>
                <w:color w:val="auto"/>
                <w:spacing w:val="-10"/>
                <w:sz w:val="24"/>
                <w:szCs w:val="24"/>
                <w:lang w:val="en-US" w:eastAsia="zh-CN"/>
              </w:rPr>
              <w:t>（</w:t>
            </w:r>
            <w:r>
              <w:rPr>
                <w:rFonts w:hint="eastAsia" w:ascii="Times New Roman" w:hAnsi="Times New Roman" w:cs="Times New Roman"/>
                <w:b w:val="0"/>
                <w:bCs/>
                <w:color w:val="auto"/>
                <w:spacing w:val="-10"/>
                <w:sz w:val="24"/>
                <w:szCs w:val="24"/>
                <w:lang w:val="en-US" w:eastAsia="zh-CN"/>
              </w:rPr>
              <w:t>10</w:t>
            </w:r>
            <w:r>
              <w:rPr>
                <w:rFonts w:hint="default" w:ascii="Times New Roman" w:hAnsi="Times New Roman" w:eastAsia="宋体" w:cs="Times New Roman"/>
                <w:b w:val="0"/>
                <w:bCs/>
                <w:color w:val="auto"/>
                <w:spacing w:val="-10"/>
                <w:sz w:val="24"/>
                <w:szCs w:val="24"/>
                <w:lang w:val="en-US" w:eastAsia="zh-CN"/>
              </w:rPr>
              <w:t>）</w:t>
            </w:r>
            <w:r>
              <w:rPr>
                <w:rFonts w:hint="eastAsia" w:ascii="Times New Roman" w:hAnsi="Times New Roman" w:cs="Times New Roman"/>
                <w:b w:val="0"/>
                <w:bCs/>
                <w:color w:val="auto"/>
                <w:spacing w:val="-10"/>
                <w:sz w:val="24"/>
                <w:szCs w:val="24"/>
                <w:shd w:val="clear" w:fill="auto"/>
                <w:lang w:val="en-US" w:eastAsia="zh-CN"/>
              </w:rPr>
              <w:t>废清洗剂桶</w:t>
            </w:r>
          </w:p>
          <w:p w14:paraId="5B748F94">
            <w:pPr>
              <w:keepNext w:val="0"/>
              <w:keepLines w:val="0"/>
              <w:pageBreakBefore w:val="0"/>
              <w:widowControl/>
              <w:suppressLineNumbers w:val="0"/>
              <w:kinsoku/>
              <w:wordWrap/>
              <w:overflowPunct/>
              <w:topLinePunct w:val="0"/>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kern w:val="2"/>
                <w:sz w:val="24"/>
                <w:szCs w:val="28"/>
                <w:highlight w:val="none"/>
                <w:lang w:val="en-US" w:eastAsia="zh-CN" w:bidi="ar-SA"/>
              </w:rPr>
            </w:pPr>
            <w:r>
              <w:rPr>
                <w:rFonts w:hint="default" w:ascii="Times New Roman" w:hAnsi="Times New Roman" w:eastAsia="宋体" w:cs="Times New Roman"/>
                <w:color w:val="auto"/>
                <w:kern w:val="2"/>
                <w:sz w:val="24"/>
                <w:szCs w:val="28"/>
                <w:highlight w:val="none"/>
                <w:lang w:val="en-US" w:eastAsia="zh-CN" w:bidi="ar-SA"/>
              </w:rPr>
              <w:t>本项目</w:t>
            </w:r>
            <w:r>
              <w:rPr>
                <w:rFonts w:hint="eastAsia" w:ascii="Times New Roman" w:hAnsi="Times New Roman" w:eastAsia="宋体" w:cs="Times New Roman"/>
                <w:color w:val="auto"/>
                <w:kern w:val="2"/>
                <w:sz w:val="24"/>
                <w:szCs w:val="28"/>
                <w:highlight w:val="none"/>
                <w:lang w:val="en-US" w:eastAsia="zh-CN" w:bidi="ar-SA"/>
              </w:rPr>
              <w:t>清洗剂</w:t>
            </w:r>
            <w:r>
              <w:rPr>
                <w:rFonts w:hint="default" w:ascii="Times New Roman" w:hAnsi="Times New Roman" w:eastAsia="宋体" w:cs="Times New Roman"/>
                <w:color w:val="auto"/>
                <w:kern w:val="2"/>
                <w:sz w:val="24"/>
                <w:szCs w:val="28"/>
                <w:highlight w:val="none"/>
                <w:lang w:val="en-US" w:eastAsia="zh-CN" w:bidi="ar-SA"/>
              </w:rPr>
              <w:t>使用</w:t>
            </w:r>
            <w:r>
              <w:rPr>
                <w:rFonts w:hint="eastAsia" w:ascii="Times New Roman" w:hAnsi="Times New Roman" w:eastAsia="宋体" w:cs="Times New Roman"/>
                <w:color w:val="auto"/>
                <w:kern w:val="2"/>
                <w:sz w:val="24"/>
                <w:szCs w:val="28"/>
                <w:highlight w:val="none"/>
                <w:lang w:val="en-US" w:eastAsia="zh-CN" w:bidi="ar-SA"/>
              </w:rPr>
              <w:t>后会产生</w:t>
            </w:r>
            <w:r>
              <w:rPr>
                <w:rFonts w:hint="eastAsia" w:cs="Times New Roman"/>
                <w:color w:val="auto"/>
                <w:kern w:val="2"/>
                <w:sz w:val="24"/>
                <w:szCs w:val="28"/>
                <w:highlight w:val="none"/>
                <w:lang w:val="en-US" w:eastAsia="zh-CN" w:bidi="ar-SA"/>
              </w:rPr>
              <w:t>废清洗剂桶</w:t>
            </w:r>
            <w:r>
              <w:rPr>
                <w:rFonts w:hint="eastAsia" w:ascii="Times New Roman" w:hAnsi="Times New Roman" w:eastAsia="宋体" w:cs="Times New Roman"/>
                <w:color w:val="auto"/>
                <w:kern w:val="2"/>
                <w:sz w:val="24"/>
                <w:szCs w:val="28"/>
                <w:highlight w:val="none"/>
                <w:lang w:val="en-US" w:eastAsia="zh-CN" w:bidi="ar-SA"/>
              </w:rPr>
              <w:t>，清洗剂包装规格为</w:t>
            </w:r>
            <w:r>
              <w:rPr>
                <w:rFonts w:hint="default" w:ascii="Times New Roman" w:hAnsi="Times New Roman" w:eastAsia="宋体" w:cs="Times New Roman"/>
                <w:color w:val="auto"/>
                <w:kern w:val="2"/>
                <w:sz w:val="24"/>
                <w:szCs w:val="28"/>
                <w:highlight w:val="none"/>
                <w:lang w:val="en-US" w:eastAsia="zh-CN" w:bidi="ar-SA"/>
              </w:rPr>
              <w:t>20kg/</w:t>
            </w:r>
            <w:r>
              <w:rPr>
                <w:rFonts w:hint="eastAsia" w:ascii="Times New Roman" w:hAnsi="Times New Roman" w:eastAsia="宋体" w:cs="Times New Roman"/>
                <w:color w:val="auto"/>
                <w:kern w:val="2"/>
                <w:sz w:val="24"/>
                <w:szCs w:val="28"/>
                <w:highlight w:val="none"/>
                <w:lang w:val="en-US" w:eastAsia="zh-CN" w:bidi="ar-SA"/>
              </w:rPr>
              <w:t>桶，用量为</w:t>
            </w:r>
            <w:r>
              <w:rPr>
                <w:rFonts w:hint="eastAsia" w:cs="Times New Roman"/>
                <w:color w:val="auto"/>
                <w:kern w:val="2"/>
                <w:sz w:val="24"/>
                <w:szCs w:val="28"/>
                <w:highlight w:val="none"/>
                <w:lang w:val="en-US" w:eastAsia="zh-CN" w:bidi="ar-SA"/>
              </w:rPr>
              <w:t>1.6</w:t>
            </w:r>
            <w:r>
              <w:rPr>
                <w:rFonts w:hint="default" w:ascii="Times New Roman" w:hAnsi="Times New Roman" w:eastAsia="宋体" w:cs="Times New Roman"/>
                <w:color w:val="auto"/>
                <w:kern w:val="2"/>
                <w:sz w:val="24"/>
                <w:szCs w:val="28"/>
                <w:highlight w:val="none"/>
                <w:lang w:val="en-US" w:eastAsia="zh-CN" w:bidi="ar-SA"/>
              </w:rPr>
              <w:t>t/a</w:t>
            </w:r>
            <w:r>
              <w:rPr>
                <w:rFonts w:hint="eastAsia" w:ascii="Times New Roman" w:hAnsi="Times New Roman" w:eastAsia="宋体" w:cs="Times New Roman"/>
                <w:color w:val="auto"/>
                <w:kern w:val="2"/>
                <w:sz w:val="24"/>
                <w:szCs w:val="28"/>
                <w:highlight w:val="none"/>
                <w:lang w:val="en-US" w:eastAsia="zh-CN" w:bidi="ar-SA"/>
              </w:rPr>
              <w:t>，则</w:t>
            </w:r>
            <w:r>
              <w:rPr>
                <w:rFonts w:hint="eastAsia" w:cs="Times New Roman"/>
                <w:color w:val="auto"/>
                <w:kern w:val="2"/>
                <w:sz w:val="24"/>
                <w:szCs w:val="28"/>
                <w:highlight w:val="none"/>
                <w:lang w:val="en-US" w:eastAsia="zh-CN" w:bidi="ar-SA"/>
              </w:rPr>
              <w:t>废清洗剂桶</w:t>
            </w:r>
            <w:r>
              <w:rPr>
                <w:rFonts w:hint="eastAsia" w:ascii="Times New Roman" w:hAnsi="Times New Roman" w:eastAsia="宋体" w:cs="Times New Roman"/>
                <w:color w:val="auto"/>
                <w:kern w:val="2"/>
                <w:sz w:val="24"/>
                <w:szCs w:val="28"/>
                <w:highlight w:val="none"/>
                <w:lang w:val="en-US" w:eastAsia="zh-CN" w:bidi="ar-SA"/>
              </w:rPr>
              <w:t>产生量为</w:t>
            </w:r>
            <w:r>
              <w:rPr>
                <w:rFonts w:hint="eastAsia" w:cs="Times New Roman"/>
                <w:color w:val="auto"/>
                <w:kern w:val="2"/>
                <w:sz w:val="24"/>
                <w:szCs w:val="28"/>
                <w:highlight w:val="none"/>
                <w:lang w:val="en-US" w:eastAsia="zh-CN" w:bidi="ar-SA"/>
              </w:rPr>
              <w:t>80</w:t>
            </w:r>
            <w:r>
              <w:rPr>
                <w:rFonts w:hint="eastAsia" w:ascii="Times New Roman" w:hAnsi="Times New Roman" w:eastAsia="宋体" w:cs="Times New Roman"/>
                <w:color w:val="auto"/>
                <w:kern w:val="2"/>
                <w:sz w:val="24"/>
                <w:szCs w:val="28"/>
                <w:highlight w:val="none"/>
                <w:lang w:val="en-US" w:eastAsia="zh-CN" w:bidi="ar-SA"/>
              </w:rPr>
              <w:t>个，单个包装桶重量以1</w:t>
            </w:r>
            <w:r>
              <w:rPr>
                <w:rFonts w:hint="default" w:ascii="Times New Roman" w:hAnsi="Times New Roman" w:eastAsia="宋体" w:cs="Times New Roman"/>
                <w:color w:val="auto"/>
                <w:kern w:val="2"/>
                <w:sz w:val="24"/>
                <w:szCs w:val="28"/>
                <w:highlight w:val="none"/>
                <w:lang w:val="en-US" w:eastAsia="zh-CN" w:bidi="ar-SA"/>
              </w:rPr>
              <w:t>kg</w:t>
            </w:r>
            <w:r>
              <w:rPr>
                <w:rFonts w:hint="eastAsia" w:ascii="Times New Roman" w:hAnsi="Times New Roman" w:eastAsia="宋体" w:cs="Times New Roman"/>
                <w:color w:val="auto"/>
                <w:kern w:val="2"/>
                <w:sz w:val="24"/>
                <w:szCs w:val="28"/>
                <w:highlight w:val="none"/>
                <w:lang w:val="en-US" w:eastAsia="zh-CN" w:bidi="ar-SA"/>
              </w:rPr>
              <w:t>计，则</w:t>
            </w:r>
            <w:r>
              <w:rPr>
                <w:rFonts w:hint="eastAsia" w:cs="Times New Roman"/>
                <w:color w:val="auto"/>
                <w:kern w:val="2"/>
                <w:sz w:val="24"/>
                <w:szCs w:val="28"/>
                <w:highlight w:val="none"/>
                <w:lang w:val="en-US" w:eastAsia="zh-CN" w:bidi="ar-SA"/>
              </w:rPr>
              <w:t>废清洗剂桶</w:t>
            </w:r>
            <w:r>
              <w:rPr>
                <w:rFonts w:hint="eastAsia" w:ascii="Times New Roman" w:hAnsi="Times New Roman" w:eastAsia="宋体" w:cs="Times New Roman"/>
                <w:color w:val="auto"/>
                <w:kern w:val="2"/>
                <w:sz w:val="24"/>
                <w:szCs w:val="28"/>
                <w:highlight w:val="none"/>
                <w:lang w:val="en-US" w:eastAsia="zh-CN" w:bidi="ar-SA"/>
              </w:rPr>
              <w:t>产生量约为</w:t>
            </w:r>
            <w:r>
              <w:rPr>
                <w:rFonts w:hint="eastAsia" w:cs="Times New Roman"/>
                <w:color w:val="auto"/>
                <w:kern w:val="2"/>
                <w:sz w:val="24"/>
                <w:szCs w:val="28"/>
                <w:highlight w:val="none"/>
                <w:lang w:val="en-US" w:eastAsia="zh-CN" w:bidi="ar-SA"/>
              </w:rPr>
              <w:t>0.08</w:t>
            </w:r>
            <w:r>
              <w:rPr>
                <w:rFonts w:hint="default" w:ascii="Times New Roman" w:hAnsi="Times New Roman" w:eastAsia="宋体" w:cs="Times New Roman"/>
                <w:color w:val="auto"/>
                <w:kern w:val="2"/>
                <w:sz w:val="24"/>
                <w:szCs w:val="28"/>
                <w:highlight w:val="none"/>
                <w:lang w:val="en-US" w:eastAsia="zh-CN" w:bidi="ar-SA"/>
              </w:rPr>
              <w:t>t/a</w:t>
            </w:r>
            <w:r>
              <w:rPr>
                <w:rFonts w:hint="eastAsia" w:ascii="Times New Roman" w:hAnsi="Times New Roman" w:eastAsia="宋体" w:cs="Times New Roman"/>
                <w:color w:val="auto"/>
                <w:kern w:val="2"/>
                <w:sz w:val="24"/>
                <w:szCs w:val="28"/>
                <w:highlight w:val="none"/>
                <w:lang w:val="en-US" w:eastAsia="zh-CN" w:bidi="ar-SA"/>
              </w:rPr>
              <w:t>。</w:t>
            </w:r>
          </w:p>
          <w:p w14:paraId="4B489943">
            <w:pPr>
              <w:pStyle w:val="25"/>
              <w:keepNext w:val="0"/>
              <w:keepLines w:val="0"/>
              <w:pageBreakBefore w:val="0"/>
              <w:widowControl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b w:val="0"/>
                <w:bCs/>
                <w:color w:val="auto"/>
                <w:sz w:val="24"/>
                <w:lang w:val="en-US" w:eastAsia="zh-CN"/>
              </w:rPr>
            </w:pPr>
            <w:r>
              <w:rPr>
                <w:rFonts w:hint="default" w:ascii="Times New Roman" w:hAnsi="Times New Roman" w:eastAsia="宋体" w:cs="Times New Roman"/>
                <w:b w:val="0"/>
                <w:bCs/>
                <w:color w:val="auto"/>
                <w:sz w:val="24"/>
                <w:lang w:val="en-US" w:eastAsia="zh-CN"/>
              </w:rPr>
              <w:t>（</w:t>
            </w:r>
            <w:r>
              <w:rPr>
                <w:rFonts w:hint="eastAsia" w:ascii="Times New Roman" w:hAnsi="Times New Roman" w:cs="Times New Roman"/>
                <w:b w:val="0"/>
                <w:bCs/>
                <w:color w:val="auto"/>
                <w:sz w:val="24"/>
                <w:lang w:val="en-US" w:eastAsia="zh-CN"/>
              </w:rPr>
              <w:t>11</w:t>
            </w:r>
            <w:r>
              <w:rPr>
                <w:rFonts w:hint="default" w:ascii="Times New Roman" w:hAnsi="Times New Roman" w:eastAsia="宋体" w:cs="Times New Roman"/>
                <w:b w:val="0"/>
                <w:bCs/>
                <w:color w:val="auto"/>
                <w:sz w:val="24"/>
                <w:lang w:val="en-US" w:eastAsia="zh-CN"/>
              </w:rPr>
              <w:t>）</w:t>
            </w:r>
            <w:r>
              <w:rPr>
                <w:rFonts w:hint="eastAsia" w:ascii="Times New Roman" w:hAnsi="Times New Roman" w:cs="Times New Roman"/>
                <w:b w:val="0"/>
                <w:bCs/>
                <w:color w:val="auto"/>
                <w:sz w:val="24"/>
                <w:lang w:val="en-US" w:eastAsia="zh-CN"/>
              </w:rPr>
              <w:t>含油废抹布手套</w:t>
            </w:r>
          </w:p>
          <w:p w14:paraId="1140390F">
            <w:pPr>
              <w:keepNext w:val="0"/>
              <w:keepLines w:val="0"/>
              <w:pageBreakBefore w:val="0"/>
              <w:widowControl/>
              <w:suppressLineNumbers w:val="0"/>
              <w:kinsoku/>
              <w:wordWrap/>
              <w:overflowPunct/>
              <w:topLinePunct w:val="0"/>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kern w:val="2"/>
                <w:sz w:val="24"/>
                <w:szCs w:val="28"/>
                <w:highlight w:val="none"/>
                <w:lang w:val="en-US" w:eastAsia="zh-CN" w:bidi="ar-SA"/>
              </w:rPr>
            </w:pPr>
            <w:r>
              <w:rPr>
                <w:rFonts w:hint="default" w:ascii="Times New Roman" w:hAnsi="Times New Roman" w:eastAsia="宋体" w:cs="Times New Roman"/>
                <w:color w:val="auto"/>
                <w:kern w:val="2"/>
                <w:sz w:val="24"/>
                <w:szCs w:val="28"/>
                <w:highlight w:val="none"/>
                <w:lang w:val="en-US" w:eastAsia="zh-CN" w:bidi="ar-SA"/>
              </w:rPr>
              <w:t>本项目</w:t>
            </w:r>
            <w:r>
              <w:rPr>
                <w:rFonts w:hint="eastAsia" w:cs="Times New Roman"/>
                <w:color w:val="auto"/>
                <w:kern w:val="2"/>
                <w:sz w:val="24"/>
                <w:szCs w:val="28"/>
                <w:highlight w:val="none"/>
                <w:lang w:val="en-US" w:eastAsia="zh-CN" w:bidi="ar-SA"/>
              </w:rPr>
              <w:t>机加工设备</w:t>
            </w:r>
            <w:r>
              <w:rPr>
                <w:rFonts w:hint="default" w:ascii="Times New Roman" w:hAnsi="Times New Roman" w:eastAsia="宋体" w:cs="Times New Roman"/>
                <w:color w:val="auto"/>
                <w:kern w:val="2"/>
                <w:sz w:val="24"/>
                <w:szCs w:val="28"/>
                <w:highlight w:val="none"/>
                <w:lang w:val="en-US" w:eastAsia="zh-CN" w:bidi="ar-SA"/>
              </w:rPr>
              <w:t>保养</w:t>
            </w:r>
            <w:r>
              <w:rPr>
                <w:rFonts w:hint="eastAsia" w:ascii="Times New Roman" w:hAnsi="Times New Roman" w:eastAsia="宋体" w:cs="Times New Roman"/>
                <w:color w:val="auto"/>
                <w:kern w:val="2"/>
                <w:sz w:val="24"/>
                <w:szCs w:val="28"/>
                <w:highlight w:val="none"/>
                <w:lang w:val="en-US" w:eastAsia="zh-CN" w:bidi="ar-SA"/>
              </w:rPr>
              <w:t>过程会产生</w:t>
            </w:r>
            <w:r>
              <w:rPr>
                <w:rFonts w:hint="eastAsia" w:cs="Times New Roman"/>
                <w:color w:val="auto"/>
                <w:kern w:val="2"/>
                <w:sz w:val="24"/>
                <w:szCs w:val="28"/>
                <w:highlight w:val="none"/>
                <w:lang w:val="en-US" w:eastAsia="zh-CN" w:bidi="ar-SA"/>
              </w:rPr>
              <w:t>少量含油废抹布手套</w:t>
            </w:r>
            <w:r>
              <w:rPr>
                <w:rFonts w:hint="default" w:ascii="Times New Roman" w:hAnsi="Times New Roman" w:eastAsia="宋体" w:cs="Times New Roman"/>
                <w:color w:val="auto"/>
                <w:kern w:val="2"/>
                <w:sz w:val="24"/>
                <w:szCs w:val="28"/>
                <w:highlight w:val="none"/>
                <w:lang w:val="en-US" w:eastAsia="zh-CN" w:bidi="ar-SA"/>
              </w:rPr>
              <w:t>，产生量约为0.05t/a</w:t>
            </w:r>
            <w:r>
              <w:rPr>
                <w:rFonts w:hint="eastAsia" w:cs="Times New Roman"/>
                <w:color w:val="auto"/>
                <w:kern w:val="2"/>
                <w:sz w:val="24"/>
                <w:szCs w:val="28"/>
                <w:highlight w:val="none"/>
                <w:lang w:val="en-US" w:eastAsia="zh-CN" w:bidi="ar-SA"/>
              </w:rPr>
              <w:t>。</w:t>
            </w:r>
          </w:p>
          <w:p w14:paraId="293D3309">
            <w:pPr>
              <w:pStyle w:val="25"/>
              <w:keepNext w:val="0"/>
              <w:keepLines w:val="0"/>
              <w:pageBreakBefore w:val="0"/>
              <w:widowControl w:val="0"/>
              <w:kinsoku/>
              <w:wordWrap/>
              <w:overflowPunct/>
              <w:topLinePunct w:val="0"/>
              <w:bidi w:val="0"/>
              <w:adjustRightInd w:val="0"/>
              <w:snapToGrid w:val="0"/>
              <w:spacing w:line="360" w:lineRule="auto"/>
              <w:ind w:leftChars="0" w:firstLine="440" w:firstLineChars="200"/>
              <w:textAlignment w:val="auto"/>
              <w:rPr>
                <w:rFonts w:hint="default" w:ascii="Times New Roman" w:hAnsi="Times New Roman" w:eastAsia="宋体" w:cs="Times New Roman"/>
                <w:b w:val="0"/>
                <w:bCs/>
                <w:color w:val="auto"/>
                <w:spacing w:val="-10"/>
                <w:sz w:val="24"/>
                <w:szCs w:val="24"/>
                <w:lang w:val="en-US" w:eastAsia="zh-CN"/>
              </w:rPr>
            </w:pPr>
            <w:r>
              <w:rPr>
                <w:rFonts w:hint="default" w:ascii="Times New Roman" w:hAnsi="Times New Roman" w:eastAsia="宋体" w:cs="Times New Roman"/>
                <w:b w:val="0"/>
                <w:bCs/>
                <w:color w:val="auto"/>
                <w:spacing w:val="-10"/>
                <w:sz w:val="24"/>
                <w:szCs w:val="24"/>
                <w:lang w:val="en-US" w:eastAsia="zh-CN"/>
              </w:rPr>
              <w:t>（</w:t>
            </w:r>
            <w:r>
              <w:rPr>
                <w:rFonts w:hint="eastAsia" w:ascii="Times New Roman" w:hAnsi="Times New Roman" w:cs="Times New Roman"/>
                <w:b w:val="0"/>
                <w:bCs/>
                <w:color w:val="auto"/>
                <w:spacing w:val="-10"/>
                <w:sz w:val="24"/>
                <w:szCs w:val="24"/>
                <w:lang w:val="en-US" w:eastAsia="zh-CN"/>
              </w:rPr>
              <w:t>12</w:t>
            </w:r>
            <w:r>
              <w:rPr>
                <w:rFonts w:hint="default" w:ascii="Times New Roman" w:hAnsi="Times New Roman" w:eastAsia="宋体" w:cs="Times New Roman"/>
                <w:b w:val="0"/>
                <w:bCs/>
                <w:color w:val="auto"/>
                <w:spacing w:val="-10"/>
                <w:sz w:val="24"/>
                <w:szCs w:val="24"/>
                <w:lang w:val="en-US" w:eastAsia="zh-CN"/>
              </w:rPr>
              <w:t>）</w:t>
            </w:r>
            <w:r>
              <w:rPr>
                <w:rFonts w:hint="eastAsia" w:ascii="Times New Roman" w:hAnsi="Times New Roman" w:cs="Times New Roman"/>
                <w:b w:val="0"/>
                <w:bCs/>
                <w:color w:val="auto"/>
                <w:spacing w:val="-10"/>
                <w:sz w:val="24"/>
                <w:szCs w:val="24"/>
                <w:shd w:val="clear" w:fill="auto"/>
                <w:lang w:val="en-US" w:eastAsia="zh-CN"/>
              </w:rPr>
              <w:t>污泥</w:t>
            </w:r>
          </w:p>
          <w:p w14:paraId="785C55EF">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kern w:val="2"/>
                <w:sz w:val="24"/>
                <w:szCs w:val="28"/>
                <w:highlight w:val="none"/>
                <w:lang w:val="en-US" w:eastAsia="zh-CN" w:bidi="ar-SA"/>
              </w:rPr>
              <w:t>本项目废水经污水处理站处理</w:t>
            </w:r>
            <w:r>
              <w:rPr>
                <w:rFonts w:hint="eastAsia" w:ascii="Times New Roman" w:hAnsi="Times New Roman" w:eastAsia="宋体" w:cs="Times New Roman"/>
                <w:b w:val="0"/>
                <w:bCs/>
                <w:color w:val="auto"/>
                <w:kern w:val="2"/>
                <w:sz w:val="24"/>
                <w:szCs w:val="28"/>
                <w:highlight w:val="none"/>
                <w:lang w:val="en-US" w:eastAsia="zh-CN" w:bidi="ar-SA"/>
              </w:rPr>
              <w:t>，混凝沉淀、生化处理和过滤</w:t>
            </w:r>
            <w:r>
              <w:rPr>
                <w:rFonts w:hint="default" w:ascii="Times New Roman" w:hAnsi="Times New Roman" w:eastAsia="宋体" w:cs="Times New Roman"/>
                <w:b w:val="0"/>
                <w:bCs/>
                <w:color w:val="auto"/>
                <w:kern w:val="2"/>
                <w:sz w:val="24"/>
                <w:szCs w:val="28"/>
                <w:highlight w:val="none"/>
                <w:lang w:val="en-US" w:eastAsia="zh-CN" w:bidi="ar-SA"/>
              </w:rPr>
              <w:t>过程中会产生污泥和浮渣，</w:t>
            </w:r>
            <w:r>
              <w:rPr>
                <w:rFonts w:hint="eastAsia" w:ascii="Times New Roman" w:hAnsi="Times New Roman" w:eastAsia="宋体" w:cs="Times New Roman"/>
                <w:b w:val="0"/>
                <w:bCs/>
                <w:color w:val="auto"/>
                <w:kern w:val="2"/>
                <w:sz w:val="24"/>
                <w:szCs w:val="28"/>
                <w:highlight w:val="none"/>
                <w:lang w:val="en-US" w:eastAsia="zh-CN" w:bidi="ar-SA"/>
              </w:rPr>
              <w:t>混合后经板框压滤处理，减</w:t>
            </w:r>
            <w:r>
              <w:rPr>
                <w:rFonts w:hint="eastAsia" w:ascii="Times New Roman" w:hAnsi="Times New Roman" w:eastAsia="宋体" w:cs="Times New Roman"/>
                <w:b w:val="0"/>
                <w:bCs/>
                <w:color w:val="auto"/>
                <w:kern w:val="2"/>
                <w:sz w:val="24"/>
                <w:szCs w:val="24"/>
                <w:highlight w:val="none"/>
                <w:lang w:val="en-US" w:eastAsia="zh-CN" w:bidi="ar-SA"/>
              </w:rPr>
              <w:t>量后的污泥交由资质单位处理。</w:t>
            </w:r>
            <w:r>
              <w:rPr>
                <w:rFonts w:hint="default" w:ascii="Times New Roman" w:hAnsi="Times New Roman" w:eastAsia="宋体" w:cs="Times New Roman"/>
                <w:b w:val="0"/>
                <w:bCs/>
                <w:color w:val="auto"/>
                <w:sz w:val="24"/>
                <w:szCs w:val="24"/>
              </w:rPr>
              <w:t>污泥</w:t>
            </w:r>
            <w:r>
              <w:rPr>
                <w:rFonts w:hint="default" w:ascii="Times New Roman" w:hAnsi="Times New Roman" w:eastAsia="宋体" w:cs="Times New Roman"/>
                <w:b w:val="0"/>
                <w:bCs/>
                <w:color w:val="auto"/>
                <w:sz w:val="24"/>
                <w:szCs w:val="24"/>
                <w:lang w:val="en-US" w:eastAsia="zh-CN"/>
              </w:rPr>
              <w:t>产生量</w:t>
            </w:r>
            <w:r>
              <w:rPr>
                <w:rFonts w:hint="default" w:ascii="Times New Roman" w:hAnsi="Times New Roman" w:eastAsia="宋体" w:cs="Times New Roman"/>
                <w:b w:val="0"/>
                <w:bCs/>
                <w:color w:val="auto"/>
                <w:sz w:val="24"/>
                <w:szCs w:val="24"/>
              </w:rPr>
              <w:t>依据《集中式污染治理设施产排污系数手册》中：工业废水集中处理设施的物化污泥产生系数及相应公式：</w:t>
            </w:r>
          </w:p>
          <w:p w14:paraId="028F81A5">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center"/>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S=K</w:t>
            </w:r>
            <w:r>
              <w:rPr>
                <w:rFonts w:hint="default" w:ascii="Times New Roman" w:hAnsi="Times New Roman" w:eastAsia="宋体" w:cs="Times New Roman"/>
                <w:b w:val="0"/>
                <w:bCs/>
                <w:color w:val="auto"/>
                <w:sz w:val="24"/>
                <w:szCs w:val="24"/>
                <w:vertAlign w:val="subscript"/>
              </w:rPr>
              <w:t>4</w:t>
            </w:r>
            <w:r>
              <w:rPr>
                <w:rFonts w:hint="default" w:ascii="Times New Roman" w:hAnsi="Times New Roman" w:eastAsia="宋体" w:cs="Times New Roman"/>
                <w:b w:val="0"/>
                <w:bCs/>
                <w:color w:val="auto"/>
                <w:sz w:val="24"/>
                <w:szCs w:val="24"/>
              </w:rPr>
              <w:t>Q+K</w:t>
            </w:r>
            <w:r>
              <w:rPr>
                <w:rFonts w:hint="default" w:ascii="Times New Roman" w:hAnsi="Times New Roman" w:eastAsia="宋体" w:cs="Times New Roman"/>
                <w:b w:val="0"/>
                <w:bCs/>
                <w:color w:val="auto"/>
                <w:sz w:val="24"/>
                <w:szCs w:val="24"/>
                <w:vertAlign w:val="subscript"/>
              </w:rPr>
              <w:t>3</w:t>
            </w:r>
            <w:r>
              <w:rPr>
                <w:rFonts w:hint="default" w:ascii="Times New Roman" w:hAnsi="Times New Roman" w:eastAsia="宋体" w:cs="Times New Roman"/>
                <w:b w:val="0"/>
                <w:bCs/>
                <w:color w:val="auto"/>
                <w:sz w:val="24"/>
                <w:szCs w:val="24"/>
              </w:rPr>
              <w:t>C</w:t>
            </w:r>
          </w:p>
          <w:p w14:paraId="747E036A">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color w:val="auto"/>
                <w:sz w:val="24"/>
                <w:szCs w:val="24"/>
                <w:lang w:val="en-US" w:eastAsia="zh-CN"/>
              </w:rPr>
            </w:pPr>
            <w:r>
              <w:rPr>
                <w:rFonts w:hint="default" w:ascii="Times New Roman" w:hAnsi="Times New Roman" w:eastAsia="宋体" w:cs="Times New Roman"/>
                <w:b w:val="0"/>
                <w:bCs/>
                <w:color w:val="auto"/>
                <w:sz w:val="24"/>
                <w:szCs w:val="24"/>
                <w:lang w:val="en-US" w:eastAsia="zh-CN"/>
              </w:rPr>
              <w:t>S：污水处理厂含水率80%的污泥产生量；</w:t>
            </w:r>
          </w:p>
          <w:p w14:paraId="5D9D9981">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K</w:t>
            </w:r>
            <w:r>
              <w:rPr>
                <w:rFonts w:hint="default" w:ascii="Times New Roman" w:hAnsi="Times New Roman" w:eastAsia="宋体" w:cs="Times New Roman"/>
                <w:b w:val="0"/>
                <w:bCs/>
                <w:color w:val="auto"/>
                <w:sz w:val="24"/>
                <w:szCs w:val="24"/>
                <w:vertAlign w:val="subscript"/>
              </w:rPr>
              <w:t>4</w:t>
            </w:r>
            <w:r>
              <w:rPr>
                <w:rFonts w:hint="default" w:ascii="Times New Roman" w:hAnsi="Times New Roman" w:eastAsia="宋体" w:cs="Times New Roman"/>
                <w:b w:val="0"/>
                <w:bCs/>
                <w:color w:val="auto"/>
                <w:sz w:val="24"/>
                <w:szCs w:val="24"/>
              </w:rPr>
              <w:t>：工业废水集中处理设施的物理与生化污泥综合产生系数，吨/万吨-废水处理量，项目K</w:t>
            </w:r>
            <w:r>
              <w:rPr>
                <w:rFonts w:hint="default" w:ascii="Times New Roman" w:hAnsi="Times New Roman" w:eastAsia="宋体" w:cs="Times New Roman"/>
                <w:b w:val="0"/>
                <w:bCs/>
                <w:color w:val="auto"/>
                <w:sz w:val="24"/>
                <w:szCs w:val="24"/>
                <w:vertAlign w:val="subscript"/>
              </w:rPr>
              <w:t>4</w:t>
            </w:r>
            <w:r>
              <w:rPr>
                <w:rFonts w:hint="default" w:ascii="Times New Roman" w:hAnsi="Times New Roman" w:eastAsia="宋体" w:cs="Times New Roman"/>
                <w:b w:val="0"/>
                <w:bCs/>
                <w:color w:val="auto"/>
                <w:sz w:val="24"/>
                <w:szCs w:val="24"/>
              </w:rPr>
              <w:t>取6</w:t>
            </w:r>
            <w:r>
              <w:rPr>
                <w:rFonts w:hint="default" w:ascii="Times New Roman" w:hAnsi="Times New Roman" w:eastAsia="宋体" w:cs="Times New Roman"/>
                <w:b w:val="0"/>
                <w:bCs/>
                <w:color w:val="auto"/>
                <w:sz w:val="24"/>
                <w:szCs w:val="24"/>
                <w:lang w:val="en-US" w:eastAsia="zh-CN"/>
              </w:rPr>
              <w:t>.0</w:t>
            </w:r>
            <w:r>
              <w:rPr>
                <w:rFonts w:hint="default" w:ascii="Times New Roman" w:hAnsi="Times New Roman" w:eastAsia="宋体" w:cs="Times New Roman"/>
                <w:b w:val="0"/>
                <w:bCs/>
                <w:color w:val="auto"/>
                <w:sz w:val="24"/>
                <w:szCs w:val="24"/>
              </w:rPr>
              <w:t>；</w:t>
            </w:r>
          </w:p>
          <w:p w14:paraId="3EA4E8AC">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K</w:t>
            </w:r>
            <w:r>
              <w:rPr>
                <w:rFonts w:hint="default" w:ascii="Times New Roman" w:hAnsi="Times New Roman" w:eastAsia="宋体" w:cs="Times New Roman"/>
                <w:b w:val="0"/>
                <w:bCs/>
                <w:color w:val="auto"/>
                <w:sz w:val="24"/>
                <w:szCs w:val="24"/>
                <w:vertAlign w:val="subscript"/>
              </w:rPr>
              <w:t>3</w:t>
            </w:r>
            <w:r>
              <w:rPr>
                <w:rFonts w:hint="default" w:ascii="Times New Roman" w:hAnsi="Times New Roman" w:eastAsia="宋体" w:cs="Times New Roman"/>
                <w:b w:val="0"/>
                <w:bCs/>
                <w:color w:val="auto"/>
                <w:sz w:val="24"/>
                <w:szCs w:val="24"/>
              </w:rPr>
              <w:t>：城镇污水处理厂或工业废水集中处理设施的化学污泥产生系数，吨/吨-絮凝剂使用量，项目K</w:t>
            </w:r>
            <w:r>
              <w:rPr>
                <w:rFonts w:hint="default" w:ascii="Times New Roman" w:hAnsi="Times New Roman" w:eastAsia="宋体" w:cs="Times New Roman"/>
                <w:b w:val="0"/>
                <w:bCs/>
                <w:color w:val="auto"/>
                <w:sz w:val="24"/>
                <w:szCs w:val="24"/>
                <w:vertAlign w:val="subscript"/>
              </w:rPr>
              <w:t>3</w:t>
            </w:r>
            <w:r>
              <w:rPr>
                <w:rFonts w:hint="default" w:ascii="Times New Roman" w:hAnsi="Times New Roman" w:eastAsia="宋体" w:cs="Times New Roman"/>
                <w:b w:val="0"/>
                <w:bCs/>
                <w:color w:val="auto"/>
                <w:sz w:val="24"/>
                <w:szCs w:val="24"/>
              </w:rPr>
              <w:t>取4.53；</w:t>
            </w:r>
          </w:p>
          <w:p w14:paraId="1472DF09">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Q：污水处理厂的实际污（废）水处理量，万吨/年；</w:t>
            </w:r>
          </w:p>
          <w:p w14:paraId="0EA47FEF">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color w:val="auto"/>
                <w:sz w:val="24"/>
                <w:szCs w:val="24"/>
              </w:rPr>
            </w:pPr>
            <w:r>
              <w:rPr>
                <w:rFonts w:hint="default" w:ascii="Times New Roman" w:hAnsi="Times New Roman" w:eastAsia="宋体" w:cs="Times New Roman"/>
                <w:b w:val="0"/>
                <w:bCs/>
                <w:color w:val="auto"/>
                <w:sz w:val="24"/>
                <w:szCs w:val="24"/>
              </w:rPr>
              <w:t>C：污水处理厂的絮凝剂使用总量，吨/年。</w:t>
            </w:r>
          </w:p>
          <w:p w14:paraId="09E4AC9C">
            <w:pPr>
              <w:pStyle w:val="25"/>
              <w:keepNext w:val="0"/>
              <w:keepLines w:val="0"/>
              <w:pageBreakBefore w:val="0"/>
              <w:widowControl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b w:val="0"/>
                <w:bCs/>
                <w:color w:val="auto"/>
                <w:kern w:val="2"/>
                <w:sz w:val="24"/>
                <w:szCs w:val="28"/>
                <w:highlight w:val="none"/>
                <w:lang w:val="en-US" w:eastAsia="zh-CN" w:bidi="ar-SA"/>
              </w:rPr>
            </w:pPr>
            <w:r>
              <w:rPr>
                <w:rFonts w:hint="default" w:ascii="Times New Roman" w:hAnsi="Times New Roman" w:eastAsia="宋体" w:cs="Times New Roman"/>
                <w:b w:val="0"/>
                <w:bCs/>
                <w:color w:val="auto"/>
                <w:sz w:val="24"/>
                <w:szCs w:val="24"/>
              </w:rPr>
              <w:t>项目</w:t>
            </w:r>
            <w:r>
              <w:rPr>
                <w:rFonts w:hint="default" w:ascii="Times New Roman" w:hAnsi="Times New Roman" w:eastAsia="宋体" w:cs="Times New Roman"/>
                <w:b w:val="0"/>
                <w:bCs/>
                <w:color w:val="auto"/>
                <w:sz w:val="24"/>
                <w:szCs w:val="24"/>
                <w:lang w:val="en-US" w:eastAsia="zh-CN"/>
              </w:rPr>
              <w:t>污水站实际</w:t>
            </w:r>
            <w:r>
              <w:rPr>
                <w:rFonts w:hint="default" w:ascii="Times New Roman" w:hAnsi="Times New Roman" w:eastAsia="宋体" w:cs="Times New Roman"/>
                <w:b w:val="0"/>
                <w:bCs/>
                <w:color w:val="auto"/>
                <w:sz w:val="24"/>
                <w:szCs w:val="24"/>
              </w:rPr>
              <w:t>废水</w:t>
            </w:r>
            <w:r>
              <w:rPr>
                <w:rFonts w:hint="default" w:ascii="Times New Roman" w:hAnsi="Times New Roman" w:eastAsia="宋体" w:cs="Times New Roman"/>
                <w:b w:val="0"/>
                <w:bCs/>
                <w:color w:val="auto"/>
                <w:sz w:val="24"/>
                <w:szCs w:val="24"/>
                <w:lang w:val="en-US" w:eastAsia="zh-CN"/>
              </w:rPr>
              <w:t>处理量</w:t>
            </w:r>
            <w:r>
              <w:rPr>
                <w:rFonts w:hint="eastAsia" w:ascii="Times New Roman" w:hAnsi="Times New Roman" w:cs="Times New Roman"/>
                <w:b w:val="0"/>
                <w:bCs/>
                <w:color w:val="auto"/>
                <w:sz w:val="24"/>
                <w:szCs w:val="24"/>
                <w:lang w:val="en-US" w:eastAsia="zh-CN"/>
              </w:rPr>
              <w:t>约</w:t>
            </w:r>
            <w:r>
              <w:rPr>
                <w:rFonts w:hint="eastAsia" w:ascii="Times New Roman" w:hAnsi="Times New Roman" w:eastAsia="宋体" w:cs="Times New Roman"/>
                <w:b w:val="0"/>
                <w:bCs/>
                <w:color w:val="auto"/>
                <w:sz w:val="24"/>
                <w:szCs w:val="24"/>
                <w:lang w:val="en-US" w:eastAsia="zh-CN"/>
              </w:rPr>
              <w:t>24</w:t>
            </w:r>
            <w:r>
              <w:rPr>
                <w:rFonts w:hint="eastAsia" w:ascii="Times New Roman" w:hAnsi="Times New Roman" w:cs="Times New Roman"/>
                <w:b w:val="0"/>
                <w:bCs/>
                <w:color w:val="auto"/>
                <w:sz w:val="24"/>
                <w:szCs w:val="24"/>
                <w:lang w:val="en-US" w:eastAsia="zh-CN"/>
              </w:rPr>
              <w:t>4</w:t>
            </w:r>
            <w:r>
              <w:rPr>
                <w:rFonts w:hint="default" w:ascii="Times New Roman" w:hAnsi="Times New Roman" w:eastAsia="宋体" w:cs="Times New Roman"/>
                <w:b w:val="0"/>
                <w:bCs/>
                <w:color w:val="auto"/>
                <w:sz w:val="24"/>
                <w:szCs w:val="24"/>
              </w:rPr>
              <w:t>t/a，则Q为</w:t>
            </w:r>
            <w:r>
              <w:rPr>
                <w:rFonts w:hint="eastAsia" w:ascii="Times New Roman" w:hAnsi="Times New Roman" w:eastAsia="宋体" w:cs="Times New Roman"/>
                <w:b w:val="0"/>
                <w:bCs/>
                <w:color w:val="auto"/>
                <w:sz w:val="24"/>
                <w:szCs w:val="24"/>
                <w:lang w:val="en-US" w:eastAsia="zh-CN"/>
              </w:rPr>
              <w:t>0.024</w:t>
            </w:r>
            <w:r>
              <w:rPr>
                <w:rFonts w:hint="eastAsia" w:ascii="Times New Roman" w:hAnsi="Times New Roman" w:cs="Times New Roman"/>
                <w:b w:val="0"/>
                <w:bCs/>
                <w:color w:val="auto"/>
                <w:sz w:val="24"/>
                <w:szCs w:val="24"/>
                <w:lang w:val="en-US" w:eastAsia="zh-CN"/>
              </w:rPr>
              <w:t>4</w:t>
            </w:r>
            <w:r>
              <w:rPr>
                <w:rFonts w:hint="default" w:ascii="Times New Roman" w:hAnsi="Times New Roman" w:eastAsia="宋体" w:cs="Times New Roman"/>
                <w:b w:val="0"/>
                <w:bCs/>
                <w:color w:val="auto"/>
                <w:sz w:val="24"/>
                <w:szCs w:val="24"/>
              </w:rPr>
              <w:t>；絮凝剂添加为0.1%污水量，则C</w:t>
            </w:r>
            <w:r>
              <w:rPr>
                <w:rFonts w:hint="eastAsia" w:ascii="Times New Roman" w:hAnsi="Times New Roman" w:cs="Times New Roman"/>
                <w:b w:val="0"/>
                <w:bCs/>
                <w:color w:val="auto"/>
                <w:sz w:val="24"/>
                <w:szCs w:val="24"/>
                <w:lang w:val="en-US" w:eastAsia="zh-CN"/>
              </w:rPr>
              <w:t>约</w:t>
            </w:r>
            <w:r>
              <w:rPr>
                <w:rFonts w:hint="default" w:ascii="Times New Roman" w:hAnsi="Times New Roman" w:eastAsia="宋体" w:cs="Times New Roman"/>
                <w:b w:val="0"/>
                <w:bCs/>
                <w:color w:val="auto"/>
                <w:sz w:val="24"/>
                <w:szCs w:val="24"/>
              </w:rPr>
              <w:t>为</w:t>
            </w:r>
            <w:r>
              <w:rPr>
                <w:rFonts w:hint="eastAsia" w:ascii="Times New Roman" w:hAnsi="Times New Roman" w:cs="Times New Roman"/>
                <w:b w:val="0"/>
                <w:bCs/>
                <w:color w:val="auto"/>
                <w:sz w:val="24"/>
                <w:szCs w:val="24"/>
                <w:lang w:val="en-US" w:eastAsia="zh-CN"/>
              </w:rPr>
              <w:t>0.244</w:t>
            </w:r>
            <w:r>
              <w:rPr>
                <w:rFonts w:hint="default" w:ascii="Times New Roman" w:hAnsi="Times New Roman" w:eastAsia="宋体" w:cs="Times New Roman"/>
                <w:b w:val="0"/>
                <w:bCs/>
                <w:color w:val="auto"/>
                <w:sz w:val="24"/>
                <w:szCs w:val="24"/>
              </w:rPr>
              <w:t>。计算得项目污泥</w:t>
            </w:r>
            <w:r>
              <w:rPr>
                <w:rFonts w:hint="eastAsia" w:ascii="Times New Roman" w:hAnsi="Times New Roman" w:eastAsia="宋体" w:cs="Times New Roman"/>
                <w:b w:val="0"/>
                <w:bCs/>
                <w:color w:val="auto"/>
                <w:sz w:val="24"/>
                <w:szCs w:val="24"/>
                <w:lang w:eastAsia="zh-CN"/>
              </w:rPr>
              <w:t>产生</w:t>
            </w:r>
            <w:r>
              <w:rPr>
                <w:rFonts w:hint="default" w:ascii="Times New Roman" w:hAnsi="Times New Roman" w:eastAsia="宋体" w:cs="Times New Roman"/>
                <w:b w:val="0"/>
                <w:bCs/>
                <w:color w:val="auto"/>
                <w:sz w:val="24"/>
                <w:szCs w:val="24"/>
              </w:rPr>
              <w:t>量</w:t>
            </w:r>
            <w:r>
              <w:rPr>
                <w:rFonts w:hint="default" w:ascii="Times New Roman" w:hAnsi="Times New Roman" w:eastAsia="宋体" w:cs="Times New Roman"/>
                <w:b w:val="0"/>
                <w:bCs/>
                <w:color w:val="auto"/>
                <w:sz w:val="24"/>
                <w:szCs w:val="24"/>
                <w:lang w:val="en-US" w:eastAsia="zh-CN"/>
              </w:rPr>
              <w:t>约</w:t>
            </w:r>
            <w:r>
              <w:rPr>
                <w:rFonts w:hint="default" w:ascii="Times New Roman" w:hAnsi="Times New Roman" w:eastAsia="宋体" w:cs="Times New Roman"/>
                <w:b w:val="0"/>
                <w:bCs/>
                <w:color w:val="auto"/>
                <w:kern w:val="2"/>
                <w:sz w:val="24"/>
                <w:szCs w:val="28"/>
                <w:highlight w:val="none"/>
                <w:lang w:val="en-US" w:eastAsia="zh-CN" w:bidi="ar-SA"/>
              </w:rPr>
              <w:t>为</w:t>
            </w:r>
            <w:r>
              <w:rPr>
                <w:rFonts w:hint="eastAsia" w:ascii="Times New Roman" w:hAnsi="Times New Roman" w:eastAsia="宋体" w:cs="Times New Roman"/>
                <w:b w:val="0"/>
                <w:bCs/>
                <w:color w:val="auto"/>
                <w:kern w:val="2"/>
                <w:sz w:val="24"/>
                <w:szCs w:val="28"/>
                <w:highlight w:val="none"/>
                <w:lang w:val="en-US" w:eastAsia="zh-CN" w:bidi="ar-SA"/>
              </w:rPr>
              <w:t>1.</w:t>
            </w:r>
            <w:r>
              <w:rPr>
                <w:rFonts w:hint="eastAsia" w:ascii="Times New Roman" w:hAnsi="Times New Roman" w:cs="Times New Roman"/>
                <w:b w:val="0"/>
                <w:bCs/>
                <w:color w:val="auto"/>
                <w:kern w:val="2"/>
                <w:sz w:val="24"/>
                <w:szCs w:val="28"/>
                <w:highlight w:val="none"/>
                <w:lang w:val="en-US" w:eastAsia="zh-CN" w:bidi="ar-SA"/>
              </w:rPr>
              <w:t>24</w:t>
            </w:r>
            <w:r>
              <w:rPr>
                <w:rFonts w:hint="default" w:ascii="Times New Roman" w:hAnsi="Times New Roman" w:eastAsia="宋体" w:cs="Times New Roman"/>
                <w:b w:val="0"/>
                <w:bCs/>
                <w:color w:val="auto"/>
                <w:kern w:val="2"/>
                <w:sz w:val="24"/>
                <w:szCs w:val="28"/>
                <w:highlight w:val="none"/>
                <w:lang w:val="en-US" w:eastAsia="zh-CN" w:bidi="ar-SA"/>
              </w:rPr>
              <w:t>t/a。</w:t>
            </w:r>
          </w:p>
          <w:p w14:paraId="01794C8D">
            <w:pPr>
              <w:pStyle w:val="2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default"/>
                <w:color w:val="auto"/>
                <w:lang w:val="en-US" w:eastAsia="zh-CN"/>
              </w:rPr>
            </w:pPr>
            <w:r>
              <w:rPr>
                <w:rFonts w:hint="default" w:ascii="Times New Roman" w:hAnsi="Times New Roman" w:eastAsia="宋体" w:cs="Times New Roman"/>
                <w:b w:val="0"/>
                <w:bCs/>
                <w:color w:val="auto"/>
                <w:spacing w:val="-10"/>
                <w:sz w:val="24"/>
                <w:szCs w:val="24"/>
                <w:lang w:val="en-US" w:eastAsia="zh-CN"/>
              </w:rPr>
              <w:t>（</w:t>
            </w:r>
            <w:r>
              <w:rPr>
                <w:rFonts w:hint="eastAsia" w:ascii="Times New Roman" w:hAnsi="Times New Roman" w:cs="Times New Roman"/>
                <w:b w:val="0"/>
                <w:bCs/>
                <w:color w:val="auto"/>
                <w:spacing w:val="-10"/>
                <w:sz w:val="24"/>
                <w:szCs w:val="24"/>
                <w:lang w:val="en-US" w:eastAsia="zh-CN"/>
              </w:rPr>
              <w:t>13</w:t>
            </w:r>
            <w:r>
              <w:rPr>
                <w:rFonts w:hint="default" w:ascii="Times New Roman" w:hAnsi="Times New Roman" w:eastAsia="宋体" w:cs="Times New Roman"/>
                <w:b w:val="0"/>
                <w:bCs/>
                <w:color w:val="auto"/>
                <w:spacing w:val="-10"/>
                <w:sz w:val="24"/>
                <w:szCs w:val="24"/>
                <w:lang w:val="en-US" w:eastAsia="zh-CN"/>
              </w:rPr>
              <w:t>）</w:t>
            </w:r>
            <w:r>
              <w:rPr>
                <w:rFonts w:hint="default"/>
                <w:color w:val="auto"/>
                <w:lang w:val="en-US" w:eastAsia="zh-CN"/>
              </w:rPr>
              <w:t>废过滤介质</w:t>
            </w:r>
          </w:p>
          <w:p w14:paraId="24A6E2BE">
            <w:pPr>
              <w:pStyle w:val="2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b w:val="0"/>
                <w:bCs/>
                <w:color w:val="auto"/>
                <w:kern w:val="2"/>
                <w:sz w:val="24"/>
                <w:szCs w:val="24"/>
                <w:lang w:val="en-US" w:eastAsia="zh-CN" w:bidi="ar-SA"/>
              </w:rPr>
            </w:pPr>
            <w:r>
              <w:rPr>
                <w:rFonts w:hint="eastAsia" w:ascii="Times New Roman" w:hAnsi="Times New Roman" w:cs="Times New Roman"/>
                <w:b w:val="0"/>
                <w:bCs/>
                <w:color w:val="auto"/>
                <w:kern w:val="2"/>
                <w:sz w:val="24"/>
                <w:szCs w:val="24"/>
                <w:lang w:val="en-US" w:eastAsia="zh-CN" w:bidi="ar-SA"/>
              </w:rPr>
              <w:t>项目</w:t>
            </w:r>
            <w:r>
              <w:rPr>
                <w:rFonts w:hint="default" w:ascii="Times New Roman" w:hAnsi="Times New Roman" w:eastAsia="宋体" w:cs="Times New Roman"/>
                <w:b w:val="0"/>
                <w:bCs/>
                <w:color w:val="auto"/>
                <w:sz w:val="24"/>
                <w:szCs w:val="24"/>
                <w:lang w:val="en-US" w:eastAsia="zh-CN"/>
              </w:rPr>
              <w:t>污水</w:t>
            </w:r>
            <w:r>
              <w:rPr>
                <w:rFonts w:hint="eastAsia" w:ascii="Times New Roman" w:hAnsi="Times New Roman" w:eastAsia="宋体" w:cs="Times New Roman"/>
                <w:b w:val="0"/>
                <w:bCs/>
                <w:color w:val="auto"/>
                <w:sz w:val="24"/>
                <w:szCs w:val="24"/>
                <w:lang w:val="en-US" w:eastAsia="zh-CN"/>
              </w:rPr>
              <w:t>站</w:t>
            </w:r>
            <w:r>
              <w:rPr>
                <w:rFonts w:hint="default" w:ascii="Times New Roman" w:hAnsi="Times New Roman" w:eastAsia="宋体" w:cs="Times New Roman"/>
                <w:b w:val="0"/>
                <w:bCs/>
                <w:color w:val="auto"/>
                <w:kern w:val="2"/>
                <w:sz w:val="24"/>
                <w:szCs w:val="24"/>
                <w:lang w:val="en-US" w:eastAsia="zh-CN" w:bidi="ar-SA"/>
              </w:rPr>
              <w:t>过滤使用的过滤介质主要为石英砂，过滤箱填充量为</w:t>
            </w:r>
            <w:r>
              <w:rPr>
                <w:rFonts w:hint="eastAsia" w:ascii="Times New Roman" w:hAnsi="Times New Roman" w:cs="Times New Roman"/>
                <w:b w:val="0"/>
                <w:bCs/>
                <w:color w:val="auto"/>
                <w:kern w:val="2"/>
                <w:sz w:val="24"/>
                <w:szCs w:val="24"/>
                <w:lang w:val="en-US" w:eastAsia="zh-CN" w:bidi="ar-SA"/>
              </w:rPr>
              <w:t>10</w:t>
            </w:r>
            <w:r>
              <w:rPr>
                <w:rFonts w:hint="default" w:ascii="Times New Roman" w:hAnsi="Times New Roman" w:eastAsia="宋体" w:cs="Times New Roman"/>
                <w:b w:val="0"/>
                <w:bCs/>
                <w:color w:val="auto"/>
                <w:kern w:val="2"/>
                <w:sz w:val="24"/>
                <w:szCs w:val="24"/>
                <w:lang w:val="en-US" w:eastAsia="zh-CN" w:bidi="ar-SA"/>
              </w:rPr>
              <w:t>0kg，每三个月更换一次，则石英砂总更换量为0.</w:t>
            </w:r>
            <w:r>
              <w:rPr>
                <w:rFonts w:hint="eastAsia" w:ascii="Times New Roman" w:hAnsi="Times New Roman" w:cs="Times New Roman"/>
                <w:b w:val="0"/>
                <w:bCs/>
                <w:color w:val="auto"/>
                <w:kern w:val="2"/>
                <w:sz w:val="24"/>
                <w:szCs w:val="24"/>
                <w:lang w:val="en-US" w:eastAsia="zh-CN" w:bidi="ar-SA"/>
              </w:rPr>
              <w:t>4</w:t>
            </w:r>
            <w:r>
              <w:rPr>
                <w:rFonts w:hint="default" w:ascii="Times New Roman" w:hAnsi="Times New Roman" w:eastAsia="宋体" w:cs="Times New Roman"/>
                <w:b w:val="0"/>
                <w:bCs/>
                <w:color w:val="auto"/>
                <w:kern w:val="2"/>
                <w:sz w:val="24"/>
                <w:szCs w:val="24"/>
                <w:lang w:val="en-US" w:eastAsia="zh-CN" w:bidi="ar-SA"/>
              </w:rPr>
              <w:t>t/a，吸附量为0.</w:t>
            </w:r>
            <w:r>
              <w:rPr>
                <w:rFonts w:hint="eastAsia" w:cs="Times New Roman"/>
                <w:b w:val="0"/>
                <w:bCs/>
                <w:color w:val="auto"/>
                <w:kern w:val="2"/>
                <w:sz w:val="24"/>
                <w:szCs w:val="24"/>
                <w:lang w:val="en-US" w:eastAsia="zh-CN" w:bidi="ar-SA"/>
              </w:rPr>
              <w:t>0</w:t>
            </w:r>
            <w:r>
              <w:rPr>
                <w:rFonts w:hint="eastAsia" w:ascii="Times New Roman" w:hAnsi="Times New Roman" w:cs="Times New Roman"/>
                <w:b w:val="0"/>
                <w:bCs/>
                <w:color w:val="auto"/>
                <w:kern w:val="2"/>
                <w:sz w:val="24"/>
                <w:szCs w:val="24"/>
                <w:lang w:val="en-US" w:eastAsia="zh-CN" w:bidi="ar-SA"/>
              </w:rPr>
              <w:t>1</w:t>
            </w:r>
            <w:r>
              <w:rPr>
                <w:rFonts w:hint="default" w:ascii="Times New Roman" w:hAnsi="Times New Roman" w:eastAsia="宋体" w:cs="Times New Roman"/>
                <w:b w:val="0"/>
                <w:bCs/>
                <w:color w:val="auto"/>
                <w:kern w:val="2"/>
                <w:sz w:val="24"/>
                <w:szCs w:val="24"/>
                <w:lang w:val="en-US" w:eastAsia="zh-CN" w:bidi="ar-SA"/>
              </w:rPr>
              <w:t>t/a，则废水处理产生废石英砂量为0.</w:t>
            </w:r>
            <w:r>
              <w:rPr>
                <w:rFonts w:hint="eastAsia" w:ascii="Times New Roman" w:hAnsi="Times New Roman" w:cs="Times New Roman"/>
                <w:b w:val="0"/>
                <w:bCs/>
                <w:color w:val="auto"/>
                <w:kern w:val="2"/>
                <w:sz w:val="24"/>
                <w:szCs w:val="24"/>
                <w:lang w:val="en-US" w:eastAsia="zh-CN" w:bidi="ar-SA"/>
              </w:rPr>
              <w:t>41</w:t>
            </w:r>
            <w:r>
              <w:rPr>
                <w:rFonts w:hint="default" w:ascii="Times New Roman" w:hAnsi="Times New Roman" w:eastAsia="宋体" w:cs="Times New Roman"/>
                <w:b w:val="0"/>
                <w:bCs/>
                <w:color w:val="auto"/>
                <w:kern w:val="2"/>
                <w:sz w:val="24"/>
                <w:szCs w:val="24"/>
                <w:lang w:val="en-US" w:eastAsia="zh-CN" w:bidi="ar-SA"/>
              </w:rPr>
              <w:t>t/a。统一收集经危废库暂存后委托有资质的单位处置</w:t>
            </w:r>
            <w:r>
              <w:rPr>
                <w:rFonts w:hint="eastAsia" w:ascii="Times New Roman" w:hAnsi="Times New Roman" w:cs="Times New Roman"/>
                <w:b w:val="0"/>
                <w:bCs/>
                <w:color w:val="auto"/>
                <w:kern w:val="2"/>
                <w:sz w:val="24"/>
                <w:szCs w:val="24"/>
                <w:lang w:val="en-US" w:eastAsia="zh-CN" w:bidi="ar-SA"/>
              </w:rPr>
              <w:t>。</w:t>
            </w:r>
          </w:p>
          <w:p w14:paraId="68BD002A">
            <w:pPr>
              <w:pStyle w:val="28"/>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0" w:firstLineChars="200"/>
              <w:textAlignment w:val="auto"/>
              <w:rPr>
                <w:rFonts w:hint="default"/>
                <w:color w:val="auto"/>
                <w:lang w:val="en-US" w:eastAsia="zh-CN"/>
              </w:rPr>
            </w:pPr>
            <w:r>
              <w:rPr>
                <w:rFonts w:hint="default" w:ascii="Times New Roman" w:hAnsi="Times New Roman" w:eastAsia="宋体" w:cs="Times New Roman"/>
                <w:b w:val="0"/>
                <w:bCs/>
                <w:color w:val="auto"/>
                <w:spacing w:val="-10"/>
                <w:sz w:val="24"/>
                <w:szCs w:val="24"/>
                <w:lang w:val="en-US" w:eastAsia="zh-CN"/>
              </w:rPr>
              <w:t>（</w:t>
            </w:r>
            <w:r>
              <w:rPr>
                <w:rFonts w:hint="eastAsia" w:ascii="Times New Roman" w:hAnsi="Times New Roman" w:cs="Times New Roman"/>
                <w:b w:val="0"/>
                <w:bCs/>
                <w:color w:val="auto"/>
                <w:spacing w:val="-10"/>
                <w:sz w:val="24"/>
                <w:szCs w:val="24"/>
                <w:lang w:val="en-US" w:eastAsia="zh-CN"/>
              </w:rPr>
              <w:t>14</w:t>
            </w:r>
            <w:r>
              <w:rPr>
                <w:rFonts w:hint="default" w:ascii="Times New Roman" w:hAnsi="Times New Roman" w:eastAsia="宋体" w:cs="Times New Roman"/>
                <w:b w:val="0"/>
                <w:bCs/>
                <w:color w:val="auto"/>
                <w:spacing w:val="-10"/>
                <w:sz w:val="24"/>
                <w:szCs w:val="24"/>
                <w:lang w:val="en-US" w:eastAsia="zh-CN"/>
              </w:rPr>
              <w:t>）</w:t>
            </w:r>
            <w:r>
              <w:rPr>
                <w:rFonts w:hint="default"/>
                <w:color w:val="auto"/>
                <w:lang w:val="en-US" w:eastAsia="zh-CN"/>
              </w:rPr>
              <w:t>废</w:t>
            </w:r>
            <w:r>
              <w:rPr>
                <w:rFonts w:hint="eastAsia"/>
                <w:color w:val="auto"/>
                <w:lang w:val="en-US" w:eastAsia="zh-CN"/>
              </w:rPr>
              <w:t>包装袋</w:t>
            </w:r>
          </w:p>
          <w:p w14:paraId="5B4A4031">
            <w:pPr>
              <w:keepNext w:val="0"/>
              <w:keepLines w:val="0"/>
              <w:pageBreakBefore w:val="0"/>
              <w:widowControl/>
              <w:suppressLineNumbers w:val="0"/>
              <w:kinsoku/>
              <w:wordWrap/>
              <w:overflowPunct/>
              <w:topLinePunct w:val="0"/>
              <w:autoSpaceDE/>
              <w:autoSpaceDN/>
              <w:bidi w:val="0"/>
              <w:adjustRightInd w:val="0"/>
              <w:snapToGrid w:val="0"/>
              <w:spacing w:line="360" w:lineRule="auto"/>
              <w:ind w:leftChars="0" w:firstLine="480" w:firstLineChars="200"/>
              <w:jc w:val="left"/>
              <w:textAlignment w:val="auto"/>
              <w:rPr>
                <w:rFonts w:hint="default" w:ascii="Times New Roman" w:hAnsi="Times New Roman" w:eastAsia="宋体" w:cs="Times New Roman"/>
                <w:color w:val="auto"/>
                <w:kern w:val="2"/>
                <w:sz w:val="24"/>
                <w:szCs w:val="28"/>
                <w:highlight w:val="none"/>
                <w:lang w:val="en-US" w:eastAsia="zh-CN" w:bidi="ar-SA"/>
              </w:rPr>
            </w:pPr>
            <w:r>
              <w:rPr>
                <w:rFonts w:hint="default" w:ascii="Times New Roman" w:hAnsi="Times New Roman" w:eastAsia="宋体" w:cs="Times New Roman"/>
                <w:color w:val="auto"/>
                <w:kern w:val="2"/>
                <w:sz w:val="24"/>
                <w:szCs w:val="28"/>
                <w:highlight w:val="none"/>
                <w:lang w:val="en-US" w:eastAsia="zh-CN" w:bidi="ar-SA"/>
              </w:rPr>
              <w:t>本项目</w:t>
            </w:r>
            <w:r>
              <w:rPr>
                <w:rFonts w:hint="eastAsia" w:ascii="Times New Roman" w:hAnsi="Times New Roman" w:eastAsia="宋体" w:cs="Times New Roman"/>
                <w:color w:val="auto"/>
                <w:kern w:val="2"/>
                <w:sz w:val="24"/>
                <w:szCs w:val="28"/>
                <w:highlight w:val="none"/>
                <w:lang w:val="en-US" w:eastAsia="zh-CN" w:bidi="ar-SA"/>
              </w:rPr>
              <w:t>污水站使用PAC、PAM、柠檬酸等药剂，</w:t>
            </w:r>
            <w:r>
              <w:rPr>
                <w:rFonts w:hint="default" w:ascii="Times New Roman" w:hAnsi="Times New Roman" w:eastAsia="宋体" w:cs="Times New Roman"/>
                <w:color w:val="auto"/>
                <w:kern w:val="2"/>
                <w:sz w:val="24"/>
                <w:szCs w:val="28"/>
                <w:highlight w:val="none"/>
                <w:lang w:val="en-US" w:eastAsia="zh-CN" w:bidi="ar-SA"/>
              </w:rPr>
              <w:t>使用</w:t>
            </w:r>
            <w:r>
              <w:rPr>
                <w:rFonts w:hint="eastAsia" w:ascii="Times New Roman" w:hAnsi="Times New Roman" w:eastAsia="宋体" w:cs="Times New Roman"/>
                <w:color w:val="auto"/>
                <w:kern w:val="2"/>
                <w:sz w:val="24"/>
                <w:szCs w:val="28"/>
                <w:highlight w:val="none"/>
                <w:lang w:val="en-US" w:eastAsia="zh-CN" w:bidi="ar-SA"/>
              </w:rPr>
              <w:t>后会产生</w:t>
            </w:r>
            <w:r>
              <w:rPr>
                <w:rFonts w:hint="eastAsia" w:cs="Times New Roman"/>
                <w:color w:val="auto"/>
                <w:kern w:val="2"/>
                <w:sz w:val="24"/>
                <w:szCs w:val="28"/>
                <w:highlight w:val="none"/>
                <w:lang w:val="en-US" w:eastAsia="zh-CN" w:bidi="ar-SA"/>
              </w:rPr>
              <w:t>废包装袋</w:t>
            </w:r>
            <w:r>
              <w:rPr>
                <w:rFonts w:hint="eastAsia" w:ascii="Times New Roman" w:hAnsi="Times New Roman" w:eastAsia="宋体" w:cs="Times New Roman"/>
                <w:color w:val="auto"/>
                <w:kern w:val="2"/>
                <w:sz w:val="24"/>
                <w:szCs w:val="28"/>
                <w:highlight w:val="none"/>
                <w:lang w:val="en-US" w:eastAsia="zh-CN" w:bidi="ar-SA"/>
              </w:rPr>
              <w:t>，包装规格为</w:t>
            </w:r>
            <w:r>
              <w:rPr>
                <w:rFonts w:hint="default" w:ascii="Times New Roman" w:hAnsi="Times New Roman" w:eastAsia="宋体" w:cs="Times New Roman"/>
                <w:color w:val="auto"/>
                <w:kern w:val="2"/>
                <w:sz w:val="24"/>
                <w:szCs w:val="28"/>
                <w:highlight w:val="none"/>
                <w:lang w:val="en-US" w:eastAsia="zh-CN" w:bidi="ar-SA"/>
              </w:rPr>
              <w:t>2</w:t>
            </w:r>
            <w:r>
              <w:rPr>
                <w:rFonts w:hint="eastAsia" w:ascii="Times New Roman" w:hAnsi="Times New Roman" w:eastAsia="宋体" w:cs="Times New Roman"/>
                <w:color w:val="auto"/>
                <w:kern w:val="2"/>
                <w:sz w:val="24"/>
                <w:szCs w:val="28"/>
                <w:highlight w:val="none"/>
                <w:lang w:val="en-US" w:eastAsia="zh-CN" w:bidi="ar-SA"/>
              </w:rPr>
              <w:t>5</w:t>
            </w:r>
            <w:r>
              <w:rPr>
                <w:rFonts w:hint="default" w:ascii="Times New Roman" w:hAnsi="Times New Roman" w:eastAsia="宋体" w:cs="Times New Roman"/>
                <w:color w:val="auto"/>
                <w:kern w:val="2"/>
                <w:sz w:val="24"/>
                <w:szCs w:val="28"/>
                <w:highlight w:val="none"/>
                <w:lang w:val="en-US" w:eastAsia="zh-CN" w:bidi="ar-SA"/>
              </w:rPr>
              <w:t>kg/</w:t>
            </w:r>
            <w:r>
              <w:rPr>
                <w:rFonts w:hint="eastAsia" w:ascii="Times New Roman" w:hAnsi="Times New Roman" w:eastAsia="宋体" w:cs="Times New Roman"/>
                <w:color w:val="auto"/>
                <w:kern w:val="2"/>
                <w:sz w:val="24"/>
                <w:szCs w:val="28"/>
                <w:highlight w:val="none"/>
                <w:lang w:val="en-US" w:eastAsia="zh-CN" w:bidi="ar-SA"/>
              </w:rPr>
              <w:t>袋，PAC、PAM、柠檬酸消耗量合计为</w:t>
            </w:r>
            <w:r>
              <w:rPr>
                <w:rFonts w:hint="eastAsia" w:cs="Times New Roman"/>
                <w:color w:val="auto"/>
                <w:kern w:val="2"/>
                <w:sz w:val="24"/>
                <w:szCs w:val="28"/>
                <w:highlight w:val="none"/>
                <w:lang w:val="en-US" w:eastAsia="zh-CN" w:bidi="ar-SA"/>
              </w:rPr>
              <w:t>0.249</w:t>
            </w:r>
            <w:r>
              <w:rPr>
                <w:rFonts w:hint="default" w:ascii="Times New Roman" w:hAnsi="Times New Roman" w:eastAsia="宋体" w:cs="Times New Roman"/>
                <w:color w:val="auto"/>
                <w:kern w:val="2"/>
                <w:sz w:val="24"/>
                <w:szCs w:val="28"/>
                <w:highlight w:val="none"/>
                <w:lang w:val="en-US" w:eastAsia="zh-CN" w:bidi="ar-SA"/>
              </w:rPr>
              <w:t>t/a</w:t>
            </w:r>
            <w:r>
              <w:rPr>
                <w:rFonts w:hint="eastAsia" w:ascii="Times New Roman" w:hAnsi="Times New Roman" w:eastAsia="宋体" w:cs="Times New Roman"/>
                <w:color w:val="auto"/>
                <w:kern w:val="2"/>
                <w:sz w:val="24"/>
                <w:szCs w:val="28"/>
                <w:highlight w:val="none"/>
                <w:lang w:val="en-US" w:eastAsia="zh-CN" w:bidi="ar-SA"/>
              </w:rPr>
              <w:t>，则</w:t>
            </w:r>
            <w:r>
              <w:rPr>
                <w:rFonts w:hint="eastAsia" w:cs="Times New Roman"/>
                <w:color w:val="auto"/>
                <w:kern w:val="2"/>
                <w:sz w:val="24"/>
                <w:szCs w:val="28"/>
                <w:highlight w:val="none"/>
                <w:lang w:val="en-US" w:eastAsia="zh-CN" w:bidi="ar-SA"/>
              </w:rPr>
              <w:t>废包装袋</w:t>
            </w:r>
            <w:r>
              <w:rPr>
                <w:rFonts w:hint="eastAsia" w:ascii="Times New Roman" w:hAnsi="Times New Roman" w:eastAsia="宋体" w:cs="Times New Roman"/>
                <w:color w:val="auto"/>
                <w:kern w:val="2"/>
                <w:sz w:val="24"/>
                <w:szCs w:val="28"/>
                <w:highlight w:val="none"/>
                <w:lang w:val="en-US" w:eastAsia="zh-CN" w:bidi="ar-SA"/>
              </w:rPr>
              <w:t>产生量为</w:t>
            </w:r>
            <w:r>
              <w:rPr>
                <w:rFonts w:hint="eastAsia" w:cs="Times New Roman"/>
                <w:color w:val="auto"/>
                <w:kern w:val="2"/>
                <w:sz w:val="24"/>
                <w:szCs w:val="28"/>
                <w:highlight w:val="none"/>
                <w:lang w:val="en-US" w:eastAsia="zh-CN" w:bidi="ar-SA"/>
              </w:rPr>
              <w:t>10</w:t>
            </w:r>
            <w:r>
              <w:rPr>
                <w:rFonts w:hint="eastAsia" w:ascii="Times New Roman" w:hAnsi="Times New Roman" w:eastAsia="宋体" w:cs="Times New Roman"/>
                <w:color w:val="auto"/>
                <w:kern w:val="2"/>
                <w:sz w:val="24"/>
                <w:szCs w:val="28"/>
                <w:highlight w:val="none"/>
                <w:lang w:val="en-US" w:eastAsia="zh-CN" w:bidi="ar-SA"/>
              </w:rPr>
              <w:t>个，单个</w:t>
            </w:r>
            <w:r>
              <w:rPr>
                <w:rFonts w:hint="eastAsia" w:cs="Times New Roman"/>
                <w:color w:val="auto"/>
                <w:kern w:val="2"/>
                <w:sz w:val="24"/>
                <w:szCs w:val="28"/>
                <w:highlight w:val="none"/>
                <w:lang w:val="en-US" w:eastAsia="zh-CN" w:bidi="ar-SA"/>
              </w:rPr>
              <w:t>包装袋</w:t>
            </w:r>
            <w:r>
              <w:rPr>
                <w:rFonts w:hint="eastAsia" w:ascii="Times New Roman" w:hAnsi="Times New Roman" w:eastAsia="宋体" w:cs="Times New Roman"/>
                <w:color w:val="auto"/>
                <w:kern w:val="2"/>
                <w:sz w:val="24"/>
                <w:szCs w:val="28"/>
                <w:highlight w:val="none"/>
                <w:lang w:val="en-US" w:eastAsia="zh-CN" w:bidi="ar-SA"/>
              </w:rPr>
              <w:t>重量以100</w:t>
            </w:r>
            <w:r>
              <w:rPr>
                <w:rFonts w:hint="default" w:ascii="Times New Roman" w:hAnsi="Times New Roman" w:eastAsia="宋体" w:cs="Times New Roman"/>
                <w:color w:val="auto"/>
                <w:kern w:val="2"/>
                <w:sz w:val="24"/>
                <w:szCs w:val="28"/>
                <w:highlight w:val="none"/>
                <w:lang w:val="en-US" w:eastAsia="zh-CN" w:bidi="ar-SA"/>
              </w:rPr>
              <w:t>g</w:t>
            </w:r>
            <w:r>
              <w:rPr>
                <w:rFonts w:hint="eastAsia" w:ascii="Times New Roman" w:hAnsi="Times New Roman" w:eastAsia="宋体" w:cs="Times New Roman"/>
                <w:color w:val="auto"/>
                <w:kern w:val="2"/>
                <w:sz w:val="24"/>
                <w:szCs w:val="28"/>
                <w:highlight w:val="none"/>
                <w:lang w:val="en-US" w:eastAsia="zh-CN" w:bidi="ar-SA"/>
              </w:rPr>
              <w:t>计，则</w:t>
            </w:r>
            <w:r>
              <w:rPr>
                <w:rFonts w:hint="eastAsia" w:cs="Times New Roman"/>
                <w:color w:val="auto"/>
                <w:kern w:val="2"/>
                <w:sz w:val="24"/>
                <w:szCs w:val="28"/>
                <w:highlight w:val="none"/>
                <w:lang w:val="en-US" w:eastAsia="zh-CN" w:bidi="ar-SA"/>
              </w:rPr>
              <w:t>废包装袋</w:t>
            </w:r>
            <w:r>
              <w:rPr>
                <w:rFonts w:hint="eastAsia" w:ascii="Times New Roman" w:hAnsi="Times New Roman" w:eastAsia="宋体" w:cs="Times New Roman"/>
                <w:color w:val="auto"/>
                <w:kern w:val="2"/>
                <w:sz w:val="24"/>
                <w:szCs w:val="28"/>
                <w:highlight w:val="none"/>
                <w:lang w:val="en-US" w:eastAsia="zh-CN" w:bidi="ar-SA"/>
              </w:rPr>
              <w:t>产生量约为</w:t>
            </w:r>
            <w:r>
              <w:rPr>
                <w:rFonts w:hint="eastAsia" w:cs="Times New Roman"/>
                <w:color w:val="auto"/>
                <w:kern w:val="2"/>
                <w:sz w:val="24"/>
                <w:szCs w:val="28"/>
                <w:highlight w:val="none"/>
                <w:lang w:val="en-US" w:eastAsia="zh-CN" w:bidi="ar-SA"/>
              </w:rPr>
              <w:t>0.001</w:t>
            </w:r>
            <w:r>
              <w:rPr>
                <w:rFonts w:hint="default" w:ascii="Times New Roman" w:hAnsi="Times New Roman" w:eastAsia="宋体" w:cs="Times New Roman"/>
                <w:color w:val="auto"/>
                <w:kern w:val="2"/>
                <w:sz w:val="24"/>
                <w:szCs w:val="28"/>
                <w:highlight w:val="none"/>
                <w:lang w:val="en-US" w:eastAsia="zh-CN" w:bidi="ar-SA"/>
              </w:rPr>
              <w:t>t/a</w:t>
            </w:r>
            <w:r>
              <w:rPr>
                <w:rFonts w:hint="eastAsia" w:ascii="Times New Roman" w:hAnsi="Times New Roman" w:eastAsia="宋体" w:cs="Times New Roman"/>
                <w:color w:val="auto"/>
                <w:kern w:val="2"/>
                <w:sz w:val="24"/>
                <w:szCs w:val="28"/>
                <w:highlight w:val="none"/>
                <w:lang w:val="en-US" w:eastAsia="zh-CN" w:bidi="ar-SA"/>
              </w:rPr>
              <w:t>。</w:t>
            </w:r>
            <w:r>
              <w:rPr>
                <w:rFonts w:hint="eastAsia" w:ascii="Times New Roman" w:hAnsi="Times New Roman" w:eastAsia="宋体" w:cs="Times New Roman"/>
                <w:color w:val="auto"/>
                <w:kern w:val="2"/>
                <w:sz w:val="24"/>
                <w:szCs w:val="28"/>
                <w:highlight w:val="none"/>
                <w:lang w:val="en-US" w:eastAsia="zh-CN" w:bidi="ar-SA"/>
              </w:rPr>
              <w:br w:type="textWrapping"/>
            </w:r>
            <w:r>
              <w:rPr>
                <w:rFonts w:hint="eastAsia" w:cs="Times New Roman"/>
                <w:color w:val="auto"/>
                <w:kern w:val="2"/>
                <w:sz w:val="24"/>
                <w:szCs w:val="28"/>
                <w:highlight w:val="none"/>
                <w:lang w:val="en-US" w:eastAsia="zh-CN" w:bidi="ar-SA"/>
              </w:rPr>
              <w:t xml:space="preserve">   （15）</w:t>
            </w:r>
            <w:r>
              <w:rPr>
                <w:rFonts w:hint="eastAsia" w:ascii="Times New Roman" w:hAnsi="Times New Roman" w:eastAsia="宋体" w:cs="Times New Roman"/>
                <w:color w:val="auto"/>
                <w:kern w:val="2"/>
                <w:sz w:val="24"/>
                <w:szCs w:val="28"/>
                <w:highlight w:val="none"/>
                <w:lang w:val="en-US" w:eastAsia="zh-CN" w:bidi="ar-SA"/>
              </w:rPr>
              <w:t>废MBR膜</w:t>
            </w:r>
          </w:p>
          <w:p w14:paraId="0EE8FBD7">
            <w:pPr>
              <w:pStyle w:val="28"/>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b w:val="0"/>
                <w:bCs/>
                <w:color w:val="auto"/>
                <w:kern w:val="2"/>
                <w:sz w:val="24"/>
                <w:szCs w:val="24"/>
                <w:lang w:val="en-US" w:eastAsia="zh-CN" w:bidi="ar-SA"/>
              </w:rPr>
            </w:pPr>
            <w:r>
              <w:rPr>
                <w:rFonts w:hint="default" w:ascii="Times New Roman" w:hAnsi="Times New Roman" w:eastAsia="宋体" w:cs="Times New Roman"/>
                <w:color w:val="auto"/>
                <w:kern w:val="2"/>
                <w:sz w:val="24"/>
                <w:szCs w:val="28"/>
                <w:highlight w:val="none"/>
                <w:lang w:val="en-US" w:eastAsia="zh-CN" w:bidi="ar-SA"/>
              </w:rPr>
              <w:t>本项目</w:t>
            </w:r>
            <w:r>
              <w:rPr>
                <w:rFonts w:hint="eastAsia" w:ascii="Times New Roman" w:hAnsi="Times New Roman" w:eastAsia="宋体" w:cs="Times New Roman"/>
                <w:color w:val="auto"/>
                <w:kern w:val="2"/>
                <w:sz w:val="24"/>
                <w:szCs w:val="28"/>
                <w:highlight w:val="none"/>
                <w:lang w:val="en-US" w:eastAsia="zh-CN" w:bidi="ar-SA"/>
              </w:rPr>
              <w:t>污水站使用</w:t>
            </w:r>
            <w:r>
              <w:rPr>
                <w:rFonts w:hint="eastAsia" w:cs="Times New Roman"/>
                <w:color w:val="auto"/>
                <w:kern w:val="2"/>
                <w:sz w:val="24"/>
                <w:szCs w:val="28"/>
                <w:highlight w:val="none"/>
                <w:lang w:val="en-US" w:eastAsia="zh-CN" w:bidi="ar-SA"/>
              </w:rPr>
              <w:t>的MBR膜需定期更换</w:t>
            </w:r>
            <w:r>
              <w:rPr>
                <w:rFonts w:hint="eastAsia" w:ascii="Times New Roman" w:hAnsi="Times New Roman" w:eastAsia="宋体" w:cs="Times New Roman"/>
                <w:color w:val="auto"/>
                <w:kern w:val="2"/>
                <w:sz w:val="24"/>
                <w:szCs w:val="28"/>
                <w:highlight w:val="none"/>
                <w:lang w:val="en-US" w:eastAsia="zh-CN" w:bidi="ar-SA"/>
              </w:rPr>
              <w:t>，</w:t>
            </w:r>
            <w:r>
              <w:rPr>
                <w:rFonts w:hint="eastAsia" w:cs="Times New Roman"/>
                <w:color w:val="auto"/>
                <w:kern w:val="2"/>
                <w:sz w:val="24"/>
                <w:szCs w:val="28"/>
                <w:highlight w:val="none"/>
                <w:lang w:val="en-US" w:eastAsia="zh-CN" w:bidi="ar-SA"/>
              </w:rPr>
              <w:t>平均每更换一次，每次更换的</w:t>
            </w:r>
            <w:r>
              <w:rPr>
                <w:rFonts w:hint="eastAsia" w:ascii="Times New Roman" w:hAnsi="Times New Roman" w:eastAsia="宋体" w:cs="Times New Roman"/>
                <w:color w:val="auto"/>
                <w:kern w:val="2"/>
                <w:sz w:val="24"/>
                <w:szCs w:val="28"/>
                <w:highlight w:val="none"/>
                <w:lang w:val="en-US" w:eastAsia="zh-CN" w:bidi="ar-SA"/>
              </w:rPr>
              <w:t>废MBR膜</w:t>
            </w:r>
            <w:r>
              <w:rPr>
                <w:rFonts w:hint="eastAsia" w:cs="Times New Roman"/>
                <w:color w:val="auto"/>
                <w:kern w:val="2"/>
                <w:sz w:val="24"/>
                <w:szCs w:val="28"/>
                <w:highlight w:val="none"/>
                <w:lang w:val="en-US" w:eastAsia="zh-CN" w:bidi="ar-SA"/>
              </w:rPr>
              <w:t>约0.1</w:t>
            </w:r>
            <w:r>
              <w:rPr>
                <w:rFonts w:hint="default" w:ascii="Times New Roman" w:hAnsi="Times New Roman" w:eastAsia="宋体" w:cs="Times New Roman"/>
                <w:color w:val="auto"/>
                <w:kern w:val="2"/>
                <w:sz w:val="24"/>
                <w:szCs w:val="28"/>
                <w:highlight w:val="none"/>
                <w:lang w:val="en-US" w:eastAsia="zh-CN" w:bidi="ar-SA"/>
              </w:rPr>
              <w:t>t</w:t>
            </w:r>
            <w:r>
              <w:rPr>
                <w:rFonts w:hint="eastAsia" w:ascii="Times New Roman" w:hAnsi="Times New Roman" w:eastAsia="宋体" w:cs="Times New Roman"/>
                <w:color w:val="auto"/>
                <w:kern w:val="2"/>
                <w:sz w:val="24"/>
                <w:szCs w:val="28"/>
                <w:highlight w:val="none"/>
                <w:lang w:val="en-US" w:eastAsia="zh-CN" w:bidi="ar-SA"/>
              </w:rPr>
              <w:t>，则废MBR膜产生量约为</w:t>
            </w:r>
            <w:r>
              <w:rPr>
                <w:rFonts w:hint="eastAsia" w:cs="Times New Roman"/>
                <w:color w:val="auto"/>
                <w:kern w:val="2"/>
                <w:sz w:val="24"/>
                <w:szCs w:val="28"/>
                <w:highlight w:val="none"/>
                <w:lang w:val="en-US" w:eastAsia="zh-CN" w:bidi="ar-SA"/>
              </w:rPr>
              <w:t>0.1</w:t>
            </w:r>
            <w:r>
              <w:rPr>
                <w:rFonts w:hint="default" w:ascii="Times New Roman" w:hAnsi="Times New Roman" w:eastAsia="宋体" w:cs="Times New Roman"/>
                <w:color w:val="auto"/>
                <w:kern w:val="2"/>
                <w:sz w:val="24"/>
                <w:szCs w:val="28"/>
                <w:highlight w:val="none"/>
                <w:lang w:val="en-US" w:eastAsia="zh-CN" w:bidi="ar-SA"/>
              </w:rPr>
              <w:t>t/a</w:t>
            </w:r>
            <w:r>
              <w:rPr>
                <w:rFonts w:hint="eastAsia" w:ascii="Times New Roman" w:hAnsi="Times New Roman" w:eastAsia="宋体" w:cs="Times New Roman"/>
                <w:color w:val="auto"/>
                <w:kern w:val="2"/>
                <w:sz w:val="24"/>
                <w:szCs w:val="28"/>
                <w:highlight w:val="none"/>
                <w:lang w:val="en-US" w:eastAsia="zh-CN" w:bidi="ar-SA"/>
              </w:rPr>
              <w:t>。</w:t>
            </w:r>
          </w:p>
        </w:tc>
      </w:tr>
    </w:tbl>
    <w:p w14:paraId="2639D9B3">
      <w:pPr>
        <w:pStyle w:val="25"/>
        <w:rPr>
          <w:rFonts w:hint="default" w:ascii="Times New Roman" w:hAnsi="Times New Roman" w:eastAsia="宋体" w:cs="Times New Roman"/>
          <w:color w:val="auto"/>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0" w:num="1"/>
          <w:rtlGutter w:val="0"/>
          <w:docGrid w:type="lines" w:linePitch="312" w:charSpace="0"/>
        </w:sectPr>
      </w:pP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40"/>
        <w:gridCol w:w="13089"/>
      </w:tblGrid>
      <w:tr w14:paraId="19D75A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15" w:hRule="atLeast"/>
          <w:jc w:val="center"/>
        </w:trPr>
        <w:tc>
          <w:tcPr>
            <w:tcW w:w="240" w:type="dxa"/>
            <w:noWrap w:val="0"/>
            <w:tcMar>
              <w:left w:w="28" w:type="dxa"/>
              <w:right w:w="28" w:type="dxa"/>
            </w:tcMar>
            <w:vAlign w:val="center"/>
          </w:tcPr>
          <w:p w14:paraId="382A2F69">
            <w:pPr>
              <w:adjustRightInd w:val="0"/>
              <w:snapToGrid w:val="0"/>
              <w:jc w:val="center"/>
              <w:rPr>
                <w:rFonts w:hint="default" w:ascii="Times New Roman" w:hAnsi="Times New Roman" w:eastAsia="宋体" w:cs="Times New Roman"/>
                <w:bCs/>
                <w:color w:val="auto"/>
                <w:szCs w:val="21"/>
              </w:rPr>
            </w:pPr>
          </w:p>
        </w:tc>
        <w:tc>
          <w:tcPr>
            <w:tcW w:w="13089" w:type="dxa"/>
            <w:noWrap w:val="0"/>
            <w:vAlign w:val="top"/>
          </w:tcPr>
          <w:p w14:paraId="774C794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根据《固体废物鉴别标准通则》（GB34330-2017）判断每种副产物是否属于固体</w:t>
            </w:r>
            <w:r>
              <w:rPr>
                <w:rFonts w:hint="default" w:ascii="Times New Roman" w:hAnsi="Times New Roman" w:eastAsia="宋体" w:cs="Times New Roman"/>
                <w:color w:val="auto"/>
                <w:sz w:val="24"/>
                <w:shd w:val="clear" w:fill="auto"/>
              </w:rPr>
              <w:t>废物</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按照《建设项目危险</w:t>
            </w:r>
            <w:r>
              <w:rPr>
                <w:rFonts w:hint="default" w:ascii="Times New Roman" w:hAnsi="Times New Roman" w:eastAsia="宋体" w:cs="Times New Roman"/>
                <w:color w:val="auto"/>
                <w:sz w:val="24"/>
                <w:shd w:val="clear" w:fill="auto"/>
              </w:rPr>
              <w:t>废物</w:t>
            </w:r>
            <w:r>
              <w:rPr>
                <w:rFonts w:hint="default" w:ascii="Times New Roman" w:hAnsi="Times New Roman" w:eastAsia="宋体" w:cs="Times New Roman"/>
                <w:color w:val="auto"/>
                <w:sz w:val="24"/>
              </w:rPr>
              <w:t>环境影响评价指南》（</w:t>
            </w:r>
            <w:r>
              <w:rPr>
                <w:rFonts w:hint="default" w:ascii="Times New Roman" w:hAnsi="Times New Roman" w:eastAsia="宋体" w:cs="Times New Roman"/>
                <w:color w:val="auto"/>
                <w:sz w:val="24"/>
                <w:shd w:val="clear" w:fill="auto"/>
              </w:rPr>
              <w:t>环保部</w:t>
            </w:r>
            <w:r>
              <w:rPr>
                <w:rFonts w:hint="default" w:ascii="Times New Roman" w:hAnsi="Times New Roman" w:eastAsia="宋体" w:cs="Times New Roman"/>
                <w:color w:val="auto"/>
                <w:sz w:val="24"/>
              </w:rPr>
              <w:t>公告201743号）及《</w:t>
            </w:r>
            <w:r>
              <w:rPr>
                <w:rFonts w:hint="default" w:ascii="Times New Roman" w:hAnsi="Times New Roman" w:eastAsia="宋体" w:cs="Times New Roman"/>
                <w:color w:val="auto"/>
                <w:sz w:val="24"/>
                <w:shd w:val="clear" w:fill="auto"/>
              </w:rPr>
              <w:t>国家</w:t>
            </w:r>
            <w:r>
              <w:rPr>
                <w:rFonts w:hint="default" w:ascii="Times New Roman" w:hAnsi="Times New Roman" w:eastAsia="宋体" w:cs="Times New Roman"/>
                <w:color w:val="auto"/>
                <w:sz w:val="24"/>
              </w:rPr>
              <w:t>危险</w:t>
            </w:r>
            <w:r>
              <w:rPr>
                <w:rFonts w:hint="default" w:ascii="Times New Roman" w:hAnsi="Times New Roman" w:eastAsia="宋体" w:cs="Times New Roman"/>
                <w:color w:val="auto"/>
                <w:sz w:val="24"/>
                <w:shd w:val="clear" w:fill="auto"/>
              </w:rPr>
              <w:t>废物</w:t>
            </w:r>
            <w:r>
              <w:rPr>
                <w:rFonts w:hint="default" w:ascii="Times New Roman" w:hAnsi="Times New Roman" w:eastAsia="宋体" w:cs="Times New Roman"/>
                <w:color w:val="auto"/>
                <w:sz w:val="24"/>
              </w:rPr>
              <w:t>名录》（202</w:t>
            </w:r>
            <w:r>
              <w:rPr>
                <w:rFonts w:hint="eastAsia" w:cs="Times New Roman"/>
                <w:color w:val="auto"/>
                <w:sz w:val="24"/>
                <w:lang w:val="en-US" w:eastAsia="zh-CN"/>
              </w:rPr>
              <w:t>5</w:t>
            </w:r>
            <w:r>
              <w:rPr>
                <w:rFonts w:hint="default" w:ascii="Times New Roman" w:hAnsi="Times New Roman" w:eastAsia="宋体" w:cs="Times New Roman"/>
                <w:color w:val="auto"/>
                <w:sz w:val="24"/>
              </w:rPr>
              <w:t>年版）要求，本项目营运期产生的固体</w:t>
            </w:r>
            <w:r>
              <w:rPr>
                <w:rFonts w:hint="default" w:ascii="Times New Roman" w:hAnsi="Times New Roman" w:eastAsia="宋体" w:cs="Times New Roman"/>
                <w:color w:val="auto"/>
                <w:sz w:val="24"/>
                <w:shd w:val="clear" w:fill="auto"/>
              </w:rPr>
              <w:t>废物</w:t>
            </w:r>
            <w:r>
              <w:rPr>
                <w:rFonts w:hint="default" w:ascii="Times New Roman" w:hAnsi="Times New Roman" w:eastAsia="宋体" w:cs="Times New Roman"/>
                <w:color w:val="auto"/>
                <w:sz w:val="24"/>
              </w:rPr>
              <w:t>的名称、类别、属性和数量等情况见下表。</w:t>
            </w:r>
          </w:p>
          <w:p w14:paraId="24593372">
            <w:pPr>
              <w:adjustRightInd w:val="0"/>
              <w:snapToGrid w:val="0"/>
              <w:jc w:val="center"/>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4-</w:t>
            </w:r>
            <w:r>
              <w:rPr>
                <w:rFonts w:hint="eastAsia" w:cs="Times New Roman"/>
                <w:b/>
                <w:bCs w:val="0"/>
                <w:color w:val="auto"/>
                <w:sz w:val="21"/>
                <w:szCs w:val="21"/>
                <w:lang w:val="en-US" w:eastAsia="zh-CN"/>
              </w:rPr>
              <w:t xml:space="preserve">18 </w:t>
            </w:r>
            <w:r>
              <w:rPr>
                <w:rFonts w:hint="default" w:ascii="Times New Roman" w:hAnsi="Times New Roman" w:eastAsia="宋体" w:cs="Times New Roman"/>
                <w:b/>
                <w:bCs w:val="0"/>
                <w:color w:val="auto"/>
                <w:sz w:val="21"/>
                <w:szCs w:val="21"/>
                <w:lang w:val="en-US" w:eastAsia="zh-CN"/>
              </w:rPr>
              <w:t>本项目运营期固体</w:t>
            </w:r>
            <w:r>
              <w:rPr>
                <w:rFonts w:hint="default" w:ascii="Times New Roman" w:hAnsi="Times New Roman" w:eastAsia="宋体" w:cs="Times New Roman"/>
                <w:b/>
                <w:bCs w:val="0"/>
                <w:color w:val="auto"/>
                <w:sz w:val="21"/>
                <w:szCs w:val="21"/>
                <w:shd w:val="clear" w:fill="auto"/>
                <w:lang w:val="en-US" w:eastAsia="zh-CN"/>
              </w:rPr>
              <w:t>废物</w:t>
            </w:r>
            <w:r>
              <w:rPr>
                <w:rFonts w:hint="default" w:ascii="Times New Roman" w:hAnsi="Times New Roman" w:eastAsia="宋体" w:cs="Times New Roman"/>
                <w:b/>
                <w:bCs w:val="0"/>
                <w:color w:val="auto"/>
                <w:sz w:val="21"/>
                <w:szCs w:val="21"/>
                <w:lang w:val="en-US" w:eastAsia="zh-CN"/>
              </w:rPr>
              <w:t>产生情况一览表（t/a）</w:t>
            </w:r>
          </w:p>
          <w:tbl>
            <w:tblPr>
              <w:tblStyle w:val="17"/>
              <w:tblW w:w="12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8"/>
              <w:gridCol w:w="1217"/>
              <w:gridCol w:w="938"/>
              <w:gridCol w:w="489"/>
              <w:gridCol w:w="462"/>
              <w:gridCol w:w="640"/>
              <w:gridCol w:w="1147"/>
              <w:gridCol w:w="451"/>
              <w:gridCol w:w="547"/>
              <w:gridCol w:w="435"/>
              <w:gridCol w:w="741"/>
              <w:gridCol w:w="1086"/>
              <w:gridCol w:w="584"/>
              <w:gridCol w:w="756"/>
              <w:gridCol w:w="866"/>
              <w:gridCol w:w="792"/>
              <w:gridCol w:w="597"/>
              <w:gridCol w:w="789"/>
            </w:tblGrid>
            <w:tr w14:paraId="34FD7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dxa"/>
                  <w:vMerge w:val="restart"/>
                  <w:noWrap w:val="0"/>
                  <w:tcMar>
                    <w:top w:w="0" w:type="dxa"/>
                    <w:left w:w="11" w:type="dxa"/>
                    <w:bottom w:w="0" w:type="dxa"/>
                    <w:right w:w="11" w:type="dxa"/>
                  </w:tcMar>
                  <w:vAlign w:val="center"/>
                </w:tcPr>
                <w:p w14:paraId="189B54D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217" w:type="dxa"/>
                  <w:vMerge w:val="restart"/>
                  <w:noWrap w:val="0"/>
                  <w:tcMar>
                    <w:top w:w="0" w:type="dxa"/>
                    <w:left w:w="11" w:type="dxa"/>
                    <w:bottom w:w="0" w:type="dxa"/>
                    <w:right w:w="11" w:type="dxa"/>
                  </w:tcMar>
                  <w:vAlign w:val="center"/>
                </w:tcPr>
                <w:p w14:paraId="1DE8904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938" w:type="dxa"/>
                  <w:vMerge w:val="restart"/>
                  <w:noWrap w:val="0"/>
                  <w:tcMar>
                    <w:top w:w="0" w:type="dxa"/>
                    <w:left w:w="11" w:type="dxa"/>
                    <w:bottom w:w="0" w:type="dxa"/>
                    <w:right w:w="11" w:type="dxa"/>
                  </w:tcMar>
                  <w:vAlign w:val="center"/>
                </w:tcPr>
                <w:p w14:paraId="6B21675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rPr>
                    <w:t>产生</w:t>
                  </w:r>
                  <w:r>
                    <w:rPr>
                      <w:rFonts w:hint="default" w:ascii="Times New Roman" w:hAnsi="Times New Roman" w:eastAsia="宋体" w:cs="Times New Roman"/>
                      <w:b/>
                      <w:bCs/>
                      <w:color w:val="auto"/>
                      <w:sz w:val="21"/>
                      <w:szCs w:val="21"/>
                      <w:lang w:val="en-US" w:eastAsia="zh-CN"/>
                    </w:rPr>
                    <w:t>环节</w:t>
                  </w:r>
                </w:p>
              </w:tc>
              <w:tc>
                <w:tcPr>
                  <w:tcW w:w="4171" w:type="dxa"/>
                  <w:gridSpan w:val="7"/>
                  <w:noWrap w:val="0"/>
                  <w:tcMar>
                    <w:top w:w="0" w:type="dxa"/>
                    <w:left w:w="11" w:type="dxa"/>
                    <w:bottom w:w="0" w:type="dxa"/>
                    <w:right w:w="11" w:type="dxa"/>
                  </w:tcMar>
                  <w:vAlign w:val="center"/>
                </w:tcPr>
                <w:p w14:paraId="0EBA3E7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属性</w:t>
                  </w:r>
                </w:p>
              </w:tc>
              <w:tc>
                <w:tcPr>
                  <w:tcW w:w="741" w:type="dxa"/>
                  <w:vMerge w:val="restart"/>
                  <w:noWrap w:val="0"/>
                  <w:tcMar>
                    <w:top w:w="0" w:type="dxa"/>
                    <w:left w:w="11" w:type="dxa"/>
                    <w:bottom w:w="0" w:type="dxa"/>
                    <w:right w:w="11" w:type="dxa"/>
                  </w:tcMar>
                  <w:vAlign w:val="center"/>
                </w:tcPr>
                <w:p w14:paraId="7440194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判定依据</w:t>
                  </w:r>
                </w:p>
              </w:tc>
              <w:tc>
                <w:tcPr>
                  <w:tcW w:w="1086" w:type="dxa"/>
                  <w:vMerge w:val="restart"/>
                  <w:noWrap w:val="0"/>
                  <w:tcMar>
                    <w:top w:w="0" w:type="dxa"/>
                    <w:left w:w="11" w:type="dxa"/>
                    <w:bottom w:w="0" w:type="dxa"/>
                    <w:right w:w="11" w:type="dxa"/>
                  </w:tcMar>
                  <w:vAlign w:val="center"/>
                </w:tcPr>
                <w:p w14:paraId="027602E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主要成分</w:t>
                  </w:r>
                </w:p>
                <w:p w14:paraId="1ADA528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584" w:type="dxa"/>
                  <w:vMerge w:val="restart"/>
                  <w:noWrap w:val="0"/>
                  <w:tcMar>
                    <w:top w:w="0" w:type="dxa"/>
                    <w:left w:w="11" w:type="dxa"/>
                    <w:bottom w:w="0" w:type="dxa"/>
                    <w:right w:w="11" w:type="dxa"/>
                  </w:tcMar>
                  <w:vAlign w:val="center"/>
                </w:tcPr>
                <w:p w14:paraId="525C037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物理性状</w:t>
                  </w:r>
                </w:p>
                <w:p w14:paraId="4D310A1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756" w:type="dxa"/>
                  <w:vMerge w:val="restart"/>
                  <w:noWrap w:val="0"/>
                  <w:tcMar>
                    <w:top w:w="0" w:type="dxa"/>
                    <w:left w:w="11" w:type="dxa"/>
                    <w:bottom w:w="0" w:type="dxa"/>
                    <w:right w:w="11" w:type="dxa"/>
                  </w:tcMar>
                  <w:vAlign w:val="center"/>
                </w:tcPr>
                <w:p w14:paraId="217FBC5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产生量</w:t>
                  </w:r>
                </w:p>
              </w:tc>
              <w:tc>
                <w:tcPr>
                  <w:tcW w:w="866" w:type="dxa"/>
                  <w:vMerge w:val="restart"/>
                  <w:noWrap w:val="0"/>
                  <w:tcMar>
                    <w:top w:w="0" w:type="dxa"/>
                    <w:left w:w="11" w:type="dxa"/>
                    <w:bottom w:w="0" w:type="dxa"/>
                    <w:right w:w="11" w:type="dxa"/>
                  </w:tcMar>
                  <w:vAlign w:val="center"/>
                </w:tcPr>
                <w:p w14:paraId="22A66F6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贮存方式</w:t>
                  </w:r>
                </w:p>
              </w:tc>
              <w:tc>
                <w:tcPr>
                  <w:tcW w:w="2178" w:type="dxa"/>
                  <w:gridSpan w:val="3"/>
                  <w:noWrap w:val="0"/>
                  <w:tcMar>
                    <w:top w:w="0" w:type="dxa"/>
                    <w:left w:w="11" w:type="dxa"/>
                    <w:bottom w:w="0" w:type="dxa"/>
                    <w:right w:w="11" w:type="dxa"/>
                  </w:tcMar>
                  <w:vAlign w:val="center"/>
                </w:tcPr>
                <w:p w14:paraId="3299C26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处置</w:t>
                  </w:r>
                </w:p>
              </w:tc>
            </w:tr>
            <w:tr w14:paraId="2546A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dxa"/>
                  <w:vMerge w:val="continue"/>
                  <w:noWrap w:val="0"/>
                  <w:tcMar>
                    <w:top w:w="0" w:type="dxa"/>
                    <w:left w:w="11" w:type="dxa"/>
                    <w:bottom w:w="0" w:type="dxa"/>
                    <w:right w:w="11" w:type="dxa"/>
                  </w:tcMar>
                  <w:vAlign w:val="center"/>
                </w:tcPr>
                <w:p w14:paraId="64016B2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1217" w:type="dxa"/>
                  <w:vMerge w:val="continue"/>
                  <w:noWrap w:val="0"/>
                  <w:tcMar>
                    <w:top w:w="0" w:type="dxa"/>
                    <w:left w:w="11" w:type="dxa"/>
                    <w:bottom w:w="0" w:type="dxa"/>
                    <w:right w:w="11" w:type="dxa"/>
                  </w:tcMar>
                  <w:vAlign w:val="center"/>
                </w:tcPr>
                <w:p w14:paraId="17F05D0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938" w:type="dxa"/>
                  <w:vMerge w:val="continue"/>
                  <w:noWrap w:val="0"/>
                  <w:tcMar>
                    <w:top w:w="0" w:type="dxa"/>
                    <w:left w:w="11" w:type="dxa"/>
                    <w:bottom w:w="0" w:type="dxa"/>
                    <w:right w:w="11" w:type="dxa"/>
                  </w:tcMar>
                  <w:vAlign w:val="center"/>
                </w:tcPr>
                <w:p w14:paraId="5BC5C3D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rPr>
                  </w:pPr>
                </w:p>
              </w:tc>
              <w:tc>
                <w:tcPr>
                  <w:tcW w:w="489" w:type="dxa"/>
                  <w:noWrap w:val="0"/>
                  <w:tcMar>
                    <w:top w:w="0" w:type="dxa"/>
                    <w:left w:w="11" w:type="dxa"/>
                    <w:bottom w:w="0" w:type="dxa"/>
                    <w:right w:w="11" w:type="dxa"/>
                  </w:tcMar>
                  <w:vAlign w:val="center"/>
                </w:tcPr>
                <w:p w14:paraId="1DDB13C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一般工业固体</w:t>
                  </w:r>
                  <w:r>
                    <w:rPr>
                      <w:rFonts w:hint="default" w:ascii="Times New Roman" w:hAnsi="Times New Roman" w:eastAsia="宋体" w:cs="Times New Roman"/>
                      <w:b/>
                      <w:bCs/>
                      <w:color w:val="auto"/>
                      <w:sz w:val="21"/>
                      <w:szCs w:val="21"/>
                      <w:shd w:val="clear" w:fill="auto"/>
                      <w:lang w:val="en-US" w:eastAsia="zh-CN"/>
                    </w:rPr>
                    <w:t>废物</w:t>
                  </w:r>
                </w:p>
              </w:tc>
              <w:tc>
                <w:tcPr>
                  <w:tcW w:w="462" w:type="dxa"/>
                  <w:noWrap w:val="0"/>
                  <w:tcMar>
                    <w:top w:w="0" w:type="dxa"/>
                    <w:left w:w="11" w:type="dxa"/>
                    <w:bottom w:w="0" w:type="dxa"/>
                    <w:right w:w="11" w:type="dxa"/>
                  </w:tcMar>
                  <w:vAlign w:val="center"/>
                </w:tcPr>
                <w:p w14:paraId="64995DF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危险</w:t>
                  </w:r>
                  <w:r>
                    <w:rPr>
                      <w:rFonts w:hint="default" w:ascii="Times New Roman" w:hAnsi="Times New Roman" w:eastAsia="宋体" w:cs="Times New Roman"/>
                      <w:b/>
                      <w:bCs/>
                      <w:color w:val="auto"/>
                      <w:sz w:val="21"/>
                      <w:szCs w:val="21"/>
                      <w:shd w:val="clear" w:fill="auto"/>
                      <w:lang w:val="en-US" w:eastAsia="zh-CN"/>
                    </w:rPr>
                    <w:t>废物</w:t>
                  </w:r>
                </w:p>
              </w:tc>
              <w:tc>
                <w:tcPr>
                  <w:tcW w:w="640" w:type="dxa"/>
                  <w:noWrap w:val="0"/>
                  <w:tcMar>
                    <w:top w:w="0" w:type="dxa"/>
                    <w:left w:w="11" w:type="dxa"/>
                    <w:bottom w:w="0" w:type="dxa"/>
                    <w:right w:w="11" w:type="dxa"/>
                  </w:tcMar>
                  <w:vAlign w:val="center"/>
                </w:tcPr>
                <w:p w14:paraId="35402F6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类别</w:t>
                  </w:r>
                </w:p>
              </w:tc>
              <w:tc>
                <w:tcPr>
                  <w:tcW w:w="1147" w:type="dxa"/>
                  <w:noWrap w:val="0"/>
                  <w:tcMar>
                    <w:top w:w="0" w:type="dxa"/>
                    <w:left w:w="11" w:type="dxa"/>
                    <w:bottom w:w="0" w:type="dxa"/>
                    <w:right w:w="11" w:type="dxa"/>
                  </w:tcMar>
                  <w:vAlign w:val="center"/>
                </w:tcPr>
                <w:p w14:paraId="568CE45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编码</w:t>
                  </w:r>
                </w:p>
              </w:tc>
              <w:tc>
                <w:tcPr>
                  <w:tcW w:w="451" w:type="dxa"/>
                  <w:noWrap w:val="0"/>
                  <w:tcMar>
                    <w:top w:w="0" w:type="dxa"/>
                    <w:left w:w="11" w:type="dxa"/>
                    <w:bottom w:w="0" w:type="dxa"/>
                    <w:right w:w="11" w:type="dxa"/>
                  </w:tcMar>
                  <w:vAlign w:val="center"/>
                </w:tcPr>
                <w:p w14:paraId="04F99A7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lang w:val="en-US" w:eastAsia="zh-CN"/>
                    </w:rPr>
                    <w:t>危险特性</w:t>
                  </w:r>
                </w:p>
              </w:tc>
              <w:tc>
                <w:tcPr>
                  <w:tcW w:w="547" w:type="dxa"/>
                  <w:noWrap w:val="0"/>
                  <w:tcMar>
                    <w:top w:w="0" w:type="dxa"/>
                    <w:left w:w="11" w:type="dxa"/>
                    <w:bottom w:w="0" w:type="dxa"/>
                    <w:right w:w="11" w:type="dxa"/>
                  </w:tcMar>
                  <w:vAlign w:val="center"/>
                </w:tcPr>
                <w:p w14:paraId="2ECFACA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sz w:val="21"/>
                      <w:szCs w:val="21"/>
                    </w:rPr>
                    <w:t>副产品</w:t>
                  </w:r>
                </w:p>
              </w:tc>
              <w:tc>
                <w:tcPr>
                  <w:tcW w:w="435" w:type="dxa"/>
                  <w:noWrap w:val="0"/>
                  <w:tcMar>
                    <w:top w:w="0" w:type="dxa"/>
                    <w:left w:w="11" w:type="dxa"/>
                    <w:bottom w:w="0" w:type="dxa"/>
                    <w:right w:w="11" w:type="dxa"/>
                  </w:tcMar>
                  <w:vAlign w:val="center"/>
                </w:tcPr>
                <w:p w14:paraId="2880D38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固废</w:t>
                  </w:r>
                </w:p>
              </w:tc>
              <w:tc>
                <w:tcPr>
                  <w:tcW w:w="741" w:type="dxa"/>
                  <w:vMerge w:val="continue"/>
                  <w:noWrap w:val="0"/>
                  <w:tcMar>
                    <w:top w:w="0" w:type="dxa"/>
                    <w:left w:w="11" w:type="dxa"/>
                    <w:bottom w:w="0" w:type="dxa"/>
                    <w:right w:w="11" w:type="dxa"/>
                  </w:tcMar>
                  <w:vAlign w:val="center"/>
                </w:tcPr>
                <w:p w14:paraId="5809CC5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1086" w:type="dxa"/>
                  <w:vMerge w:val="continue"/>
                  <w:noWrap w:val="0"/>
                  <w:tcMar>
                    <w:top w:w="0" w:type="dxa"/>
                    <w:left w:w="11" w:type="dxa"/>
                    <w:bottom w:w="0" w:type="dxa"/>
                    <w:right w:w="11" w:type="dxa"/>
                  </w:tcMar>
                  <w:vAlign w:val="center"/>
                </w:tcPr>
                <w:p w14:paraId="63F5D25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584" w:type="dxa"/>
                  <w:vMerge w:val="continue"/>
                  <w:noWrap w:val="0"/>
                  <w:tcMar>
                    <w:top w:w="0" w:type="dxa"/>
                    <w:left w:w="11" w:type="dxa"/>
                    <w:bottom w:w="0" w:type="dxa"/>
                    <w:right w:w="11" w:type="dxa"/>
                  </w:tcMar>
                  <w:vAlign w:val="center"/>
                </w:tcPr>
                <w:p w14:paraId="378A50D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756" w:type="dxa"/>
                  <w:vMerge w:val="continue"/>
                  <w:noWrap w:val="0"/>
                  <w:tcMar>
                    <w:top w:w="0" w:type="dxa"/>
                    <w:left w:w="11" w:type="dxa"/>
                    <w:bottom w:w="0" w:type="dxa"/>
                    <w:right w:w="11" w:type="dxa"/>
                  </w:tcMar>
                  <w:vAlign w:val="center"/>
                </w:tcPr>
                <w:p w14:paraId="41FFEB3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866" w:type="dxa"/>
                  <w:vMerge w:val="continue"/>
                  <w:noWrap w:val="0"/>
                  <w:tcMar>
                    <w:top w:w="0" w:type="dxa"/>
                    <w:left w:w="11" w:type="dxa"/>
                    <w:bottom w:w="0" w:type="dxa"/>
                    <w:right w:w="11" w:type="dxa"/>
                  </w:tcMar>
                  <w:vAlign w:val="center"/>
                </w:tcPr>
                <w:p w14:paraId="54841E5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p>
              </w:tc>
              <w:tc>
                <w:tcPr>
                  <w:tcW w:w="792" w:type="dxa"/>
                  <w:noWrap w:val="0"/>
                  <w:tcMar>
                    <w:top w:w="0" w:type="dxa"/>
                    <w:left w:w="11" w:type="dxa"/>
                    <w:bottom w:w="0" w:type="dxa"/>
                    <w:right w:w="11" w:type="dxa"/>
                  </w:tcMar>
                  <w:vAlign w:val="center"/>
                </w:tcPr>
                <w:p w14:paraId="761DBF6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方式</w:t>
                  </w:r>
                </w:p>
              </w:tc>
              <w:tc>
                <w:tcPr>
                  <w:tcW w:w="597" w:type="dxa"/>
                  <w:noWrap w:val="0"/>
                  <w:tcMar>
                    <w:top w:w="0" w:type="dxa"/>
                    <w:left w:w="11" w:type="dxa"/>
                    <w:bottom w:w="0" w:type="dxa"/>
                    <w:right w:w="11" w:type="dxa"/>
                  </w:tcMar>
                  <w:vAlign w:val="center"/>
                </w:tcPr>
                <w:p w14:paraId="5AE252D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去向</w:t>
                  </w:r>
                </w:p>
              </w:tc>
              <w:tc>
                <w:tcPr>
                  <w:tcW w:w="789" w:type="dxa"/>
                  <w:noWrap w:val="0"/>
                  <w:tcMar>
                    <w:top w:w="0" w:type="dxa"/>
                    <w:left w:w="11" w:type="dxa"/>
                    <w:bottom w:w="0" w:type="dxa"/>
                    <w:right w:w="11" w:type="dxa"/>
                  </w:tcMar>
                  <w:vAlign w:val="center"/>
                </w:tcPr>
                <w:p w14:paraId="50A90D3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处置量</w:t>
                  </w:r>
                </w:p>
              </w:tc>
            </w:tr>
            <w:tr w14:paraId="11C9C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dxa"/>
                  <w:noWrap w:val="0"/>
                  <w:tcMar>
                    <w:top w:w="0" w:type="dxa"/>
                    <w:left w:w="11" w:type="dxa"/>
                    <w:bottom w:w="0" w:type="dxa"/>
                    <w:right w:w="11" w:type="dxa"/>
                  </w:tcMar>
                  <w:vAlign w:val="center"/>
                </w:tcPr>
                <w:p w14:paraId="6198143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17" w:type="dxa"/>
                  <w:noWrap w:val="0"/>
                  <w:tcMar>
                    <w:top w:w="0" w:type="dxa"/>
                    <w:left w:w="11" w:type="dxa"/>
                    <w:bottom w:w="0" w:type="dxa"/>
                    <w:right w:w="11" w:type="dxa"/>
                  </w:tcMar>
                  <w:vAlign w:val="center"/>
                </w:tcPr>
                <w:p w14:paraId="2E149DBD">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c>
                <w:tcPr>
                  <w:tcW w:w="938" w:type="dxa"/>
                  <w:noWrap w:val="0"/>
                  <w:tcMar>
                    <w:top w:w="0" w:type="dxa"/>
                    <w:left w:w="11" w:type="dxa"/>
                    <w:bottom w:w="0" w:type="dxa"/>
                    <w:right w:w="11" w:type="dxa"/>
                  </w:tcMar>
                  <w:vAlign w:val="center"/>
                </w:tcPr>
                <w:p w14:paraId="215E3D51">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员工生活</w:t>
                  </w:r>
                </w:p>
              </w:tc>
              <w:tc>
                <w:tcPr>
                  <w:tcW w:w="489" w:type="dxa"/>
                  <w:noWrap w:val="0"/>
                  <w:tcMar>
                    <w:top w:w="0" w:type="dxa"/>
                    <w:left w:w="11" w:type="dxa"/>
                    <w:bottom w:w="0" w:type="dxa"/>
                    <w:right w:w="11" w:type="dxa"/>
                  </w:tcMar>
                  <w:vAlign w:val="center"/>
                </w:tcPr>
                <w:p w14:paraId="4BC8233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62" w:type="dxa"/>
                  <w:noWrap w:val="0"/>
                  <w:tcMar>
                    <w:top w:w="0" w:type="dxa"/>
                    <w:left w:w="11" w:type="dxa"/>
                    <w:bottom w:w="0" w:type="dxa"/>
                    <w:right w:w="11" w:type="dxa"/>
                  </w:tcMar>
                  <w:vAlign w:val="center"/>
                </w:tcPr>
                <w:p w14:paraId="6CDDDD4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40" w:type="dxa"/>
                  <w:noWrap w:val="0"/>
                  <w:tcMar>
                    <w:top w:w="0" w:type="dxa"/>
                    <w:left w:w="11" w:type="dxa"/>
                    <w:bottom w:w="0" w:type="dxa"/>
                    <w:right w:w="11" w:type="dxa"/>
                  </w:tcMar>
                  <w:vAlign w:val="center"/>
                </w:tcPr>
                <w:p w14:paraId="62A287FC">
                  <w:pPr>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SW64</w:t>
                  </w:r>
                </w:p>
              </w:tc>
              <w:tc>
                <w:tcPr>
                  <w:tcW w:w="1147" w:type="dxa"/>
                  <w:noWrap w:val="0"/>
                  <w:tcMar>
                    <w:top w:w="0" w:type="dxa"/>
                    <w:left w:w="11" w:type="dxa"/>
                    <w:bottom w:w="0" w:type="dxa"/>
                    <w:right w:w="11" w:type="dxa"/>
                  </w:tcMar>
                  <w:vAlign w:val="center"/>
                </w:tcPr>
                <w:p w14:paraId="2233775E">
                  <w:pPr>
                    <w:snapToGrid w:val="0"/>
                    <w:jc w:val="center"/>
                    <w:rPr>
                      <w:rFonts w:hint="default" w:ascii="Times New Roman" w:hAnsi="Times New Roman" w:eastAsia="宋体" w:cs="Times New Roman"/>
                      <w:color w:val="auto"/>
                      <w:spacing w:val="2"/>
                      <w:kern w:val="2"/>
                      <w:sz w:val="21"/>
                      <w:szCs w:val="21"/>
                      <w:lang w:val="en-US" w:eastAsia="zh-CN" w:bidi="ar-SA"/>
                    </w:rPr>
                  </w:pPr>
                  <w:r>
                    <w:rPr>
                      <w:rFonts w:hint="eastAsia" w:cs="Times New Roman"/>
                      <w:color w:val="auto"/>
                      <w:sz w:val="21"/>
                      <w:szCs w:val="21"/>
                      <w:lang w:val="en-US" w:eastAsia="zh-CN"/>
                    </w:rPr>
                    <w:t>900-099-S64</w:t>
                  </w:r>
                </w:p>
              </w:tc>
              <w:tc>
                <w:tcPr>
                  <w:tcW w:w="451" w:type="dxa"/>
                  <w:noWrap w:val="0"/>
                  <w:tcMar>
                    <w:top w:w="0" w:type="dxa"/>
                    <w:left w:w="11" w:type="dxa"/>
                    <w:bottom w:w="0" w:type="dxa"/>
                    <w:right w:w="11" w:type="dxa"/>
                  </w:tcMar>
                  <w:vAlign w:val="center"/>
                </w:tcPr>
                <w:p w14:paraId="39F56F1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47" w:type="dxa"/>
                  <w:noWrap w:val="0"/>
                  <w:tcMar>
                    <w:top w:w="0" w:type="dxa"/>
                    <w:left w:w="11" w:type="dxa"/>
                    <w:bottom w:w="0" w:type="dxa"/>
                    <w:right w:w="11" w:type="dxa"/>
                  </w:tcMar>
                  <w:vAlign w:val="center"/>
                </w:tcPr>
                <w:p w14:paraId="2ED6C6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435" w:type="dxa"/>
                  <w:noWrap w:val="0"/>
                  <w:tcMar>
                    <w:top w:w="0" w:type="dxa"/>
                    <w:left w:w="11" w:type="dxa"/>
                    <w:bottom w:w="0" w:type="dxa"/>
                    <w:right w:w="11" w:type="dxa"/>
                  </w:tcMar>
                  <w:vAlign w:val="center"/>
                </w:tcPr>
                <w:p w14:paraId="082291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41" w:type="dxa"/>
                  <w:vMerge w:val="restart"/>
                  <w:noWrap w:val="0"/>
                  <w:tcMar>
                    <w:top w:w="0" w:type="dxa"/>
                    <w:left w:w="11" w:type="dxa"/>
                    <w:bottom w:w="0" w:type="dxa"/>
                    <w:right w:w="11" w:type="dxa"/>
                  </w:tcMar>
                  <w:vAlign w:val="center"/>
                </w:tcPr>
                <w:p w14:paraId="1E81555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《固体废物鉴别标准通则》</w:t>
                  </w:r>
                  <w:r>
                    <w:rPr>
                      <w:rFonts w:hint="default" w:ascii="Times New Roman" w:hAnsi="Times New Roman" w:eastAsia="宋体" w:cs="Times New Roman"/>
                      <w:color w:val="auto"/>
                      <w:sz w:val="21"/>
                      <w:szCs w:val="21"/>
                      <w:highlight w:val="none"/>
                    </w:rPr>
                    <w:t>（</w:t>
                  </w:r>
                  <w:r>
                    <w:rPr>
                      <w:rFonts w:hint="default" w:ascii="Times New Roman" w:hAnsi="Times New Roman" w:eastAsia="宋体" w:cs="Times New Roman"/>
                      <w:color w:val="auto"/>
                      <w:sz w:val="21"/>
                      <w:szCs w:val="21"/>
                    </w:rPr>
                    <w:t>GB34330-</w:t>
                  </w:r>
                  <w:r>
                    <w:rPr>
                      <w:rFonts w:hint="default" w:ascii="Times New Roman" w:hAnsi="Times New Roman" w:eastAsia="宋体" w:cs="Times New Roman"/>
                      <w:color w:val="auto"/>
                      <w:sz w:val="21"/>
                      <w:szCs w:val="21"/>
                      <w:shd w:val="clear" w:fill="auto"/>
                    </w:rPr>
                    <w:t>2017</w:t>
                  </w:r>
                  <w:r>
                    <w:rPr>
                      <w:rFonts w:hint="default" w:ascii="Times New Roman" w:hAnsi="Times New Roman" w:eastAsia="宋体" w:cs="Times New Roman"/>
                      <w:color w:val="auto"/>
                      <w:sz w:val="21"/>
                      <w:szCs w:val="21"/>
                      <w:highlight w:val="none"/>
                      <w:shd w:val="clear" w:fill="auto"/>
                    </w:rPr>
                    <w:t>）</w:t>
                  </w:r>
                  <w:r>
                    <w:rPr>
                      <w:rFonts w:hint="default" w:ascii="Times New Roman" w:hAnsi="Times New Roman" w:eastAsia="宋体" w:cs="Times New Roman"/>
                      <w:color w:val="auto"/>
                      <w:sz w:val="21"/>
                      <w:szCs w:val="21"/>
                      <w:highlight w:val="none"/>
                      <w:shd w:val="clear" w:fill="auto"/>
                      <w:lang w:eastAsia="zh-CN"/>
                    </w:rPr>
                    <w:t>、</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shd w:val="clear" w:fill="auto"/>
                    </w:rPr>
                    <w:t>国家</w:t>
                  </w:r>
                  <w:r>
                    <w:rPr>
                      <w:rFonts w:hint="default" w:ascii="Times New Roman" w:hAnsi="Times New Roman" w:eastAsia="宋体" w:cs="Times New Roman"/>
                      <w:color w:val="auto"/>
                      <w:sz w:val="21"/>
                      <w:szCs w:val="21"/>
                    </w:rPr>
                    <w:t>危险</w:t>
                  </w:r>
                  <w:r>
                    <w:rPr>
                      <w:rFonts w:hint="default" w:ascii="Times New Roman" w:hAnsi="Times New Roman" w:eastAsia="宋体" w:cs="Times New Roman"/>
                      <w:color w:val="auto"/>
                      <w:sz w:val="21"/>
                      <w:szCs w:val="21"/>
                      <w:shd w:val="clear" w:fill="auto"/>
                    </w:rPr>
                    <w:t>废物</w:t>
                  </w:r>
                  <w:r>
                    <w:rPr>
                      <w:rFonts w:hint="default" w:ascii="Times New Roman" w:hAnsi="Times New Roman" w:eastAsia="宋体" w:cs="Times New Roman"/>
                      <w:color w:val="auto"/>
                      <w:sz w:val="21"/>
                      <w:szCs w:val="21"/>
                    </w:rPr>
                    <w:t>名录</w:t>
                  </w:r>
                  <w:r>
                    <w:rPr>
                      <w:rFonts w:hint="default" w:ascii="Times New Roman" w:hAnsi="Times New Roman" w:eastAsia="宋体" w:cs="Times New Roman"/>
                      <w:color w:val="auto"/>
                      <w:sz w:val="21"/>
                      <w:szCs w:val="21"/>
                      <w:lang w:eastAsia="zh-CN"/>
                    </w:rPr>
                    <w:t>》</w:t>
                  </w:r>
                </w:p>
              </w:tc>
              <w:tc>
                <w:tcPr>
                  <w:tcW w:w="1086" w:type="dxa"/>
                  <w:noWrap w:val="0"/>
                  <w:tcMar>
                    <w:top w:w="0" w:type="dxa"/>
                    <w:left w:w="11" w:type="dxa"/>
                    <w:bottom w:w="0" w:type="dxa"/>
                    <w:right w:w="11" w:type="dxa"/>
                  </w:tcMar>
                  <w:vAlign w:val="center"/>
                </w:tcPr>
                <w:p w14:paraId="397AB93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纸、塑料等</w:t>
                  </w:r>
                </w:p>
              </w:tc>
              <w:tc>
                <w:tcPr>
                  <w:tcW w:w="584" w:type="dxa"/>
                  <w:noWrap w:val="0"/>
                  <w:tcMar>
                    <w:top w:w="0" w:type="dxa"/>
                    <w:left w:w="11" w:type="dxa"/>
                    <w:bottom w:w="0" w:type="dxa"/>
                    <w:right w:w="11" w:type="dxa"/>
                  </w:tcMar>
                  <w:vAlign w:val="center"/>
                </w:tcPr>
                <w:p w14:paraId="6321875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756" w:type="dxa"/>
                  <w:noWrap w:val="0"/>
                  <w:tcMar>
                    <w:top w:w="0" w:type="dxa"/>
                    <w:left w:w="11" w:type="dxa"/>
                    <w:bottom w:w="0" w:type="dxa"/>
                    <w:right w:w="11" w:type="dxa"/>
                  </w:tcMar>
                  <w:vAlign w:val="center"/>
                </w:tcPr>
                <w:p w14:paraId="5DE9237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866" w:type="dxa"/>
                  <w:noWrap w:val="0"/>
                  <w:tcMar>
                    <w:top w:w="0" w:type="dxa"/>
                    <w:left w:w="11" w:type="dxa"/>
                    <w:bottom w:w="0" w:type="dxa"/>
                    <w:right w:w="11" w:type="dxa"/>
                  </w:tcMar>
                  <w:vAlign w:val="center"/>
                </w:tcPr>
                <w:p w14:paraId="664C728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92" w:type="dxa"/>
                  <w:noWrap w:val="0"/>
                  <w:tcMar>
                    <w:top w:w="0" w:type="dxa"/>
                    <w:left w:w="11" w:type="dxa"/>
                    <w:bottom w:w="0" w:type="dxa"/>
                    <w:right w:w="11" w:type="dxa"/>
                  </w:tcMar>
                  <w:vAlign w:val="center"/>
                </w:tcPr>
                <w:p w14:paraId="6805027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委外</w:t>
                  </w:r>
                </w:p>
              </w:tc>
              <w:tc>
                <w:tcPr>
                  <w:tcW w:w="597" w:type="dxa"/>
                  <w:noWrap w:val="0"/>
                  <w:tcMar>
                    <w:top w:w="0" w:type="dxa"/>
                    <w:left w:w="11" w:type="dxa"/>
                    <w:bottom w:w="0" w:type="dxa"/>
                    <w:right w:w="11" w:type="dxa"/>
                  </w:tcMar>
                  <w:vAlign w:val="center"/>
                </w:tcPr>
                <w:p w14:paraId="1E236CE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shd w:val="clear" w:fill="auto"/>
                      <w:lang w:val="en-US" w:eastAsia="zh-CN"/>
                    </w:rPr>
                    <w:t>环卫</w:t>
                  </w:r>
                </w:p>
              </w:tc>
              <w:tc>
                <w:tcPr>
                  <w:tcW w:w="789" w:type="dxa"/>
                  <w:noWrap w:val="0"/>
                  <w:tcMar>
                    <w:top w:w="0" w:type="dxa"/>
                    <w:left w:w="11" w:type="dxa"/>
                    <w:bottom w:w="0" w:type="dxa"/>
                    <w:right w:w="11" w:type="dxa"/>
                  </w:tcMar>
                  <w:vAlign w:val="center"/>
                </w:tcPr>
                <w:p w14:paraId="7DDC8C3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r>
            <w:tr w14:paraId="480E4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dxa"/>
                  <w:noWrap w:val="0"/>
                  <w:tcMar>
                    <w:top w:w="0" w:type="dxa"/>
                    <w:left w:w="11" w:type="dxa"/>
                    <w:bottom w:w="0" w:type="dxa"/>
                    <w:right w:w="11" w:type="dxa"/>
                  </w:tcMar>
                  <w:vAlign w:val="center"/>
                </w:tcPr>
                <w:p w14:paraId="073BAAD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2</w:t>
                  </w:r>
                </w:p>
              </w:tc>
              <w:tc>
                <w:tcPr>
                  <w:tcW w:w="1217" w:type="dxa"/>
                  <w:noWrap w:val="0"/>
                  <w:tcMar>
                    <w:top w:w="0" w:type="dxa"/>
                    <w:left w:w="11" w:type="dxa"/>
                    <w:bottom w:w="0" w:type="dxa"/>
                    <w:right w:w="11" w:type="dxa"/>
                  </w:tcMar>
                  <w:vAlign w:val="center"/>
                </w:tcPr>
                <w:p w14:paraId="222F38F3">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边角料</w:t>
                  </w:r>
                </w:p>
              </w:tc>
              <w:tc>
                <w:tcPr>
                  <w:tcW w:w="938" w:type="dxa"/>
                  <w:noWrap w:val="0"/>
                  <w:tcMar>
                    <w:top w:w="0" w:type="dxa"/>
                    <w:left w:w="11" w:type="dxa"/>
                    <w:bottom w:w="0" w:type="dxa"/>
                    <w:right w:w="11" w:type="dxa"/>
                  </w:tcMar>
                  <w:vAlign w:val="center"/>
                </w:tcPr>
                <w:p w14:paraId="49313A1D">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下料、机加工</w:t>
                  </w:r>
                </w:p>
              </w:tc>
              <w:tc>
                <w:tcPr>
                  <w:tcW w:w="489" w:type="dxa"/>
                  <w:noWrap w:val="0"/>
                  <w:tcMar>
                    <w:top w:w="0" w:type="dxa"/>
                    <w:left w:w="11" w:type="dxa"/>
                    <w:bottom w:w="0" w:type="dxa"/>
                    <w:right w:w="11" w:type="dxa"/>
                  </w:tcMar>
                  <w:vAlign w:val="center"/>
                </w:tcPr>
                <w:p w14:paraId="3B8DFEB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62" w:type="dxa"/>
                  <w:noWrap w:val="0"/>
                  <w:tcMar>
                    <w:top w:w="0" w:type="dxa"/>
                    <w:left w:w="11" w:type="dxa"/>
                    <w:bottom w:w="0" w:type="dxa"/>
                    <w:right w:w="11" w:type="dxa"/>
                  </w:tcMar>
                  <w:vAlign w:val="center"/>
                </w:tcPr>
                <w:p w14:paraId="71B00E7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40" w:type="dxa"/>
                  <w:noWrap w:val="0"/>
                  <w:tcMar>
                    <w:top w:w="0" w:type="dxa"/>
                    <w:left w:w="11" w:type="dxa"/>
                    <w:bottom w:w="0" w:type="dxa"/>
                    <w:right w:w="11" w:type="dxa"/>
                  </w:tcMar>
                  <w:vAlign w:val="center"/>
                </w:tcPr>
                <w:p w14:paraId="5065C557">
                  <w:pPr>
                    <w:snapToGrid w:val="0"/>
                    <w:jc w:val="center"/>
                    <w:rPr>
                      <w:rFonts w:hint="default" w:ascii="Times New Roman" w:hAnsi="Times New Roman" w:eastAsia="宋体" w:cs="Times New Roman"/>
                      <w:color w:val="auto"/>
                      <w:spacing w:val="2"/>
                      <w:kern w:val="2"/>
                      <w:sz w:val="21"/>
                      <w:szCs w:val="21"/>
                      <w:lang w:val="en-US" w:eastAsia="zh-CN" w:bidi="ar-SA"/>
                    </w:rPr>
                  </w:pPr>
                  <w:r>
                    <w:rPr>
                      <w:rFonts w:hint="eastAsia" w:cs="Times New Roman"/>
                      <w:color w:val="auto"/>
                      <w:sz w:val="21"/>
                      <w:szCs w:val="21"/>
                      <w:lang w:val="en-US" w:eastAsia="zh-CN"/>
                    </w:rPr>
                    <w:t>SW17</w:t>
                  </w:r>
                </w:p>
              </w:tc>
              <w:tc>
                <w:tcPr>
                  <w:tcW w:w="1147" w:type="dxa"/>
                  <w:noWrap w:val="0"/>
                  <w:tcMar>
                    <w:top w:w="0" w:type="dxa"/>
                    <w:left w:w="11" w:type="dxa"/>
                    <w:bottom w:w="0" w:type="dxa"/>
                    <w:right w:w="11" w:type="dxa"/>
                  </w:tcMar>
                  <w:vAlign w:val="center"/>
                </w:tcPr>
                <w:p w14:paraId="628C66A8">
                  <w:pPr>
                    <w:snapToGrid w:val="0"/>
                    <w:jc w:val="center"/>
                    <w:rPr>
                      <w:rFonts w:hint="default" w:ascii="Times New Roman" w:hAnsi="Times New Roman" w:eastAsia="宋体" w:cs="Times New Roman"/>
                      <w:color w:val="auto"/>
                      <w:spacing w:val="2"/>
                      <w:kern w:val="2"/>
                      <w:sz w:val="21"/>
                      <w:szCs w:val="21"/>
                      <w:lang w:val="en-US" w:eastAsia="zh-CN" w:bidi="ar-SA"/>
                    </w:rPr>
                  </w:pPr>
                  <w:r>
                    <w:rPr>
                      <w:rFonts w:hint="eastAsia" w:cs="Times New Roman"/>
                      <w:color w:val="auto"/>
                      <w:sz w:val="21"/>
                      <w:szCs w:val="21"/>
                      <w:lang w:val="en-US" w:eastAsia="zh-CN"/>
                    </w:rPr>
                    <w:t>900-002-S17</w:t>
                  </w:r>
                </w:p>
              </w:tc>
              <w:tc>
                <w:tcPr>
                  <w:tcW w:w="451" w:type="dxa"/>
                  <w:noWrap w:val="0"/>
                  <w:tcMar>
                    <w:top w:w="0" w:type="dxa"/>
                    <w:left w:w="11" w:type="dxa"/>
                    <w:bottom w:w="0" w:type="dxa"/>
                    <w:right w:w="11" w:type="dxa"/>
                  </w:tcMar>
                  <w:vAlign w:val="center"/>
                </w:tcPr>
                <w:p w14:paraId="24F555B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547" w:type="dxa"/>
                  <w:noWrap w:val="0"/>
                  <w:tcMar>
                    <w:top w:w="0" w:type="dxa"/>
                    <w:left w:w="11" w:type="dxa"/>
                    <w:bottom w:w="0" w:type="dxa"/>
                    <w:right w:w="11" w:type="dxa"/>
                  </w:tcMar>
                  <w:vAlign w:val="center"/>
                </w:tcPr>
                <w:p w14:paraId="16E44E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35" w:type="dxa"/>
                  <w:noWrap w:val="0"/>
                  <w:tcMar>
                    <w:top w:w="0" w:type="dxa"/>
                    <w:left w:w="11" w:type="dxa"/>
                    <w:bottom w:w="0" w:type="dxa"/>
                    <w:right w:w="11" w:type="dxa"/>
                  </w:tcMar>
                  <w:vAlign w:val="center"/>
                </w:tcPr>
                <w:p w14:paraId="4D357E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41" w:type="dxa"/>
                  <w:vMerge w:val="continue"/>
                  <w:noWrap w:val="0"/>
                  <w:tcMar>
                    <w:top w:w="0" w:type="dxa"/>
                    <w:left w:w="11" w:type="dxa"/>
                    <w:bottom w:w="0" w:type="dxa"/>
                    <w:right w:w="11" w:type="dxa"/>
                  </w:tcMar>
                  <w:vAlign w:val="center"/>
                </w:tcPr>
                <w:p w14:paraId="6089AED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086" w:type="dxa"/>
                  <w:noWrap w:val="0"/>
                  <w:tcMar>
                    <w:top w:w="0" w:type="dxa"/>
                    <w:left w:w="11" w:type="dxa"/>
                    <w:bottom w:w="0" w:type="dxa"/>
                    <w:right w:w="11" w:type="dxa"/>
                  </w:tcMar>
                  <w:vAlign w:val="center"/>
                </w:tcPr>
                <w:p w14:paraId="21057AB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铝</w:t>
                  </w:r>
                </w:p>
              </w:tc>
              <w:tc>
                <w:tcPr>
                  <w:tcW w:w="584" w:type="dxa"/>
                  <w:noWrap w:val="0"/>
                  <w:tcMar>
                    <w:top w:w="0" w:type="dxa"/>
                    <w:left w:w="11" w:type="dxa"/>
                    <w:bottom w:w="0" w:type="dxa"/>
                    <w:right w:w="11" w:type="dxa"/>
                  </w:tcMar>
                  <w:vAlign w:val="center"/>
                </w:tcPr>
                <w:p w14:paraId="3C4B278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756" w:type="dxa"/>
                  <w:noWrap w:val="0"/>
                  <w:tcMar>
                    <w:top w:w="0" w:type="dxa"/>
                    <w:left w:w="11" w:type="dxa"/>
                    <w:bottom w:w="0" w:type="dxa"/>
                    <w:right w:w="11" w:type="dxa"/>
                  </w:tcMar>
                  <w:vAlign w:val="center"/>
                </w:tcPr>
                <w:p w14:paraId="2EF08B3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20.8</w:t>
                  </w:r>
                </w:p>
              </w:tc>
              <w:tc>
                <w:tcPr>
                  <w:tcW w:w="866" w:type="dxa"/>
                  <w:noWrap w:val="0"/>
                  <w:tcMar>
                    <w:top w:w="0" w:type="dxa"/>
                    <w:left w:w="11" w:type="dxa"/>
                    <w:bottom w:w="0" w:type="dxa"/>
                    <w:right w:w="11" w:type="dxa"/>
                  </w:tcMar>
                  <w:vAlign w:val="center"/>
                </w:tcPr>
                <w:p w14:paraId="3AF631D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袋装</w:t>
                  </w:r>
                </w:p>
              </w:tc>
              <w:tc>
                <w:tcPr>
                  <w:tcW w:w="792" w:type="dxa"/>
                  <w:noWrap w:val="0"/>
                  <w:tcMar>
                    <w:top w:w="0" w:type="dxa"/>
                    <w:left w:w="11" w:type="dxa"/>
                    <w:bottom w:w="0" w:type="dxa"/>
                    <w:right w:w="11" w:type="dxa"/>
                  </w:tcMar>
                  <w:vAlign w:val="center"/>
                </w:tcPr>
                <w:p w14:paraId="618CBD7C">
                  <w:pPr>
                    <w:pStyle w:val="28"/>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利用</w:t>
                  </w:r>
                </w:p>
              </w:tc>
              <w:tc>
                <w:tcPr>
                  <w:tcW w:w="597" w:type="dxa"/>
                  <w:vMerge w:val="restart"/>
                  <w:noWrap w:val="0"/>
                  <w:tcMar>
                    <w:top w:w="0" w:type="dxa"/>
                    <w:left w:w="11" w:type="dxa"/>
                    <w:bottom w:w="0" w:type="dxa"/>
                    <w:right w:w="11" w:type="dxa"/>
                  </w:tcMar>
                  <w:vAlign w:val="center"/>
                </w:tcPr>
                <w:p w14:paraId="658E0DE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外售</w:t>
                  </w:r>
                </w:p>
              </w:tc>
              <w:tc>
                <w:tcPr>
                  <w:tcW w:w="789" w:type="dxa"/>
                  <w:noWrap w:val="0"/>
                  <w:tcMar>
                    <w:top w:w="0" w:type="dxa"/>
                    <w:left w:w="11" w:type="dxa"/>
                    <w:bottom w:w="0" w:type="dxa"/>
                    <w:right w:w="11" w:type="dxa"/>
                  </w:tcMar>
                  <w:vAlign w:val="center"/>
                </w:tcPr>
                <w:p w14:paraId="516C415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darkGreen"/>
                      <w:lang w:val="en-US" w:eastAsia="zh-CN"/>
                    </w:rPr>
                  </w:pPr>
                  <w:r>
                    <w:rPr>
                      <w:rFonts w:hint="eastAsia" w:cs="Times New Roman"/>
                      <w:color w:val="auto"/>
                      <w:sz w:val="21"/>
                      <w:szCs w:val="21"/>
                      <w:lang w:val="en-US" w:eastAsia="zh-CN"/>
                    </w:rPr>
                    <w:t>20.8</w:t>
                  </w:r>
                </w:p>
              </w:tc>
            </w:tr>
            <w:tr w14:paraId="5FC7E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dxa"/>
                  <w:noWrap w:val="0"/>
                  <w:tcMar>
                    <w:top w:w="0" w:type="dxa"/>
                    <w:left w:w="11" w:type="dxa"/>
                    <w:bottom w:w="0" w:type="dxa"/>
                    <w:right w:w="11" w:type="dxa"/>
                  </w:tcMar>
                  <w:vAlign w:val="center"/>
                </w:tcPr>
                <w:p w14:paraId="45690E6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1217" w:type="dxa"/>
                  <w:noWrap w:val="0"/>
                  <w:tcMar>
                    <w:top w:w="0" w:type="dxa"/>
                    <w:left w:w="11" w:type="dxa"/>
                    <w:bottom w:w="0" w:type="dxa"/>
                    <w:right w:w="11" w:type="dxa"/>
                  </w:tcMar>
                  <w:vAlign w:val="center"/>
                </w:tcPr>
                <w:p w14:paraId="7E1FFC39">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次品</w:t>
                  </w:r>
                </w:p>
              </w:tc>
              <w:tc>
                <w:tcPr>
                  <w:tcW w:w="938" w:type="dxa"/>
                  <w:noWrap w:val="0"/>
                  <w:tcMar>
                    <w:top w:w="0" w:type="dxa"/>
                    <w:left w:w="11" w:type="dxa"/>
                    <w:bottom w:w="0" w:type="dxa"/>
                    <w:right w:w="11" w:type="dxa"/>
                  </w:tcMar>
                  <w:vAlign w:val="center"/>
                </w:tcPr>
                <w:p w14:paraId="76930415">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检验</w:t>
                  </w:r>
                </w:p>
              </w:tc>
              <w:tc>
                <w:tcPr>
                  <w:tcW w:w="489" w:type="dxa"/>
                  <w:noWrap w:val="0"/>
                  <w:tcMar>
                    <w:top w:w="0" w:type="dxa"/>
                    <w:left w:w="11" w:type="dxa"/>
                    <w:bottom w:w="0" w:type="dxa"/>
                    <w:right w:w="11" w:type="dxa"/>
                  </w:tcMar>
                  <w:vAlign w:val="center"/>
                </w:tcPr>
                <w:p w14:paraId="768EEDB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462" w:type="dxa"/>
                  <w:noWrap w:val="0"/>
                  <w:tcMar>
                    <w:top w:w="0" w:type="dxa"/>
                    <w:left w:w="11" w:type="dxa"/>
                    <w:bottom w:w="0" w:type="dxa"/>
                    <w:right w:w="11" w:type="dxa"/>
                  </w:tcMar>
                  <w:vAlign w:val="center"/>
                </w:tcPr>
                <w:p w14:paraId="77835C0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640" w:type="dxa"/>
                  <w:noWrap w:val="0"/>
                  <w:tcMar>
                    <w:top w:w="0" w:type="dxa"/>
                    <w:left w:w="11" w:type="dxa"/>
                    <w:bottom w:w="0" w:type="dxa"/>
                    <w:right w:w="11" w:type="dxa"/>
                  </w:tcMar>
                  <w:vAlign w:val="center"/>
                </w:tcPr>
                <w:p w14:paraId="0191F496">
                  <w:pPr>
                    <w:snapToGrid w:val="0"/>
                    <w:jc w:val="center"/>
                    <w:rPr>
                      <w:rFonts w:hint="default" w:ascii="Times New Roman" w:hAnsi="Times New Roman" w:eastAsia="宋体" w:cs="Times New Roman"/>
                      <w:color w:val="auto"/>
                      <w:spacing w:val="2"/>
                      <w:kern w:val="2"/>
                      <w:sz w:val="21"/>
                      <w:szCs w:val="21"/>
                      <w:lang w:val="en-US" w:eastAsia="zh-CN" w:bidi="ar-SA"/>
                    </w:rPr>
                  </w:pPr>
                  <w:r>
                    <w:rPr>
                      <w:rFonts w:hint="eastAsia" w:cs="Times New Roman"/>
                      <w:color w:val="auto"/>
                      <w:sz w:val="21"/>
                      <w:szCs w:val="21"/>
                      <w:lang w:val="en-US" w:eastAsia="zh-CN"/>
                    </w:rPr>
                    <w:t>SW17</w:t>
                  </w:r>
                </w:p>
              </w:tc>
              <w:tc>
                <w:tcPr>
                  <w:tcW w:w="1147" w:type="dxa"/>
                  <w:noWrap w:val="0"/>
                  <w:tcMar>
                    <w:top w:w="0" w:type="dxa"/>
                    <w:left w:w="11" w:type="dxa"/>
                    <w:bottom w:w="0" w:type="dxa"/>
                    <w:right w:w="11" w:type="dxa"/>
                  </w:tcMar>
                  <w:vAlign w:val="center"/>
                </w:tcPr>
                <w:p w14:paraId="263FC5B3">
                  <w:pPr>
                    <w:snapToGrid w:val="0"/>
                    <w:jc w:val="center"/>
                    <w:rPr>
                      <w:rFonts w:hint="default" w:ascii="Times New Roman" w:hAnsi="Times New Roman" w:eastAsia="宋体" w:cs="Times New Roman"/>
                      <w:color w:val="auto"/>
                      <w:spacing w:val="2"/>
                      <w:kern w:val="2"/>
                      <w:sz w:val="21"/>
                      <w:szCs w:val="21"/>
                      <w:lang w:val="en-US" w:eastAsia="zh-CN" w:bidi="ar-SA"/>
                    </w:rPr>
                  </w:pPr>
                  <w:r>
                    <w:rPr>
                      <w:rFonts w:hint="eastAsia" w:cs="Times New Roman"/>
                      <w:color w:val="auto"/>
                      <w:sz w:val="21"/>
                      <w:szCs w:val="21"/>
                      <w:lang w:val="en-US" w:eastAsia="zh-CN"/>
                    </w:rPr>
                    <w:t>900-002-S17</w:t>
                  </w:r>
                </w:p>
              </w:tc>
              <w:tc>
                <w:tcPr>
                  <w:tcW w:w="451" w:type="dxa"/>
                  <w:noWrap w:val="0"/>
                  <w:tcMar>
                    <w:top w:w="0" w:type="dxa"/>
                    <w:left w:w="11" w:type="dxa"/>
                    <w:bottom w:w="0" w:type="dxa"/>
                    <w:right w:w="11" w:type="dxa"/>
                  </w:tcMar>
                  <w:vAlign w:val="center"/>
                </w:tcPr>
                <w:p w14:paraId="72A7662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547" w:type="dxa"/>
                  <w:noWrap w:val="0"/>
                  <w:tcMar>
                    <w:top w:w="0" w:type="dxa"/>
                    <w:left w:w="11" w:type="dxa"/>
                    <w:bottom w:w="0" w:type="dxa"/>
                    <w:right w:w="11" w:type="dxa"/>
                  </w:tcMar>
                  <w:vAlign w:val="center"/>
                </w:tcPr>
                <w:p w14:paraId="01AD06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435" w:type="dxa"/>
                  <w:noWrap w:val="0"/>
                  <w:tcMar>
                    <w:top w:w="0" w:type="dxa"/>
                    <w:left w:w="11" w:type="dxa"/>
                    <w:bottom w:w="0" w:type="dxa"/>
                    <w:right w:w="11" w:type="dxa"/>
                  </w:tcMar>
                  <w:vAlign w:val="center"/>
                </w:tcPr>
                <w:p w14:paraId="4CFBAA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41" w:type="dxa"/>
                  <w:vMerge w:val="continue"/>
                  <w:noWrap w:val="0"/>
                  <w:tcMar>
                    <w:top w:w="0" w:type="dxa"/>
                    <w:left w:w="11" w:type="dxa"/>
                    <w:bottom w:w="0" w:type="dxa"/>
                    <w:right w:w="11" w:type="dxa"/>
                  </w:tcMar>
                  <w:vAlign w:val="center"/>
                </w:tcPr>
                <w:p w14:paraId="1580C63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086" w:type="dxa"/>
                  <w:noWrap w:val="0"/>
                  <w:tcMar>
                    <w:top w:w="0" w:type="dxa"/>
                    <w:left w:w="11" w:type="dxa"/>
                    <w:bottom w:w="0" w:type="dxa"/>
                    <w:right w:w="11" w:type="dxa"/>
                  </w:tcMar>
                  <w:vAlign w:val="center"/>
                </w:tcPr>
                <w:p w14:paraId="6B5FC38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铝</w:t>
                  </w:r>
                </w:p>
              </w:tc>
              <w:tc>
                <w:tcPr>
                  <w:tcW w:w="584" w:type="dxa"/>
                  <w:noWrap w:val="0"/>
                  <w:tcMar>
                    <w:top w:w="0" w:type="dxa"/>
                    <w:left w:w="11" w:type="dxa"/>
                    <w:bottom w:w="0" w:type="dxa"/>
                    <w:right w:w="11" w:type="dxa"/>
                  </w:tcMar>
                  <w:vAlign w:val="center"/>
                </w:tcPr>
                <w:p w14:paraId="5C4CCD6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756" w:type="dxa"/>
                  <w:noWrap w:val="0"/>
                  <w:tcMar>
                    <w:top w:w="0" w:type="dxa"/>
                    <w:left w:w="11" w:type="dxa"/>
                    <w:bottom w:w="0" w:type="dxa"/>
                    <w:right w:w="11" w:type="dxa"/>
                  </w:tcMar>
                  <w:vAlign w:val="center"/>
                </w:tcPr>
                <w:p w14:paraId="66DA116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10.4</w:t>
                  </w:r>
                </w:p>
              </w:tc>
              <w:tc>
                <w:tcPr>
                  <w:tcW w:w="866" w:type="dxa"/>
                  <w:noWrap w:val="0"/>
                  <w:tcMar>
                    <w:top w:w="0" w:type="dxa"/>
                    <w:left w:w="11" w:type="dxa"/>
                    <w:bottom w:w="0" w:type="dxa"/>
                    <w:right w:w="11" w:type="dxa"/>
                  </w:tcMar>
                  <w:vAlign w:val="center"/>
                </w:tcPr>
                <w:p w14:paraId="3D71D8B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袋装</w:t>
                  </w:r>
                </w:p>
              </w:tc>
              <w:tc>
                <w:tcPr>
                  <w:tcW w:w="792" w:type="dxa"/>
                  <w:noWrap w:val="0"/>
                  <w:tcMar>
                    <w:top w:w="0" w:type="dxa"/>
                    <w:left w:w="11" w:type="dxa"/>
                    <w:bottom w:w="0" w:type="dxa"/>
                    <w:right w:w="11" w:type="dxa"/>
                  </w:tcMar>
                  <w:vAlign w:val="center"/>
                </w:tcPr>
                <w:p w14:paraId="1B09E957">
                  <w:pPr>
                    <w:pStyle w:val="28"/>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利用</w:t>
                  </w:r>
                </w:p>
              </w:tc>
              <w:tc>
                <w:tcPr>
                  <w:tcW w:w="597" w:type="dxa"/>
                  <w:vMerge w:val="continue"/>
                  <w:noWrap w:val="0"/>
                  <w:tcMar>
                    <w:top w:w="0" w:type="dxa"/>
                    <w:left w:w="11" w:type="dxa"/>
                    <w:bottom w:w="0" w:type="dxa"/>
                    <w:right w:w="11" w:type="dxa"/>
                  </w:tcMar>
                  <w:vAlign w:val="center"/>
                </w:tcPr>
                <w:p w14:paraId="301EA87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89" w:type="dxa"/>
                  <w:noWrap w:val="0"/>
                  <w:tcMar>
                    <w:top w:w="0" w:type="dxa"/>
                    <w:left w:w="11" w:type="dxa"/>
                    <w:bottom w:w="0" w:type="dxa"/>
                    <w:right w:w="11" w:type="dxa"/>
                  </w:tcMar>
                  <w:vAlign w:val="center"/>
                </w:tcPr>
                <w:p w14:paraId="2316406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darkGreen"/>
                      <w:lang w:val="en-US" w:eastAsia="zh-CN"/>
                    </w:rPr>
                  </w:pPr>
                  <w:r>
                    <w:rPr>
                      <w:rFonts w:hint="eastAsia" w:cs="Times New Roman"/>
                      <w:color w:val="auto"/>
                      <w:sz w:val="21"/>
                      <w:szCs w:val="21"/>
                      <w:lang w:val="en-US" w:eastAsia="zh-CN"/>
                    </w:rPr>
                    <w:t>10.4</w:t>
                  </w:r>
                </w:p>
              </w:tc>
            </w:tr>
            <w:tr w14:paraId="5FE20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dxa"/>
                  <w:noWrap w:val="0"/>
                  <w:tcMar>
                    <w:top w:w="0" w:type="dxa"/>
                    <w:left w:w="11" w:type="dxa"/>
                    <w:bottom w:w="0" w:type="dxa"/>
                    <w:right w:w="11" w:type="dxa"/>
                  </w:tcMar>
                  <w:vAlign w:val="center"/>
                </w:tcPr>
                <w:p w14:paraId="13FF193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4</w:t>
                  </w:r>
                </w:p>
              </w:tc>
              <w:tc>
                <w:tcPr>
                  <w:tcW w:w="1217" w:type="dxa"/>
                  <w:noWrap w:val="0"/>
                  <w:tcMar>
                    <w:top w:w="0" w:type="dxa"/>
                    <w:left w:w="11" w:type="dxa"/>
                    <w:bottom w:w="0" w:type="dxa"/>
                    <w:right w:w="11" w:type="dxa"/>
                  </w:tcMar>
                  <w:vAlign w:val="center"/>
                </w:tcPr>
                <w:p w14:paraId="69FF592B">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污泥</w:t>
                  </w:r>
                </w:p>
              </w:tc>
              <w:tc>
                <w:tcPr>
                  <w:tcW w:w="938" w:type="dxa"/>
                  <w:noWrap w:val="0"/>
                  <w:tcMar>
                    <w:top w:w="0" w:type="dxa"/>
                    <w:left w:w="11" w:type="dxa"/>
                    <w:bottom w:w="0" w:type="dxa"/>
                    <w:right w:w="11" w:type="dxa"/>
                  </w:tcMar>
                  <w:vAlign w:val="center"/>
                </w:tcPr>
                <w:p w14:paraId="50986983">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污水站</w:t>
                  </w:r>
                </w:p>
              </w:tc>
              <w:tc>
                <w:tcPr>
                  <w:tcW w:w="489" w:type="dxa"/>
                  <w:noWrap w:val="0"/>
                  <w:tcMar>
                    <w:top w:w="0" w:type="dxa"/>
                    <w:left w:w="11" w:type="dxa"/>
                    <w:bottom w:w="0" w:type="dxa"/>
                    <w:right w:w="11" w:type="dxa"/>
                  </w:tcMar>
                  <w:vAlign w:val="center"/>
                </w:tcPr>
                <w:p w14:paraId="6D0B89B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62" w:type="dxa"/>
                  <w:noWrap w:val="0"/>
                  <w:tcMar>
                    <w:top w:w="0" w:type="dxa"/>
                    <w:left w:w="11" w:type="dxa"/>
                    <w:bottom w:w="0" w:type="dxa"/>
                    <w:right w:w="11" w:type="dxa"/>
                  </w:tcMar>
                  <w:vAlign w:val="center"/>
                </w:tcPr>
                <w:p w14:paraId="07D8CBC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40" w:type="dxa"/>
                  <w:noWrap w:val="0"/>
                  <w:tcMar>
                    <w:top w:w="0" w:type="dxa"/>
                    <w:left w:w="11" w:type="dxa"/>
                    <w:bottom w:w="0" w:type="dxa"/>
                    <w:right w:w="11" w:type="dxa"/>
                  </w:tcMar>
                  <w:vAlign w:val="center"/>
                </w:tcPr>
                <w:p w14:paraId="59AB2E60">
                  <w:pPr>
                    <w:snapToGrid w:val="0"/>
                    <w:jc w:val="center"/>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HW08</w:t>
                  </w:r>
                </w:p>
              </w:tc>
              <w:tc>
                <w:tcPr>
                  <w:tcW w:w="1147" w:type="dxa"/>
                  <w:noWrap w:val="0"/>
                  <w:tcMar>
                    <w:top w:w="0" w:type="dxa"/>
                    <w:left w:w="11" w:type="dxa"/>
                    <w:bottom w:w="0" w:type="dxa"/>
                    <w:right w:w="11" w:type="dxa"/>
                  </w:tcMar>
                  <w:vAlign w:val="center"/>
                </w:tcPr>
                <w:p w14:paraId="0DE8B1EA">
                  <w:pPr>
                    <w:snapToGrid w:val="0"/>
                    <w:jc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900-210-08</w:t>
                  </w:r>
                </w:p>
              </w:tc>
              <w:tc>
                <w:tcPr>
                  <w:tcW w:w="451" w:type="dxa"/>
                  <w:noWrap w:val="0"/>
                  <w:tcMar>
                    <w:top w:w="0" w:type="dxa"/>
                    <w:left w:w="11" w:type="dxa"/>
                    <w:bottom w:w="0" w:type="dxa"/>
                    <w:right w:w="11" w:type="dxa"/>
                  </w:tcMar>
                  <w:vAlign w:val="center"/>
                </w:tcPr>
                <w:p w14:paraId="6A4CCCA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w:t>
                  </w:r>
                  <w:r>
                    <w:rPr>
                      <w:rFonts w:hint="eastAsia" w:cs="Times New Roman"/>
                      <w:color w:val="auto"/>
                      <w:sz w:val="21"/>
                      <w:szCs w:val="21"/>
                      <w:shd w:val="clear" w:fill="auto"/>
                      <w:lang w:val="en-US" w:eastAsia="zh-CN"/>
                    </w:rPr>
                    <w:t>，</w:t>
                  </w:r>
                  <w:r>
                    <w:rPr>
                      <w:rFonts w:hint="default" w:ascii="Times New Roman" w:hAnsi="Times New Roman" w:eastAsia="宋体" w:cs="Times New Roman"/>
                      <w:color w:val="auto"/>
                      <w:sz w:val="21"/>
                      <w:szCs w:val="21"/>
                      <w:lang w:val="en-US" w:eastAsia="zh-CN"/>
                    </w:rPr>
                    <w:t>I</w:t>
                  </w:r>
                </w:p>
              </w:tc>
              <w:tc>
                <w:tcPr>
                  <w:tcW w:w="547" w:type="dxa"/>
                  <w:noWrap w:val="0"/>
                  <w:tcMar>
                    <w:top w:w="0" w:type="dxa"/>
                    <w:left w:w="11" w:type="dxa"/>
                    <w:bottom w:w="0" w:type="dxa"/>
                    <w:right w:w="11" w:type="dxa"/>
                  </w:tcMar>
                  <w:vAlign w:val="center"/>
                </w:tcPr>
                <w:p w14:paraId="422CD7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35" w:type="dxa"/>
                  <w:noWrap w:val="0"/>
                  <w:tcMar>
                    <w:top w:w="0" w:type="dxa"/>
                    <w:left w:w="11" w:type="dxa"/>
                    <w:bottom w:w="0" w:type="dxa"/>
                    <w:right w:w="11" w:type="dxa"/>
                  </w:tcMar>
                  <w:vAlign w:val="center"/>
                </w:tcPr>
                <w:p w14:paraId="50E74F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41" w:type="dxa"/>
                  <w:vMerge w:val="continue"/>
                  <w:noWrap w:val="0"/>
                  <w:tcMar>
                    <w:top w:w="0" w:type="dxa"/>
                    <w:left w:w="11" w:type="dxa"/>
                    <w:bottom w:w="0" w:type="dxa"/>
                    <w:right w:w="11" w:type="dxa"/>
                  </w:tcMar>
                  <w:vAlign w:val="center"/>
                </w:tcPr>
                <w:p w14:paraId="5F011AF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086" w:type="dxa"/>
                  <w:noWrap w:val="0"/>
                  <w:tcMar>
                    <w:top w:w="0" w:type="dxa"/>
                    <w:left w:w="11" w:type="dxa"/>
                    <w:bottom w:w="0" w:type="dxa"/>
                    <w:right w:w="11" w:type="dxa"/>
                  </w:tcMar>
                  <w:vAlign w:val="center"/>
                </w:tcPr>
                <w:p w14:paraId="4F693D5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水等</w:t>
                  </w:r>
                </w:p>
              </w:tc>
              <w:tc>
                <w:tcPr>
                  <w:tcW w:w="584" w:type="dxa"/>
                  <w:noWrap w:val="0"/>
                  <w:tcMar>
                    <w:top w:w="0" w:type="dxa"/>
                    <w:left w:w="11" w:type="dxa"/>
                    <w:bottom w:w="0" w:type="dxa"/>
                    <w:right w:w="11" w:type="dxa"/>
                  </w:tcMar>
                  <w:vAlign w:val="center"/>
                </w:tcPr>
                <w:p w14:paraId="30653D3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756" w:type="dxa"/>
                  <w:noWrap w:val="0"/>
                  <w:tcMar>
                    <w:top w:w="0" w:type="dxa"/>
                    <w:left w:w="11" w:type="dxa"/>
                    <w:bottom w:w="0" w:type="dxa"/>
                    <w:right w:w="11" w:type="dxa"/>
                  </w:tcMar>
                  <w:vAlign w:val="center"/>
                </w:tcPr>
                <w:p w14:paraId="23062C7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1.24</w:t>
                  </w:r>
                </w:p>
              </w:tc>
              <w:tc>
                <w:tcPr>
                  <w:tcW w:w="866" w:type="dxa"/>
                  <w:noWrap w:val="0"/>
                  <w:tcMar>
                    <w:top w:w="0" w:type="dxa"/>
                    <w:left w:w="11" w:type="dxa"/>
                    <w:bottom w:w="0" w:type="dxa"/>
                    <w:right w:w="11" w:type="dxa"/>
                  </w:tcMar>
                  <w:vAlign w:val="center"/>
                </w:tcPr>
                <w:p w14:paraId="4A9242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桶装</w:t>
                  </w:r>
                </w:p>
              </w:tc>
              <w:tc>
                <w:tcPr>
                  <w:tcW w:w="792" w:type="dxa"/>
                  <w:noWrap w:val="0"/>
                  <w:tcMar>
                    <w:top w:w="0" w:type="dxa"/>
                    <w:left w:w="11" w:type="dxa"/>
                    <w:bottom w:w="0" w:type="dxa"/>
                    <w:right w:w="11" w:type="dxa"/>
                  </w:tcMar>
                  <w:vAlign w:val="center"/>
                </w:tcPr>
                <w:p w14:paraId="10510044">
                  <w:pPr>
                    <w:pStyle w:val="28"/>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委外</w:t>
                  </w:r>
                </w:p>
              </w:tc>
              <w:tc>
                <w:tcPr>
                  <w:tcW w:w="597" w:type="dxa"/>
                  <w:vMerge w:val="restart"/>
                  <w:noWrap w:val="0"/>
                  <w:tcMar>
                    <w:top w:w="0" w:type="dxa"/>
                    <w:left w:w="11" w:type="dxa"/>
                    <w:bottom w:w="0" w:type="dxa"/>
                    <w:right w:w="11" w:type="dxa"/>
                  </w:tcMar>
                  <w:vAlign w:val="center"/>
                </w:tcPr>
                <w:p w14:paraId="64F587D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委托有资质单位处置</w:t>
                  </w:r>
                </w:p>
              </w:tc>
              <w:tc>
                <w:tcPr>
                  <w:tcW w:w="789" w:type="dxa"/>
                  <w:noWrap w:val="0"/>
                  <w:tcMar>
                    <w:top w:w="0" w:type="dxa"/>
                    <w:left w:w="11" w:type="dxa"/>
                    <w:bottom w:w="0" w:type="dxa"/>
                    <w:right w:w="11" w:type="dxa"/>
                  </w:tcMar>
                  <w:vAlign w:val="center"/>
                </w:tcPr>
                <w:p w14:paraId="637F664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1.24</w:t>
                  </w:r>
                </w:p>
              </w:tc>
            </w:tr>
            <w:tr w14:paraId="067C1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dxa"/>
                  <w:noWrap w:val="0"/>
                  <w:tcMar>
                    <w:top w:w="0" w:type="dxa"/>
                    <w:left w:w="11" w:type="dxa"/>
                    <w:bottom w:w="0" w:type="dxa"/>
                    <w:right w:w="11" w:type="dxa"/>
                  </w:tcMar>
                  <w:vAlign w:val="center"/>
                </w:tcPr>
                <w:p w14:paraId="1378258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217" w:type="dxa"/>
                  <w:noWrap w:val="0"/>
                  <w:tcMar>
                    <w:top w:w="0" w:type="dxa"/>
                    <w:left w:w="11" w:type="dxa"/>
                    <w:bottom w:w="0" w:type="dxa"/>
                    <w:right w:w="11" w:type="dxa"/>
                  </w:tcMar>
                  <w:vAlign w:val="center"/>
                </w:tcPr>
                <w:p w14:paraId="71DD7CDB">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color w:val="auto"/>
                      <w:sz w:val="21"/>
                      <w:szCs w:val="21"/>
                      <w:lang w:val="en-US" w:eastAsia="zh-CN"/>
                    </w:rPr>
                    <w:t>废过滤介质</w:t>
                  </w:r>
                </w:p>
              </w:tc>
              <w:tc>
                <w:tcPr>
                  <w:tcW w:w="938" w:type="dxa"/>
                  <w:noWrap w:val="0"/>
                  <w:tcMar>
                    <w:top w:w="0" w:type="dxa"/>
                    <w:left w:w="11" w:type="dxa"/>
                    <w:bottom w:w="0" w:type="dxa"/>
                    <w:right w:w="11" w:type="dxa"/>
                  </w:tcMar>
                  <w:vAlign w:val="center"/>
                </w:tcPr>
                <w:p w14:paraId="7B7D1C41">
                  <w:pPr>
                    <w:pStyle w:val="30"/>
                    <w:ind w:firstLine="0" w:firstLineChars="0"/>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val="0"/>
                      <w:color w:val="auto"/>
                      <w:kern w:val="0"/>
                      <w:sz w:val="21"/>
                      <w:szCs w:val="21"/>
                      <w:highlight w:val="none"/>
                      <w:lang w:val="en-US" w:eastAsia="zh-CN" w:bidi="ar-SA"/>
                    </w:rPr>
                    <w:t>污水处理</w:t>
                  </w:r>
                </w:p>
              </w:tc>
              <w:tc>
                <w:tcPr>
                  <w:tcW w:w="489" w:type="dxa"/>
                  <w:noWrap w:val="0"/>
                  <w:tcMar>
                    <w:top w:w="0" w:type="dxa"/>
                    <w:left w:w="11" w:type="dxa"/>
                    <w:bottom w:w="0" w:type="dxa"/>
                    <w:right w:w="11" w:type="dxa"/>
                  </w:tcMar>
                  <w:vAlign w:val="center"/>
                </w:tcPr>
                <w:p w14:paraId="4E6DD85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62" w:type="dxa"/>
                  <w:noWrap w:val="0"/>
                  <w:tcMar>
                    <w:top w:w="0" w:type="dxa"/>
                    <w:left w:w="11" w:type="dxa"/>
                    <w:bottom w:w="0" w:type="dxa"/>
                    <w:right w:w="11" w:type="dxa"/>
                  </w:tcMar>
                  <w:vAlign w:val="center"/>
                </w:tcPr>
                <w:p w14:paraId="496E43A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40" w:type="dxa"/>
                  <w:noWrap w:val="0"/>
                  <w:tcMar>
                    <w:top w:w="0" w:type="dxa"/>
                    <w:left w:w="11" w:type="dxa"/>
                    <w:bottom w:w="0" w:type="dxa"/>
                    <w:right w:w="11" w:type="dxa"/>
                  </w:tcMar>
                  <w:vAlign w:val="center"/>
                </w:tcPr>
                <w:p w14:paraId="59919039">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HW49</w:t>
                  </w:r>
                </w:p>
              </w:tc>
              <w:tc>
                <w:tcPr>
                  <w:tcW w:w="1147" w:type="dxa"/>
                  <w:noWrap w:val="0"/>
                  <w:tcMar>
                    <w:top w:w="0" w:type="dxa"/>
                    <w:left w:w="11" w:type="dxa"/>
                    <w:bottom w:w="0" w:type="dxa"/>
                    <w:right w:w="11" w:type="dxa"/>
                  </w:tcMar>
                  <w:vAlign w:val="center"/>
                </w:tcPr>
                <w:p w14:paraId="18813C76">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900-041-49</w:t>
                  </w:r>
                </w:p>
              </w:tc>
              <w:tc>
                <w:tcPr>
                  <w:tcW w:w="451" w:type="dxa"/>
                  <w:noWrap w:val="0"/>
                  <w:tcMar>
                    <w:top w:w="0" w:type="dxa"/>
                    <w:left w:w="11" w:type="dxa"/>
                    <w:bottom w:w="0" w:type="dxa"/>
                    <w:right w:w="11" w:type="dxa"/>
                  </w:tcMar>
                  <w:vAlign w:val="center"/>
                </w:tcPr>
                <w:p w14:paraId="679C791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T/In</w:t>
                  </w:r>
                </w:p>
              </w:tc>
              <w:tc>
                <w:tcPr>
                  <w:tcW w:w="547" w:type="dxa"/>
                  <w:noWrap w:val="0"/>
                  <w:tcMar>
                    <w:top w:w="0" w:type="dxa"/>
                    <w:left w:w="11" w:type="dxa"/>
                    <w:bottom w:w="0" w:type="dxa"/>
                    <w:right w:w="11" w:type="dxa"/>
                  </w:tcMar>
                  <w:vAlign w:val="center"/>
                </w:tcPr>
                <w:p w14:paraId="1FFA36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35" w:type="dxa"/>
                  <w:noWrap w:val="0"/>
                  <w:tcMar>
                    <w:top w:w="0" w:type="dxa"/>
                    <w:left w:w="11" w:type="dxa"/>
                    <w:bottom w:w="0" w:type="dxa"/>
                    <w:right w:w="11" w:type="dxa"/>
                  </w:tcMar>
                  <w:vAlign w:val="center"/>
                </w:tcPr>
                <w:p w14:paraId="454609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41" w:type="dxa"/>
                  <w:vMerge w:val="continue"/>
                  <w:noWrap w:val="0"/>
                  <w:tcMar>
                    <w:top w:w="0" w:type="dxa"/>
                    <w:left w:w="11" w:type="dxa"/>
                    <w:bottom w:w="0" w:type="dxa"/>
                    <w:right w:w="11" w:type="dxa"/>
                  </w:tcMar>
                  <w:vAlign w:val="center"/>
                </w:tcPr>
                <w:p w14:paraId="14E2E40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1086" w:type="dxa"/>
                  <w:noWrap w:val="0"/>
                  <w:tcMar>
                    <w:top w:w="0" w:type="dxa"/>
                    <w:left w:w="11" w:type="dxa"/>
                    <w:bottom w:w="0" w:type="dxa"/>
                    <w:right w:w="11" w:type="dxa"/>
                  </w:tcMar>
                  <w:vAlign w:val="center"/>
                </w:tcPr>
                <w:p w14:paraId="611E74B6">
                  <w:pPr>
                    <w:pStyle w:val="30"/>
                    <w:ind w:firstLine="0" w:firstLineChars="0"/>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b w:val="0"/>
                      <w:color w:val="auto"/>
                      <w:kern w:val="0"/>
                      <w:sz w:val="21"/>
                      <w:szCs w:val="21"/>
                      <w:highlight w:val="none"/>
                      <w:lang w:val="en-US" w:eastAsia="zh-CN" w:bidi="ar-SA"/>
                    </w:rPr>
                    <w:t>油、有机物、石英砂等</w:t>
                  </w:r>
                </w:p>
              </w:tc>
              <w:tc>
                <w:tcPr>
                  <w:tcW w:w="584" w:type="dxa"/>
                  <w:noWrap w:val="0"/>
                  <w:tcMar>
                    <w:top w:w="0" w:type="dxa"/>
                    <w:left w:w="11" w:type="dxa"/>
                    <w:bottom w:w="0" w:type="dxa"/>
                    <w:right w:w="11" w:type="dxa"/>
                  </w:tcMar>
                  <w:vAlign w:val="center"/>
                </w:tcPr>
                <w:p w14:paraId="10D95CBE">
                  <w:pPr>
                    <w:pStyle w:val="30"/>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756" w:type="dxa"/>
                  <w:noWrap w:val="0"/>
                  <w:tcMar>
                    <w:top w:w="0" w:type="dxa"/>
                    <w:left w:w="11" w:type="dxa"/>
                    <w:bottom w:w="0" w:type="dxa"/>
                    <w:right w:w="11" w:type="dxa"/>
                  </w:tcMar>
                  <w:vAlign w:val="center"/>
                </w:tcPr>
                <w:p w14:paraId="4C96F0C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0.41</w:t>
                  </w:r>
                </w:p>
              </w:tc>
              <w:tc>
                <w:tcPr>
                  <w:tcW w:w="866" w:type="dxa"/>
                  <w:noWrap w:val="0"/>
                  <w:tcMar>
                    <w:top w:w="0" w:type="dxa"/>
                    <w:left w:w="11" w:type="dxa"/>
                    <w:bottom w:w="0" w:type="dxa"/>
                    <w:right w:w="11" w:type="dxa"/>
                  </w:tcMar>
                  <w:vAlign w:val="center"/>
                </w:tcPr>
                <w:p w14:paraId="264CD0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桶装</w:t>
                  </w:r>
                </w:p>
              </w:tc>
              <w:tc>
                <w:tcPr>
                  <w:tcW w:w="792" w:type="dxa"/>
                  <w:noWrap w:val="0"/>
                  <w:tcMar>
                    <w:top w:w="0" w:type="dxa"/>
                    <w:left w:w="11" w:type="dxa"/>
                    <w:bottom w:w="0" w:type="dxa"/>
                    <w:right w:w="11" w:type="dxa"/>
                  </w:tcMar>
                  <w:vAlign w:val="center"/>
                </w:tcPr>
                <w:p w14:paraId="31AD9C1B">
                  <w:pPr>
                    <w:pStyle w:val="28"/>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委外</w:t>
                  </w:r>
                </w:p>
              </w:tc>
              <w:tc>
                <w:tcPr>
                  <w:tcW w:w="597" w:type="dxa"/>
                  <w:vMerge w:val="continue"/>
                  <w:noWrap w:val="0"/>
                  <w:tcMar>
                    <w:top w:w="0" w:type="dxa"/>
                    <w:left w:w="11" w:type="dxa"/>
                    <w:bottom w:w="0" w:type="dxa"/>
                    <w:right w:w="11" w:type="dxa"/>
                  </w:tcMar>
                  <w:vAlign w:val="center"/>
                </w:tcPr>
                <w:p w14:paraId="63F35C2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89" w:type="dxa"/>
                  <w:noWrap w:val="0"/>
                  <w:tcMar>
                    <w:top w:w="0" w:type="dxa"/>
                    <w:left w:w="11" w:type="dxa"/>
                    <w:bottom w:w="0" w:type="dxa"/>
                    <w:right w:w="11" w:type="dxa"/>
                  </w:tcMar>
                  <w:vAlign w:val="center"/>
                </w:tcPr>
                <w:p w14:paraId="6FB3A3F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0.41</w:t>
                  </w:r>
                </w:p>
              </w:tc>
            </w:tr>
            <w:tr w14:paraId="408E2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dxa"/>
                  <w:noWrap w:val="0"/>
                  <w:tcMar>
                    <w:top w:w="0" w:type="dxa"/>
                    <w:left w:w="11" w:type="dxa"/>
                    <w:bottom w:w="0" w:type="dxa"/>
                    <w:right w:w="11" w:type="dxa"/>
                  </w:tcMar>
                  <w:vAlign w:val="center"/>
                </w:tcPr>
                <w:p w14:paraId="6637F4D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6</w:t>
                  </w:r>
                </w:p>
              </w:tc>
              <w:tc>
                <w:tcPr>
                  <w:tcW w:w="1217" w:type="dxa"/>
                  <w:noWrap w:val="0"/>
                  <w:tcMar>
                    <w:top w:w="0" w:type="dxa"/>
                    <w:left w:w="11" w:type="dxa"/>
                    <w:bottom w:w="0" w:type="dxa"/>
                    <w:right w:w="11" w:type="dxa"/>
                  </w:tcMar>
                  <w:vAlign w:val="center"/>
                </w:tcPr>
                <w:p w14:paraId="72F7B9A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eastAsia" w:cs="Times New Roman"/>
                      <w:color w:val="auto"/>
                      <w:spacing w:val="2"/>
                      <w:kern w:val="2"/>
                      <w:sz w:val="21"/>
                      <w:szCs w:val="21"/>
                      <w:lang w:val="en-US" w:eastAsia="zh-CN" w:bidi="ar-SA"/>
                    </w:rPr>
                    <w:t>含切削液铝屑</w:t>
                  </w:r>
                </w:p>
              </w:tc>
              <w:tc>
                <w:tcPr>
                  <w:tcW w:w="938" w:type="dxa"/>
                  <w:noWrap w:val="0"/>
                  <w:tcMar>
                    <w:top w:w="0" w:type="dxa"/>
                    <w:left w:w="11" w:type="dxa"/>
                    <w:bottom w:w="0" w:type="dxa"/>
                    <w:right w:w="11" w:type="dxa"/>
                  </w:tcMar>
                  <w:vAlign w:val="center"/>
                </w:tcPr>
                <w:p w14:paraId="7BBA455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下料、机加工</w:t>
                  </w:r>
                </w:p>
              </w:tc>
              <w:tc>
                <w:tcPr>
                  <w:tcW w:w="489" w:type="dxa"/>
                  <w:noWrap w:val="0"/>
                  <w:tcMar>
                    <w:top w:w="0" w:type="dxa"/>
                    <w:left w:w="11" w:type="dxa"/>
                    <w:bottom w:w="0" w:type="dxa"/>
                    <w:right w:w="11" w:type="dxa"/>
                  </w:tcMar>
                  <w:vAlign w:val="center"/>
                </w:tcPr>
                <w:p w14:paraId="6EDCC7C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462" w:type="dxa"/>
                  <w:noWrap w:val="0"/>
                  <w:tcMar>
                    <w:top w:w="0" w:type="dxa"/>
                    <w:left w:w="11" w:type="dxa"/>
                    <w:bottom w:w="0" w:type="dxa"/>
                    <w:right w:w="11" w:type="dxa"/>
                  </w:tcMar>
                  <w:vAlign w:val="center"/>
                </w:tcPr>
                <w:p w14:paraId="273B746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w:t>
                  </w:r>
                </w:p>
              </w:tc>
              <w:tc>
                <w:tcPr>
                  <w:tcW w:w="640" w:type="dxa"/>
                  <w:noWrap w:val="0"/>
                  <w:tcMar>
                    <w:top w:w="0" w:type="dxa"/>
                    <w:left w:w="11" w:type="dxa"/>
                    <w:bottom w:w="0" w:type="dxa"/>
                    <w:right w:w="11" w:type="dxa"/>
                  </w:tcMar>
                  <w:vAlign w:val="center"/>
                </w:tcPr>
                <w:p w14:paraId="4A8A97D8">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w:t>
                  </w:r>
                  <w:r>
                    <w:rPr>
                      <w:rFonts w:hint="eastAsia" w:cs="Times New Roman"/>
                      <w:color w:val="auto"/>
                      <w:sz w:val="21"/>
                      <w:szCs w:val="21"/>
                      <w:lang w:val="en-US" w:eastAsia="zh-CN"/>
                    </w:rPr>
                    <w:t>08</w:t>
                  </w:r>
                </w:p>
              </w:tc>
              <w:tc>
                <w:tcPr>
                  <w:tcW w:w="1147" w:type="dxa"/>
                  <w:noWrap w:val="0"/>
                  <w:tcMar>
                    <w:top w:w="0" w:type="dxa"/>
                    <w:left w:w="11" w:type="dxa"/>
                    <w:bottom w:w="0" w:type="dxa"/>
                    <w:right w:w="11" w:type="dxa"/>
                  </w:tcMar>
                  <w:vAlign w:val="center"/>
                </w:tcPr>
                <w:p w14:paraId="0C2169CC">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color w:val="auto"/>
                      <w:spacing w:val="2"/>
                      <w:kern w:val="2"/>
                      <w:sz w:val="21"/>
                      <w:szCs w:val="21"/>
                      <w:lang w:val="en-US" w:eastAsia="zh-CN" w:bidi="ar-SA"/>
                    </w:rPr>
                    <w:t>900-</w:t>
                  </w:r>
                  <w:r>
                    <w:rPr>
                      <w:rFonts w:hint="eastAsia" w:cs="Times New Roman"/>
                      <w:color w:val="auto"/>
                      <w:spacing w:val="2"/>
                      <w:kern w:val="2"/>
                      <w:sz w:val="21"/>
                      <w:szCs w:val="21"/>
                      <w:lang w:val="en-US" w:eastAsia="zh-CN" w:bidi="ar-SA"/>
                    </w:rPr>
                    <w:t>200</w:t>
                  </w:r>
                  <w:r>
                    <w:rPr>
                      <w:rFonts w:hint="default" w:ascii="Times New Roman" w:hAnsi="Times New Roman" w:eastAsia="宋体" w:cs="Times New Roman"/>
                      <w:color w:val="auto"/>
                      <w:spacing w:val="2"/>
                      <w:kern w:val="2"/>
                      <w:sz w:val="21"/>
                      <w:szCs w:val="21"/>
                      <w:lang w:val="en-US" w:eastAsia="zh-CN" w:bidi="ar-SA"/>
                    </w:rPr>
                    <w:t>-</w:t>
                  </w:r>
                  <w:r>
                    <w:rPr>
                      <w:rFonts w:hint="eastAsia" w:cs="Times New Roman"/>
                      <w:color w:val="auto"/>
                      <w:spacing w:val="2"/>
                      <w:kern w:val="2"/>
                      <w:sz w:val="21"/>
                      <w:szCs w:val="21"/>
                      <w:lang w:val="en-US" w:eastAsia="zh-CN" w:bidi="ar-SA"/>
                    </w:rPr>
                    <w:t>08</w:t>
                  </w:r>
                </w:p>
              </w:tc>
              <w:tc>
                <w:tcPr>
                  <w:tcW w:w="451" w:type="dxa"/>
                  <w:noWrap w:val="0"/>
                  <w:tcMar>
                    <w:top w:w="0" w:type="dxa"/>
                    <w:left w:w="11" w:type="dxa"/>
                    <w:bottom w:w="0" w:type="dxa"/>
                    <w:right w:w="11" w:type="dxa"/>
                  </w:tcMar>
                  <w:vAlign w:val="center"/>
                </w:tcPr>
                <w:p w14:paraId="7E81E81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T</w:t>
                  </w:r>
                  <w:r>
                    <w:rPr>
                      <w:rFonts w:hint="eastAsia" w:cs="Times New Roman"/>
                      <w:color w:val="auto"/>
                      <w:sz w:val="21"/>
                      <w:szCs w:val="21"/>
                      <w:shd w:val="clear" w:fill="auto"/>
                      <w:lang w:val="en-US" w:eastAsia="zh-CN"/>
                    </w:rPr>
                    <w:t>，</w:t>
                  </w:r>
                  <w:r>
                    <w:rPr>
                      <w:rFonts w:hint="default" w:ascii="Times New Roman" w:hAnsi="Times New Roman" w:eastAsia="宋体" w:cs="Times New Roman"/>
                      <w:color w:val="auto"/>
                      <w:sz w:val="21"/>
                      <w:szCs w:val="21"/>
                      <w:lang w:val="en-US" w:eastAsia="zh-CN"/>
                    </w:rPr>
                    <w:t>I</w:t>
                  </w:r>
                </w:p>
              </w:tc>
              <w:tc>
                <w:tcPr>
                  <w:tcW w:w="547" w:type="dxa"/>
                  <w:noWrap w:val="0"/>
                  <w:tcMar>
                    <w:top w:w="0" w:type="dxa"/>
                    <w:left w:w="11" w:type="dxa"/>
                    <w:bottom w:w="0" w:type="dxa"/>
                    <w:right w:w="11" w:type="dxa"/>
                  </w:tcMar>
                  <w:vAlign w:val="center"/>
                </w:tcPr>
                <w:p w14:paraId="664039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435" w:type="dxa"/>
                  <w:noWrap w:val="0"/>
                  <w:tcMar>
                    <w:top w:w="0" w:type="dxa"/>
                    <w:left w:w="11" w:type="dxa"/>
                    <w:bottom w:w="0" w:type="dxa"/>
                    <w:right w:w="11" w:type="dxa"/>
                  </w:tcMar>
                  <w:vAlign w:val="center"/>
                </w:tcPr>
                <w:p w14:paraId="1F51DC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41" w:type="dxa"/>
                  <w:vMerge w:val="continue"/>
                  <w:noWrap w:val="0"/>
                  <w:tcMar>
                    <w:top w:w="0" w:type="dxa"/>
                    <w:left w:w="11" w:type="dxa"/>
                    <w:bottom w:w="0" w:type="dxa"/>
                    <w:right w:w="11" w:type="dxa"/>
                  </w:tcMar>
                  <w:vAlign w:val="center"/>
                </w:tcPr>
                <w:p w14:paraId="65EA29A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086" w:type="dxa"/>
                  <w:noWrap w:val="0"/>
                  <w:tcMar>
                    <w:top w:w="0" w:type="dxa"/>
                    <w:left w:w="11" w:type="dxa"/>
                    <w:bottom w:w="0" w:type="dxa"/>
                    <w:right w:w="11" w:type="dxa"/>
                  </w:tcMar>
                  <w:vAlign w:val="center"/>
                </w:tcPr>
                <w:p w14:paraId="3DC4052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矿物油、</w:t>
                  </w:r>
                  <w:r>
                    <w:rPr>
                      <w:rFonts w:hint="eastAsia" w:ascii="Times New Roman" w:hAnsi="Times New Roman" w:eastAsia="宋体" w:cs="Times New Roman"/>
                      <w:color w:val="auto"/>
                      <w:sz w:val="21"/>
                      <w:szCs w:val="21"/>
                      <w:lang w:val="en-US" w:eastAsia="zh-CN"/>
                    </w:rPr>
                    <w:t>铝</w:t>
                  </w:r>
                </w:p>
              </w:tc>
              <w:tc>
                <w:tcPr>
                  <w:tcW w:w="584" w:type="dxa"/>
                  <w:noWrap w:val="0"/>
                  <w:tcMar>
                    <w:top w:w="0" w:type="dxa"/>
                    <w:left w:w="11" w:type="dxa"/>
                    <w:bottom w:w="0" w:type="dxa"/>
                    <w:right w:w="11" w:type="dxa"/>
                  </w:tcMar>
                  <w:vAlign w:val="center"/>
                </w:tcPr>
                <w:p w14:paraId="5B54BB4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756" w:type="dxa"/>
                  <w:noWrap w:val="0"/>
                  <w:tcMar>
                    <w:top w:w="0" w:type="dxa"/>
                    <w:left w:w="11" w:type="dxa"/>
                    <w:bottom w:w="0" w:type="dxa"/>
                    <w:right w:w="11" w:type="dxa"/>
                  </w:tcMar>
                  <w:vAlign w:val="center"/>
                </w:tcPr>
                <w:p w14:paraId="58641FC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w:t>
                  </w:r>
                </w:p>
              </w:tc>
              <w:tc>
                <w:tcPr>
                  <w:tcW w:w="866" w:type="dxa"/>
                  <w:noWrap w:val="0"/>
                  <w:tcMar>
                    <w:top w:w="0" w:type="dxa"/>
                    <w:left w:w="11" w:type="dxa"/>
                    <w:bottom w:w="0" w:type="dxa"/>
                    <w:right w:w="11" w:type="dxa"/>
                  </w:tcMar>
                  <w:vAlign w:val="center"/>
                </w:tcPr>
                <w:p w14:paraId="362F105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袋装</w:t>
                  </w:r>
                </w:p>
              </w:tc>
              <w:tc>
                <w:tcPr>
                  <w:tcW w:w="792" w:type="dxa"/>
                  <w:noWrap w:val="0"/>
                  <w:tcMar>
                    <w:top w:w="0" w:type="dxa"/>
                    <w:left w:w="11" w:type="dxa"/>
                    <w:bottom w:w="0" w:type="dxa"/>
                    <w:right w:w="11" w:type="dxa"/>
                  </w:tcMar>
                  <w:vAlign w:val="center"/>
                </w:tcPr>
                <w:p w14:paraId="6A89A24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委外</w:t>
                  </w:r>
                </w:p>
              </w:tc>
              <w:tc>
                <w:tcPr>
                  <w:tcW w:w="597" w:type="dxa"/>
                  <w:vMerge w:val="continue"/>
                  <w:noWrap w:val="0"/>
                  <w:tcMar>
                    <w:top w:w="0" w:type="dxa"/>
                    <w:left w:w="11" w:type="dxa"/>
                    <w:bottom w:w="0" w:type="dxa"/>
                    <w:right w:w="11" w:type="dxa"/>
                  </w:tcMar>
                  <w:vAlign w:val="center"/>
                </w:tcPr>
                <w:p w14:paraId="7F52235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89" w:type="dxa"/>
                  <w:noWrap w:val="0"/>
                  <w:tcMar>
                    <w:top w:w="0" w:type="dxa"/>
                    <w:left w:w="11" w:type="dxa"/>
                    <w:bottom w:w="0" w:type="dxa"/>
                    <w:right w:w="11" w:type="dxa"/>
                  </w:tcMar>
                  <w:vAlign w:val="center"/>
                </w:tcPr>
                <w:p w14:paraId="6DDF8FC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4.2</w:t>
                  </w:r>
                </w:p>
              </w:tc>
            </w:tr>
            <w:tr w14:paraId="2AEE2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dxa"/>
                  <w:noWrap w:val="0"/>
                  <w:tcMar>
                    <w:top w:w="0" w:type="dxa"/>
                    <w:left w:w="11" w:type="dxa"/>
                    <w:bottom w:w="0" w:type="dxa"/>
                    <w:right w:w="11" w:type="dxa"/>
                  </w:tcMar>
                  <w:vAlign w:val="center"/>
                </w:tcPr>
                <w:p w14:paraId="1B981A9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sz w:val="21"/>
                      <w:szCs w:val="21"/>
                      <w:lang w:val="en-US" w:eastAsia="zh-CN"/>
                    </w:rPr>
                    <w:t>7</w:t>
                  </w:r>
                </w:p>
              </w:tc>
              <w:tc>
                <w:tcPr>
                  <w:tcW w:w="1217" w:type="dxa"/>
                  <w:noWrap w:val="0"/>
                  <w:tcMar>
                    <w:top w:w="0" w:type="dxa"/>
                    <w:left w:w="11" w:type="dxa"/>
                    <w:bottom w:w="0" w:type="dxa"/>
                    <w:right w:w="11" w:type="dxa"/>
                  </w:tcMar>
                  <w:vAlign w:val="center"/>
                </w:tcPr>
                <w:p w14:paraId="7039EA3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废切削液</w:t>
                  </w:r>
                </w:p>
              </w:tc>
              <w:tc>
                <w:tcPr>
                  <w:tcW w:w="938" w:type="dxa"/>
                  <w:noWrap w:val="0"/>
                  <w:tcMar>
                    <w:top w:w="0" w:type="dxa"/>
                    <w:left w:w="11" w:type="dxa"/>
                    <w:bottom w:w="0" w:type="dxa"/>
                    <w:right w:w="11" w:type="dxa"/>
                  </w:tcMar>
                  <w:vAlign w:val="center"/>
                </w:tcPr>
                <w:p w14:paraId="3E85A4B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机加工</w:t>
                  </w:r>
                </w:p>
              </w:tc>
              <w:tc>
                <w:tcPr>
                  <w:tcW w:w="489" w:type="dxa"/>
                  <w:noWrap w:val="0"/>
                  <w:tcMar>
                    <w:top w:w="0" w:type="dxa"/>
                    <w:left w:w="11" w:type="dxa"/>
                    <w:bottom w:w="0" w:type="dxa"/>
                    <w:right w:w="11" w:type="dxa"/>
                  </w:tcMar>
                  <w:vAlign w:val="center"/>
                </w:tcPr>
                <w:p w14:paraId="5019822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62" w:type="dxa"/>
                  <w:noWrap w:val="0"/>
                  <w:tcMar>
                    <w:top w:w="0" w:type="dxa"/>
                    <w:left w:w="11" w:type="dxa"/>
                    <w:bottom w:w="0" w:type="dxa"/>
                    <w:right w:w="11" w:type="dxa"/>
                  </w:tcMar>
                  <w:vAlign w:val="center"/>
                </w:tcPr>
                <w:p w14:paraId="7B9D099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40" w:type="dxa"/>
                  <w:noWrap w:val="0"/>
                  <w:tcMar>
                    <w:top w:w="0" w:type="dxa"/>
                    <w:left w:w="11" w:type="dxa"/>
                    <w:bottom w:w="0" w:type="dxa"/>
                    <w:right w:w="11" w:type="dxa"/>
                  </w:tcMar>
                  <w:vAlign w:val="center"/>
                </w:tcPr>
                <w:p w14:paraId="0E993C18">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HW0</w:t>
                  </w:r>
                  <w:r>
                    <w:rPr>
                      <w:rFonts w:hint="eastAsia" w:ascii="Times New Roman" w:hAnsi="Times New Roman" w:eastAsia="宋体" w:cs="Times New Roman"/>
                      <w:color w:val="auto"/>
                      <w:sz w:val="21"/>
                      <w:szCs w:val="21"/>
                      <w:lang w:val="en-US" w:eastAsia="zh-CN"/>
                    </w:rPr>
                    <w:t>9</w:t>
                  </w:r>
                </w:p>
              </w:tc>
              <w:tc>
                <w:tcPr>
                  <w:tcW w:w="1147" w:type="dxa"/>
                  <w:noWrap w:val="0"/>
                  <w:tcMar>
                    <w:top w:w="0" w:type="dxa"/>
                    <w:left w:w="11" w:type="dxa"/>
                    <w:bottom w:w="0" w:type="dxa"/>
                    <w:right w:w="11" w:type="dxa"/>
                  </w:tcMar>
                  <w:vAlign w:val="center"/>
                </w:tcPr>
                <w:p w14:paraId="019A097E">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color w:val="auto"/>
                      <w:spacing w:val="2"/>
                      <w:kern w:val="2"/>
                      <w:sz w:val="21"/>
                      <w:szCs w:val="21"/>
                      <w:lang w:val="en-US" w:eastAsia="zh-CN" w:bidi="ar-SA"/>
                    </w:rPr>
                    <w:t>900-0</w:t>
                  </w:r>
                  <w:r>
                    <w:rPr>
                      <w:rFonts w:hint="eastAsia" w:ascii="Times New Roman" w:hAnsi="Times New Roman" w:eastAsia="宋体" w:cs="Times New Roman"/>
                      <w:color w:val="auto"/>
                      <w:spacing w:val="2"/>
                      <w:kern w:val="2"/>
                      <w:sz w:val="21"/>
                      <w:szCs w:val="21"/>
                      <w:lang w:val="en-US" w:eastAsia="zh-CN" w:bidi="ar-SA"/>
                    </w:rPr>
                    <w:t>06</w:t>
                  </w:r>
                  <w:r>
                    <w:rPr>
                      <w:rFonts w:hint="default" w:ascii="Times New Roman" w:hAnsi="Times New Roman" w:eastAsia="宋体" w:cs="Times New Roman"/>
                      <w:color w:val="auto"/>
                      <w:spacing w:val="2"/>
                      <w:kern w:val="2"/>
                      <w:sz w:val="21"/>
                      <w:szCs w:val="21"/>
                      <w:lang w:val="en-US" w:eastAsia="zh-CN" w:bidi="ar-SA"/>
                    </w:rPr>
                    <w:t>-</w:t>
                  </w:r>
                  <w:r>
                    <w:rPr>
                      <w:rFonts w:hint="eastAsia" w:ascii="Times New Roman" w:hAnsi="Times New Roman" w:eastAsia="宋体" w:cs="Times New Roman"/>
                      <w:color w:val="auto"/>
                      <w:spacing w:val="2"/>
                      <w:kern w:val="2"/>
                      <w:sz w:val="21"/>
                      <w:szCs w:val="21"/>
                      <w:lang w:val="en-US" w:eastAsia="zh-CN" w:bidi="ar-SA"/>
                    </w:rPr>
                    <w:t>0</w:t>
                  </w:r>
                  <w:r>
                    <w:rPr>
                      <w:rFonts w:hint="default" w:ascii="Times New Roman" w:hAnsi="Times New Roman" w:eastAsia="宋体" w:cs="Times New Roman"/>
                      <w:color w:val="auto"/>
                      <w:spacing w:val="2"/>
                      <w:kern w:val="2"/>
                      <w:sz w:val="21"/>
                      <w:szCs w:val="21"/>
                      <w:lang w:val="en-US" w:eastAsia="zh-CN" w:bidi="ar-SA"/>
                    </w:rPr>
                    <w:t>9</w:t>
                  </w:r>
                </w:p>
              </w:tc>
              <w:tc>
                <w:tcPr>
                  <w:tcW w:w="451" w:type="dxa"/>
                  <w:noWrap w:val="0"/>
                  <w:tcMar>
                    <w:top w:w="0" w:type="dxa"/>
                    <w:left w:w="11" w:type="dxa"/>
                    <w:bottom w:w="0" w:type="dxa"/>
                    <w:right w:w="11" w:type="dxa"/>
                  </w:tcMar>
                  <w:vAlign w:val="center"/>
                </w:tcPr>
                <w:p w14:paraId="18A1B59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T</w:t>
                  </w:r>
                </w:p>
              </w:tc>
              <w:tc>
                <w:tcPr>
                  <w:tcW w:w="547" w:type="dxa"/>
                  <w:noWrap w:val="0"/>
                  <w:tcMar>
                    <w:top w:w="0" w:type="dxa"/>
                    <w:left w:w="11" w:type="dxa"/>
                    <w:bottom w:w="0" w:type="dxa"/>
                    <w:right w:w="11" w:type="dxa"/>
                  </w:tcMar>
                  <w:vAlign w:val="center"/>
                </w:tcPr>
                <w:p w14:paraId="44C504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35" w:type="dxa"/>
                  <w:noWrap w:val="0"/>
                  <w:tcMar>
                    <w:top w:w="0" w:type="dxa"/>
                    <w:left w:w="11" w:type="dxa"/>
                    <w:bottom w:w="0" w:type="dxa"/>
                    <w:right w:w="11" w:type="dxa"/>
                  </w:tcMar>
                  <w:vAlign w:val="center"/>
                </w:tcPr>
                <w:p w14:paraId="3BD0D4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41" w:type="dxa"/>
                  <w:vMerge w:val="continue"/>
                  <w:noWrap w:val="0"/>
                  <w:tcMar>
                    <w:top w:w="0" w:type="dxa"/>
                    <w:left w:w="11" w:type="dxa"/>
                    <w:bottom w:w="0" w:type="dxa"/>
                    <w:right w:w="11" w:type="dxa"/>
                  </w:tcMar>
                  <w:vAlign w:val="center"/>
                </w:tcPr>
                <w:p w14:paraId="49A55E8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086" w:type="dxa"/>
                  <w:noWrap w:val="0"/>
                  <w:tcMar>
                    <w:top w:w="0" w:type="dxa"/>
                    <w:left w:w="11" w:type="dxa"/>
                    <w:bottom w:w="0" w:type="dxa"/>
                    <w:right w:w="11" w:type="dxa"/>
                  </w:tcMar>
                  <w:vAlign w:val="center"/>
                </w:tcPr>
                <w:p w14:paraId="64BDD83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矿物油</w:t>
                  </w:r>
                  <w:r>
                    <w:rPr>
                      <w:rFonts w:hint="eastAsia" w:ascii="Times New Roman" w:hAnsi="Times New Roman" w:eastAsia="宋体" w:cs="Times New Roman"/>
                      <w:color w:val="auto"/>
                      <w:sz w:val="21"/>
                      <w:szCs w:val="21"/>
                      <w:lang w:val="en-US" w:eastAsia="zh-CN"/>
                    </w:rPr>
                    <w:t>、水</w:t>
                  </w:r>
                </w:p>
              </w:tc>
              <w:tc>
                <w:tcPr>
                  <w:tcW w:w="584" w:type="dxa"/>
                  <w:noWrap w:val="0"/>
                  <w:tcMar>
                    <w:top w:w="0" w:type="dxa"/>
                    <w:left w:w="11" w:type="dxa"/>
                    <w:bottom w:w="0" w:type="dxa"/>
                    <w:right w:w="11" w:type="dxa"/>
                  </w:tcMar>
                  <w:vAlign w:val="center"/>
                </w:tcPr>
                <w:p w14:paraId="5E2B131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液态</w:t>
                  </w:r>
                </w:p>
              </w:tc>
              <w:tc>
                <w:tcPr>
                  <w:tcW w:w="756" w:type="dxa"/>
                  <w:noWrap w:val="0"/>
                  <w:tcMar>
                    <w:top w:w="0" w:type="dxa"/>
                    <w:left w:w="11" w:type="dxa"/>
                    <w:bottom w:w="0" w:type="dxa"/>
                    <w:right w:w="11" w:type="dxa"/>
                  </w:tcMar>
                  <w:vAlign w:val="center"/>
                </w:tcPr>
                <w:p w14:paraId="3BC11BA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w:t>
                  </w:r>
                </w:p>
              </w:tc>
              <w:tc>
                <w:tcPr>
                  <w:tcW w:w="866" w:type="dxa"/>
                  <w:noWrap w:val="0"/>
                  <w:tcMar>
                    <w:top w:w="0" w:type="dxa"/>
                    <w:left w:w="11" w:type="dxa"/>
                    <w:bottom w:w="0" w:type="dxa"/>
                    <w:right w:w="11" w:type="dxa"/>
                  </w:tcMar>
                  <w:vAlign w:val="center"/>
                </w:tcPr>
                <w:p w14:paraId="7CDC8A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桶装</w:t>
                  </w:r>
                </w:p>
              </w:tc>
              <w:tc>
                <w:tcPr>
                  <w:tcW w:w="792" w:type="dxa"/>
                  <w:noWrap w:val="0"/>
                  <w:tcMar>
                    <w:top w:w="0" w:type="dxa"/>
                    <w:left w:w="11" w:type="dxa"/>
                    <w:bottom w:w="0" w:type="dxa"/>
                    <w:right w:w="11" w:type="dxa"/>
                  </w:tcMar>
                  <w:vAlign w:val="center"/>
                </w:tcPr>
                <w:p w14:paraId="4E39BB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委外</w:t>
                  </w:r>
                </w:p>
              </w:tc>
              <w:tc>
                <w:tcPr>
                  <w:tcW w:w="597" w:type="dxa"/>
                  <w:vMerge w:val="continue"/>
                  <w:noWrap w:val="0"/>
                  <w:tcMar>
                    <w:top w:w="0" w:type="dxa"/>
                    <w:left w:w="11" w:type="dxa"/>
                    <w:bottom w:w="0" w:type="dxa"/>
                    <w:right w:w="11" w:type="dxa"/>
                  </w:tcMar>
                  <w:vAlign w:val="center"/>
                </w:tcPr>
                <w:p w14:paraId="3AD6FAB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89" w:type="dxa"/>
                  <w:noWrap w:val="0"/>
                  <w:tcMar>
                    <w:top w:w="0" w:type="dxa"/>
                    <w:left w:w="11" w:type="dxa"/>
                    <w:bottom w:w="0" w:type="dxa"/>
                    <w:right w:w="11" w:type="dxa"/>
                  </w:tcMar>
                  <w:vAlign w:val="center"/>
                </w:tcPr>
                <w:p w14:paraId="2B86C49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2.2</w:t>
                  </w:r>
                </w:p>
              </w:tc>
            </w:tr>
            <w:tr w14:paraId="78468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dxa"/>
                  <w:noWrap w:val="0"/>
                  <w:tcMar>
                    <w:top w:w="0" w:type="dxa"/>
                    <w:left w:w="11" w:type="dxa"/>
                    <w:bottom w:w="0" w:type="dxa"/>
                    <w:right w:w="11" w:type="dxa"/>
                  </w:tcMar>
                  <w:vAlign w:val="center"/>
                </w:tcPr>
                <w:p w14:paraId="490DE35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r>
                    <w:rPr>
                      <w:rFonts w:hint="eastAsia" w:cs="Times New Roman"/>
                      <w:color w:val="auto"/>
                      <w:kern w:val="2"/>
                      <w:sz w:val="21"/>
                      <w:szCs w:val="21"/>
                      <w:lang w:val="en-US" w:eastAsia="zh-CN" w:bidi="ar-SA"/>
                    </w:rPr>
                    <w:t>8</w:t>
                  </w:r>
                </w:p>
              </w:tc>
              <w:tc>
                <w:tcPr>
                  <w:tcW w:w="1217" w:type="dxa"/>
                  <w:noWrap w:val="0"/>
                  <w:tcMar>
                    <w:top w:w="0" w:type="dxa"/>
                    <w:left w:w="11" w:type="dxa"/>
                    <w:bottom w:w="0" w:type="dxa"/>
                    <w:right w:w="11" w:type="dxa"/>
                  </w:tcMar>
                  <w:vAlign w:val="center"/>
                </w:tcPr>
                <w:p w14:paraId="5863C68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清洗废液</w:t>
                  </w:r>
                </w:p>
              </w:tc>
              <w:tc>
                <w:tcPr>
                  <w:tcW w:w="938" w:type="dxa"/>
                  <w:noWrap w:val="0"/>
                  <w:tcMar>
                    <w:top w:w="0" w:type="dxa"/>
                    <w:left w:w="11" w:type="dxa"/>
                    <w:bottom w:w="0" w:type="dxa"/>
                    <w:right w:w="11" w:type="dxa"/>
                  </w:tcMar>
                  <w:vAlign w:val="center"/>
                </w:tcPr>
                <w:p w14:paraId="2B80516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清洗</w:t>
                  </w:r>
                </w:p>
              </w:tc>
              <w:tc>
                <w:tcPr>
                  <w:tcW w:w="489" w:type="dxa"/>
                  <w:noWrap w:val="0"/>
                  <w:tcMar>
                    <w:top w:w="0" w:type="dxa"/>
                    <w:left w:w="11" w:type="dxa"/>
                    <w:bottom w:w="0" w:type="dxa"/>
                    <w:right w:w="11" w:type="dxa"/>
                  </w:tcMar>
                  <w:vAlign w:val="center"/>
                </w:tcPr>
                <w:p w14:paraId="5C2CCAA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62" w:type="dxa"/>
                  <w:noWrap w:val="0"/>
                  <w:tcMar>
                    <w:top w:w="0" w:type="dxa"/>
                    <w:left w:w="11" w:type="dxa"/>
                    <w:bottom w:w="0" w:type="dxa"/>
                    <w:right w:w="11" w:type="dxa"/>
                  </w:tcMar>
                  <w:vAlign w:val="center"/>
                </w:tcPr>
                <w:p w14:paraId="2AF5715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40" w:type="dxa"/>
                  <w:noWrap w:val="0"/>
                  <w:tcMar>
                    <w:top w:w="0" w:type="dxa"/>
                    <w:left w:w="11" w:type="dxa"/>
                    <w:bottom w:w="0" w:type="dxa"/>
                    <w:right w:w="11" w:type="dxa"/>
                  </w:tcMar>
                  <w:vAlign w:val="center"/>
                </w:tcPr>
                <w:p w14:paraId="64C627C0">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HW0</w:t>
                  </w:r>
                  <w:r>
                    <w:rPr>
                      <w:rFonts w:hint="eastAsia" w:ascii="Times New Roman" w:hAnsi="Times New Roman" w:eastAsia="宋体" w:cs="Times New Roman"/>
                      <w:color w:val="auto"/>
                      <w:sz w:val="21"/>
                      <w:szCs w:val="21"/>
                      <w:lang w:val="en-US" w:eastAsia="zh-CN"/>
                    </w:rPr>
                    <w:t>9</w:t>
                  </w:r>
                </w:p>
              </w:tc>
              <w:tc>
                <w:tcPr>
                  <w:tcW w:w="1147" w:type="dxa"/>
                  <w:noWrap w:val="0"/>
                  <w:tcMar>
                    <w:top w:w="0" w:type="dxa"/>
                    <w:left w:w="11" w:type="dxa"/>
                    <w:bottom w:w="0" w:type="dxa"/>
                    <w:right w:w="11" w:type="dxa"/>
                  </w:tcMar>
                  <w:vAlign w:val="center"/>
                </w:tcPr>
                <w:p w14:paraId="2721515B">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color w:val="auto"/>
                      <w:spacing w:val="2"/>
                      <w:kern w:val="2"/>
                      <w:sz w:val="21"/>
                      <w:szCs w:val="21"/>
                      <w:lang w:val="en-US" w:eastAsia="zh-CN" w:bidi="ar-SA"/>
                    </w:rPr>
                    <w:t>900-0</w:t>
                  </w:r>
                  <w:r>
                    <w:rPr>
                      <w:rFonts w:hint="eastAsia" w:ascii="Times New Roman" w:hAnsi="Times New Roman" w:eastAsia="宋体" w:cs="Times New Roman"/>
                      <w:color w:val="auto"/>
                      <w:spacing w:val="2"/>
                      <w:kern w:val="2"/>
                      <w:sz w:val="21"/>
                      <w:szCs w:val="21"/>
                      <w:lang w:val="en-US" w:eastAsia="zh-CN" w:bidi="ar-SA"/>
                    </w:rPr>
                    <w:t>07</w:t>
                  </w:r>
                  <w:r>
                    <w:rPr>
                      <w:rFonts w:hint="default" w:ascii="Times New Roman" w:hAnsi="Times New Roman" w:eastAsia="宋体" w:cs="Times New Roman"/>
                      <w:color w:val="auto"/>
                      <w:spacing w:val="2"/>
                      <w:kern w:val="2"/>
                      <w:sz w:val="21"/>
                      <w:szCs w:val="21"/>
                      <w:lang w:val="en-US" w:eastAsia="zh-CN" w:bidi="ar-SA"/>
                    </w:rPr>
                    <w:t>-</w:t>
                  </w:r>
                  <w:r>
                    <w:rPr>
                      <w:rFonts w:hint="eastAsia" w:ascii="Times New Roman" w:hAnsi="Times New Roman" w:eastAsia="宋体" w:cs="Times New Roman"/>
                      <w:color w:val="auto"/>
                      <w:spacing w:val="2"/>
                      <w:kern w:val="2"/>
                      <w:sz w:val="21"/>
                      <w:szCs w:val="21"/>
                      <w:lang w:val="en-US" w:eastAsia="zh-CN" w:bidi="ar-SA"/>
                    </w:rPr>
                    <w:t>0</w:t>
                  </w:r>
                  <w:r>
                    <w:rPr>
                      <w:rFonts w:hint="default" w:ascii="Times New Roman" w:hAnsi="Times New Roman" w:eastAsia="宋体" w:cs="Times New Roman"/>
                      <w:color w:val="auto"/>
                      <w:spacing w:val="2"/>
                      <w:kern w:val="2"/>
                      <w:sz w:val="21"/>
                      <w:szCs w:val="21"/>
                      <w:lang w:val="en-US" w:eastAsia="zh-CN" w:bidi="ar-SA"/>
                    </w:rPr>
                    <w:t>9</w:t>
                  </w:r>
                </w:p>
              </w:tc>
              <w:tc>
                <w:tcPr>
                  <w:tcW w:w="451" w:type="dxa"/>
                  <w:noWrap w:val="0"/>
                  <w:tcMar>
                    <w:top w:w="0" w:type="dxa"/>
                    <w:left w:w="11" w:type="dxa"/>
                    <w:bottom w:w="0" w:type="dxa"/>
                    <w:right w:w="11" w:type="dxa"/>
                  </w:tcMar>
                  <w:vAlign w:val="center"/>
                </w:tcPr>
                <w:p w14:paraId="5026A24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T</w:t>
                  </w:r>
                </w:p>
              </w:tc>
              <w:tc>
                <w:tcPr>
                  <w:tcW w:w="547" w:type="dxa"/>
                  <w:noWrap w:val="0"/>
                  <w:tcMar>
                    <w:top w:w="0" w:type="dxa"/>
                    <w:left w:w="11" w:type="dxa"/>
                    <w:bottom w:w="0" w:type="dxa"/>
                    <w:right w:w="11" w:type="dxa"/>
                  </w:tcMar>
                  <w:vAlign w:val="center"/>
                </w:tcPr>
                <w:p w14:paraId="2563F2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35" w:type="dxa"/>
                  <w:noWrap w:val="0"/>
                  <w:tcMar>
                    <w:top w:w="0" w:type="dxa"/>
                    <w:left w:w="11" w:type="dxa"/>
                    <w:bottom w:w="0" w:type="dxa"/>
                    <w:right w:w="11" w:type="dxa"/>
                  </w:tcMar>
                  <w:vAlign w:val="center"/>
                </w:tcPr>
                <w:p w14:paraId="145832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41" w:type="dxa"/>
                  <w:vMerge w:val="continue"/>
                  <w:noWrap w:val="0"/>
                  <w:tcMar>
                    <w:top w:w="0" w:type="dxa"/>
                    <w:left w:w="11" w:type="dxa"/>
                    <w:bottom w:w="0" w:type="dxa"/>
                    <w:right w:w="11" w:type="dxa"/>
                  </w:tcMar>
                  <w:vAlign w:val="center"/>
                </w:tcPr>
                <w:p w14:paraId="67B1E0B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086" w:type="dxa"/>
                  <w:noWrap w:val="0"/>
                  <w:tcMar>
                    <w:top w:w="0" w:type="dxa"/>
                    <w:left w:w="11" w:type="dxa"/>
                    <w:bottom w:w="0" w:type="dxa"/>
                    <w:right w:w="11" w:type="dxa"/>
                  </w:tcMar>
                  <w:vAlign w:val="center"/>
                </w:tcPr>
                <w:p w14:paraId="45045DF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矿物油</w:t>
                  </w:r>
                  <w:r>
                    <w:rPr>
                      <w:rFonts w:hint="eastAsia" w:ascii="Times New Roman" w:hAnsi="Times New Roman" w:eastAsia="宋体" w:cs="Times New Roman"/>
                      <w:color w:val="auto"/>
                      <w:sz w:val="21"/>
                      <w:szCs w:val="21"/>
                      <w:lang w:val="en-US" w:eastAsia="zh-CN"/>
                    </w:rPr>
                    <w:t>、水</w:t>
                  </w:r>
                </w:p>
              </w:tc>
              <w:tc>
                <w:tcPr>
                  <w:tcW w:w="584" w:type="dxa"/>
                  <w:noWrap w:val="0"/>
                  <w:tcMar>
                    <w:top w:w="0" w:type="dxa"/>
                    <w:left w:w="11" w:type="dxa"/>
                    <w:bottom w:w="0" w:type="dxa"/>
                    <w:right w:w="11" w:type="dxa"/>
                  </w:tcMar>
                  <w:vAlign w:val="center"/>
                </w:tcPr>
                <w:p w14:paraId="4533A4A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液态</w:t>
                  </w:r>
                </w:p>
              </w:tc>
              <w:tc>
                <w:tcPr>
                  <w:tcW w:w="756" w:type="dxa"/>
                  <w:noWrap w:val="0"/>
                  <w:tcMar>
                    <w:top w:w="0" w:type="dxa"/>
                    <w:left w:w="11" w:type="dxa"/>
                    <w:bottom w:w="0" w:type="dxa"/>
                    <w:right w:w="11" w:type="dxa"/>
                  </w:tcMar>
                  <w:vAlign w:val="center"/>
                </w:tcPr>
                <w:p w14:paraId="2F36CCB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8.1</w:t>
                  </w:r>
                </w:p>
              </w:tc>
              <w:tc>
                <w:tcPr>
                  <w:tcW w:w="866" w:type="dxa"/>
                  <w:noWrap w:val="0"/>
                  <w:tcMar>
                    <w:top w:w="0" w:type="dxa"/>
                    <w:left w:w="11" w:type="dxa"/>
                    <w:bottom w:w="0" w:type="dxa"/>
                    <w:right w:w="11" w:type="dxa"/>
                  </w:tcMar>
                  <w:vAlign w:val="center"/>
                </w:tcPr>
                <w:p w14:paraId="386E04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桶装</w:t>
                  </w:r>
                </w:p>
              </w:tc>
              <w:tc>
                <w:tcPr>
                  <w:tcW w:w="792" w:type="dxa"/>
                  <w:noWrap w:val="0"/>
                  <w:tcMar>
                    <w:top w:w="0" w:type="dxa"/>
                    <w:left w:w="11" w:type="dxa"/>
                    <w:bottom w:w="0" w:type="dxa"/>
                    <w:right w:w="11" w:type="dxa"/>
                  </w:tcMar>
                  <w:vAlign w:val="center"/>
                </w:tcPr>
                <w:p w14:paraId="6A5A44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委外</w:t>
                  </w:r>
                </w:p>
              </w:tc>
              <w:tc>
                <w:tcPr>
                  <w:tcW w:w="597" w:type="dxa"/>
                  <w:vMerge w:val="continue"/>
                  <w:noWrap w:val="0"/>
                  <w:tcMar>
                    <w:top w:w="0" w:type="dxa"/>
                    <w:left w:w="11" w:type="dxa"/>
                    <w:bottom w:w="0" w:type="dxa"/>
                    <w:right w:w="11" w:type="dxa"/>
                  </w:tcMar>
                  <w:vAlign w:val="center"/>
                </w:tcPr>
                <w:p w14:paraId="00C46DD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89" w:type="dxa"/>
                  <w:noWrap w:val="0"/>
                  <w:tcMar>
                    <w:top w:w="0" w:type="dxa"/>
                    <w:left w:w="11" w:type="dxa"/>
                    <w:bottom w:w="0" w:type="dxa"/>
                    <w:right w:w="11" w:type="dxa"/>
                  </w:tcMar>
                  <w:vAlign w:val="center"/>
                </w:tcPr>
                <w:p w14:paraId="1CC0AF5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8.1</w:t>
                  </w:r>
                </w:p>
              </w:tc>
            </w:tr>
            <w:tr w14:paraId="4A27D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dxa"/>
                  <w:noWrap w:val="0"/>
                  <w:tcMar>
                    <w:top w:w="0" w:type="dxa"/>
                    <w:left w:w="11" w:type="dxa"/>
                    <w:bottom w:w="0" w:type="dxa"/>
                    <w:right w:w="11" w:type="dxa"/>
                  </w:tcMar>
                  <w:vAlign w:val="center"/>
                </w:tcPr>
                <w:p w14:paraId="4CADBBF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w:t>
                  </w:r>
                </w:p>
              </w:tc>
              <w:tc>
                <w:tcPr>
                  <w:tcW w:w="1217" w:type="dxa"/>
                  <w:noWrap w:val="0"/>
                  <w:tcMar>
                    <w:top w:w="0" w:type="dxa"/>
                    <w:left w:w="11" w:type="dxa"/>
                    <w:bottom w:w="0" w:type="dxa"/>
                    <w:right w:w="11" w:type="dxa"/>
                  </w:tcMar>
                  <w:vAlign w:val="center"/>
                </w:tcPr>
                <w:p w14:paraId="08ECAE5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color w:val="auto"/>
                      <w:spacing w:val="2"/>
                      <w:kern w:val="2"/>
                      <w:sz w:val="21"/>
                      <w:szCs w:val="21"/>
                      <w:lang w:val="en-US" w:eastAsia="zh-CN" w:bidi="ar-SA"/>
                    </w:rPr>
                    <w:t>废</w:t>
                  </w:r>
                  <w:r>
                    <w:rPr>
                      <w:rFonts w:hint="eastAsia" w:ascii="Times New Roman" w:hAnsi="Times New Roman" w:eastAsia="宋体" w:cs="Times New Roman"/>
                      <w:color w:val="auto"/>
                      <w:spacing w:val="2"/>
                      <w:kern w:val="2"/>
                      <w:sz w:val="21"/>
                      <w:szCs w:val="21"/>
                      <w:lang w:val="en-US" w:eastAsia="zh-CN" w:bidi="ar-SA"/>
                    </w:rPr>
                    <w:t>机油</w:t>
                  </w:r>
                </w:p>
              </w:tc>
              <w:tc>
                <w:tcPr>
                  <w:tcW w:w="938" w:type="dxa"/>
                  <w:noWrap w:val="0"/>
                  <w:tcMar>
                    <w:top w:w="0" w:type="dxa"/>
                    <w:left w:w="11" w:type="dxa"/>
                    <w:bottom w:w="0" w:type="dxa"/>
                    <w:right w:w="11" w:type="dxa"/>
                  </w:tcMar>
                  <w:vAlign w:val="center"/>
                </w:tcPr>
                <w:p w14:paraId="45125F6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color w:val="auto"/>
                      <w:spacing w:val="2"/>
                      <w:kern w:val="2"/>
                      <w:sz w:val="21"/>
                      <w:szCs w:val="21"/>
                      <w:lang w:val="en-US" w:eastAsia="zh-CN" w:bidi="ar-SA"/>
                    </w:rPr>
                    <w:t>设备维护</w:t>
                  </w:r>
                </w:p>
              </w:tc>
              <w:tc>
                <w:tcPr>
                  <w:tcW w:w="489" w:type="dxa"/>
                  <w:noWrap w:val="0"/>
                  <w:tcMar>
                    <w:top w:w="0" w:type="dxa"/>
                    <w:left w:w="11" w:type="dxa"/>
                    <w:bottom w:w="0" w:type="dxa"/>
                    <w:right w:w="11" w:type="dxa"/>
                  </w:tcMar>
                  <w:vAlign w:val="center"/>
                </w:tcPr>
                <w:p w14:paraId="5423BA7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462" w:type="dxa"/>
                  <w:noWrap w:val="0"/>
                  <w:tcMar>
                    <w:top w:w="0" w:type="dxa"/>
                    <w:left w:w="11" w:type="dxa"/>
                    <w:bottom w:w="0" w:type="dxa"/>
                    <w:right w:w="11" w:type="dxa"/>
                  </w:tcMar>
                  <w:vAlign w:val="center"/>
                </w:tcPr>
                <w:p w14:paraId="33BEE51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640" w:type="dxa"/>
                  <w:noWrap w:val="0"/>
                  <w:tcMar>
                    <w:top w:w="0" w:type="dxa"/>
                    <w:left w:w="11" w:type="dxa"/>
                    <w:bottom w:w="0" w:type="dxa"/>
                    <w:right w:w="11" w:type="dxa"/>
                  </w:tcMar>
                  <w:vAlign w:val="center"/>
                </w:tcPr>
                <w:p w14:paraId="574675C4">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HW08</w:t>
                  </w:r>
                </w:p>
              </w:tc>
              <w:tc>
                <w:tcPr>
                  <w:tcW w:w="1147" w:type="dxa"/>
                  <w:noWrap w:val="0"/>
                  <w:tcMar>
                    <w:top w:w="0" w:type="dxa"/>
                    <w:left w:w="11" w:type="dxa"/>
                    <w:bottom w:w="0" w:type="dxa"/>
                    <w:right w:w="11" w:type="dxa"/>
                  </w:tcMar>
                  <w:vAlign w:val="center"/>
                </w:tcPr>
                <w:p w14:paraId="3DEB2605">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900-2</w:t>
                  </w:r>
                  <w:r>
                    <w:rPr>
                      <w:rFonts w:hint="eastAsia" w:cs="Times New Roman"/>
                      <w:color w:val="auto"/>
                      <w:sz w:val="21"/>
                      <w:szCs w:val="21"/>
                      <w:lang w:val="en-US" w:eastAsia="zh-CN"/>
                    </w:rPr>
                    <w:t>49</w:t>
                  </w:r>
                  <w:r>
                    <w:rPr>
                      <w:rFonts w:hint="default" w:ascii="Times New Roman" w:hAnsi="Times New Roman" w:eastAsia="宋体" w:cs="Times New Roman"/>
                      <w:color w:val="auto"/>
                      <w:sz w:val="21"/>
                      <w:szCs w:val="21"/>
                      <w:lang w:val="en-US" w:eastAsia="zh-CN"/>
                    </w:rPr>
                    <w:t>-08</w:t>
                  </w:r>
                </w:p>
              </w:tc>
              <w:tc>
                <w:tcPr>
                  <w:tcW w:w="451" w:type="dxa"/>
                  <w:noWrap w:val="0"/>
                  <w:tcMar>
                    <w:top w:w="0" w:type="dxa"/>
                    <w:left w:w="11" w:type="dxa"/>
                    <w:bottom w:w="0" w:type="dxa"/>
                    <w:right w:w="11" w:type="dxa"/>
                  </w:tcMar>
                  <w:vAlign w:val="center"/>
                </w:tcPr>
                <w:p w14:paraId="6117DB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w:t>
                  </w:r>
                  <w:r>
                    <w:rPr>
                      <w:rFonts w:hint="eastAsia" w:cs="Times New Roman"/>
                      <w:color w:val="auto"/>
                      <w:sz w:val="21"/>
                      <w:szCs w:val="21"/>
                      <w:shd w:val="clear" w:fill="auto"/>
                      <w:lang w:val="en-US" w:eastAsia="zh-CN"/>
                    </w:rPr>
                    <w:t>/</w:t>
                  </w:r>
                  <w:r>
                    <w:rPr>
                      <w:rFonts w:hint="default" w:ascii="Times New Roman" w:hAnsi="Times New Roman" w:eastAsia="宋体" w:cs="Times New Roman"/>
                      <w:color w:val="auto"/>
                      <w:sz w:val="21"/>
                      <w:szCs w:val="21"/>
                      <w:lang w:val="en-US" w:eastAsia="zh-CN"/>
                    </w:rPr>
                    <w:t>I</w:t>
                  </w:r>
                </w:p>
              </w:tc>
              <w:tc>
                <w:tcPr>
                  <w:tcW w:w="547" w:type="dxa"/>
                  <w:noWrap w:val="0"/>
                  <w:tcMar>
                    <w:top w:w="0" w:type="dxa"/>
                    <w:left w:w="11" w:type="dxa"/>
                    <w:bottom w:w="0" w:type="dxa"/>
                    <w:right w:w="11" w:type="dxa"/>
                  </w:tcMar>
                  <w:vAlign w:val="center"/>
                </w:tcPr>
                <w:p w14:paraId="09813B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435" w:type="dxa"/>
                  <w:noWrap w:val="0"/>
                  <w:tcMar>
                    <w:top w:w="0" w:type="dxa"/>
                    <w:left w:w="11" w:type="dxa"/>
                    <w:bottom w:w="0" w:type="dxa"/>
                    <w:right w:w="11" w:type="dxa"/>
                  </w:tcMar>
                  <w:vAlign w:val="center"/>
                </w:tcPr>
                <w:p w14:paraId="54C410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41" w:type="dxa"/>
                  <w:vMerge w:val="continue"/>
                  <w:noWrap w:val="0"/>
                  <w:tcMar>
                    <w:top w:w="0" w:type="dxa"/>
                    <w:left w:w="11" w:type="dxa"/>
                    <w:bottom w:w="0" w:type="dxa"/>
                    <w:right w:w="11" w:type="dxa"/>
                  </w:tcMar>
                  <w:vAlign w:val="center"/>
                </w:tcPr>
                <w:p w14:paraId="243BE68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086" w:type="dxa"/>
                  <w:noWrap w:val="0"/>
                  <w:tcMar>
                    <w:top w:w="0" w:type="dxa"/>
                    <w:left w:w="11" w:type="dxa"/>
                    <w:bottom w:w="0" w:type="dxa"/>
                    <w:right w:w="11" w:type="dxa"/>
                  </w:tcMar>
                  <w:vAlign w:val="center"/>
                </w:tcPr>
                <w:p w14:paraId="65F3B52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矿物油</w:t>
                  </w:r>
                </w:p>
              </w:tc>
              <w:tc>
                <w:tcPr>
                  <w:tcW w:w="584" w:type="dxa"/>
                  <w:noWrap w:val="0"/>
                  <w:tcMar>
                    <w:top w:w="0" w:type="dxa"/>
                    <w:left w:w="11" w:type="dxa"/>
                    <w:bottom w:w="0" w:type="dxa"/>
                    <w:right w:w="11" w:type="dxa"/>
                  </w:tcMar>
                  <w:vAlign w:val="center"/>
                </w:tcPr>
                <w:p w14:paraId="42DE6BB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液态</w:t>
                  </w:r>
                </w:p>
              </w:tc>
              <w:tc>
                <w:tcPr>
                  <w:tcW w:w="756" w:type="dxa"/>
                  <w:noWrap w:val="0"/>
                  <w:tcMar>
                    <w:top w:w="0" w:type="dxa"/>
                    <w:left w:w="11" w:type="dxa"/>
                    <w:bottom w:w="0" w:type="dxa"/>
                    <w:right w:w="11" w:type="dxa"/>
                  </w:tcMar>
                  <w:vAlign w:val="center"/>
                </w:tcPr>
                <w:p w14:paraId="2744682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w:t>
                  </w:r>
                </w:p>
              </w:tc>
              <w:tc>
                <w:tcPr>
                  <w:tcW w:w="866" w:type="dxa"/>
                  <w:noWrap w:val="0"/>
                  <w:tcMar>
                    <w:top w:w="0" w:type="dxa"/>
                    <w:left w:w="11" w:type="dxa"/>
                    <w:bottom w:w="0" w:type="dxa"/>
                    <w:right w:w="11" w:type="dxa"/>
                  </w:tcMar>
                  <w:vAlign w:val="center"/>
                </w:tcPr>
                <w:p w14:paraId="43A37DC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桶装</w:t>
                  </w:r>
                </w:p>
              </w:tc>
              <w:tc>
                <w:tcPr>
                  <w:tcW w:w="792" w:type="dxa"/>
                  <w:noWrap w:val="0"/>
                  <w:tcMar>
                    <w:top w:w="0" w:type="dxa"/>
                    <w:left w:w="11" w:type="dxa"/>
                    <w:bottom w:w="0" w:type="dxa"/>
                    <w:right w:w="11" w:type="dxa"/>
                  </w:tcMar>
                  <w:vAlign w:val="center"/>
                </w:tcPr>
                <w:p w14:paraId="4336AA1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委外</w:t>
                  </w:r>
                </w:p>
              </w:tc>
              <w:tc>
                <w:tcPr>
                  <w:tcW w:w="597" w:type="dxa"/>
                  <w:vMerge w:val="continue"/>
                  <w:noWrap w:val="0"/>
                  <w:tcMar>
                    <w:top w:w="0" w:type="dxa"/>
                    <w:left w:w="11" w:type="dxa"/>
                    <w:bottom w:w="0" w:type="dxa"/>
                    <w:right w:w="11" w:type="dxa"/>
                  </w:tcMar>
                  <w:vAlign w:val="center"/>
                </w:tcPr>
                <w:p w14:paraId="5CC811B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89" w:type="dxa"/>
                  <w:noWrap w:val="0"/>
                  <w:tcMar>
                    <w:top w:w="0" w:type="dxa"/>
                    <w:left w:w="11" w:type="dxa"/>
                    <w:bottom w:w="0" w:type="dxa"/>
                    <w:right w:w="11" w:type="dxa"/>
                  </w:tcMar>
                  <w:vAlign w:val="center"/>
                </w:tcPr>
                <w:p w14:paraId="639D14A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0.9</w:t>
                  </w:r>
                </w:p>
              </w:tc>
            </w:tr>
            <w:tr w14:paraId="4D39A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dxa"/>
                  <w:noWrap w:val="0"/>
                  <w:tcMar>
                    <w:top w:w="0" w:type="dxa"/>
                    <w:left w:w="11" w:type="dxa"/>
                    <w:bottom w:w="0" w:type="dxa"/>
                    <w:right w:w="11" w:type="dxa"/>
                  </w:tcMar>
                  <w:vAlign w:val="center"/>
                </w:tcPr>
                <w:p w14:paraId="1194B68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1217" w:type="dxa"/>
                  <w:noWrap w:val="0"/>
                  <w:tcMar>
                    <w:top w:w="0" w:type="dxa"/>
                    <w:left w:w="11" w:type="dxa"/>
                    <w:bottom w:w="0" w:type="dxa"/>
                    <w:right w:w="11" w:type="dxa"/>
                  </w:tcMar>
                  <w:vAlign w:val="center"/>
                </w:tcPr>
                <w:p w14:paraId="460A532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eastAsia" w:cs="Times New Roman"/>
                      <w:color w:val="auto"/>
                      <w:spacing w:val="2"/>
                      <w:kern w:val="2"/>
                      <w:sz w:val="21"/>
                      <w:szCs w:val="21"/>
                      <w:lang w:val="en-US" w:eastAsia="zh-CN" w:bidi="ar-SA"/>
                    </w:rPr>
                    <w:t>废切削液桶</w:t>
                  </w:r>
                </w:p>
              </w:tc>
              <w:tc>
                <w:tcPr>
                  <w:tcW w:w="938" w:type="dxa"/>
                  <w:noWrap w:val="0"/>
                  <w:tcMar>
                    <w:top w:w="0" w:type="dxa"/>
                    <w:left w:w="11" w:type="dxa"/>
                    <w:bottom w:w="0" w:type="dxa"/>
                    <w:right w:w="11" w:type="dxa"/>
                  </w:tcMar>
                  <w:vAlign w:val="center"/>
                </w:tcPr>
                <w:p w14:paraId="62DC0F7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eastAsia" w:cs="Times New Roman"/>
                      <w:color w:val="auto"/>
                      <w:spacing w:val="2"/>
                      <w:kern w:val="2"/>
                      <w:sz w:val="21"/>
                      <w:szCs w:val="21"/>
                      <w:lang w:val="en-US" w:eastAsia="zh-CN" w:bidi="ar-SA"/>
                    </w:rPr>
                    <w:t>切削液</w:t>
                  </w:r>
                  <w:r>
                    <w:rPr>
                      <w:rFonts w:hint="eastAsia" w:ascii="Times New Roman" w:hAnsi="Times New Roman" w:eastAsia="宋体" w:cs="Times New Roman"/>
                      <w:color w:val="auto"/>
                      <w:spacing w:val="2"/>
                      <w:kern w:val="2"/>
                      <w:sz w:val="21"/>
                      <w:szCs w:val="21"/>
                      <w:lang w:val="en-US" w:eastAsia="zh-CN" w:bidi="ar-SA"/>
                    </w:rPr>
                    <w:t>包装</w:t>
                  </w:r>
                </w:p>
              </w:tc>
              <w:tc>
                <w:tcPr>
                  <w:tcW w:w="489" w:type="dxa"/>
                  <w:noWrap w:val="0"/>
                  <w:tcMar>
                    <w:top w:w="0" w:type="dxa"/>
                    <w:left w:w="11" w:type="dxa"/>
                    <w:bottom w:w="0" w:type="dxa"/>
                    <w:right w:w="11" w:type="dxa"/>
                  </w:tcMar>
                  <w:vAlign w:val="center"/>
                </w:tcPr>
                <w:p w14:paraId="54AC4D3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462" w:type="dxa"/>
                  <w:noWrap w:val="0"/>
                  <w:tcMar>
                    <w:top w:w="0" w:type="dxa"/>
                    <w:left w:w="11" w:type="dxa"/>
                    <w:bottom w:w="0" w:type="dxa"/>
                    <w:right w:w="11" w:type="dxa"/>
                  </w:tcMar>
                  <w:vAlign w:val="center"/>
                </w:tcPr>
                <w:p w14:paraId="1649FBA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640" w:type="dxa"/>
                  <w:noWrap w:val="0"/>
                  <w:tcMar>
                    <w:top w:w="0" w:type="dxa"/>
                    <w:left w:w="11" w:type="dxa"/>
                    <w:bottom w:w="0" w:type="dxa"/>
                    <w:right w:w="11" w:type="dxa"/>
                  </w:tcMar>
                  <w:vAlign w:val="center"/>
                </w:tcPr>
                <w:p w14:paraId="3219EB8C">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color w:val="auto"/>
                      <w:sz w:val="21"/>
                      <w:szCs w:val="21"/>
                      <w:lang w:val="en-US" w:eastAsia="zh-CN"/>
                    </w:rPr>
                    <w:t>HW49</w:t>
                  </w:r>
                </w:p>
              </w:tc>
              <w:tc>
                <w:tcPr>
                  <w:tcW w:w="1147" w:type="dxa"/>
                  <w:noWrap w:val="0"/>
                  <w:tcMar>
                    <w:top w:w="0" w:type="dxa"/>
                    <w:left w:w="11" w:type="dxa"/>
                    <w:bottom w:w="0" w:type="dxa"/>
                    <w:right w:w="11" w:type="dxa"/>
                  </w:tcMar>
                  <w:vAlign w:val="center"/>
                </w:tcPr>
                <w:p w14:paraId="231C4939">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color w:val="auto"/>
                      <w:sz w:val="21"/>
                      <w:szCs w:val="21"/>
                      <w:lang w:val="en-US" w:eastAsia="zh-CN"/>
                    </w:rPr>
                    <w:t>900-041-49</w:t>
                  </w:r>
                </w:p>
              </w:tc>
              <w:tc>
                <w:tcPr>
                  <w:tcW w:w="451" w:type="dxa"/>
                  <w:noWrap w:val="0"/>
                  <w:tcMar>
                    <w:top w:w="0" w:type="dxa"/>
                    <w:left w:w="11" w:type="dxa"/>
                    <w:bottom w:w="0" w:type="dxa"/>
                    <w:right w:w="11" w:type="dxa"/>
                  </w:tcMar>
                  <w:vAlign w:val="center"/>
                </w:tcPr>
                <w:p w14:paraId="454F09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T/In</w:t>
                  </w:r>
                </w:p>
              </w:tc>
              <w:tc>
                <w:tcPr>
                  <w:tcW w:w="547" w:type="dxa"/>
                  <w:noWrap w:val="0"/>
                  <w:tcMar>
                    <w:top w:w="0" w:type="dxa"/>
                    <w:left w:w="11" w:type="dxa"/>
                    <w:bottom w:w="0" w:type="dxa"/>
                    <w:right w:w="11" w:type="dxa"/>
                  </w:tcMar>
                  <w:vAlign w:val="center"/>
                </w:tcPr>
                <w:p w14:paraId="28777F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435" w:type="dxa"/>
                  <w:noWrap w:val="0"/>
                  <w:tcMar>
                    <w:top w:w="0" w:type="dxa"/>
                    <w:left w:w="11" w:type="dxa"/>
                    <w:bottom w:w="0" w:type="dxa"/>
                    <w:right w:w="11" w:type="dxa"/>
                  </w:tcMar>
                  <w:vAlign w:val="center"/>
                </w:tcPr>
                <w:p w14:paraId="4786C6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41" w:type="dxa"/>
                  <w:vMerge w:val="continue"/>
                  <w:noWrap w:val="0"/>
                  <w:tcMar>
                    <w:top w:w="0" w:type="dxa"/>
                    <w:left w:w="11" w:type="dxa"/>
                    <w:bottom w:w="0" w:type="dxa"/>
                    <w:right w:w="11" w:type="dxa"/>
                  </w:tcMar>
                  <w:vAlign w:val="center"/>
                </w:tcPr>
                <w:p w14:paraId="298C806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086" w:type="dxa"/>
                  <w:noWrap w:val="0"/>
                  <w:tcMar>
                    <w:top w:w="0" w:type="dxa"/>
                    <w:left w:w="11" w:type="dxa"/>
                    <w:bottom w:w="0" w:type="dxa"/>
                    <w:right w:w="11" w:type="dxa"/>
                  </w:tcMar>
                  <w:vAlign w:val="center"/>
                </w:tcPr>
                <w:p w14:paraId="080DFC6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铁、</w:t>
                  </w:r>
                  <w:r>
                    <w:rPr>
                      <w:rFonts w:hint="eastAsia" w:cs="Times New Roman"/>
                      <w:color w:val="auto"/>
                      <w:spacing w:val="2"/>
                      <w:kern w:val="2"/>
                      <w:sz w:val="21"/>
                      <w:szCs w:val="21"/>
                      <w:lang w:val="en-US" w:eastAsia="zh-CN" w:bidi="ar-SA"/>
                    </w:rPr>
                    <w:t>切削液</w:t>
                  </w:r>
                </w:p>
              </w:tc>
              <w:tc>
                <w:tcPr>
                  <w:tcW w:w="584" w:type="dxa"/>
                  <w:noWrap w:val="0"/>
                  <w:tcMar>
                    <w:top w:w="0" w:type="dxa"/>
                    <w:left w:w="11" w:type="dxa"/>
                    <w:bottom w:w="0" w:type="dxa"/>
                    <w:right w:w="11" w:type="dxa"/>
                  </w:tcMar>
                  <w:vAlign w:val="center"/>
                </w:tcPr>
                <w:p w14:paraId="5BB7366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756" w:type="dxa"/>
                  <w:noWrap w:val="0"/>
                  <w:tcMar>
                    <w:top w:w="0" w:type="dxa"/>
                    <w:left w:w="11" w:type="dxa"/>
                    <w:bottom w:w="0" w:type="dxa"/>
                    <w:right w:w="11" w:type="dxa"/>
                  </w:tcMar>
                  <w:vAlign w:val="center"/>
                </w:tcPr>
                <w:p w14:paraId="03AEE34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w:t>
                  </w:r>
                </w:p>
              </w:tc>
              <w:tc>
                <w:tcPr>
                  <w:tcW w:w="866" w:type="dxa"/>
                  <w:noWrap w:val="0"/>
                  <w:tcMar>
                    <w:top w:w="0" w:type="dxa"/>
                    <w:left w:w="11" w:type="dxa"/>
                    <w:bottom w:w="0" w:type="dxa"/>
                    <w:right w:w="11" w:type="dxa"/>
                  </w:tcMar>
                  <w:vAlign w:val="center"/>
                </w:tcPr>
                <w:p w14:paraId="668E0DD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92" w:type="dxa"/>
                  <w:noWrap w:val="0"/>
                  <w:tcMar>
                    <w:top w:w="0" w:type="dxa"/>
                    <w:left w:w="11" w:type="dxa"/>
                    <w:bottom w:w="0" w:type="dxa"/>
                    <w:right w:w="11" w:type="dxa"/>
                  </w:tcMar>
                  <w:vAlign w:val="center"/>
                </w:tcPr>
                <w:p w14:paraId="2845F28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委外</w:t>
                  </w:r>
                </w:p>
              </w:tc>
              <w:tc>
                <w:tcPr>
                  <w:tcW w:w="597" w:type="dxa"/>
                  <w:vMerge w:val="continue"/>
                  <w:noWrap w:val="0"/>
                  <w:tcMar>
                    <w:top w:w="0" w:type="dxa"/>
                    <w:left w:w="11" w:type="dxa"/>
                    <w:bottom w:w="0" w:type="dxa"/>
                    <w:right w:w="11" w:type="dxa"/>
                  </w:tcMar>
                  <w:vAlign w:val="center"/>
                </w:tcPr>
                <w:p w14:paraId="776BE56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89" w:type="dxa"/>
                  <w:noWrap w:val="0"/>
                  <w:tcMar>
                    <w:top w:w="0" w:type="dxa"/>
                    <w:left w:w="11" w:type="dxa"/>
                    <w:bottom w:w="0" w:type="dxa"/>
                    <w:right w:w="11" w:type="dxa"/>
                  </w:tcMar>
                  <w:vAlign w:val="center"/>
                </w:tcPr>
                <w:p w14:paraId="2D28BA6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w:t>
                  </w:r>
                </w:p>
              </w:tc>
            </w:tr>
            <w:tr w14:paraId="0D3A5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dxa"/>
                  <w:noWrap w:val="0"/>
                  <w:tcMar>
                    <w:top w:w="0" w:type="dxa"/>
                    <w:left w:w="11" w:type="dxa"/>
                    <w:bottom w:w="0" w:type="dxa"/>
                    <w:right w:w="11" w:type="dxa"/>
                  </w:tcMar>
                  <w:vAlign w:val="center"/>
                </w:tcPr>
                <w:p w14:paraId="6B9FF7B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11</w:t>
                  </w:r>
                </w:p>
              </w:tc>
              <w:tc>
                <w:tcPr>
                  <w:tcW w:w="1217" w:type="dxa"/>
                  <w:noWrap w:val="0"/>
                  <w:tcMar>
                    <w:top w:w="0" w:type="dxa"/>
                    <w:left w:w="11" w:type="dxa"/>
                    <w:bottom w:w="0" w:type="dxa"/>
                    <w:right w:w="11" w:type="dxa"/>
                  </w:tcMar>
                  <w:vAlign w:val="center"/>
                </w:tcPr>
                <w:p w14:paraId="53C0C22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废机油桶</w:t>
                  </w:r>
                </w:p>
              </w:tc>
              <w:tc>
                <w:tcPr>
                  <w:tcW w:w="938" w:type="dxa"/>
                  <w:noWrap w:val="0"/>
                  <w:tcMar>
                    <w:top w:w="0" w:type="dxa"/>
                    <w:left w:w="11" w:type="dxa"/>
                    <w:bottom w:w="0" w:type="dxa"/>
                    <w:right w:w="11" w:type="dxa"/>
                  </w:tcMar>
                  <w:vAlign w:val="center"/>
                </w:tcPr>
                <w:p w14:paraId="16AE5BE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机油包装</w:t>
                  </w:r>
                </w:p>
              </w:tc>
              <w:tc>
                <w:tcPr>
                  <w:tcW w:w="489" w:type="dxa"/>
                  <w:noWrap w:val="0"/>
                  <w:tcMar>
                    <w:top w:w="0" w:type="dxa"/>
                    <w:left w:w="11" w:type="dxa"/>
                    <w:bottom w:w="0" w:type="dxa"/>
                    <w:right w:w="11" w:type="dxa"/>
                  </w:tcMar>
                  <w:vAlign w:val="center"/>
                </w:tcPr>
                <w:p w14:paraId="11AB653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62" w:type="dxa"/>
                  <w:noWrap w:val="0"/>
                  <w:tcMar>
                    <w:top w:w="0" w:type="dxa"/>
                    <w:left w:w="11" w:type="dxa"/>
                    <w:bottom w:w="0" w:type="dxa"/>
                    <w:right w:w="11" w:type="dxa"/>
                  </w:tcMar>
                  <w:vAlign w:val="center"/>
                </w:tcPr>
                <w:p w14:paraId="43B0EF2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40" w:type="dxa"/>
                  <w:noWrap w:val="0"/>
                  <w:tcMar>
                    <w:top w:w="0" w:type="dxa"/>
                    <w:left w:w="11" w:type="dxa"/>
                    <w:bottom w:w="0" w:type="dxa"/>
                    <w:right w:w="11" w:type="dxa"/>
                  </w:tcMar>
                  <w:vAlign w:val="center"/>
                </w:tcPr>
                <w:p w14:paraId="13CE9A4E">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HW08</w:t>
                  </w:r>
                </w:p>
              </w:tc>
              <w:tc>
                <w:tcPr>
                  <w:tcW w:w="1147" w:type="dxa"/>
                  <w:noWrap w:val="0"/>
                  <w:tcMar>
                    <w:top w:w="0" w:type="dxa"/>
                    <w:left w:w="11" w:type="dxa"/>
                    <w:bottom w:w="0" w:type="dxa"/>
                    <w:right w:w="11" w:type="dxa"/>
                  </w:tcMar>
                  <w:vAlign w:val="center"/>
                </w:tcPr>
                <w:p w14:paraId="221D07C6">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900-2</w:t>
                  </w:r>
                  <w:r>
                    <w:rPr>
                      <w:rFonts w:hint="eastAsia" w:cs="Times New Roman"/>
                      <w:color w:val="auto"/>
                      <w:sz w:val="21"/>
                      <w:szCs w:val="21"/>
                      <w:lang w:val="en-US" w:eastAsia="zh-CN"/>
                    </w:rPr>
                    <w:t>49</w:t>
                  </w:r>
                  <w:r>
                    <w:rPr>
                      <w:rFonts w:hint="default" w:ascii="Times New Roman" w:hAnsi="Times New Roman" w:eastAsia="宋体" w:cs="Times New Roman"/>
                      <w:color w:val="auto"/>
                      <w:sz w:val="21"/>
                      <w:szCs w:val="21"/>
                      <w:lang w:val="en-US" w:eastAsia="zh-CN"/>
                    </w:rPr>
                    <w:t>-08</w:t>
                  </w:r>
                </w:p>
              </w:tc>
              <w:tc>
                <w:tcPr>
                  <w:tcW w:w="451" w:type="dxa"/>
                  <w:noWrap w:val="0"/>
                  <w:tcMar>
                    <w:top w:w="0" w:type="dxa"/>
                    <w:left w:w="11" w:type="dxa"/>
                    <w:bottom w:w="0" w:type="dxa"/>
                    <w:right w:w="11" w:type="dxa"/>
                  </w:tcMar>
                  <w:vAlign w:val="center"/>
                </w:tcPr>
                <w:p w14:paraId="1ACCE9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T</w:t>
                  </w:r>
                  <w:r>
                    <w:rPr>
                      <w:rFonts w:hint="eastAsia" w:cs="Times New Roman"/>
                      <w:color w:val="auto"/>
                      <w:sz w:val="21"/>
                      <w:szCs w:val="21"/>
                      <w:shd w:val="clear" w:fill="auto"/>
                      <w:lang w:val="en-US" w:eastAsia="zh-CN"/>
                    </w:rPr>
                    <w:t>/</w:t>
                  </w:r>
                  <w:r>
                    <w:rPr>
                      <w:rFonts w:hint="default" w:ascii="Times New Roman" w:hAnsi="Times New Roman" w:eastAsia="宋体" w:cs="Times New Roman"/>
                      <w:color w:val="auto"/>
                      <w:sz w:val="21"/>
                      <w:szCs w:val="21"/>
                      <w:lang w:val="en-US" w:eastAsia="zh-CN"/>
                    </w:rPr>
                    <w:t>I</w:t>
                  </w:r>
                </w:p>
              </w:tc>
              <w:tc>
                <w:tcPr>
                  <w:tcW w:w="547" w:type="dxa"/>
                  <w:noWrap w:val="0"/>
                  <w:tcMar>
                    <w:top w:w="0" w:type="dxa"/>
                    <w:left w:w="11" w:type="dxa"/>
                    <w:bottom w:w="0" w:type="dxa"/>
                    <w:right w:w="11" w:type="dxa"/>
                  </w:tcMar>
                  <w:vAlign w:val="center"/>
                </w:tcPr>
                <w:p w14:paraId="6EC7D2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35" w:type="dxa"/>
                  <w:noWrap w:val="0"/>
                  <w:tcMar>
                    <w:top w:w="0" w:type="dxa"/>
                    <w:left w:w="11" w:type="dxa"/>
                    <w:bottom w:w="0" w:type="dxa"/>
                    <w:right w:w="11" w:type="dxa"/>
                  </w:tcMar>
                  <w:vAlign w:val="center"/>
                </w:tcPr>
                <w:p w14:paraId="1CAB7D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41" w:type="dxa"/>
                  <w:vMerge w:val="continue"/>
                  <w:noWrap w:val="0"/>
                  <w:tcMar>
                    <w:top w:w="0" w:type="dxa"/>
                    <w:left w:w="11" w:type="dxa"/>
                    <w:bottom w:w="0" w:type="dxa"/>
                    <w:right w:w="11" w:type="dxa"/>
                  </w:tcMar>
                  <w:vAlign w:val="center"/>
                </w:tcPr>
                <w:p w14:paraId="5EB0874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086" w:type="dxa"/>
                  <w:noWrap w:val="0"/>
                  <w:tcMar>
                    <w:top w:w="0" w:type="dxa"/>
                    <w:left w:w="11" w:type="dxa"/>
                    <w:bottom w:w="0" w:type="dxa"/>
                    <w:right w:w="11" w:type="dxa"/>
                  </w:tcMar>
                  <w:vAlign w:val="center"/>
                </w:tcPr>
                <w:p w14:paraId="0007BE0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铁、</w:t>
                  </w:r>
                  <w:r>
                    <w:rPr>
                      <w:rFonts w:hint="eastAsia" w:ascii="Times New Roman" w:hAnsi="Times New Roman" w:cs="Times New Roman"/>
                      <w:b w:val="0"/>
                      <w:bCs/>
                      <w:color w:val="auto"/>
                      <w:kern w:val="2"/>
                      <w:sz w:val="21"/>
                      <w:szCs w:val="21"/>
                      <w:lang w:val="en-US" w:eastAsia="zh-CN" w:bidi="ar-SA"/>
                    </w:rPr>
                    <w:t>机油</w:t>
                  </w:r>
                </w:p>
              </w:tc>
              <w:tc>
                <w:tcPr>
                  <w:tcW w:w="584" w:type="dxa"/>
                  <w:noWrap w:val="0"/>
                  <w:tcMar>
                    <w:top w:w="0" w:type="dxa"/>
                    <w:left w:w="11" w:type="dxa"/>
                    <w:bottom w:w="0" w:type="dxa"/>
                    <w:right w:w="11" w:type="dxa"/>
                  </w:tcMar>
                  <w:vAlign w:val="center"/>
                </w:tcPr>
                <w:p w14:paraId="0FF1C41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756" w:type="dxa"/>
                  <w:noWrap w:val="0"/>
                  <w:tcMar>
                    <w:top w:w="0" w:type="dxa"/>
                    <w:left w:w="11" w:type="dxa"/>
                    <w:bottom w:w="0" w:type="dxa"/>
                    <w:right w:w="11" w:type="dxa"/>
                  </w:tcMar>
                  <w:vAlign w:val="center"/>
                </w:tcPr>
                <w:p w14:paraId="170EE00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0.025</w:t>
                  </w:r>
                </w:p>
              </w:tc>
              <w:tc>
                <w:tcPr>
                  <w:tcW w:w="866" w:type="dxa"/>
                  <w:noWrap w:val="0"/>
                  <w:tcMar>
                    <w:top w:w="0" w:type="dxa"/>
                    <w:left w:w="11" w:type="dxa"/>
                    <w:bottom w:w="0" w:type="dxa"/>
                    <w:right w:w="11" w:type="dxa"/>
                  </w:tcMar>
                  <w:vAlign w:val="center"/>
                </w:tcPr>
                <w:p w14:paraId="1CB4FDD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92" w:type="dxa"/>
                  <w:noWrap w:val="0"/>
                  <w:tcMar>
                    <w:top w:w="0" w:type="dxa"/>
                    <w:left w:w="11" w:type="dxa"/>
                    <w:bottom w:w="0" w:type="dxa"/>
                    <w:right w:w="11" w:type="dxa"/>
                  </w:tcMar>
                  <w:vAlign w:val="center"/>
                </w:tcPr>
                <w:p w14:paraId="46D7DB1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委外</w:t>
                  </w:r>
                </w:p>
              </w:tc>
              <w:tc>
                <w:tcPr>
                  <w:tcW w:w="597" w:type="dxa"/>
                  <w:vMerge w:val="continue"/>
                  <w:noWrap w:val="0"/>
                  <w:tcMar>
                    <w:top w:w="0" w:type="dxa"/>
                    <w:left w:w="11" w:type="dxa"/>
                    <w:bottom w:w="0" w:type="dxa"/>
                    <w:right w:w="11" w:type="dxa"/>
                  </w:tcMar>
                  <w:vAlign w:val="center"/>
                </w:tcPr>
                <w:p w14:paraId="27110DA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89" w:type="dxa"/>
                  <w:noWrap w:val="0"/>
                  <w:tcMar>
                    <w:top w:w="0" w:type="dxa"/>
                    <w:left w:w="11" w:type="dxa"/>
                    <w:bottom w:w="0" w:type="dxa"/>
                    <w:right w:w="11" w:type="dxa"/>
                  </w:tcMar>
                  <w:vAlign w:val="center"/>
                </w:tcPr>
                <w:p w14:paraId="4014D92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0.025</w:t>
                  </w:r>
                </w:p>
              </w:tc>
            </w:tr>
            <w:tr w14:paraId="1724F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dxa"/>
                  <w:noWrap w:val="0"/>
                  <w:tcMar>
                    <w:top w:w="0" w:type="dxa"/>
                    <w:left w:w="11" w:type="dxa"/>
                    <w:bottom w:w="0" w:type="dxa"/>
                    <w:right w:w="11" w:type="dxa"/>
                  </w:tcMar>
                  <w:vAlign w:val="center"/>
                </w:tcPr>
                <w:p w14:paraId="33A4984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12</w:t>
                  </w:r>
                </w:p>
              </w:tc>
              <w:tc>
                <w:tcPr>
                  <w:tcW w:w="1217" w:type="dxa"/>
                  <w:noWrap w:val="0"/>
                  <w:tcMar>
                    <w:top w:w="0" w:type="dxa"/>
                    <w:left w:w="11" w:type="dxa"/>
                    <w:bottom w:w="0" w:type="dxa"/>
                    <w:right w:w="11" w:type="dxa"/>
                  </w:tcMar>
                  <w:vAlign w:val="center"/>
                </w:tcPr>
                <w:p w14:paraId="202C2430">
                  <w:pPr>
                    <w:pStyle w:val="28"/>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eastAsia" w:cs="Times New Roman"/>
                      <w:color w:val="auto"/>
                      <w:spacing w:val="2"/>
                      <w:kern w:val="2"/>
                      <w:sz w:val="21"/>
                      <w:szCs w:val="21"/>
                      <w:lang w:val="en-US" w:eastAsia="zh-CN" w:bidi="ar-SA"/>
                    </w:rPr>
                    <w:t>废清洗剂桶</w:t>
                  </w:r>
                </w:p>
              </w:tc>
              <w:tc>
                <w:tcPr>
                  <w:tcW w:w="938" w:type="dxa"/>
                  <w:noWrap w:val="0"/>
                  <w:tcMar>
                    <w:top w:w="0" w:type="dxa"/>
                    <w:left w:w="11" w:type="dxa"/>
                    <w:bottom w:w="0" w:type="dxa"/>
                    <w:right w:w="11" w:type="dxa"/>
                  </w:tcMar>
                  <w:vAlign w:val="center"/>
                </w:tcPr>
                <w:p w14:paraId="1AB0C982">
                  <w:pPr>
                    <w:pStyle w:val="28"/>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eastAsia" w:cs="Times New Roman"/>
                      <w:color w:val="auto"/>
                      <w:spacing w:val="2"/>
                      <w:kern w:val="2"/>
                      <w:sz w:val="21"/>
                      <w:szCs w:val="21"/>
                      <w:lang w:val="en-US" w:eastAsia="zh-CN" w:bidi="ar-SA"/>
                    </w:rPr>
                    <w:t>清洗剂</w:t>
                  </w:r>
                  <w:r>
                    <w:rPr>
                      <w:rFonts w:hint="eastAsia" w:ascii="Times New Roman" w:hAnsi="Times New Roman" w:eastAsia="宋体" w:cs="Times New Roman"/>
                      <w:color w:val="auto"/>
                      <w:spacing w:val="2"/>
                      <w:kern w:val="2"/>
                      <w:sz w:val="21"/>
                      <w:szCs w:val="21"/>
                      <w:lang w:val="en-US" w:eastAsia="zh-CN" w:bidi="ar-SA"/>
                    </w:rPr>
                    <w:t>包装</w:t>
                  </w:r>
                </w:p>
              </w:tc>
              <w:tc>
                <w:tcPr>
                  <w:tcW w:w="489" w:type="dxa"/>
                  <w:noWrap w:val="0"/>
                  <w:tcMar>
                    <w:top w:w="0" w:type="dxa"/>
                    <w:left w:w="11" w:type="dxa"/>
                    <w:bottom w:w="0" w:type="dxa"/>
                    <w:right w:w="11" w:type="dxa"/>
                  </w:tcMar>
                  <w:vAlign w:val="center"/>
                </w:tcPr>
                <w:p w14:paraId="720065A5">
                  <w:pPr>
                    <w:pStyle w:val="28"/>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62" w:type="dxa"/>
                  <w:noWrap w:val="0"/>
                  <w:tcMar>
                    <w:top w:w="0" w:type="dxa"/>
                    <w:left w:w="11" w:type="dxa"/>
                    <w:bottom w:w="0" w:type="dxa"/>
                    <w:right w:w="11" w:type="dxa"/>
                  </w:tcMar>
                  <w:vAlign w:val="center"/>
                </w:tcPr>
                <w:p w14:paraId="0BE75992">
                  <w:pPr>
                    <w:pStyle w:val="28"/>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40" w:type="dxa"/>
                  <w:noWrap w:val="0"/>
                  <w:tcMar>
                    <w:top w:w="0" w:type="dxa"/>
                    <w:left w:w="11" w:type="dxa"/>
                    <w:bottom w:w="0" w:type="dxa"/>
                    <w:right w:w="11" w:type="dxa"/>
                  </w:tcMar>
                  <w:vAlign w:val="center"/>
                </w:tcPr>
                <w:p w14:paraId="6FA3F257">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HW49</w:t>
                  </w:r>
                </w:p>
              </w:tc>
              <w:tc>
                <w:tcPr>
                  <w:tcW w:w="1147" w:type="dxa"/>
                  <w:noWrap w:val="0"/>
                  <w:tcMar>
                    <w:top w:w="0" w:type="dxa"/>
                    <w:left w:w="11" w:type="dxa"/>
                    <w:bottom w:w="0" w:type="dxa"/>
                    <w:right w:w="11" w:type="dxa"/>
                  </w:tcMar>
                  <w:vAlign w:val="center"/>
                </w:tcPr>
                <w:p w14:paraId="6216C756">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900-041-49</w:t>
                  </w:r>
                </w:p>
              </w:tc>
              <w:tc>
                <w:tcPr>
                  <w:tcW w:w="451" w:type="dxa"/>
                  <w:noWrap w:val="0"/>
                  <w:tcMar>
                    <w:top w:w="0" w:type="dxa"/>
                    <w:left w:w="11" w:type="dxa"/>
                    <w:bottom w:w="0" w:type="dxa"/>
                    <w:right w:w="11" w:type="dxa"/>
                  </w:tcMar>
                  <w:vAlign w:val="center"/>
                </w:tcPr>
                <w:p w14:paraId="3048E8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T/In</w:t>
                  </w:r>
                </w:p>
              </w:tc>
              <w:tc>
                <w:tcPr>
                  <w:tcW w:w="547" w:type="dxa"/>
                  <w:noWrap w:val="0"/>
                  <w:tcMar>
                    <w:top w:w="0" w:type="dxa"/>
                    <w:left w:w="11" w:type="dxa"/>
                    <w:bottom w:w="0" w:type="dxa"/>
                    <w:right w:w="11" w:type="dxa"/>
                  </w:tcMar>
                  <w:vAlign w:val="center"/>
                </w:tcPr>
                <w:p w14:paraId="6538A321">
                  <w:pPr>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35" w:type="dxa"/>
                  <w:noWrap w:val="0"/>
                  <w:tcMar>
                    <w:top w:w="0" w:type="dxa"/>
                    <w:left w:w="11" w:type="dxa"/>
                    <w:bottom w:w="0" w:type="dxa"/>
                    <w:right w:w="11" w:type="dxa"/>
                  </w:tcMar>
                  <w:vAlign w:val="center"/>
                </w:tcPr>
                <w:p w14:paraId="2BDC4070">
                  <w:pPr>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41" w:type="dxa"/>
                  <w:vMerge w:val="continue"/>
                  <w:noWrap w:val="0"/>
                  <w:tcMar>
                    <w:top w:w="0" w:type="dxa"/>
                    <w:left w:w="11" w:type="dxa"/>
                    <w:bottom w:w="0" w:type="dxa"/>
                    <w:right w:w="11" w:type="dxa"/>
                  </w:tcMar>
                  <w:vAlign w:val="center"/>
                </w:tcPr>
                <w:p w14:paraId="608076B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086" w:type="dxa"/>
                  <w:noWrap w:val="0"/>
                  <w:tcMar>
                    <w:top w:w="0" w:type="dxa"/>
                    <w:left w:w="11" w:type="dxa"/>
                    <w:bottom w:w="0" w:type="dxa"/>
                    <w:right w:w="11" w:type="dxa"/>
                  </w:tcMar>
                  <w:vAlign w:val="center"/>
                </w:tcPr>
                <w:p w14:paraId="3194459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塑料、清洗剂</w:t>
                  </w:r>
                </w:p>
              </w:tc>
              <w:tc>
                <w:tcPr>
                  <w:tcW w:w="584" w:type="dxa"/>
                  <w:noWrap w:val="0"/>
                  <w:tcMar>
                    <w:top w:w="0" w:type="dxa"/>
                    <w:left w:w="11" w:type="dxa"/>
                    <w:bottom w:w="0" w:type="dxa"/>
                    <w:right w:w="11" w:type="dxa"/>
                  </w:tcMar>
                  <w:vAlign w:val="center"/>
                </w:tcPr>
                <w:p w14:paraId="37FB3AB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液态</w:t>
                  </w:r>
                </w:p>
              </w:tc>
              <w:tc>
                <w:tcPr>
                  <w:tcW w:w="756" w:type="dxa"/>
                  <w:noWrap w:val="0"/>
                  <w:tcMar>
                    <w:top w:w="0" w:type="dxa"/>
                    <w:left w:w="11" w:type="dxa"/>
                    <w:bottom w:w="0" w:type="dxa"/>
                    <w:right w:w="11" w:type="dxa"/>
                  </w:tcMar>
                  <w:vAlign w:val="center"/>
                </w:tcPr>
                <w:p w14:paraId="5372CC2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0.08</w:t>
                  </w:r>
                </w:p>
              </w:tc>
              <w:tc>
                <w:tcPr>
                  <w:tcW w:w="866" w:type="dxa"/>
                  <w:noWrap w:val="0"/>
                  <w:tcMar>
                    <w:top w:w="0" w:type="dxa"/>
                    <w:left w:w="11" w:type="dxa"/>
                    <w:bottom w:w="0" w:type="dxa"/>
                    <w:right w:w="11" w:type="dxa"/>
                  </w:tcMar>
                  <w:vAlign w:val="center"/>
                </w:tcPr>
                <w:p w14:paraId="191B440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92" w:type="dxa"/>
                  <w:noWrap w:val="0"/>
                  <w:tcMar>
                    <w:top w:w="0" w:type="dxa"/>
                    <w:left w:w="11" w:type="dxa"/>
                    <w:bottom w:w="0" w:type="dxa"/>
                    <w:right w:w="11" w:type="dxa"/>
                  </w:tcMar>
                  <w:vAlign w:val="center"/>
                </w:tcPr>
                <w:p w14:paraId="340BAC9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委外</w:t>
                  </w:r>
                </w:p>
              </w:tc>
              <w:tc>
                <w:tcPr>
                  <w:tcW w:w="597" w:type="dxa"/>
                  <w:vMerge w:val="continue"/>
                  <w:noWrap w:val="0"/>
                  <w:tcMar>
                    <w:top w:w="0" w:type="dxa"/>
                    <w:left w:w="11" w:type="dxa"/>
                    <w:bottom w:w="0" w:type="dxa"/>
                    <w:right w:w="11" w:type="dxa"/>
                  </w:tcMar>
                  <w:vAlign w:val="center"/>
                </w:tcPr>
                <w:p w14:paraId="5502BB3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89" w:type="dxa"/>
                  <w:noWrap w:val="0"/>
                  <w:tcMar>
                    <w:top w:w="0" w:type="dxa"/>
                    <w:left w:w="11" w:type="dxa"/>
                    <w:bottom w:w="0" w:type="dxa"/>
                    <w:right w:w="11" w:type="dxa"/>
                  </w:tcMar>
                  <w:vAlign w:val="center"/>
                </w:tcPr>
                <w:p w14:paraId="387ABF2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0.08</w:t>
                  </w:r>
                </w:p>
              </w:tc>
            </w:tr>
            <w:tr w14:paraId="66455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dxa"/>
                  <w:noWrap w:val="0"/>
                  <w:tcMar>
                    <w:top w:w="0" w:type="dxa"/>
                    <w:left w:w="11" w:type="dxa"/>
                    <w:bottom w:w="0" w:type="dxa"/>
                    <w:right w:w="11" w:type="dxa"/>
                  </w:tcMar>
                  <w:vAlign w:val="center"/>
                </w:tcPr>
                <w:p w14:paraId="746F4EC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13</w:t>
                  </w:r>
                </w:p>
              </w:tc>
              <w:tc>
                <w:tcPr>
                  <w:tcW w:w="1217" w:type="dxa"/>
                  <w:noWrap w:val="0"/>
                  <w:tcMar>
                    <w:top w:w="0" w:type="dxa"/>
                    <w:left w:w="11" w:type="dxa"/>
                    <w:bottom w:w="0" w:type="dxa"/>
                    <w:right w:w="11" w:type="dxa"/>
                  </w:tcMar>
                  <w:vAlign w:val="center"/>
                </w:tcPr>
                <w:p w14:paraId="7906D0F9">
                  <w:pPr>
                    <w:pStyle w:val="28"/>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eastAsia" w:cs="Times New Roman"/>
                      <w:color w:val="auto"/>
                      <w:spacing w:val="2"/>
                      <w:kern w:val="2"/>
                      <w:sz w:val="21"/>
                      <w:szCs w:val="21"/>
                      <w:lang w:val="en-US" w:eastAsia="zh-CN" w:bidi="ar-SA"/>
                    </w:rPr>
                  </w:pPr>
                  <w:r>
                    <w:rPr>
                      <w:rFonts w:hint="eastAsia" w:cs="Times New Roman"/>
                      <w:color w:val="auto"/>
                      <w:kern w:val="2"/>
                      <w:sz w:val="21"/>
                      <w:szCs w:val="21"/>
                      <w:highlight w:val="none"/>
                      <w:lang w:val="en-US" w:eastAsia="zh-CN" w:bidi="ar-SA"/>
                    </w:rPr>
                    <w:t>废包装袋</w:t>
                  </w:r>
                </w:p>
              </w:tc>
              <w:tc>
                <w:tcPr>
                  <w:tcW w:w="938" w:type="dxa"/>
                  <w:noWrap w:val="0"/>
                  <w:tcMar>
                    <w:top w:w="0" w:type="dxa"/>
                    <w:left w:w="11" w:type="dxa"/>
                    <w:bottom w:w="0" w:type="dxa"/>
                    <w:right w:w="11" w:type="dxa"/>
                  </w:tcMar>
                  <w:vAlign w:val="center"/>
                </w:tcPr>
                <w:p w14:paraId="346B4AB6">
                  <w:pPr>
                    <w:pStyle w:val="28"/>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cs="Times New Roman"/>
                      <w:color w:val="auto"/>
                      <w:spacing w:val="2"/>
                      <w:kern w:val="2"/>
                      <w:sz w:val="21"/>
                      <w:szCs w:val="21"/>
                      <w:lang w:val="en-US" w:eastAsia="zh-CN" w:bidi="ar-SA"/>
                    </w:rPr>
                  </w:pPr>
                  <w:r>
                    <w:rPr>
                      <w:rFonts w:hint="eastAsia" w:cs="Times New Roman"/>
                      <w:color w:val="auto"/>
                      <w:spacing w:val="2"/>
                      <w:kern w:val="2"/>
                      <w:sz w:val="21"/>
                      <w:szCs w:val="21"/>
                      <w:lang w:val="en-US" w:eastAsia="zh-CN" w:bidi="ar-SA"/>
                    </w:rPr>
                    <w:t>药剂包装</w:t>
                  </w:r>
                </w:p>
              </w:tc>
              <w:tc>
                <w:tcPr>
                  <w:tcW w:w="489" w:type="dxa"/>
                  <w:noWrap w:val="0"/>
                  <w:tcMar>
                    <w:top w:w="0" w:type="dxa"/>
                    <w:left w:w="11" w:type="dxa"/>
                    <w:bottom w:w="0" w:type="dxa"/>
                    <w:right w:w="11" w:type="dxa"/>
                  </w:tcMar>
                  <w:vAlign w:val="center"/>
                </w:tcPr>
                <w:p w14:paraId="2A638A1D">
                  <w:pPr>
                    <w:pStyle w:val="28"/>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62" w:type="dxa"/>
                  <w:noWrap w:val="0"/>
                  <w:tcMar>
                    <w:top w:w="0" w:type="dxa"/>
                    <w:left w:w="11" w:type="dxa"/>
                    <w:bottom w:w="0" w:type="dxa"/>
                    <w:right w:w="11" w:type="dxa"/>
                  </w:tcMar>
                  <w:vAlign w:val="center"/>
                </w:tcPr>
                <w:p w14:paraId="6B4352AB">
                  <w:pPr>
                    <w:pStyle w:val="28"/>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40" w:type="dxa"/>
                  <w:noWrap w:val="0"/>
                  <w:tcMar>
                    <w:top w:w="0" w:type="dxa"/>
                    <w:left w:w="11" w:type="dxa"/>
                    <w:bottom w:w="0" w:type="dxa"/>
                    <w:right w:w="11" w:type="dxa"/>
                  </w:tcMar>
                  <w:vAlign w:val="center"/>
                </w:tcPr>
                <w:p w14:paraId="3448831B">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HW49</w:t>
                  </w:r>
                </w:p>
              </w:tc>
              <w:tc>
                <w:tcPr>
                  <w:tcW w:w="1147" w:type="dxa"/>
                  <w:noWrap w:val="0"/>
                  <w:tcMar>
                    <w:top w:w="0" w:type="dxa"/>
                    <w:left w:w="11" w:type="dxa"/>
                    <w:bottom w:w="0" w:type="dxa"/>
                    <w:right w:w="11" w:type="dxa"/>
                  </w:tcMar>
                  <w:vAlign w:val="center"/>
                </w:tcPr>
                <w:p w14:paraId="3C67EE0F">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900-041-49</w:t>
                  </w:r>
                </w:p>
              </w:tc>
              <w:tc>
                <w:tcPr>
                  <w:tcW w:w="451" w:type="dxa"/>
                  <w:noWrap w:val="0"/>
                  <w:tcMar>
                    <w:top w:w="0" w:type="dxa"/>
                    <w:left w:w="11" w:type="dxa"/>
                    <w:bottom w:w="0" w:type="dxa"/>
                    <w:right w:w="11" w:type="dxa"/>
                  </w:tcMar>
                  <w:vAlign w:val="center"/>
                </w:tcPr>
                <w:p w14:paraId="3F292F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T/In</w:t>
                  </w:r>
                </w:p>
              </w:tc>
              <w:tc>
                <w:tcPr>
                  <w:tcW w:w="547" w:type="dxa"/>
                  <w:noWrap w:val="0"/>
                  <w:tcMar>
                    <w:top w:w="0" w:type="dxa"/>
                    <w:left w:w="11" w:type="dxa"/>
                    <w:bottom w:w="0" w:type="dxa"/>
                    <w:right w:w="11" w:type="dxa"/>
                  </w:tcMar>
                  <w:vAlign w:val="center"/>
                </w:tcPr>
                <w:p w14:paraId="164D347B">
                  <w:pPr>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35" w:type="dxa"/>
                  <w:noWrap w:val="0"/>
                  <w:tcMar>
                    <w:top w:w="0" w:type="dxa"/>
                    <w:left w:w="11" w:type="dxa"/>
                    <w:bottom w:w="0" w:type="dxa"/>
                    <w:right w:w="11" w:type="dxa"/>
                  </w:tcMar>
                  <w:vAlign w:val="center"/>
                </w:tcPr>
                <w:p w14:paraId="11799951">
                  <w:pPr>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41" w:type="dxa"/>
                  <w:vMerge w:val="continue"/>
                  <w:noWrap w:val="0"/>
                  <w:tcMar>
                    <w:top w:w="0" w:type="dxa"/>
                    <w:left w:w="11" w:type="dxa"/>
                    <w:bottom w:w="0" w:type="dxa"/>
                    <w:right w:w="11" w:type="dxa"/>
                  </w:tcMar>
                  <w:vAlign w:val="center"/>
                </w:tcPr>
                <w:p w14:paraId="7A8FEF4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086" w:type="dxa"/>
                  <w:noWrap w:val="0"/>
                  <w:tcMar>
                    <w:top w:w="0" w:type="dxa"/>
                    <w:left w:w="11" w:type="dxa"/>
                    <w:bottom w:w="0" w:type="dxa"/>
                    <w:right w:w="11" w:type="dxa"/>
                  </w:tcMar>
                  <w:vAlign w:val="center"/>
                </w:tcPr>
                <w:p w14:paraId="4E45D47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塑料、PAC、PAM</w:t>
                  </w:r>
                  <w:r>
                    <w:rPr>
                      <w:rFonts w:hint="eastAsia" w:cs="Times New Roman"/>
                      <w:color w:val="auto"/>
                      <w:sz w:val="21"/>
                      <w:szCs w:val="21"/>
                      <w:lang w:val="en-US" w:eastAsia="zh-CN"/>
                    </w:rPr>
                    <w:t>、</w:t>
                  </w:r>
                  <w:r>
                    <w:rPr>
                      <w:rFonts w:hint="eastAsia"/>
                      <w:color w:val="auto"/>
                      <w:sz w:val="21"/>
                      <w:szCs w:val="21"/>
                      <w:lang w:val="en-US" w:eastAsia="zh-CN"/>
                    </w:rPr>
                    <w:t>柠檬酸</w:t>
                  </w:r>
                </w:p>
              </w:tc>
              <w:tc>
                <w:tcPr>
                  <w:tcW w:w="584" w:type="dxa"/>
                  <w:noWrap w:val="0"/>
                  <w:tcMar>
                    <w:top w:w="0" w:type="dxa"/>
                    <w:left w:w="11" w:type="dxa"/>
                    <w:bottom w:w="0" w:type="dxa"/>
                    <w:right w:w="11" w:type="dxa"/>
                  </w:tcMar>
                  <w:vAlign w:val="center"/>
                </w:tcPr>
                <w:p w14:paraId="132D9FB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756" w:type="dxa"/>
                  <w:noWrap w:val="0"/>
                  <w:tcMar>
                    <w:top w:w="0" w:type="dxa"/>
                    <w:left w:w="11" w:type="dxa"/>
                    <w:bottom w:w="0" w:type="dxa"/>
                    <w:right w:w="11" w:type="dxa"/>
                  </w:tcMar>
                  <w:vAlign w:val="center"/>
                </w:tcPr>
                <w:p w14:paraId="58281A3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0.001</w:t>
                  </w:r>
                </w:p>
              </w:tc>
              <w:tc>
                <w:tcPr>
                  <w:tcW w:w="866" w:type="dxa"/>
                  <w:noWrap w:val="0"/>
                  <w:tcMar>
                    <w:top w:w="0" w:type="dxa"/>
                    <w:left w:w="11" w:type="dxa"/>
                    <w:bottom w:w="0" w:type="dxa"/>
                    <w:right w:w="11" w:type="dxa"/>
                  </w:tcMar>
                  <w:vAlign w:val="center"/>
                </w:tcPr>
                <w:p w14:paraId="2600632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92" w:type="dxa"/>
                  <w:noWrap w:val="0"/>
                  <w:tcMar>
                    <w:top w:w="0" w:type="dxa"/>
                    <w:left w:w="11" w:type="dxa"/>
                    <w:bottom w:w="0" w:type="dxa"/>
                    <w:right w:w="11" w:type="dxa"/>
                  </w:tcMar>
                  <w:vAlign w:val="center"/>
                </w:tcPr>
                <w:p w14:paraId="0CC3A2F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委外</w:t>
                  </w:r>
                </w:p>
              </w:tc>
              <w:tc>
                <w:tcPr>
                  <w:tcW w:w="597" w:type="dxa"/>
                  <w:vMerge w:val="continue"/>
                  <w:noWrap w:val="0"/>
                  <w:tcMar>
                    <w:top w:w="0" w:type="dxa"/>
                    <w:left w:w="11" w:type="dxa"/>
                    <w:bottom w:w="0" w:type="dxa"/>
                    <w:right w:w="11" w:type="dxa"/>
                  </w:tcMar>
                  <w:vAlign w:val="center"/>
                </w:tcPr>
                <w:p w14:paraId="653B1B2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789" w:type="dxa"/>
                  <w:noWrap w:val="0"/>
                  <w:tcMar>
                    <w:top w:w="0" w:type="dxa"/>
                    <w:left w:w="11" w:type="dxa"/>
                    <w:bottom w:w="0" w:type="dxa"/>
                    <w:right w:w="11" w:type="dxa"/>
                  </w:tcMar>
                  <w:vAlign w:val="center"/>
                </w:tcPr>
                <w:p w14:paraId="56A7B51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0.001</w:t>
                  </w:r>
                </w:p>
              </w:tc>
            </w:tr>
            <w:tr w14:paraId="63AE3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dxa"/>
                  <w:noWrap w:val="0"/>
                  <w:tcMar>
                    <w:top w:w="0" w:type="dxa"/>
                    <w:left w:w="11" w:type="dxa"/>
                    <w:bottom w:w="0" w:type="dxa"/>
                    <w:right w:w="11" w:type="dxa"/>
                  </w:tcMar>
                  <w:vAlign w:val="center"/>
                </w:tcPr>
                <w:p w14:paraId="59E8927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14</w:t>
                  </w:r>
                </w:p>
              </w:tc>
              <w:tc>
                <w:tcPr>
                  <w:tcW w:w="1217" w:type="dxa"/>
                  <w:noWrap w:val="0"/>
                  <w:tcMar>
                    <w:top w:w="0" w:type="dxa"/>
                    <w:left w:w="11" w:type="dxa"/>
                    <w:bottom w:w="0" w:type="dxa"/>
                    <w:right w:w="11" w:type="dxa"/>
                  </w:tcMar>
                  <w:vAlign w:val="center"/>
                </w:tcPr>
                <w:p w14:paraId="4C32B47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eastAsia" w:cs="Times New Roman"/>
                      <w:color w:val="auto"/>
                      <w:spacing w:val="2"/>
                      <w:kern w:val="2"/>
                      <w:sz w:val="21"/>
                      <w:szCs w:val="21"/>
                      <w:lang w:val="en-US" w:eastAsia="zh-CN" w:bidi="ar-SA"/>
                    </w:rPr>
                    <w:t>含油废抹布手套</w:t>
                  </w:r>
                </w:p>
              </w:tc>
              <w:tc>
                <w:tcPr>
                  <w:tcW w:w="938" w:type="dxa"/>
                  <w:noWrap w:val="0"/>
                  <w:tcMar>
                    <w:top w:w="0" w:type="dxa"/>
                    <w:left w:w="11" w:type="dxa"/>
                    <w:bottom w:w="0" w:type="dxa"/>
                    <w:right w:w="11" w:type="dxa"/>
                  </w:tcMar>
                  <w:vAlign w:val="center"/>
                </w:tcPr>
                <w:p w14:paraId="09BC53C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设备维护、擦拭</w:t>
                  </w:r>
                </w:p>
              </w:tc>
              <w:tc>
                <w:tcPr>
                  <w:tcW w:w="489" w:type="dxa"/>
                  <w:noWrap w:val="0"/>
                  <w:tcMar>
                    <w:top w:w="0" w:type="dxa"/>
                    <w:left w:w="11" w:type="dxa"/>
                    <w:bottom w:w="0" w:type="dxa"/>
                    <w:right w:w="11" w:type="dxa"/>
                  </w:tcMar>
                  <w:vAlign w:val="center"/>
                </w:tcPr>
                <w:p w14:paraId="60A41A9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462" w:type="dxa"/>
                  <w:noWrap w:val="0"/>
                  <w:tcMar>
                    <w:top w:w="0" w:type="dxa"/>
                    <w:left w:w="11" w:type="dxa"/>
                    <w:bottom w:w="0" w:type="dxa"/>
                    <w:right w:w="11" w:type="dxa"/>
                  </w:tcMar>
                  <w:vAlign w:val="center"/>
                </w:tcPr>
                <w:p w14:paraId="2445C9C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640" w:type="dxa"/>
                  <w:noWrap w:val="0"/>
                  <w:tcMar>
                    <w:top w:w="0" w:type="dxa"/>
                    <w:left w:w="11" w:type="dxa"/>
                    <w:bottom w:w="0" w:type="dxa"/>
                    <w:right w:w="11" w:type="dxa"/>
                  </w:tcMar>
                  <w:vAlign w:val="center"/>
                </w:tcPr>
                <w:p w14:paraId="487F05BF">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color w:val="auto"/>
                      <w:sz w:val="21"/>
                      <w:szCs w:val="21"/>
                      <w:lang w:val="en-US" w:eastAsia="zh-CN"/>
                    </w:rPr>
                    <w:t>HW49</w:t>
                  </w:r>
                </w:p>
              </w:tc>
              <w:tc>
                <w:tcPr>
                  <w:tcW w:w="1147" w:type="dxa"/>
                  <w:noWrap w:val="0"/>
                  <w:tcMar>
                    <w:top w:w="0" w:type="dxa"/>
                    <w:left w:w="11" w:type="dxa"/>
                    <w:bottom w:w="0" w:type="dxa"/>
                    <w:right w:w="11" w:type="dxa"/>
                  </w:tcMar>
                  <w:vAlign w:val="center"/>
                </w:tcPr>
                <w:p w14:paraId="644A838C">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color w:val="auto"/>
                      <w:sz w:val="21"/>
                      <w:szCs w:val="21"/>
                      <w:lang w:val="en-US" w:eastAsia="zh-CN"/>
                    </w:rPr>
                    <w:t>900-041-49</w:t>
                  </w:r>
                </w:p>
              </w:tc>
              <w:tc>
                <w:tcPr>
                  <w:tcW w:w="451" w:type="dxa"/>
                  <w:noWrap w:val="0"/>
                  <w:tcMar>
                    <w:top w:w="0" w:type="dxa"/>
                    <w:left w:w="11" w:type="dxa"/>
                    <w:bottom w:w="0" w:type="dxa"/>
                    <w:right w:w="11" w:type="dxa"/>
                  </w:tcMar>
                  <w:vAlign w:val="center"/>
                </w:tcPr>
                <w:p w14:paraId="0386BF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T/In</w:t>
                  </w:r>
                </w:p>
              </w:tc>
              <w:tc>
                <w:tcPr>
                  <w:tcW w:w="547" w:type="dxa"/>
                  <w:noWrap w:val="0"/>
                  <w:tcMar>
                    <w:top w:w="0" w:type="dxa"/>
                    <w:left w:w="11" w:type="dxa"/>
                    <w:bottom w:w="0" w:type="dxa"/>
                    <w:right w:w="11" w:type="dxa"/>
                  </w:tcMar>
                  <w:vAlign w:val="center"/>
                </w:tcPr>
                <w:p w14:paraId="65BD06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435" w:type="dxa"/>
                  <w:noWrap w:val="0"/>
                  <w:tcMar>
                    <w:top w:w="0" w:type="dxa"/>
                    <w:left w:w="11" w:type="dxa"/>
                    <w:bottom w:w="0" w:type="dxa"/>
                    <w:right w:w="11" w:type="dxa"/>
                  </w:tcMar>
                  <w:vAlign w:val="center"/>
                </w:tcPr>
                <w:p w14:paraId="037CF8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w:t>
                  </w:r>
                </w:p>
              </w:tc>
              <w:tc>
                <w:tcPr>
                  <w:tcW w:w="741" w:type="dxa"/>
                  <w:vMerge w:val="continue"/>
                  <w:noWrap w:val="0"/>
                  <w:tcMar>
                    <w:top w:w="0" w:type="dxa"/>
                    <w:left w:w="11" w:type="dxa"/>
                    <w:bottom w:w="0" w:type="dxa"/>
                    <w:right w:w="11" w:type="dxa"/>
                  </w:tcMar>
                  <w:vAlign w:val="center"/>
                </w:tcPr>
                <w:p w14:paraId="7BE4F3D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086" w:type="dxa"/>
                  <w:noWrap w:val="0"/>
                  <w:tcMar>
                    <w:top w:w="0" w:type="dxa"/>
                    <w:left w:w="11" w:type="dxa"/>
                    <w:bottom w:w="0" w:type="dxa"/>
                    <w:right w:w="11" w:type="dxa"/>
                  </w:tcMar>
                  <w:vAlign w:val="center"/>
                </w:tcPr>
                <w:p w14:paraId="2F3BAB7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有机物、纤维</w:t>
                  </w:r>
                </w:p>
              </w:tc>
              <w:tc>
                <w:tcPr>
                  <w:tcW w:w="584" w:type="dxa"/>
                  <w:noWrap w:val="0"/>
                  <w:tcMar>
                    <w:top w:w="0" w:type="dxa"/>
                    <w:left w:w="11" w:type="dxa"/>
                    <w:bottom w:w="0" w:type="dxa"/>
                    <w:right w:w="11" w:type="dxa"/>
                  </w:tcMar>
                  <w:vAlign w:val="center"/>
                </w:tcPr>
                <w:p w14:paraId="10CE729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756" w:type="dxa"/>
                  <w:noWrap w:val="0"/>
                  <w:tcMar>
                    <w:top w:w="0" w:type="dxa"/>
                    <w:left w:w="11" w:type="dxa"/>
                    <w:bottom w:w="0" w:type="dxa"/>
                    <w:right w:w="11" w:type="dxa"/>
                  </w:tcMar>
                  <w:vAlign w:val="center"/>
                </w:tcPr>
                <w:p w14:paraId="750AE7E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w:t>
                  </w:r>
                </w:p>
              </w:tc>
              <w:tc>
                <w:tcPr>
                  <w:tcW w:w="866" w:type="dxa"/>
                  <w:noWrap w:val="0"/>
                  <w:tcMar>
                    <w:top w:w="0" w:type="dxa"/>
                    <w:left w:w="11" w:type="dxa"/>
                    <w:bottom w:w="0" w:type="dxa"/>
                    <w:right w:w="11" w:type="dxa"/>
                  </w:tcMar>
                  <w:vAlign w:val="center"/>
                </w:tcPr>
                <w:p w14:paraId="2D03256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袋装</w:t>
                  </w:r>
                </w:p>
              </w:tc>
              <w:tc>
                <w:tcPr>
                  <w:tcW w:w="792" w:type="dxa"/>
                  <w:noWrap w:val="0"/>
                  <w:tcMar>
                    <w:top w:w="0" w:type="dxa"/>
                    <w:left w:w="11" w:type="dxa"/>
                    <w:bottom w:w="0" w:type="dxa"/>
                    <w:right w:w="11" w:type="dxa"/>
                  </w:tcMar>
                  <w:vAlign w:val="center"/>
                </w:tcPr>
                <w:p w14:paraId="60A9E2D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委外</w:t>
                  </w:r>
                </w:p>
              </w:tc>
              <w:tc>
                <w:tcPr>
                  <w:tcW w:w="597" w:type="dxa"/>
                  <w:vMerge w:val="continue"/>
                  <w:noWrap w:val="0"/>
                  <w:tcMar>
                    <w:top w:w="0" w:type="dxa"/>
                    <w:left w:w="11" w:type="dxa"/>
                    <w:bottom w:w="0" w:type="dxa"/>
                    <w:right w:w="11" w:type="dxa"/>
                  </w:tcMar>
                  <w:vAlign w:val="center"/>
                </w:tcPr>
                <w:p w14:paraId="561DA09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789" w:type="dxa"/>
                  <w:noWrap w:val="0"/>
                  <w:tcMar>
                    <w:top w:w="0" w:type="dxa"/>
                    <w:left w:w="11" w:type="dxa"/>
                    <w:bottom w:w="0" w:type="dxa"/>
                    <w:right w:w="11" w:type="dxa"/>
                  </w:tcMar>
                  <w:vAlign w:val="center"/>
                </w:tcPr>
                <w:p w14:paraId="58CAF9E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0.05</w:t>
                  </w:r>
                </w:p>
              </w:tc>
            </w:tr>
            <w:tr w14:paraId="59330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8" w:type="dxa"/>
                  <w:noWrap w:val="0"/>
                  <w:tcMar>
                    <w:top w:w="0" w:type="dxa"/>
                    <w:left w:w="11" w:type="dxa"/>
                    <w:bottom w:w="0" w:type="dxa"/>
                    <w:right w:w="11" w:type="dxa"/>
                  </w:tcMar>
                  <w:vAlign w:val="center"/>
                </w:tcPr>
                <w:p w14:paraId="76F0CBA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15</w:t>
                  </w:r>
                </w:p>
              </w:tc>
              <w:tc>
                <w:tcPr>
                  <w:tcW w:w="1217" w:type="dxa"/>
                  <w:noWrap w:val="0"/>
                  <w:tcMar>
                    <w:top w:w="0" w:type="dxa"/>
                    <w:left w:w="11" w:type="dxa"/>
                    <w:bottom w:w="0" w:type="dxa"/>
                    <w:right w:w="11" w:type="dxa"/>
                  </w:tcMar>
                  <w:vAlign w:val="center"/>
                </w:tcPr>
                <w:p w14:paraId="310CBCD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2"/>
                      <w:kern w:val="2"/>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废MBR膜</w:t>
                  </w:r>
                </w:p>
              </w:tc>
              <w:tc>
                <w:tcPr>
                  <w:tcW w:w="938" w:type="dxa"/>
                  <w:noWrap w:val="0"/>
                  <w:tcMar>
                    <w:top w:w="0" w:type="dxa"/>
                    <w:left w:w="11" w:type="dxa"/>
                    <w:bottom w:w="0" w:type="dxa"/>
                    <w:right w:w="11" w:type="dxa"/>
                  </w:tcMar>
                  <w:vAlign w:val="center"/>
                </w:tcPr>
                <w:p w14:paraId="0D73A51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eastAsia" w:cs="Times New Roman"/>
                      <w:color w:val="auto"/>
                      <w:spacing w:val="2"/>
                      <w:kern w:val="2"/>
                      <w:sz w:val="21"/>
                      <w:szCs w:val="21"/>
                      <w:lang w:val="en-US" w:eastAsia="zh-CN" w:bidi="ar-SA"/>
                    </w:rPr>
                    <w:t>污水站</w:t>
                  </w:r>
                </w:p>
              </w:tc>
              <w:tc>
                <w:tcPr>
                  <w:tcW w:w="489" w:type="dxa"/>
                  <w:noWrap w:val="0"/>
                  <w:tcMar>
                    <w:top w:w="0" w:type="dxa"/>
                    <w:left w:w="11" w:type="dxa"/>
                    <w:bottom w:w="0" w:type="dxa"/>
                    <w:right w:w="11" w:type="dxa"/>
                  </w:tcMar>
                  <w:vAlign w:val="center"/>
                </w:tcPr>
                <w:p w14:paraId="2ACF8EE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62" w:type="dxa"/>
                  <w:noWrap w:val="0"/>
                  <w:tcMar>
                    <w:top w:w="0" w:type="dxa"/>
                    <w:left w:w="11" w:type="dxa"/>
                    <w:bottom w:w="0" w:type="dxa"/>
                    <w:right w:w="11" w:type="dxa"/>
                  </w:tcMar>
                  <w:vAlign w:val="center"/>
                </w:tcPr>
                <w:p w14:paraId="1D6ED9C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40" w:type="dxa"/>
                  <w:noWrap w:val="0"/>
                  <w:tcMar>
                    <w:top w:w="0" w:type="dxa"/>
                    <w:left w:w="11" w:type="dxa"/>
                    <w:bottom w:w="0" w:type="dxa"/>
                    <w:right w:w="11" w:type="dxa"/>
                  </w:tcMar>
                  <w:vAlign w:val="center"/>
                </w:tcPr>
                <w:p w14:paraId="14861E02">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HW49</w:t>
                  </w:r>
                </w:p>
              </w:tc>
              <w:tc>
                <w:tcPr>
                  <w:tcW w:w="1147" w:type="dxa"/>
                  <w:noWrap w:val="0"/>
                  <w:tcMar>
                    <w:top w:w="0" w:type="dxa"/>
                    <w:left w:w="11" w:type="dxa"/>
                    <w:bottom w:w="0" w:type="dxa"/>
                    <w:right w:w="11" w:type="dxa"/>
                  </w:tcMar>
                  <w:vAlign w:val="center"/>
                </w:tcPr>
                <w:p w14:paraId="2B87EA4D">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900-041-49</w:t>
                  </w:r>
                </w:p>
              </w:tc>
              <w:tc>
                <w:tcPr>
                  <w:tcW w:w="451" w:type="dxa"/>
                  <w:noWrap w:val="0"/>
                  <w:tcMar>
                    <w:top w:w="0" w:type="dxa"/>
                    <w:left w:w="11" w:type="dxa"/>
                    <w:bottom w:w="0" w:type="dxa"/>
                    <w:right w:w="11" w:type="dxa"/>
                  </w:tcMar>
                  <w:vAlign w:val="center"/>
                </w:tcPr>
                <w:p w14:paraId="4ACF7D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T/In</w:t>
                  </w:r>
                </w:p>
              </w:tc>
              <w:tc>
                <w:tcPr>
                  <w:tcW w:w="547" w:type="dxa"/>
                  <w:noWrap w:val="0"/>
                  <w:tcMar>
                    <w:top w:w="0" w:type="dxa"/>
                    <w:left w:w="11" w:type="dxa"/>
                    <w:bottom w:w="0" w:type="dxa"/>
                    <w:right w:w="11" w:type="dxa"/>
                  </w:tcMar>
                  <w:vAlign w:val="center"/>
                </w:tcPr>
                <w:p w14:paraId="121F32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435" w:type="dxa"/>
                  <w:noWrap w:val="0"/>
                  <w:tcMar>
                    <w:top w:w="0" w:type="dxa"/>
                    <w:left w:w="11" w:type="dxa"/>
                    <w:bottom w:w="0" w:type="dxa"/>
                    <w:right w:w="11" w:type="dxa"/>
                  </w:tcMar>
                  <w:vAlign w:val="center"/>
                </w:tcPr>
                <w:p w14:paraId="599625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741" w:type="dxa"/>
                  <w:noWrap w:val="0"/>
                  <w:tcMar>
                    <w:top w:w="0" w:type="dxa"/>
                    <w:left w:w="11" w:type="dxa"/>
                    <w:bottom w:w="0" w:type="dxa"/>
                    <w:right w:w="11" w:type="dxa"/>
                  </w:tcMar>
                  <w:vAlign w:val="center"/>
                </w:tcPr>
                <w:p w14:paraId="1BFBCE0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1086" w:type="dxa"/>
                  <w:noWrap w:val="0"/>
                  <w:tcMar>
                    <w:top w:w="0" w:type="dxa"/>
                    <w:left w:w="11" w:type="dxa"/>
                    <w:bottom w:w="0" w:type="dxa"/>
                    <w:right w:w="11" w:type="dxa"/>
                  </w:tcMar>
                  <w:vAlign w:val="center"/>
                </w:tcPr>
                <w:p w14:paraId="3E0FD24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有机物、纤维</w:t>
                  </w:r>
                </w:p>
              </w:tc>
              <w:tc>
                <w:tcPr>
                  <w:tcW w:w="584" w:type="dxa"/>
                  <w:noWrap w:val="0"/>
                  <w:tcMar>
                    <w:top w:w="0" w:type="dxa"/>
                    <w:left w:w="11" w:type="dxa"/>
                    <w:bottom w:w="0" w:type="dxa"/>
                    <w:right w:w="11" w:type="dxa"/>
                  </w:tcMar>
                  <w:vAlign w:val="center"/>
                </w:tcPr>
                <w:p w14:paraId="4E09040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固态</w:t>
                  </w:r>
                </w:p>
              </w:tc>
              <w:tc>
                <w:tcPr>
                  <w:tcW w:w="756" w:type="dxa"/>
                  <w:noWrap w:val="0"/>
                  <w:tcMar>
                    <w:top w:w="0" w:type="dxa"/>
                    <w:left w:w="11" w:type="dxa"/>
                    <w:bottom w:w="0" w:type="dxa"/>
                    <w:right w:w="11" w:type="dxa"/>
                  </w:tcMar>
                  <w:vAlign w:val="center"/>
                </w:tcPr>
                <w:p w14:paraId="675CE29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w:t>
                  </w:r>
                </w:p>
              </w:tc>
              <w:tc>
                <w:tcPr>
                  <w:tcW w:w="866" w:type="dxa"/>
                  <w:noWrap w:val="0"/>
                  <w:tcMar>
                    <w:top w:w="0" w:type="dxa"/>
                    <w:left w:w="11" w:type="dxa"/>
                    <w:bottom w:w="0" w:type="dxa"/>
                    <w:right w:w="11" w:type="dxa"/>
                  </w:tcMar>
                  <w:vAlign w:val="center"/>
                </w:tcPr>
                <w:p w14:paraId="4FD89E3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袋装</w:t>
                  </w:r>
                </w:p>
              </w:tc>
              <w:tc>
                <w:tcPr>
                  <w:tcW w:w="792" w:type="dxa"/>
                  <w:noWrap w:val="0"/>
                  <w:tcMar>
                    <w:top w:w="0" w:type="dxa"/>
                    <w:left w:w="11" w:type="dxa"/>
                    <w:bottom w:w="0" w:type="dxa"/>
                    <w:right w:w="11" w:type="dxa"/>
                  </w:tcMar>
                  <w:vAlign w:val="center"/>
                </w:tcPr>
                <w:p w14:paraId="4627984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委外</w:t>
                  </w:r>
                </w:p>
              </w:tc>
              <w:tc>
                <w:tcPr>
                  <w:tcW w:w="597" w:type="dxa"/>
                  <w:vMerge w:val="continue"/>
                  <w:noWrap w:val="0"/>
                  <w:tcMar>
                    <w:top w:w="0" w:type="dxa"/>
                    <w:left w:w="11" w:type="dxa"/>
                    <w:bottom w:w="0" w:type="dxa"/>
                    <w:right w:w="11" w:type="dxa"/>
                  </w:tcMar>
                  <w:vAlign w:val="center"/>
                </w:tcPr>
                <w:p w14:paraId="1436DE6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rPr>
                  </w:pPr>
                </w:p>
              </w:tc>
              <w:tc>
                <w:tcPr>
                  <w:tcW w:w="789" w:type="dxa"/>
                  <w:noWrap w:val="0"/>
                  <w:tcMar>
                    <w:top w:w="0" w:type="dxa"/>
                    <w:left w:w="11" w:type="dxa"/>
                    <w:bottom w:w="0" w:type="dxa"/>
                    <w:right w:w="11" w:type="dxa"/>
                  </w:tcMar>
                  <w:vAlign w:val="center"/>
                </w:tcPr>
                <w:p w14:paraId="5DF96F5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0.1</w:t>
                  </w:r>
                </w:p>
              </w:tc>
            </w:tr>
          </w:tbl>
          <w:p w14:paraId="34EA9805">
            <w:pPr>
              <w:adjustRightInd w:val="0"/>
              <w:snapToGrid w:val="0"/>
              <w:jc w:val="both"/>
              <w:rPr>
                <w:rFonts w:hint="default" w:ascii="Times New Roman" w:hAnsi="Times New Roman" w:eastAsia="宋体" w:cs="Times New Roman"/>
                <w:b/>
                <w:bCs w:val="0"/>
                <w:color w:val="auto"/>
                <w:sz w:val="24"/>
                <w:lang w:val="en-US" w:eastAsia="zh-CN"/>
              </w:rPr>
            </w:pPr>
            <w:r>
              <w:rPr>
                <w:rFonts w:hint="default" w:ascii="Times New Roman" w:hAnsi="Times New Roman" w:eastAsia="宋体" w:cs="Times New Roman"/>
                <w:b w:val="0"/>
                <w:bCs w:val="0"/>
                <w:color w:val="auto"/>
                <w:sz w:val="24"/>
              </w:rPr>
              <w:t>本项目</w:t>
            </w:r>
            <w:r>
              <w:rPr>
                <w:rFonts w:hint="default" w:ascii="Times New Roman" w:hAnsi="Times New Roman" w:eastAsia="宋体" w:cs="Times New Roman"/>
                <w:b w:val="0"/>
                <w:bCs w:val="0"/>
                <w:color w:val="auto"/>
                <w:sz w:val="24"/>
                <w:lang w:val="en-US" w:eastAsia="zh-CN"/>
              </w:rPr>
              <w:t>运营期</w:t>
            </w:r>
            <w:r>
              <w:rPr>
                <w:rFonts w:hint="default" w:ascii="Times New Roman" w:hAnsi="Times New Roman" w:eastAsia="宋体" w:cs="Times New Roman"/>
                <w:b w:val="0"/>
                <w:bCs w:val="0"/>
                <w:color w:val="auto"/>
                <w:sz w:val="24"/>
              </w:rPr>
              <w:t>固废处理处置率</w:t>
            </w:r>
            <w:r>
              <w:rPr>
                <w:rFonts w:hint="default" w:ascii="Times New Roman" w:hAnsi="Times New Roman" w:eastAsia="宋体" w:cs="Times New Roman"/>
                <w:b w:val="0"/>
                <w:bCs w:val="0"/>
                <w:color w:val="auto"/>
                <w:sz w:val="24"/>
                <w:shd w:val="clear" w:fill="auto"/>
              </w:rPr>
              <w:t>100%</w:t>
            </w:r>
            <w:r>
              <w:rPr>
                <w:rFonts w:hint="default" w:ascii="Times New Roman" w:hAnsi="Times New Roman" w:eastAsia="宋体" w:cs="Times New Roman"/>
                <w:b w:val="0"/>
                <w:bCs w:val="0"/>
                <w:color w:val="auto"/>
                <w:sz w:val="24"/>
              </w:rPr>
              <w:t>，固体</w:t>
            </w:r>
            <w:r>
              <w:rPr>
                <w:rFonts w:hint="default" w:ascii="Times New Roman" w:hAnsi="Times New Roman" w:eastAsia="宋体" w:cs="Times New Roman"/>
                <w:b w:val="0"/>
                <w:bCs w:val="0"/>
                <w:color w:val="auto"/>
                <w:sz w:val="24"/>
                <w:shd w:val="clear" w:fill="auto"/>
              </w:rPr>
              <w:t>废物</w:t>
            </w:r>
            <w:r>
              <w:rPr>
                <w:rFonts w:hint="default" w:ascii="Times New Roman" w:hAnsi="Times New Roman" w:eastAsia="宋体" w:cs="Times New Roman"/>
                <w:b w:val="0"/>
                <w:bCs w:val="0"/>
                <w:color w:val="auto"/>
                <w:sz w:val="24"/>
              </w:rPr>
              <w:t>不直接排入外环境。</w:t>
            </w:r>
          </w:p>
        </w:tc>
      </w:tr>
    </w:tbl>
    <w:p w14:paraId="390240F4">
      <w:pPr>
        <w:pStyle w:val="25"/>
        <w:rPr>
          <w:rFonts w:hint="default" w:ascii="Times New Roman" w:hAnsi="Times New Roman" w:eastAsia="宋体" w:cs="Times New Roman"/>
          <w:color w:val="auto"/>
        </w:rPr>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7"/>
        <w:tblW w:w="886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21"/>
        <w:gridCol w:w="8539"/>
        <w:gridCol w:w="7"/>
      </w:tblGrid>
      <w:tr w14:paraId="2BEA27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8" w:type="dxa"/>
          <w:trHeight w:val="13319" w:hRule="atLeast"/>
        </w:trPr>
        <w:tc>
          <w:tcPr>
            <w:tcW w:w="372" w:type="dxa"/>
            <w:noWrap w:val="0"/>
            <w:tcMar>
              <w:left w:w="28" w:type="dxa"/>
              <w:right w:w="28" w:type="dxa"/>
            </w:tcMar>
            <w:vAlign w:val="top"/>
          </w:tcPr>
          <w:p w14:paraId="1A7534D3">
            <w:pPr>
              <w:adjustRightInd w:val="0"/>
              <w:snapToGrid w:val="0"/>
              <w:jc w:val="both"/>
              <w:rPr>
                <w:rFonts w:hint="default" w:ascii="Times New Roman" w:hAnsi="Times New Roman" w:eastAsia="宋体" w:cs="Times New Roman"/>
                <w:bCs/>
                <w:color w:val="auto"/>
                <w:szCs w:val="21"/>
              </w:rPr>
            </w:pPr>
          </w:p>
        </w:tc>
        <w:tc>
          <w:tcPr>
            <w:tcW w:w="8487" w:type="dxa"/>
            <w:noWrap w:val="0"/>
            <w:vAlign w:val="top"/>
          </w:tcPr>
          <w:p w14:paraId="72F8539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b w:val="0"/>
                <w:bCs/>
                <w:color w:val="auto"/>
                <w:spacing w:val="-10"/>
                <w:sz w:val="24"/>
                <w:szCs w:val="24"/>
                <w:lang w:val="en-US" w:eastAsia="zh-CN"/>
              </w:rPr>
            </w:pPr>
            <w:r>
              <w:rPr>
                <w:rFonts w:hint="default" w:ascii="Times New Roman" w:hAnsi="Times New Roman" w:eastAsia="宋体" w:cs="Times New Roman"/>
                <w:b w:val="0"/>
                <w:bCs/>
                <w:color w:val="auto"/>
                <w:spacing w:val="-10"/>
                <w:sz w:val="24"/>
                <w:szCs w:val="24"/>
                <w:lang w:val="en-US" w:eastAsia="zh-CN"/>
              </w:rPr>
              <w:t>（3）固体</w:t>
            </w:r>
            <w:r>
              <w:rPr>
                <w:rFonts w:hint="default" w:ascii="Times New Roman" w:hAnsi="Times New Roman" w:eastAsia="宋体" w:cs="Times New Roman"/>
                <w:b w:val="0"/>
                <w:bCs/>
                <w:color w:val="auto"/>
                <w:spacing w:val="-10"/>
                <w:sz w:val="24"/>
                <w:szCs w:val="24"/>
                <w:shd w:val="clear" w:fill="auto"/>
                <w:lang w:val="en-US" w:eastAsia="zh-CN"/>
              </w:rPr>
              <w:t>废物</w:t>
            </w:r>
            <w:r>
              <w:rPr>
                <w:rFonts w:hint="default" w:ascii="Times New Roman" w:hAnsi="Times New Roman" w:eastAsia="宋体" w:cs="Times New Roman"/>
                <w:b w:val="0"/>
                <w:bCs/>
                <w:color w:val="auto"/>
                <w:spacing w:val="-10"/>
                <w:sz w:val="24"/>
                <w:szCs w:val="24"/>
                <w:lang w:val="en-US" w:eastAsia="zh-CN"/>
              </w:rPr>
              <w:t>贮存场所合理性分析：</w:t>
            </w:r>
          </w:p>
          <w:p w14:paraId="3006D81B">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hd w:val="clear" w:fill="auto"/>
                <w:lang w:val="en-US" w:eastAsia="zh-CN"/>
              </w:rPr>
            </w:pPr>
            <w:r>
              <w:rPr>
                <w:rFonts w:hint="default" w:ascii="Times New Roman" w:hAnsi="Times New Roman" w:eastAsia="宋体" w:cs="Times New Roman"/>
                <w:color w:val="auto"/>
                <w:sz w:val="24"/>
                <w:lang w:val="en-US" w:eastAsia="zh-CN"/>
              </w:rPr>
              <w:t>生活</w:t>
            </w:r>
            <w:r>
              <w:rPr>
                <w:rFonts w:hint="default" w:ascii="Times New Roman" w:hAnsi="Times New Roman" w:eastAsia="宋体" w:cs="Times New Roman"/>
                <w:color w:val="auto"/>
                <w:sz w:val="24"/>
                <w:shd w:val="clear" w:fill="auto"/>
                <w:lang w:val="en-US" w:eastAsia="zh-CN"/>
              </w:rPr>
              <w:t>垃圾：</w:t>
            </w:r>
          </w:p>
          <w:p w14:paraId="5E1EC20C">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本项目生活</w:t>
            </w:r>
            <w:r>
              <w:rPr>
                <w:rFonts w:hint="default" w:ascii="Times New Roman" w:hAnsi="Times New Roman" w:eastAsia="宋体" w:cs="Times New Roman"/>
                <w:color w:val="auto"/>
                <w:sz w:val="24"/>
                <w:shd w:val="clear" w:fill="auto"/>
                <w:lang w:val="en-US" w:eastAsia="zh-CN"/>
              </w:rPr>
              <w:t>垃圾</w:t>
            </w:r>
            <w:r>
              <w:rPr>
                <w:rFonts w:hint="default" w:ascii="Times New Roman" w:hAnsi="Times New Roman" w:eastAsia="宋体" w:cs="Times New Roman"/>
                <w:color w:val="auto"/>
                <w:sz w:val="24"/>
                <w:lang w:val="en-US" w:eastAsia="zh-CN"/>
              </w:rPr>
              <w:t>放置于指定的生活</w:t>
            </w:r>
            <w:r>
              <w:rPr>
                <w:rFonts w:hint="default" w:ascii="Times New Roman" w:hAnsi="Times New Roman" w:eastAsia="宋体" w:cs="Times New Roman"/>
                <w:color w:val="auto"/>
                <w:sz w:val="24"/>
                <w:shd w:val="clear" w:fill="auto"/>
                <w:lang w:val="en-US" w:eastAsia="zh-CN"/>
              </w:rPr>
              <w:t>垃圾</w:t>
            </w:r>
            <w:r>
              <w:rPr>
                <w:rFonts w:hint="default" w:ascii="Times New Roman" w:hAnsi="Times New Roman" w:eastAsia="宋体" w:cs="Times New Roman"/>
                <w:color w:val="auto"/>
                <w:sz w:val="24"/>
                <w:lang w:val="en-US" w:eastAsia="zh-CN"/>
              </w:rPr>
              <w:t>桶中，环卫部门每天袋装清运，清运量</w:t>
            </w:r>
            <w:r>
              <w:rPr>
                <w:rFonts w:hint="eastAsia" w:cs="Times New Roman"/>
                <w:color w:val="auto"/>
                <w:sz w:val="24"/>
                <w:lang w:val="en-US" w:eastAsia="zh-CN"/>
              </w:rPr>
              <w:t>3</w:t>
            </w:r>
            <w:r>
              <w:rPr>
                <w:rFonts w:hint="default" w:ascii="Times New Roman" w:hAnsi="Times New Roman" w:eastAsia="宋体" w:cs="Times New Roman"/>
                <w:color w:val="auto"/>
                <w:sz w:val="24"/>
                <w:lang w:val="en-US" w:eastAsia="zh-CN"/>
              </w:rPr>
              <w:t>t/a。</w:t>
            </w:r>
          </w:p>
          <w:p w14:paraId="2D427965">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一般工业固体</w:t>
            </w:r>
            <w:r>
              <w:rPr>
                <w:rFonts w:hint="default" w:ascii="Times New Roman" w:hAnsi="Times New Roman" w:eastAsia="宋体" w:cs="Times New Roman"/>
                <w:color w:val="auto"/>
                <w:sz w:val="24"/>
                <w:shd w:val="clear" w:fill="auto"/>
                <w:lang w:val="en-US" w:eastAsia="zh-CN"/>
              </w:rPr>
              <w:t>废物</w:t>
            </w:r>
            <w:r>
              <w:rPr>
                <w:rFonts w:hint="default" w:ascii="Times New Roman" w:hAnsi="Times New Roman" w:eastAsia="宋体" w:cs="Times New Roman"/>
                <w:color w:val="auto"/>
                <w:sz w:val="24"/>
                <w:lang w:val="en-US" w:eastAsia="zh-CN"/>
              </w:rPr>
              <w:t>：</w:t>
            </w:r>
          </w:p>
          <w:p w14:paraId="220367AD">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19</w:t>
            </w:r>
            <w:r>
              <w:rPr>
                <w:rFonts w:hint="default" w:ascii="Times New Roman" w:hAnsi="Times New Roman" w:eastAsia="宋体" w:cs="Times New Roman"/>
                <w:b/>
                <w:bCs/>
                <w:color w:val="auto"/>
                <w:sz w:val="21"/>
                <w:szCs w:val="21"/>
                <w:lang w:val="en-US" w:eastAsia="zh-CN"/>
              </w:rPr>
              <w:t>本项目运营期一般工业固体废物贮存情况表</w:t>
            </w:r>
          </w:p>
          <w:tbl>
            <w:tblPr>
              <w:tblStyle w:val="17"/>
              <w:tblW w:w="83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3"/>
              <w:gridCol w:w="1234"/>
              <w:gridCol w:w="624"/>
              <w:gridCol w:w="550"/>
              <w:gridCol w:w="1153"/>
              <w:gridCol w:w="708"/>
              <w:gridCol w:w="645"/>
              <w:gridCol w:w="624"/>
              <w:gridCol w:w="624"/>
              <w:gridCol w:w="796"/>
              <w:gridCol w:w="982"/>
            </w:tblGrid>
            <w:tr w14:paraId="7C3AB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73" w:type="dxa"/>
                  <w:noWrap w:val="0"/>
                  <w:tcMar>
                    <w:top w:w="0" w:type="dxa"/>
                    <w:left w:w="11" w:type="dxa"/>
                    <w:bottom w:w="0" w:type="dxa"/>
                    <w:right w:w="11" w:type="dxa"/>
                  </w:tcMar>
                  <w:vAlign w:val="center"/>
                </w:tcPr>
                <w:p w14:paraId="4AEC7DC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1234" w:type="dxa"/>
                  <w:noWrap w:val="0"/>
                  <w:tcMar>
                    <w:top w:w="0" w:type="dxa"/>
                    <w:left w:w="11" w:type="dxa"/>
                    <w:bottom w:w="0" w:type="dxa"/>
                    <w:right w:w="11" w:type="dxa"/>
                  </w:tcMar>
                  <w:vAlign w:val="center"/>
                </w:tcPr>
                <w:p w14:paraId="67DE789E">
                  <w:pPr>
                    <w:pStyle w:val="2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名称</w:t>
                  </w:r>
                </w:p>
              </w:tc>
              <w:tc>
                <w:tcPr>
                  <w:tcW w:w="624" w:type="dxa"/>
                  <w:noWrap w:val="0"/>
                  <w:tcMar>
                    <w:top w:w="0" w:type="dxa"/>
                    <w:left w:w="11" w:type="dxa"/>
                    <w:bottom w:w="0" w:type="dxa"/>
                    <w:right w:w="11" w:type="dxa"/>
                  </w:tcMar>
                  <w:vAlign w:val="center"/>
                </w:tcPr>
                <w:p w14:paraId="48527B50">
                  <w:pPr>
                    <w:pStyle w:val="2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属性</w:t>
                  </w:r>
                </w:p>
              </w:tc>
              <w:tc>
                <w:tcPr>
                  <w:tcW w:w="550" w:type="dxa"/>
                  <w:noWrap w:val="0"/>
                  <w:tcMar>
                    <w:top w:w="0" w:type="dxa"/>
                    <w:left w:w="11" w:type="dxa"/>
                    <w:bottom w:w="0" w:type="dxa"/>
                    <w:right w:w="11" w:type="dxa"/>
                  </w:tcMar>
                  <w:vAlign w:val="center"/>
                </w:tcPr>
                <w:p w14:paraId="07024D5F">
                  <w:pPr>
                    <w:pStyle w:val="2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类别</w:t>
                  </w:r>
                </w:p>
              </w:tc>
              <w:tc>
                <w:tcPr>
                  <w:tcW w:w="1153" w:type="dxa"/>
                  <w:noWrap w:val="0"/>
                  <w:tcMar>
                    <w:top w:w="0" w:type="dxa"/>
                    <w:left w:w="11" w:type="dxa"/>
                    <w:bottom w:w="0" w:type="dxa"/>
                    <w:right w:w="11" w:type="dxa"/>
                  </w:tcMar>
                  <w:vAlign w:val="center"/>
                </w:tcPr>
                <w:p w14:paraId="77A9DA47">
                  <w:pPr>
                    <w:pStyle w:val="2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代码</w:t>
                  </w:r>
                </w:p>
              </w:tc>
              <w:tc>
                <w:tcPr>
                  <w:tcW w:w="708" w:type="dxa"/>
                  <w:noWrap w:val="0"/>
                  <w:tcMar>
                    <w:top w:w="0" w:type="dxa"/>
                    <w:left w:w="11" w:type="dxa"/>
                    <w:bottom w:w="0" w:type="dxa"/>
                    <w:right w:w="11" w:type="dxa"/>
                  </w:tcMar>
                  <w:vAlign w:val="center"/>
                </w:tcPr>
                <w:p w14:paraId="47AE024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产生量t/a</w:t>
                  </w:r>
                </w:p>
              </w:tc>
              <w:tc>
                <w:tcPr>
                  <w:tcW w:w="645" w:type="dxa"/>
                  <w:noWrap w:val="0"/>
                  <w:tcMar>
                    <w:top w:w="0" w:type="dxa"/>
                    <w:left w:w="11" w:type="dxa"/>
                    <w:bottom w:w="0" w:type="dxa"/>
                    <w:right w:w="11" w:type="dxa"/>
                  </w:tcMar>
                  <w:vAlign w:val="center"/>
                </w:tcPr>
                <w:p w14:paraId="2E3AAD4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贮存方式</w:t>
                  </w:r>
                </w:p>
              </w:tc>
              <w:tc>
                <w:tcPr>
                  <w:tcW w:w="624" w:type="dxa"/>
                  <w:noWrap w:val="0"/>
                  <w:tcMar>
                    <w:top w:w="0" w:type="dxa"/>
                    <w:left w:w="11" w:type="dxa"/>
                    <w:bottom w:w="0" w:type="dxa"/>
                    <w:right w:w="11" w:type="dxa"/>
                  </w:tcMar>
                  <w:vAlign w:val="center"/>
                </w:tcPr>
                <w:p w14:paraId="76F7AD8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贮存周期</w:t>
                  </w:r>
                </w:p>
              </w:tc>
              <w:tc>
                <w:tcPr>
                  <w:tcW w:w="624" w:type="dxa"/>
                  <w:noWrap w:val="0"/>
                  <w:tcMar>
                    <w:top w:w="0" w:type="dxa"/>
                    <w:left w:w="11" w:type="dxa"/>
                    <w:bottom w:w="0" w:type="dxa"/>
                    <w:right w:w="11" w:type="dxa"/>
                  </w:tcMar>
                  <w:vAlign w:val="center"/>
                </w:tcPr>
                <w:p w14:paraId="1726FBA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占地面积m</w:t>
                  </w:r>
                  <w:r>
                    <w:rPr>
                      <w:rFonts w:hint="default" w:ascii="Times New Roman" w:hAnsi="Times New Roman" w:eastAsia="宋体" w:cs="Times New Roman"/>
                      <w:b/>
                      <w:bCs/>
                      <w:color w:val="auto"/>
                      <w:sz w:val="21"/>
                      <w:szCs w:val="21"/>
                      <w:vertAlign w:val="superscript"/>
                      <w:lang w:val="en-US" w:eastAsia="zh-CN"/>
                    </w:rPr>
                    <w:t>2</w:t>
                  </w:r>
                </w:p>
              </w:tc>
              <w:tc>
                <w:tcPr>
                  <w:tcW w:w="796" w:type="dxa"/>
                  <w:noWrap w:val="0"/>
                  <w:tcMar>
                    <w:top w:w="0" w:type="dxa"/>
                    <w:left w:w="11" w:type="dxa"/>
                    <w:bottom w:w="0" w:type="dxa"/>
                    <w:right w:w="11" w:type="dxa"/>
                  </w:tcMar>
                  <w:vAlign w:val="center"/>
                </w:tcPr>
                <w:p w14:paraId="17E4E92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shd w:val="clear" w:fill="auto"/>
                      <w:lang w:val="en-US" w:eastAsia="zh-CN"/>
                    </w:rPr>
                    <w:t>设计最大</w:t>
                  </w:r>
                  <w:r>
                    <w:rPr>
                      <w:rFonts w:hint="default" w:ascii="Times New Roman" w:hAnsi="Times New Roman" w:eastAsia="宋体" w:cs="Times New Roman"/>
                      <w:b/>
                      <w:bCs/>
                      <w:color w:val="auto"/>
                      <w:sz w:val="21"/>
                      <w:szCs w:val="21"/>
                      <w:lang w:val="en-US" w:eastAsia="zh-CN"/>
                    </w:rPr>
                    <w:t>贮存量t</w:t>
                  </w:r>
                </w:p>
              </w:tc>
              <w:tc>
                <w:tcPr>
                  <w:tcW w:w="982" w:type="dxa"/>
                  <w:noWrap w:val="0"/>
                  <w:tcMar>
                    <w:top w:w="0" w:type="dxa"/>
                    <w:left w:w="11" w:type="dxa"/>
                    <w:bottom w:w="0" w:type="dxa"/>
                    <w:right w:w="11" w:type="dxa"/>
                  </w:tcMar>
                  <w:vAlign w:val="center"/>
                </w:tcPr>
                <w:p w14:paraId="1EB4ACD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贮存位置</w:t>
                  </w:r>
                </w:p>
              </w:tc>
            </w:tr>
            <w:tr w14:paraId="260B1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73" w:type="dxa"/>
                  <w:noWrap w:val="0"/>
                  <w:tcMar>
                    <w:top w:w="0" w:type="dxa"/>
                    <w:left w:w="11" w:type="dxa"/>
                    <w:bottom w:w="0" w:type="dxa"/>
                    <w:right w:w="11" w:type="dxa"/>
                  </w:tcMar>
                  <w:vAlign w:val="center"/>
                </w:tcPr>
                <w:p w14:paraId="799F064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w:t>
                  </w:r>
                </w:p>
              </w:tc>
              <w:tc>
                <w:tcPr>
                  <w:tcW w:w="1234" w:type="dxa"/>
                  <w:noWrap w:val="0"/>
                  <w:tcMar>
                    <w:top w:w="0" w:type="dxa"/>
                    <w:left w:w="11" w:type="dxa"/>
                    <w:bottom w:w="0" w:type="dxa"/>
                    <w:right w:w="11" w:type="dxa"/>
                  </w:tcMar>
                  <w:vAlign w:val="center"/>
                </w:tcPr>
                <w:p w14:paraId="5E42CF01">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color w:val="auto"/>
                      <w:sz w:val="21"/>
                      <w:szCs w:val="21"/>
                      <w:lang w:val="en-US" w:eastAsia="zh-CN"/>
                    </w:rPr>
                    <w:t>边角料</w:t>
                  </w:r>
                </w:p>
              </w:tc>
              <w:tc>
                <w:tcPr>
                  <w:tcW w:w="624" w:type="dxa"/>
                  <w:vMerge w:val="restart"/>
                  <w:noWrap w:val="0"/>
                  <w:tcMar>
                    <w:top w:w="0" w:type="dxa"/>
                    <w:left w:w="11" w:type="dxa"/>
                    <w:bottom w:w="0" w:type="dxa"/>
                    <w:right w:w="11" w:type="dxa"/>
                  </w:tcMar>
                  <w:vAlign w:val="center"/>
                </w:tcPr>
                <w:p w14:paraId="2509A49F">
                  <w:pPr>
                    <w:pStyle w:val="2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一般工业固</w:t>
                  </w:r>
                  <w:r>
                    <w:rPr>
                      <w:rFonts w:hint="default" w:ascii="Times New Roman" w:hAnsi="Times New Roman" w:eastAsia="宋体" w:cs="Times New Roman"/>
                      <w:color w:val="auto"/>
                      <w:sz w:val="21"/>
                      <w:szCs w:val="21"/>
                      <w:shd w:val="clear" w:fill="auto"/>
                      <w:lang w:val="en-US" w:eastAsia="zh-CN"/>
                    </w:rPr>
                    <w:t>废</w:t>
                  </w:r>
                </w:p>
              </w:tc>
              <w:tc>
                <w:tcPr>
                  <w:tcW w:w="550" w:type="dxa"/>
                  <w:noWrap w:val="0"/>
                  <w:tcMar>
                    <w:top w:w="0" w:type="dxa"/>
                    <w:left w:w="11" w:type="dxa"/>
                    <w:bottom w:w="0" w:type="dxa"/>
                    <w:right w:w="11" w:type="dxa"/>
                  </w:tcMar>
                  <w:vAlign w:val="center"/>
                </w:tcPr>
                <w:p w14:paraId="64FA16F5">
                  <w:pPr>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SW17</w:t>
                  </w:r>
                </w:p>
              </w:tc>
              <w:tc>
                <w:tcPr>
                  <w:tcW w:w="1153" w:type="dxa"/>
                  <w:noWrap w:val="0"/>
                  <w:tcMar>
                    <w:top w:w="0" w:type="dxa"/>
                    <w:left w:w="11" w:type="dxa"/>
                    <w:bottom w:w="0" w:type="dxa"/>
                    <w:right w:w="11" w:type="dxa"/>
                  </w:tcMar>
                  <w:vAlign w:val="center"/>
                </w:tcPr>
                <w:p w14:paraId="6A4D45E9">
                  <w:pPr>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900-002-S17</w:t>
                  </w:r>
                </w:p>
              </w:tc>
              <w:tc>
                <w:tcPr>
                  <w:tcW w:w="708" w:type="dxa"/>
                  <w:noWrap w:val="0"/>
                  <w:tcMar>
                    <w:top w:w="0" w:type="dxa"/>
                    <w:left w:w="11" w:type="dxa"/>
                    <w:bottom w:w="0" w:type="dxa"/>
                    <w:right w:w="11" w:type="dxa"/>
                  </w:tcMar>
                  <w:vAlign w:val="center"/>
                </w:tcPr>
                <w:p w14:paraId="6C93652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20.8</w:t>
                  </w:r>
                </w:p>
              </w:tc>
              <w:tc>
                <w:tcPr>
                  <w:tcW w:w="645" w:type="dxa"/>
                  <w:noWrap w:val="0"/>
                  <w:tcMar>
                    <w:top w:w="0" w:type="dxa"/>
                    <w:left w:w="11" w:type="dxa"/>
                    <w:bottom w:w="0" w:type="dxa"/>
                    <w:right w:w="11" w:type="dxa"/>
                  </w:tcMar>
                  <w:vAlign w:val="center"/>
                </w:tcPr>
                <w:p w14:paraId="0C2C90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袋装</w:t>
                  </w:r>
                </w:p>
              </w:tc>
              <w:tc>
                <w:tcPr>
                  <w:tcW w:w="624" w:type="dxa"/>
                  <w:noWrap w:val="0"/>
                  <w:tcMar>
                    <w:top w:w="0" w:type="dxa"/>
                    <w:left w:w="11" w:type="dxa"/>
                    <w:bottom w:w="0" w:type="dxa"/>
                    <w:right w:w="11" w:type="dxa"/>
                  </w:tcMar>
                  <w:vAlign w:val="center"/>
                </w:tcPr>
                <w:p w14:paraId="0223323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1个月</w:t>
                  </w:r>
                </w:p>
              </w:tc>
              <w:tc>
                <w:tcPr>
                  <w:tcW w:w="624" w:type="dxa"/>
                  <w:noWrap w:val="0"/>
                  <w:tcMar>
                    <w:top w:w="0" w:type="dxa"/>
                    <w:left w:w="11" w:type="dxa"/>
                    <w:bottom w:w="0" w:type="dxa"/>
                    <w:right w:w="11" w:type="dxa"/>
                  </w:tcMar>
                  <w:vAlign w:val="center"/>
                </w:tcPr>
                <w:p w14:paraId="2F7C663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796" w:type="dxa"/>
                  <w:noWrap w:val="0"/>
                  <w:tcMar>
                    <w:top w:w="0" w:type="dxa"/>
                    <w:left w:w="11" w:type="dxa"/>
                    <w:bottom w:w="0" w:type="dxa"/>
                    <w:right w:w="11" w:type="dxa"/>
                  </w:tcMar>
                  <w:vAlign w:val="center"/>
                </w:tcPr>
                <w:p w14:paraId="2E0B96E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p>
              </w:tc>
              <w:tc>
                <w:tcPr>
                  <w:tcW w:w="982" w:type="dxa"/>
                  <w:vMerge w:val="restart"/>
                  <w:noWrap w:val="0"/>
                  <w:tcMar>
                    <w:top w:w="0" w:type="dxa"/>
                    <w:left w:w="11" w:type="dxa"/>
                    <w:bottom w:w="0" w:type="dxa"/>
                    <w:right w:w="11" w:type="dxa"/>
                  </w:tcMar>
                  <w:vAlign w:val="center"/>
                </w:tcPr>
                <w:p w14:paraId="256F0BE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一般工业固体</w:t>
                  </w:r>
                  <w:r>
                    <w:rPr>
                      <w:rFonts w:hint="default" w:ascii="Times New Roman" w:hAnsi="Times New Roman" w:eastAsia="宋体" w:cs="Times New Roman"/>
                      <w:color w:val="auto"/>
                      <w:sz w:val="21"/>
                      <w:szCs w:val="21"/>
                      <w:shd w:val="clear" w:fill="auto"/>
                      <w:lang w:val="en-US" w:eastAsia="zh-CN"/>
                    </w:rPr>
                    <w:t>废物</w:t>
                  </w:r>
                  <w:r>
                    <w:rPr>
                      <w:rFonts w:hint="eastAsia" w:cs="Times New Roman"/>
                      <w:color w:val="auto"/>
                      <w:sz w:val="21"/>
                      <w:szCs w:val="21"/>
                      <w:shd w:val="clear" w:fill="auto"/>
                      <w:lang w:val="en-US" w:eastAsia="zh-CN"/>
                    </w:rPr>
                    <w:t>暂存间</w:t>
                  </w:r>
                </w:p>
              </w:tc>
            </w:tr>
            <w:tr w14:paraId="63DC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73" w:type="dxa"/>
                  <w:noWrap w:val="0"/>
                  <w:tcMar>
                    <w:top w:w="0" w:type="dxa"/>
                    <w:left w:w="11" w:type="dxa"/>
                    <w:bottom w:w="0" w:type="dxa"/>
                    <w:right w:w="11" w:type="dxa"/>
                  </w:tcMar>
                  <w:vAlign w:val="center"/>
                </w:tcPr>
                <w:p w14:paraId="72E2FD6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2</w:t>
                  </w:r>
                </w:p>
              </w:tc>
              <w:tc>
                <w:tcPr>
                  <w:tcW w:w="1234" w:type="dxa"/>
                  <w:noWrap w:val="0"/>
                  <w:tcMar>
                    <w:top w:w="0" w:type="dxa"/>
                    <w:left w:w="11" w:type="dxa"/>
                    <w:bottom w:w="0" w:type="dxa"/>
                    <w:right w:w="11" w:type="dxa"/>
                  </w:tcMar>
                  <w:vAlign w:val="center"/>
                </w:tcPr>
                <w:p w14:paraId="0F4B6249">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z w:val="21"/>
                      <w:szCs w:val="21"/>
                      <w:lang w:val="en-US" w:eastAsia="zh-CN"/>
                    </w:rPr>
                    <w:t>次品</w:t>
                  </w:r>
                </w:p>
              </w:tc>
              <w:tc>
                <w:tcPr>
                  <w:tcW w:w="624" w:type="dxa"/>
                  <w:vMerge w:val="continue"/>
                  <w:noWrap w:val="0"/>
                  <w:tcMar>
                    <w:top w:w="0" w:type="dxa"/>
                    <w:left w:w="11" w:type="dxa"/>
                    <w:bottom w:w="0" w:type="dxa"/>
                    <w:right w:w="11" w:type="dxa"/>
                  </w:tcMar>
                  <w:vAlign w:val="center"/>
                </w:tcPr>
                <w:p w14:paraId="098D2E4E">
                  <w:pPr>
                    <w:pStyle w:val="2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550" w:type="dxa"/>
                  <w:noWrap w:val="0"/>
                  <w:tcMar>
                    <w:top w:w="0" w:type="dxa"/>
                    <w:left w:w="11" w:type="dxa"/>
                    <w:bottom w:w="0" w:type="dxa"/>
                    <w:right w:w="11" w:type="dxa"/>
                  </w:tcMar>
                  <w:vAlign w:val="center"/>
                </w:tcPr>
                <w:p w14:paraId="2DF0E70E">
                  <w:pPr>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SW17</w:t>
                  </w:r>
                </w:p>
              </w:tc>
              <w:tc>
                <w:tcPr>
                  <w:tcW w:w="1153" w:type="dxa"/>
                  <w:noWrap w:val="0"/>
                  <w:tcMar>
                    <w:top w:w="0" w:type="dxa"/>
                    <w:left w:w="11" w:type="dxa"/>
                    <w:bottom w:w="0" w:type="dxa"/>
                    <w:right w:w="11" w:type="dxa"/>
                  </w:tcMar>
                  <w:vAlign w:val="center"/>
                </w:tcPr>
                <w:p w14:paraId="27A321B8">
                  <w:pPr>
                    <w:snapToGrid w:val="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900-002-S17</w:t>
                  </w:r>
                </w:p>
              </w:tc>
              <w:tc>
                <w:tcPr>
                  <w:tcW w:w="708" w:type="dxa"/>
                  <w:noWrap w:val="0"/>
                  <w:tcMar>
                    <w:top w:w="0" w:type="dxa"/>
                    <w:left w:w="11" w:type="dxa"/>
                    <w:bottom w:w="0" w:type="dxa"/>
                    <w:right w:w="11" w:type="dxa"/>
                  </w:tcMar>
                  <w:vAlign w:val="center"/>
                </w:tcPr>
                <w:p w14:paraId="2DB0FB5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10.4</w:t>
                  </w:r>
                </w:p>
              </w:tc>
              <w:tc>
                <w:tcPr>
                  <w:tcW w:w="645" w:type="dxa"/>
                  <w:noWrap w:val="0"/>
                  <w:tcMar>
                    <w:top w:w="0" w:type="dxa"/>
                    <w:left w:w="11" w:type="dxa"/>
                    <w:bottom w:w="0" w:type="dxa"/>
                    <w:right w:w="11" w:type="dxa"/>
                  </w:tcMar>
                  <w:vAlign w:val="center"/>
                </w:tcPr>
                <w:p w14:paraId="141541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袋装</w:t>
                  </w:r>
                </w:p>
              </w:tc>
              <w:tc>
                <w:tcPr>
                  <w:tcW w:w="624" w:type="dxa"/>
                  <w:noWrap w:val="0"/>
                  <w:tcMar>
                    <w:top w:w="0" w:type="dxa"/>
                    <w:left w:w="11" w:type="dxa"/>
                    <w:bottom w:w="0" w:type="dxa"/>
                    <w:right w:w="11" w:type="dxa"/>
                  </w:tcMar>
                  <w:vAlign w:val="center"/>
                </w:tcPr>
                <w:p w14:paraId="31D2E43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1个月</w:t>
                  </w:r>
                </w:p>
              </w:tc>
              <w:tc>
                <w:tcPr>
                  <w:tcW w:w="624" w:type="dxa"/>
                  <w:noWrap w:val="0"/>
                  <w:tcMar>
                    <w:top w:w="0" w:type="dxa"/>
                    <w:left w:w="11" w:type="dxa"/>
                    <w:bottom w:w="0" w:type="dxa"/>
                    <w:right w:w="11" w:type="dxa"/>
                  </w:tcMar>
                  <w:vAlign w:val="center"/>
                </w:tcPr>
                <w:p w14:paraId="2878A15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796" w:type="dxa"/>
                  <w:noWrap w:val="0"/>
                  <w:tcMar>
                    <w:top w:w="0" w:type="dxa"/>
                    <w:left w:w="11" w:type="dxa"/>
                    <w:bottom w:w="0" w:type="dxa"/>
                    <w:right w:w="11" w:type="dxa"/>
                  </w:tcMar>
                  <w:vAlign w:val="center"/>
                </w:tcPr>
                <w:p w14:paraId="31C6378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982" w:type="dxa"/>
                  <w:vMerge w:val="continue"/>
                  <w:noWrap w:val="0"/>
                  <w:tcMar>
                    <w:top w:w="0" w:type="dxa"/>
                    <w:left w:w="11" w:type="dxa"/>
                    <w:bottom w:w="0" w:type="dxa"/>
                    <w:right w:w="11" w:type="dxa"/>
                  </w:tcMar>
                  <w:vAlign w:val="center"/>
                </w:tcPr>
                <w:p w14:paraId="4667F23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7FEB3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934" w:type="dxa"/>
                  <w:gridSpan w:val="5"/>
                  <w:noWrap w:val="0"/>
                  <w:tcMar>
                    <w:top w:w="0" w:type="dxa"/>
                    <w:left w:w="11" w:type="dxa"/>
                    <w:bottom w:w="0" w:type="dxa"/>
                    <w:right w:w="11" w:type="dxa"/>
                  </w:tcMar>
                  <w:vAlign w:val="center"/>
                </w:tcPr>
                <w:p w14:paraId="192C5FE2">
                  <w:pPr>
                    <w:pStyle w:val="2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合计</w:t>
                  </w:r>
                </w:p>
              </w:tc>
              <w:tc>
                <w:tcPr>
                  <w:tcW w:w="708" w:type="dxa"/>
                  <w:noWrap w:val="0"/>
                  <w:tcMar>
                    <w:top w:w="0" w:type="dxa"/>
                    <w:left w:w="11" w:type="dxa"/>
                    <w:bottom w:w="0" w:type="dxa"/>
                    <w:right w:w="11" w:type="dxa"/>
                  </w:tcMar>
                  <w:vAlign w:val="center"/>
                </w:tcPr>
                <w:p w14:paraId="6331123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45" w:type="dxa"/>
                  <w:noWrap w:val="0"/>
                  <w:tcMar>
                    <w:top w:w="0" w:type="dxa"/>
                    <w:left w:w="11" w:type="dxa"/>
                    <w:bottom w:w="0" w:type="dxa"/>
                    <w:right w:w="11" w:type="dxa"/>
                  </w:tcMar>
                  <w:vAlign w:val="center"/>
                </w:tcPr>
                <w:p w14:paraId="1389272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24" w:type="dxa"/>
                  <w:noWrap w:val="0"/>
                  <w:tcMar>
                    <w:top w:w="0" w:type="dxa"/>
                    <w:left w:w="11" w:type="dxa"/>
                    <w:bottom w:w="0" w:type="dxa"/>
                    <w:right w:w="11" w:type="dxa"/>
                  </w:tcMar>
                  <w:vAlign w:val="center"/>
                </w:tcPr>
                <w:p w14:paraId="19CA6C3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24" w:type="dxa"/>
                  <w:noWrap w:val="0"/>
                  <w:tcMar>
                    <w:top w:w="0" w:type="dxa"/>
                    <w:left w:w="11" w:type="dxa"/>
                    <w:bottom w:w="0" w:type="dxa"/>
                    <w:right w:w="11" w:type="dxa"/>
                  </w:tcMar>
                  <w:vAlign w:val="center"/>
                </w:tcPr>
                <w:p w14:paraId="6740ECE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p>
              </w:tc>
              <w:tc>
                <w:tcPr>
                  <w:tcW w:w="796" w:type="dxa"/>
                  <w:noWrap w:val="0"/>
                  <w:tcMar>
                    <w:top w:w="0" w:type="dxa"/>
                    <w:left w:w="11" w:type="dxa"/>
                    <w:bottom w:w="0" w:type="dxa"/>
                    <w:right w:w="11" w:type="dxa"/>
                  </w:tcMar>
                  <w:vAlign w:val="center"/>
                </w:tcPr>
                <w:p w14:paraId="5E6081A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82" w:type="dxa"/>
                  <w:noWrap w:val="0"/>
                  <w:tcMar>
                    <w:top w:w="0" w:type="dxa"/>
                    <w:left w:w="11" w:type="dxa"/>
                    <w:bottom w:w="0" w:type="dxa"/>
                    <w:right w:w="11" w:type="dxa"/>
                  </w:tcMar>
                  <w:vAlign w:val="center"/>
                </w:tcPr>
                <w:p w14:paraId="2C3D5CB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14:paraId="10CD6049">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本项目一般工业固体废物需贮存总面积约为</w:t>
            </w:r>
            <w:r>
              <w:rPr>
                <w:rFonts w:hint="eastAsia" w:cs="Times New Roman"/>
                <w:color w:val="auto"/>
                <w:sz w:val="24"/>
                <w:lang w:val="en-US" w:eastAsia="zh-CN"/>
              </w:rPr>
              <w:t>3</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vertAlign w:val="baseline"/>
                <w:lang w:val="en-US" w:eastAsia="zh-CN"/>
              </w:rPr>
              <w:t>，</w:t>
            </w:r>
            <w:r>
              <w:rPr>
                <w:rFonts w:hint="eastAsia" w:cs="Times New Roman"/>
                <w:color w:val="auto"/>
                <w:sz w:val="24"/>
                <w:vertAlign w:val="baseline"/>
                <w:lang w:val="en-US" w:eastAsia="zh-CN"/>
              </w:rPr>
              <w:t>项目拟设置</w:t>
            </w:r>
            <w:r>
              <w:rPr>
                <w:rFonts w:hint="default" w:ascii="Times New Roman" w:hAnsi="Times New Roman" w:eastAsia="宋体" w:cs="Times New Roman"/>
                <w:color w:val="auto"/>
                <w:sz w:val="24"/>
                <w:lang w:val="en-US" w:eastAsia="zh-CN"/>
              </w:rPr>
              <w:t>1间</w:t>
            </w:r>
            <w:r>
              <w:rPr>
                <w:rFonts w:hint="eastAsia" w:cs="Times New Roman"/>
                <w:color w:val="auto"/>
                <w:sz w:val="24"/>
                <w:lang w:val="en-US" w:eastAsia="zh-CN"/>
              </w:rPr>
              <w:t>10</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2</w:t>
            </w:r>
            <w:r>
              <w:rPr>
                <w:rFonts w:hint="eastAsia" w:cs="Times New Roman"/>
                <w:color w:val="auto"/>
                <w:sz w:val="24"/>
                <w:lang w:val="en-US" w:eastAsia="zh-CN"/>
              </w:rPr>
              <w:t>一般固废仓库</w:t>
            </w:r>
            <w:r>
              <w:rPr>
                <w:rFonts w:hint="default" w:ascii="Times New Roman" w:hAnsi="Times New Roman" w:eastAsia="宋体" w:cs="Times New Roman"/>
                <w:color w:val="auto"/>
                <w:sz w:val="24"/>
                <w:lang w:val="en-US" w:eastAsia="zh-CN"/>
              </w:rPr>
              <w:t>，可满足</w:t>
            </w:r>
            <w:r>
              <w:rPr>
                <w:rFonts w:hint="eastAsia" w:cs="Times New Roman"/>
                <w:color w:val="auto"/>
                <w:sz w:val="24"/>
                <w:lang w:val="en-US" w:eastAsia="zh-CN"/>
              </w:rPr>
              <w:t>本项目</w:t>
            </w:r>
            <w:r>
              <w:rPr>
                <w:rFonts w:hint="default" w:ascii="Times New Roman" w:hAnsi="Times New Roman" w:eastAsia="宋体" w:cs="Times New Roman"/>
                <w:color w:val="auto"/>
                <w:sz w:val="24"/>
                <w:lang w:val="en-US" w:eastAsia="zh-CN"/>
              </w:rPr>
              <w:t>一般工业固体废物暂存需求。</w:t>
            </w:r>
          </w:p>
          <w:p w14:paraId="5D519BE7">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危险</w:t>
            </w:r>
            <w:r>
              <w:rPr>
                <w:rFonts w:hint="default" w:ascii="Times New Roman" w:hAnsi="Times New Roman" w:eastAsia="宋体" w:cs="Times New Roman"/>
                <w:color w:val="auto"/>
                <w:sz w:val="24"/>
                <w:shd w:val="clear" w:fill="auto"/>
                <w:lang w:val="en-US" w:eastAsia="zh-CN"/>
              </w:rPr>
              <w:t>废物</w:t>
            </w:r>
            <w:r>
              <w:rPr>
                <w:rFonts w:hint="default" w:ascii="Times New Roman" w:hAnsi="Times New Roman" w:eastAsia="宋体" w:cs="Times New Roman"/>
                <w:color w:val="auto"/>
                <w:sz w:val="24"/>
                <w:lang w:val="en-US" w:eastAsia="zh-CN"/>
              </w:rPr>
              <w:t>：</w:t>
            </w:r>
          </w:p>
          <w:p w14:paraId="21AA0EEA">
            <w:pPr>
              <w:pStyle w:val="7"/>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 xml:space="preserve">20 </w:t>
            </w:r>
            <w:r>
              <w:rPr>
                <w:rFonts w:hint="default" w:ascii="Times New Roman" w:hAnsi="Times New Roman" w:eastAsia="宋体" w:cs="Times New Roman"/>
                <w:b/>
                <w:bCs/>
                <w:color w:val="auto"/>
                <w:sz w:val="21"/>
                <w:szCs w:val="21"/>
                <w:lang w:val="en-US" w:eastAsia="zh-CN"/>
              </w:rPr>
              <w:t>本项目运营期危险</w:t>
            </w:r>
            <w:r>
              <w:rPr>
                <w:rFonts w:hint="default" w:ascii="Times New Roman" w:hAnsi="Times New Roman" w:eastAsia="宋体" w:cs="Times New Roman"/>
                <w:b/>
                <w:bCs/>
                <w:color w:val="auto"/>
                <w:sz w:val="21"/>
                <w:szCs w:val="21"/>
                <w:shd w:val="clear" w:fill="auto"/>
                <w:lang w:val="en-US" w:eastAsia="zh-CN"/>
              </w:rPr>
              <w:t>废物</w:t>
            </w:r>
            <w:r>
              <w:rPr>
                <w:rFonts w:hint="default" w:ascii="Times New Roman" w:hAnsi="Times New Roman" w:eastAsia="宋体" w:cs="Times New Roman"/>
                <w:b/>
                <w:bCs/>
                <w:color w:val="auto"/>
                <w:sz w:val="21"/>
                <w:szCs w:val="21"/>
                <w:lang w:val="en-US" w:eastAsia="zh-CN"/>
              </w:rPr>
              <w:t>贮存情况表</w:t>
            </w:r>
          </w:p>
          <w:tbl>
            <w:tblPr>
              <w:tblStyle w:val="17"/>
              <w:tblW w:w="8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0"/>
              <w:gridCol w:w="1222"/>
              <w:gridCol w:w="618"/>
              <w:gridCol w:w="603"/>
              <w:gridCol w:w="1084"/>
              <w:gridCol w:w="702"/>
              <w:gridCol w:w="665"/>
              <w:gridCol w:w="665"/>
              <w:gridCol w:w="665"/>
              <w:gridCol w:w="668"/>
              <w:gridCol w:w="973"/>
            </w:tblGrid>
            <w:tr w14:paraId="65347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jc w:val="center"/>
              </w:trPr>
              <w:tc>
                <w:tcPr>
                  <w:tcW w:w="370" w:type="dxa"/>
                  <w:noWrap w:val="0"/>
                  <w:tcMar>
                    <w:top w:w="0" w:type="dxa"/>
                    <w:left w:w="11" w:type="dxa"/>
                    <w:bottom w:w="0" w:type="dxa"/>
                    <w:right w:w="11" w:type="dxa"/>
                  </w:tcMar>
                  <w:vAlign w:val="center"/>
                </w:tcPr>
                <w:p w14:paraId="319C265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1222" w:type="dxa"/>
                  <w:noWrap w:val="0"/>
                  <w:tcMar>
                    <w:top w:w="0" w:type="dxa"/>
                    <w:left w:w="11" w:type="dxa"/>
                    <w:bottom w:w="0" w:type="dxa"/>
                    <w:right w:w="11" w:type="dxa"/>
                  </w:tcMar>
                  <w:vAlign w:val="center"/>
                </w:tcPr>
                <w:p w14:paraId="29D72D5A">
                  <w:pPr>
                    <w:pStyle w:val="2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名称</w:t>
                  </w:r>
                </w:p>
              </w:tc>
              <w:tc>
                <w:tcPr>
                  <w:tcW w:w="618" w:type="dxa"/>
                  <w:noWrap w:val="0"/>
                  <w:tcMar>
                    <w:top w:w="0" w:type="dxa"/>
                    <w:left w:w="11" w:type="dxa"/>
                    <w:bottom w:w="0" w:type="dxa"/>
                    <w:right w:w="11" w:type="dxa"/>
                  </w:tcMar>
                  <w:vAlign w:val="center"/>
                </w:tcPr>
                <w:p w14:paraId="5E953DE8">
                  <w:pPr>
                    <w:pStyle w:val="2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属性</w:t>
                  </w:r>
                </w:p>
              </w:tc>
              <w:tc>
                <w:tcPr>
                  <w:tcW w:w="603" w:type="dxa"/>
                  <w:noWrap w:val="0"/>
                  <w:tcMar>
                    <w:top w:w="0" w:type="dxa"/>
                    <w:left w:w="11" w:type="dxa"/>
                    <w:bottom w:w="0" w:type="dxa"/>
                    <w:right w:w="11" w:type="dxa"/>
                  </w:tcMar>
                  <w:vAlign w:val="center"/>
                </w:tcPr>
                <w:p w14:paraId="2A030531">
                  <w:pPr>
                    <w:pStyle w:val="2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类别</w:t>
                  </w:r>
                </w:p>
              </w:tc>
              <w:tc>
                <w:tcPr>
                  <w:tcW w:w="1084" w:type="dxa"/>
                  <w:noWrap w:val="0"/>
                  <w:tcMar>
                    <w:top w:w="0" w:type="dxa"/>
                    <w:left w:w="11" w:type="dxa"/>
                    <w:bottom w:w="0" w:type="dxa"/>
                    <w:right w:w="11" w:type="dxa"/>
                  </w:tcMar>
                  <w:vAlign w:val="center"/>
                </w:tcPr>
                <w:p w14:paraId="15B3560E">
                  <w:pPr>
                    <w:pStyle w:val="2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代码</w:t>
                  </w:r>
                </w:p>
              </w:tc>
              <w:tc>
                <w:tcPr>
                  <w:tcW w:w="702" w:type="dxa"/>
                  <w:noWrap w:val="0"/>
                  <w:tcMar>
                    <w:top w:w="0" w:type="dxa"/>
                    <w:left w:w="11" w:type="dxa"/>
                    <w:bottom w:w="0" w:type="dxa"/>
                    <w:right w:w="11" w:type="dxa"/>
                  </w:tcMar>
                  <w:vAlign w:val="center"/>
                </w:tcPr>
                <w:p w14:paraId="6356249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产生量t/a</w:t>
                  </w:r>
                </w:p>
              </w:tc>
              <w:tc>
                <w:tcPr>
                  <w:tcW w:w="665" w:type="dxa"/>
                  <w:noWrap w:val="0"/>
                  <w:tcMar>
                    <w:top w:w="0" w:type="dxa"/>
                    <w:left w:w="11" w:type="dxa"/>
                    <w:bottom w:w="0" w:type="dxa"/>
                    <w:right w:w="11" w:type="dxa"/>
                  </w:tcMar>
                  <w:vAlign w:val="center"/>
                </w:tcPr>
                <w:p w14:paraId="39D2C90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贮存方式</w:t>
                  </w:r>
                </w:p>
              </w:tc>
              <w:tc>
                <w:tcPr>
                  <w:tcW w:w="665" w:type="dxa"/>
                  <w:noWrap w:val="0"/>
                  <w:tcMar>
                    <w:top w:w="0" w:type="dxa"/>
                    <w:left w:w="11" w:type="dxa"/>
                    <w:bottom w:w="0" w:type="dxa"/>
                    <w:right w:w="11" w:type="dxa"/>
                  </w:tcMar>
                  <w:vAlign w:val="center"/>
                </w:tcPr>
                <w:p w14:paraId="5929981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贮存周期</w:t>
                  </w:r>
                </w:p>
              </w:tc>
              <w:tc>
                <w:tcPr>
                  <w:tcW w:w="665" w:type="dxa"/>
                  <w:noWrap w:val="0"/>
                  <w:tcMar>
                    <w:top w:w="0" w:type="dxa"/>
                    <w:left w:w="11" w:type="dxa"/>
                    <w:bottom w:w="0" w:type="dxa"/>
                    <w:right w:w="11" w:type="dxa"/>
                  </w:tcMar>
                  <w:vAlign w:val="center"/>
                </w:tcPr>
                <w:p w14:paraId="41D33D9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占地面积m</w:t>
                  </w:r>
                  <w:r>
                    <w:rPr>
                      <w:rFonts w:hint="default" w:ascii="Times New Roman" w:hAnsi="Times New Roman" w:eastAsia="宋体" w:cs="Times New Roman"/>
                      <w:b/>
                      <w:bCs/>
                      <w:color w:val="auto"/>
                      <w:sz w:val="21"/>
                      <w:szCs w:val="21"/>
                      <w:vertAlign w:val="superscript"/>
                      <w:lang w:val="en-US" w:eastAsia="zh-CN"/>
                    </w:rPr>
                    <w:t>2</w:t>
                  </w:r>
                </w:p>
              </w:tc>
              <w:tc>
                <w:tcPr>
                  <w:tcW w:w="668" w:type="dxa"/>
                  <w:noWrap w:val="0"/>
                  <w:tcMar>
                    <w:top w:w="0" w:type="dxa"/>
                    <w:left w:w="11" w:type="dxa"/>
                    <w:bottom w:w="0" w:type="dxa"/>
                    <w:right w:w="11" w:type="dxa"/>
                  </w:tcMar>
                  <w:vAlign w:val="center"/>
                </w:tcPr>
                <w:p w14:paraId="3B02211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shd w:val="clear" w:fill="auto"/>
                      <w:lang w:val="en-US" w:eastAsia="zh-CN"/>
                    </w:rPr>
                    <w:t>设计最大</w:t>
                  </w:r>
                  <w:r>
                    <w:rPr>
                      <w:rFonts w:hint="default" w:ascii="Times New Roman" w:hAnsi="Times New Roman" w:eastAsia="宋体" w:cs="Times New Roman"/>
                      <w:b/>
                      <w:bCs/>
                      <w:color w:val="auto"/>
                      <w:sz w:val="21"/>
                      <w:szCs w:val="21"/>
                      <w:lang w:val="en-US" w:eastAsia="zh-CN"/>
                    </w:rPr>
                    <w:t>贮存量t</w:t>
                  </w:r>
                </w:p>
              </w:tc>
              <w:tc>
                <w:tcPr>
                  <w:tcW w:w="973" w:type="dxa"/>
                  <w:noWrap w:val="0"/>
                  <w:tcMar>
                    <w:top w:w="0" w:type="dxa"/>
                    <w:left w:w="11" w:type="dxa"/>
                    <w:bottom w:w="0" w:type="dxa"/>
                    <w:right w:w="11" w:type="dxa"/>
                  </w:tcMar>
                  <w:vAlign w:val="center"/>
                </w:tcPr>
                <w:p w14:paraId="5EB560A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贮存位置</w:t>
                  </w:r>
                </w:p>
              </w:tc>
            </w:tr>
            <w:tr w14:paraId="26AB2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dxa"/>
                  <w:noWrap w:val="0"/>
                  <w:tcMar>
                    <w:top w:w="0" w:type="dxa"/>
                    <w:left w:w="11" w:type="dxa"/>
                    <w:bottom w:w="0" w:type="dxa"/>
                    <w:right w:w="11" w:type="dxa"/>
                  </w:tcMar>
                  <w:vAlign w:val="center"/>
                </w:tcPr>
                <w:p w14:paraId="58D8AA6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222" w:type="dxa"/>
                  <w:noWrap w:val="0"/>
                  <w:tcMar>
                    <w:top w:w="0" w:type="dxa"/>
                    <w:left w:w="11" w:type="dxa"/>
                    <w:bottom w:w="0" w:type="dxa"/>
                    <w:right w:w="11" w:type="dxa"/>
                  </w:tcMar>
                  <w:vAlign w:val="center"/>
                </w:tcPr>
                <w:p w14:paraId="66D42A7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2"/>
                      <w:kern w:val="2"/>
                      <w:sz w:val="21"/>
                      <w:szCs w:val="21"/>
                      <w:lang w:val="en-US" w:eastAsia="zh-CN" w:bidi="ar-SA"/>
                    </w:rPr>
                  </w:pPr>
                  <w:r>
                    <w:rPr>
                      <w:rFonts w:hint="eastAsia" w:ascii="Times New Roman" w:hAnsi="Times New Roman" w:eastAsia="宋体" w:cs="Times New Roman"/>
                      <w:color w:val="auto"/>
                      <w:sz w:val="21"/>
                      <w:szCs w:val="21"/>
                      <w:lang w:val="en-US" w:eastAsia="zh-CN"/>
                    </w:rPr>
                    <w:t>污泥</w:t>
                  </w:r>
                </w:p>
              </w:tc>
              <w:tc>
                <w:tcPr>
                  <w:tcW w:w="618" w:type="dxa"/>
                  <w:vMerge w:val="restart"/>
                  <w:noWrap w:val="0"/>
                  <w:tcMar>
                    <w:top w:w="0" w:type="dxa"/>
                    <w:left w:w="11" w:type="dxa"/>
                    <w:bottom w:w="0" w:type="dxa"/>
                    <w:right w:w="11" w:type="dxa"/>
                  </w:tcMar>
                  <w:vAlign w:val="center"/>
                </w:tcPr>
                <w:p w14:paraId="3E55BF60">
                  <w:pPr>
                    <w:pStyle w:val="2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w:t>
                  </w:r>
                  <w:r>
                    <w:rPr>
                      <w:rFonts w:hint="default" w:ascii="Times New Roman" w:hAnsi="Times New Roman" w:eastAsia="宋体" w:cs="Times New Roman"/>
                      <w:color w:val="auto"/>
                      <w:sz w:val="21"/>
                      <w:szCs w:val="21"/>
                      <w:shd w:val="clear" w:fill="auto"/>
                      <w:lang w:val="en-US" w:eastAsia="zh-CN"/>
                    </w:rPr>
                    <w:t>废物</w:t>
                  </w:r>
                </w:p>
              </w:tc>
              <w:tc>
                <w:tcPr>
                  <w:tcW w:w="603" w:type="dxa"/>
                  <w:noWrap w:val="0"/>
                  <w:tcMar>
                    <w:top w:w="0" w:type="dxa"/>
                    <w:left w:w="11" w:type="dxa"/>
                    <w:bottom w:w="0" w:type="dxa"/>
                    <w:right w:w="11" w:type="dxa"/>
                  </w:tcMar>
                  <w:vAlign w:val="center"/>
                </w:tcPr>
                <w:p w14:paraId="17BC4143">
                  <w:pPr>
                    <w:snapToGrid w:val="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HW08</w:t>
                  </w:r>
                </w:p>
              </w:tc>
              <w:tc>
                <w:tcPr>
                  <w:tcW w:w="1084" w:type="dxa"/>
                  <w:noWrap w:val="0"/>
                  <w:tcMar>
                    <w:top w:w="0" w:type="dxa"/>
                    <w:left w:w="11" w:type="dxa"/>
                    <w:bottom w:w="0" w:type="dxa"/>
                    <w:right w:w="11" w:type="dxa"/>
                  </w:tcMar>
                  <w:vAlign w:val="center"/>
                </w:tcPr>
                <w:p w14:paraId="1A34F674">
                  <w:pPr>
                    <w:snapToGrid w:val="0"/>
                    <w:jc w:val="center"/>
                    <w:rPr>
                      <w:rFonts w:hint="default" w:ascii="Times New Roman" w:hAnsi="Times New Roman" w:eastAsia="宋体" w:cs="Times New Roman"/>
                      <w:color w:val="auto"/>
                      <w:spacing w:val="2"/>
                      <w:kern w:val="2"/>
                      <w:sz w:val="21"/>
                      <w:szCs w:val="21"/>
                      <w:lang w:val="en-US" w:eastAsia="zh-CN" w:bidi="ar-SA"/>
                    </w:rPr>
                  </w:pPr>
                  <w:r>
                    <w:rPr>
                      <w:rFonts w:hint="eastAsia" w:cs="Times New Roman"/>
                      <w:color w:val="auto"/>
                      <w:sz w:val="21"/>
                      <w:szCs w:val="21"/>
                      <w:lang w:val="en-US" w:eastAsia="zh-CN"/>
                    </w:rPr>
                    <w:t>900-210-08</w:t>
                  </w:r>
                </w:p>
              </w:tc>
              <w:tc>
                <w:tcPr>
                  <w:tcW w:w="702" w:type="dxa"/>
                  <w:noWrap w:val="0"/>
                  <w:tcMar>
                    <w:top w:w="0" w:type="dxa"/>
                    <w:left w:w="11" w:type="dxa"/>
                    <w:bottom w:w="0" w:type="dxa"/>
                    <w:right w:w="11" w:type="dxa"/>
                  </w:tcMar>
                  <w:vAlign w:val="center"/>
                </w:tcPr>
                <w:p w14:paraId="4D5936D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1.24</w:t>
                  </w:r>
                </w:p>
              </w:tc>
              <w:tc>
                <w:tcPr>
                  <w:tcW w:w="665" w:type="dxa"/>
                  <w:noWrap w:val="0"/>
                  <w:tcMar>
                    <w:top w:w="0" w:type="dxa"/>
                    <w:left w:w="11" w:type="dxa"/>
                    <w:bottom w:w="0" w:type="dxa"/>
                    <w:right w:w="11" w:type="dxa"/>
                  </w:tcMar>
                  <w:vAlign w:val="center"/>
                </w:tcPr>
                <w:p w14:paraId="1F5CF3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桶装</w:t>
                  </w:r>
                </w:p>
              </w:tc>
              <w:tc>
                <w:tcPr>
                  <w:tcW w:w="665" w:type="dxa"/>
                  <w:noWrap w:val="0"/>
                  <w:tcMar>
                    <w:top w:w="0" w:type="dxa"/>
                    <w:left w:w="11" w:type="dxa"/>
                    <w:bottom w:w="0" w:type="dxa"/>
                    <w:right w:w="11" w:type="dxa"/>
                  </w:tcMar>
                  <w:vAlign w:val="center"/>
                </w:tcPr>
                <w:p w14:paraId="0C3D6A1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个月</w:t>
                  </w:r>
                </w:p>
              </w:tc>
              <w:tc>
                <w:tcPr>
                  <w:tcW w:w="665" w:type="dxa"/>
                  <w:noWrap w:val="0"/>
                  <w:tcMar>
                    <w:top w:w="0" w:type="dxa"/>
                    <w:left w:w="11" w:type="dxa"/>
                    <w:bottom w:w="0" w:type="dxa"/>
                    <w:right w:w="11" w:type="dxa"/>
                  </w:tcMar>
                  <w:vAlign w:val="center"/>
                </w:tcPr>
                <w:p w14:paraId="37DA37C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1</w:t>
                  </w:r>
                </w:p>
              </w:tc>
              <w:tc>
                <w:tcPr>
                  <w:tcW w:w="668" w:type="dxa"/>
                  <w:noWrap w:val="0"/>
                  <w:tcMar>
                    <w:top w:w="0" w:type="dxa"/>
                    <w:left w:w="11" w:type="dxa"/>
                    <w:bottom w:w="0" w:type="dxa"/>
                    <w:right w:w="11" w:type="dxa"/>
                  </w:tcMar>
                  <w:vAlign w:val="center"/>
                </w:tcPr>
                <w:p w14:paraId="427C9EC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0.31</w:t>
                  </w:r>
                </w:p>
              </w:tc>
              <w:tc>
                <w:tcPr>
                  <w:tcW w:w="973" w:type="dxa"/>
                  <w:vMerge w:val="restart"/>
                  <w:noWrap w:val="0"/>
                  <w:tcMar>
                    <w:top w:w="0" w:type="dxa"/>
                    <w:left w:w="11" w:type="dxa"/>
                    <w:bottom w:w="0" w:type="dxa"/>
                    <w:right w:w="11" w:type="dxa"/>
                  </w:tcMar>
                  <w:vAlign w:val="center"/>
                </w:tcPr>
                <w:p w14:paraId="6CF7012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危废仓库</w:t>
                  </w:r>
                </w:p>
              </w:tc>
            </w:tr>
            <w:tr w14:paraId="6A7E6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dxa"/>
                  <w:noWrap w:val="0"/>
                  <w:tcMar>
                    <w:top w:w="0" w:type="dxa"/>
                    <w:left w:w="11" w:type="dxa"/>
                    <w:bottom w:w="0" w:type="dxa"/>
                    <w:right w:w="11" w:type="dxa"/>
                  </w:tcMar>
                  <w:vAlign w:val="center"/>
                </w:tcPr>
                <w:p w14:paraId="3D2F44C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1222" w:type="dxa"/>
                  <w:noWrap w:val="0"/>
                  <w:tcMar>
                    <w:top w:w="0" w:type="dxa"/>
                    <w:left w:w="11" w:type="dxa"/>
                    <w:bottom w:w="0" w:type="dxa"/>
                    <w:right w:w="11" w:type="dxa"/>
                  </w:tcMar>
                  <w:vAlign w:val="center"/>
                </w:tcPr>
                <w:p w14:paraId="7038286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废过滤介质</w:t>
                  </w:r>
                </w:p>
              </w:tc>
              <w:tc>
                <w:tcPr>
                  <w:tcW w:w="618" w:type="dxa"/>
                  <w:vMerge w:val="continue"/>
                  <w:noWrap w:val="0"/>
                  <w:tcMar>
                    <w:top w:w="0" w:type="dxa"/>
                    <w:left w:w="11" w:type="dxa"/>
                    <w:bottom w:w="0" w:type="dxa"/>
                    <w:right w:w="11" w:type="dxa"/>
                  </w:tcMar>
                  <w:vAlign w:val="center"/>
                </w:tcPr>
                <w:p w14:paraId="79509910">
                  <w:pPr>
                    <w:pStyle w:val="2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03" w:type="dxa"/>
                  <w:noWrap w:val="0"/>
                  <w:tcMar>
                    <w:top w:w="0" w:type="dxa"/>
                    <w:left w:w="11" w:type="dxa"/>
                    <w:bottom w:w="0" w:type="dxa"/>
                    <w:right w:w="11" w:type="dxa"/>
                  </w:tcMar>
                  <w:vAlign w:val="center"/>
                </w:tcPr>
                <w:p w14:paraId="128C9B67">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HW49</w:t>
                  </w:r>
                </w:p>
              </w:tc>
              <w:tc>
                <w:tcPr>
                  <w:tcW w:w="1084" w:type="dxa"/>
                  <w:noWrap w:val="0"/>
                  <w:tcMar>
                    <w:top w:w="0" w:type="dxa"/>
                    <w:left w:w="11" w:type="dxa"/>
                    <w:bottom w:w="0" w:type="dxa"/>
                    <w:right w:w="11" w:type="dxa"/>
                  </w:tcMar>
                  <w:vAlign w:val="center"/>
                </w:tcPr>
                <w:p w14:paraId="422EB23D">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900-041-49</w:t>
                  </w:r>
                </w:p>
              </w:tc>
              <w:tc>
                <w:tcPr>
                  <w:tcW w:w="702" w:type="dxa"/>
                  <w:noWrap w:val="0"/>
                  <w:tcMar>
                    <w:top w:w="0" w:type="dxa"/>
                    <w:left w:w="11" w:type="dxa"/>
                    <w:bottom w:w="0" w:type="dxa"/>
                    <w:right w:w="11" w:type="dxa"/>
                  </w:tcMar>
                  <w:vAlign w:val="center"/>
                </w:tcPr>
                <w:p w14:paraId="0CAE948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0.41</w:t>
                  </w:r>
                </w:p>
              </w:tc>
              <w:tc>
                <w:tcPr>
                  <w:tcW w:w="665" w:type="dxa"/>
                  <w:noWrap w:val="0"/>
                  <w:tcMar>
                    <w:top w:w="0" w:type="dxa"/>
                    <w:left w:w="11" w:type="dxa"/>
                    <w:bottom w:w="0" w:type="dxa"/>
                    <w:right w:w="11" w:type="dxa"/>
                  </w:tcMar>
                  <w:vAlign w:val="center"/>
                </w:tcPr>
                <w:p w14:paraId="4BBAA5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桶装</w:t>
                  </w:r>
                </w:p>
              </w:tc>
              <w:tc>
                <w:tcPr>
                  <w:tcW w:w="665" w:type="dxa"/>
                  <w:noWrap w:val="0"/>
                  <w:tcMar>
                    <w:top w:w="0" w:type="dxa"/>
                    <w:left w:w="11" w:type="dxa"/>
                    <w:bottom w:w="0" w:type="dxa"/>
                    <w:right w:w="11" w:type="dxa"/>
                  </w:tcMar>
                  <w:vAlign w:val="center"/>
                </w:tcPr>
                <w:p w14:paraId="72AB86D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个月</w:t>
                  </w:r>
                </w:p>
              </w:tc>
              <w:tc>
                <w:tcPr>
                  <w:tcW w:w="665" w:type="dxa"/>
                  <w:noWrap w:val="0"/>
                  <w:tcMar>
                    <w:top w:w="0" w:type="dxa"/>
                    <w:left w:w="11" w:type="dxa"/>
                    <w:bottom w:w="0" w:type="dxa"/>
                    <w:right w:w="11" w:type="dxa"/>
                  </w:tcMar>
                  <w:vAlign w:val="center"/>
                </w:tcPr>
                <w:p w14:paraId="618F27D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0.5</w:t>
                  </w:r>
                </w:p>
              </w:tc>
              <w:tc>
                <w:tcPr>
                  <w:tcW w:w="668" w:type="dxa"/>
                  <w:noWrap w:val="0"/>
                  <w:tcMar>
                    <w:top w:w="0" w:type="dxa"/>
                    <w:left w:w="11" w:type="dxa"/>
                    <w:bottom w:w="0" w:type="dxa"/>
                    <w:right w:w="11" w:type="dxa"/>
                  </w:tcMar>
                  <w:vAlign w:val="center"/>
                </w:tcPr>
                <w:p w14:paraId="3F8C6BB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0.103</w:t>
                  </w:r>
                </w:p>
              </w:tc>
              <w:tc>
                <w:tcPr>
                  <w:tcW w:w="973" w:type="dxa"/>
                  <w:vMerge w:val="continue"/>
                  <w:noWrap w:val="0"/>
                  <w:tcMar>
                    <w:top w:w="0" w:type="dxa"/>
                    <w:left w:w="11" w:type="dxa"/>
                    <w:bottom w:w="0" w:type="dxa"/>
                    <w:right w:w="11" w:type="dxa"/>
                  </w:tcMar>
                  <w:vAlign w:val="center"/>
                </w:tcPr>
                <w:p w14:paraId="476F3DD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04058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dxa"/>
                  <w:noWrap w:val="0"/>
                  <w:tcMar>
                    <w:top w:w="0" w:type="dxa"/>
                    <w:left w:w="11" w:type="dxa"/>
                    <w:bottom w:w="0" w:type="dxa"/>
                    <w:right w:w="11" w:type="dxa"/>
                  </w:tcMar>
                  <w:vAlign w:val="center"/>
                </w:tcPr>
                <w:p w14:paraId="09BD7C6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3</w:t>
                  </w:r>
                </w:p>
              </w:tc>
              <w:tc>
                <w:tcPr>
                  <w:tcW w:w="1222" w:type="dxa"/>
                  <w:noWrap w:val="0"/>
                  <w:tcMar>
                    <w:top w:w="0" w:type="dxa"/>
                    <w:left w:w="11" w:type="dxa"/>
                    <w:bottom w:w="0" w:type="dxa"/>
                    <w:right w:w="11" w:type="dxa"/>
                  </w:tcMar>
                  <w:vAlign w:val="center"/>
                </w:tcPr>
                <w:p w14:paraId="698C23F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pacing w:val="2"/>
                      <w:kern w:val="2"/>
                      <w:sz w:val="21"/>
                      <w:szCs w:val="21"/>
                      <w:lang w:val="en-US" w:eastAsia="zh-CN" w:bidi="ar-SA"/>
                    </w:rPr>
                    <w:t>含切削液铝屑</w:t>
                  </w:r>
                </w:p>
              </w:tc>
              <w:tc>
                <w:tcPr>
                  <w:tcW w:w="618" w:type="dxa"/>
                  <w:vMerge w:val="continue"/>
                  <w:noWrap w:val="0"/>
                  <w:tcMar>
                    <w:top w:w="0" w:type="dxa"/>
                    <w:left w:w="11" w:type="dxa"/>
                    <w:bottom w:w="0" w:type="dxa"/>
                    <w:right w:w="11" w:type="dxa"/>
                  </w:tcMar>
                  <w:vAlign w:val="center"/>
                </w:tcPr>
                <w:p w14:paraId="3C6AA9D6">
                  <w:pPr>
                    <w:pStyle w:val="2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03" w:type="dxa"/>
                  <w:noWrap w:val="0"/>
                  <w:tcMar>
                    <w:top w:w="0" w:type="dxa"/>
                    <w:left w:w="11" w:type="dxa"/>
                    <w:bottom w:w="0" w:type="dxa"/>
                    <w:right w:w="11" w:type="dxa"/>
                  </w:tcMar>
                  <w:vAlign w:val="center"/>
                </w:tcPr>
                <w:p w14:paraId="322D76E0">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w:t>
                  </w:r>
                  <w:r>
                    <w:rPr>
                      <w:rFonts w:hint="eastAsia" w:cs="Times New Roman"/>
                      <w:color w:val="auto"/>
                      <w:sz w:val="21"/>
                      <w:szCs w:val="21"/>
                      <w:lang w:val="en-US" w:eastAsia="zh-CN"/>
                    </w:rPr>
                    <w:t>08</w:t>
                  </w:r>
                </w:p>
              </w:tc>
              <w:tc>
                <w:tcPr>
                  <w:tcW w:w="1084" w:type="dxa"/>
                  <w:noWrap w:val="0"/>
                  <w:tcMar>
                    <w:top w:w="0" w:type="dxa"/>
                    <w:left w:w="11" w:type="dxa"/>
                    <w:bottom w:w="0" w:type="dxa"/>
                    <w:right w:w="11" w:type="dxa"/>
                  </w:tcMar>
                  <w:vAlign w:val="center"/>
                </w:tcPr>
                <w:p w14:paraId="1B26FDC8">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color w:val="auto"/>
                      <w:spacing w:val="2"/>
                      <w:kern w:val="2"/>
                      <w:sz w:val="21"/>
                      <w:szCs w:val="21"/>
                      <w:lang w:val="en-US" w:eastAsia="zh-CN" w:bidi="ar-SA"/>
                    </w:rPr>
                    <w:t>900-</w:t>
                  </w:r>
                  <w:r>
                    <w:rPr>
                      <w:rFonts w:hint="eastAsia" w:cs="Times New Roman"/>
                      <w:color w:val="auto"/>
                      <w:spacing w:val="2"/>
                      <w:kern w:val="2"/>
                      <w:sz w:val="21"/>
                      <w:szCs w:val="21"/>
                      <w:lang w:val="en-US" w:eastAsia="zh-CN" w:bidi="ar-SA"/>
                    </w:rPr>
                    <w:t>200</w:t>
                  </w:r>
                  <w:r>
                    <w:rPr>
                      <w:rFonts w:hint="default" w:ascii="Times New Roman" w:hAnsi="Times New Roman" w:eastAsia="宋体" w:cs="Times New Roman"/>
                      <w:color w:val="auto"/>
                      <w:spacing w:val="2"/>
                      <w:kern w:val="2"/>
                      <w:sz w:val="21"/>
                      <w:szCs w:val="21"/>
                      <w:lang w:val="en-US" w:eastAsia="zh-CN" w:bidi="ar-SA"/>
                    </w:rPr>
                    <w:t>-</w:t>
                  </w:r>
                  <w:r>
                    <w:rPr>
                      <w:rFonts w:hint="eastAsia" w:cs="Times New Roman"/>
                      <w:color w:val="auto"/>
                      <w:spacing w:val="2"/>
                      <w:kern w:val="2"/>
                      <w:sz w:val="21"/>
                      <w:szCs w:val="21"/>
                      <w:lang w:val="en-US" w:eastAsia="zh-CN" w:bidi="ar-SA"/>
                    </w:rPr>
                    <w:t>08</w:t>
                  </w:r>
                </w:p>
              </w:tc>
              <w:tc>
                <w:tcPr>
                  <w:tcW w:w="702" w:type="dxa"/>
                  <w:noWrap w:val="0"/>
                  <w:tcMar>
                    <w:top w:w="0" w:type="dxa"/>
                    <w:left w:w="11" w:type="dxa"/>
                    <w:bottom w:w="0" w:type="dxa"/>
                    <w:right w:w="11" w:type="dxa"/>
                  </w:tcMar>
                  <w:vAlign w:val="center"/>
                </w:tcPr>
                <w:p w14:paraId="0290481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4.2</w:t>
                  </w:r>
                </w:p>
              </w:tc>
              <w:tc>
                <w:tcPr>
                  <w:tcW w:w="665" w:type="dxa"/>
                  <w:noWrap w:val="0"/>
                  <w:tcMar>
                    <w:top w:w="0" w:type="dxa"/>
                    <w:left w:w="11" w:type="dxa"/>
                    <w:bottom w:w="0" w:type="dxa"/>
                    <w:right w:w="11" w:type="dxa"/>
                  </w:tcMar>
                  <w:vAlign w:val="center"/>
                </w:tcPr>
                <w:p w14:paraId="5CFA679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袋装</w:t>
                  </w:r>
                </w:p>
              </w:tc>
              <w:tc>
                <w:tcPr>
                  <w:tcW w:w="665" w:type="dxa"/>
                  <w:noWrap w:val="0"/>
                  <w:tcMar>
                    <w:top w:w="0" w:type="dxa"/>
                    <w:left w:w="11" w:type="dxa"/>
                    <w:bottom w:w="0" w:type="dxa"/>
                    <w:right w:w="11" w:type="dxa"/>
                  </w:tcMar>
                  <w:vAlign w:val="center"/>
                </w:tcPr>
                <w:p w14:paraId="1002540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个月</w:t>
                  </w:r>
                </w:p>
              </w:tc>
              <w:tc>
                <w:tcPr>
                  <w:tcW w:w="665" w:type="dxa"/>
                  <w:noWrap w:val="0"/>
                  <w:tcMar>
                    <w:top w:w="0" w:type="dxa"/>
                    <w:left w:w="11" w:type="dxa"/>
                    <w:bottom w:w="0" w:type="dxa"/>
                    <w:right w:w="11" w:type="dxa"/>
                  </w:tcMar>
                  <w:vAlign w:val="center"/>
                </w:tcPr>
                <w:p w14:paraId="4B9A015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668" w:type="dxa"/>
                  <w:noWrap w:val="0"/>
                  <w:tcMar>
                    <w:top w:w="0" w:type="dxa"/>
                    <w:left w:w="11" w:type="dxa"/>
                    <w:bottom w:w="0" w:type="dxa"/>
                    <w:right w:w="11" w:type="dxa"/>
                  </w:tcMar>
                  <w:vAlign w:val="center"/>
                </w:tcPr>
                <w:p w14:paraId="033C6A7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1.05</w:t>
                  </w:r>
                </w:p>
              </w:tc>
              <w:tc>
                <w:tcPr>
                  <w:tcW w:w="973" w:type="dxa"/>
                  <w:vMerge w:val="continue"/>
                  <w:noWrap w:val="0"/>
                  <w:tcMar>
                    <w:top w:w="0" w:type="dxa"/>
                    <w:left w:w="11" w:type="dxa"/>
                    <w:bottom w:w="0" w:type="dxa"/>
                    <w:right w:w="11" w:type="dxa"/>
                  </w:tcMar>
                  <w:vAlign w:val="center"/>
                </w:tcPr>
                <w:p w14:paraId="006920C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69954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dxa"/>
                  <w:noWrap w:val="0"/>
                  <w:tcMar>
                    <w:top w:w="0" w:type="dxa"/>
                    <w:left w:w="11" w:type="dxa"/>
                    <w:bottom w:w="0" w:type="dxa"/>
                    <w:right w:w="11" w:type="dxa"/>
                  </w:tcMar>
                  <w:vAlign w:val="center"/>
                </w:tcPr>
                <w:p w14:paraId="1239E1C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4</w:t>
                  </w:r>
                </w:p>
              </w:tc>
              <w:tc>
                <w:tcPr>
                  <w:tcW w:w="1222" w:type="dxa"/>
                  <w:noWrap w:val="0"/>
                  <w:tcMar>
                    <w:top w:w="0" w:type="dxa"/>
                    <w:left w:w="11" w:type="dxa"/>
                    <w:bottom w:w="0" w:type="dxa"/>
                    <w:right w:w="11" w:type="dxa"/>
                  </w:tcMar>
                  <w:vAlign w:val="center"/>
                </w:tcPr>
                <w:p w14:paraId="1F9E8E6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pacing w:val="2"/>
                      <w:kern w:val="2"/>
                      <w:sz w:val="21"/>
                      <w:szCs w:val="21"/>
                      <w:lang w:val="en-US" w:eastAsia="zh-CN" w:bidi="ar-SA"/>
                    </w:rPr>
                    <w:t>废切削液</w:t>
                  </w:r>
                </w:p>
              </w:tc>
              <w:tc>
                <w:tcPr>
                  <w:tcW w:w="618" w:type="dxa"/>
                  <w:vMerge w:val="continue"/>
                  <w:noWrap w:val="0"/>
                  <w:tcMar>
                    <w:top w:w="0" w:type="dxa"/>
                    <w:left w:w="11" w:type="dxa"/>
                    <w:bottom w:w="0" w:type="dxa"/>
                    <w:right w:w="11" w:type="dxa"/>
                  </w:tcMar>
                  <w:vAlign w:val="center"/>
                </w:tcPr>
                <w:p w14:paraId="02005921">
                  <w:pPr>
                    <w:pStyle w:val="2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03" w:type="dxa"/>
                  <w:noWrap w:val="0"/>
                  <w:tcMar>
                    <w:top w:w="0" w:type="dxa"/>
                    <w:left w:w="11" w:type="dxa"/>
                    <w:bottom w:w="0" w:type="dxa"/>
                    <w:right w:w="11" w:type="dxa"/>
                  </w:tcMar>
                  <w:vAlign w:val="center"/>
                </w:tcPr>
                <w:p w14:paraId="353C56F3">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HW0</w:t>
                  </w:r>
                  <w:r>
                    <w:rPr>
                      <w:rFonts w:hint="eastAsia" w:ascii="Times New Roman" w:hAnsi="Times New Roman" w:eastAsia="宋体" w:cs="Times New Roman"/>
                      <w:color w:val="auto"/>
                      <w:sz w:val="21"/>
                      <w:szCs w:val="21"/>
                      <w:lang w:val="en-US" w:eastAsia="zh-CN"/>
                    </w:rPr>
                    <w:t>9</w:t>
                  </w:r>
                </w:p>
              </w:tc>
              <w:tc>
                <w:tcPr>
                  <w:tcW w:w="1084" w:type="dxa"/>
                  <w:noWrap w:val="0"/>
                  <w:tcMar>
                    <w:top w:w="0" w:type="dxa"/>
                    <w:left w:w="11" w:type="dxa"/>
                    <w:bottom w:w="0" w:type="dxa"/>
                    <w:right w:w="11" w:type="dxa"/>
                  </w:tcMar>
                  <w:vAlign w:val="center"/>
                </w:tcPr>
                <w:p w14:paraId="35E19A86">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2"/>
                      <w:kern w:val="2"/>
                      <w:sz w:val="21"/>
                      <w:szCs w:val="21"/>
                      <w:lang w:val="en-US" w:eastAsia="zh-CN" w:bidi="ar-SA"/>
                    </w:rPr>
                    <w:t>900-0</w:t>
                  </w:r>
                  <w:r>
                    <w:rPr>
                      <w:rFonts w:hint="eastAsia" w:ascii="Times New Roman" w:hAnsi="Times New Roman" w:eastAsia="宋体" w:cs="Times New Roman"/>
                      <w:color w:val="auto"/>
                      <w:spacing w:val="2"/>
                      <w:kern w:val="2"/>
                      <w:sz w:val="21"/>
                      <w:szCs w:val="21"/>
                      <w:lang w:val="en-US" w:eastAsia="zh-CN" w:bidi="ar-SA"/>
                    </w:rPr>
                    <w:t>06</w:t>
                  </w:r>
                  <w:r>
                    <w:rPr>
                      <w:rFonts w:hint="default" w:ascii="Times New Roman" w:hAnsi="Times New Roman" w:eastAsia="宋体" w:cs="Times New Roman"/>
                      <w:color w:val="auto"/>
                      <w:spacing w:val="2"/>
                      <w:kern w:val="2"/>
                      <w:sz w:val="21"/>
                      <w:szCs w:val="21"/>
                      <w:lang w:val="en-US" w:eastAsia="zh-CN" w:bidi="ar-SA"/>
                    </w:rPr>
                    <w:t>-</w:t>
                  </w:r>
                  <w:r>
                    <w:rPr>
                      <w:rFonts w:hint="eastAsia" w:ascii="Times New Roman" w:hAnsi="Times New Roman" w:eastAsia="宋体" w:cs="Times New Roman"/>
                      <w:color w:val="auto"/>
                      <w:spacing w:val="2"/>
                      <w:kern w:val="2"/>
                      <w:sz w:val="21"/>
                      <w:szCs w:val="21"/>
                      <w:lang w:val="en-US" w:eastAsia="zh-CN" w:bidi="ar-SA"/>
                    </w:rPr>
                    <w:t>0</w:t>
                  </w:r>
                  <w:r>
                    <w:rPr>
                      <w:rFonts w:hint="default" w:ascii="Times New Roman" w:hAnsi="Times New Roman" w:eastAsia="宋体" w:cs="Times New Roman"/>
                      <w:color w:val="auto"/>
                      <w:spacing w:val="2"/>
                      <w:kern w:val="2"/>
                      <w:sz w:val="21"/>
                      <w:szCs w:val="21"/>
                      <w:lang w:val="en-US" w:eastAsia="zh-CN" w:bidi="ar-SA"/>
                    </w:rPr>
                    <w:t>9</w:t>
                  </w:r>
                </w:p>
              </w:tc>
              <w:tc>
                <w:tcPr>
                  <w:tcW w:w="702" w:type="dxa"/>
                  <w:noWrap w:val="0"/>
                  <w:tcMar>
                    <w:top w:w="0" w:type="dxa"/>
                    <w:left w:w="11" w:type="dxa"/>
                    <w:bottom w:w="0" w:type="dxa"/>
                    <w:right w:w="11" w:type="dxa"/>
                  </w:tcMar>
                  <w:vAlign w:val="center"/>
                </w:tcPr>
                <w:p w14:paraId="6E7350E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w:t>
                  </w:r>
                </w:p>
              </w:tc>
              <w:tc>
                <w:tcPr>
                  <w:tcW w:w="665" w:type="dxa"/>
                  <w:noWrap w:val="0"/>
                  <w:tcMar>
                    <w:top w:w="0" w:type="dxa"/>
                    <w:left w:w="11" w:type="dxa"/>
                    <w:bottom w:w="0" w:type="dxa"/>
                    <w:right w:w="11" w:type="dxa"/>
                  </w:tcMar>
                  <w:vAlign w:val="center"/>
                </w:tcPr>
                <w:p w14:paraId="3372A9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桶装</w:t>
                  </w:r>
                </w:p>
              </w:tc>
              <w:tc>
                <w:tcPr>
                  <w:tcW w:w="665" w:type="dxa"/>
                  <w:noWrap w:val="0"/>
                  <w:tcMar>
                    <w:top w:w="0" w:type="dxa"/>
                    <w:left w:w="11" w:type="dxa"/>
                    <w:bottom w:w="0" w:type="dxa"/>
                    <w:right w:w="11" w:type="dxa"/>
                  </w:tcMar>
                  <w:vAlign w:val="center"/>
                </w:tcPr>
                <w:p w14:paraId="1461495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个月</w:t>
                  </w:r>
                </w:p>
              </w:tc>
              <w:tc>
                <w:tcPr>
                  <w:tcW w:w="665" w:type="dxa"/>
                  <w:noWrap w:val="0"/>
                  <w:tcMar>
                    <w:top w:w="0" w:type="dxa"/>
                    <w:left w:w="11" w:type="dxa"/>
                    <w:bottom w:w="0" w:type="dxa"/>
                    <w:right w:w="11" w:type="dxa"/>
                  </w:tcMar>
                  <w:vAlign w:val="center"/>
                </w:tcPr>
                <w:p w14:paraId="29EBF33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w:t>
                  </w:r>
                </w:p>
              </w:tc>
              <w:tc>
                <w:tcPr>
                  <w:tcW w:w="668" w:type="dxa"/>
                  <w:noWrap w:val="0"/>
                  <w:tcMar>
                    <w:top w:w="0" w:type="dxa"/>
                    <w:left w:w="11" w:type="dxa"/>
                    <w:bottom w:w="0" w:type="dxa"/>
                    <w:right w:w="11" w:type="dxa"/>
                  </w:tcMar>
                  <w:vAlign w:val="center"/>
                </w:tcPr>
                <w:p w14:paraId="7E2D283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0.55</w:t>
                  </w:r>
                </w:p>
              </w:tc>
              <w:tc>
                <w:tcPr>
                  <w:tcW w:w="973" w:type="dxa"/>
                  <w:vMerge w:val="continue"/>
                  <w:noWrap w:val="0"/>
                  <w:tcMar>
                    <w:top w:w="0" w:type="dxa"/>
                    <w:left w:w="11" w:type="dxa"/>
                    <w:bottom w:w="0" w:type="dxa"/>
                    <w:right w:w="11" w:type="dxa"/>
                  </w:tcMar>
                  <w:vAlign w:val="center"/>
                </w:tcPr>
                <w:p w14:paraId="47618AA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4E1AB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dxa"/>
                  <w:noWrap w:val="0"/>
                  <w:tcMar>
                    <w:top w:w="0" w:type="dxa"/>
                    <w:left w:w="11" w:type="dxa"/>
                    <w:bottom w:w="0" w:type="dxa"/>
                    <w:right w:w="11" w:type="dxa"/>
                  </w:tcMar>
                  <w:vAlign w:val="center"/>
                </w:tcPr>
                <w:p w14:paraId="7589AEC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w:t>
                  </w:r>
                </w:p>
              </w:tc>
              <w:tc>
                <w:tcPr>
                  <w:tcW w:w="1222" w:type="dxa"/>
                  <w:noWrap w:val="0"/>
                  <w:tcMar>
                    <w:top w:w="0" w:type="dxa"/>
                    <w:left w:w="11" w:type="dxa"/>
                    <w:bottom w:w="0" w:type="dxa"/>
                    <w:right w:w="11" w:type="dxa"/>
                  </w:tcMar>
                  <w:vAlign w:val="center"/>
                </w:tcPr>
                <w:p w14:paraId="2F909E3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pacing w:val="2"/>
                      <w:kern w:val="2"/>
                      <w:sz w:val="21"/>
                      <w:szCs w:val="21"/>
                      <w:lang w:val="en-US" w:eastAsia="zh-CN" w:bidi="ar-SA"/>
                    </w:rPr>
                    <w:t>清洗废液</w:t>
                  </w:r>
                </w:p>
              </w:tc>
              <w:tc>
                <w:tcPr>
                  <w:tcW w:w="618" w:type="dxa"/>
                  <w:vMerge w:val="continue"/>
                  <w:noWrap w:val="0"/>
                  <w:tcMar>
                    <w:top w:w="0" w:type="dxa"/>
                    <w:left w:w="11" w:type="dxa"/>
                    <w:bottom w:w="0" w:type="dxa"/>
                    <w:right w:w="11" w:type="dxa"/>
                  </w:tcMar>
                  <w:vAlign w:val="center"/>
                </w:tcPr>
                <w:p w14:paraId="2C026700">
                  <w:pPr>
                    <w:pStyle w:val="2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03" w:type="dxa"/>
                  <w:noWrap w:val="0"/>
                  <w:tcMar>
                    <w:top w:w="0" w:type="dxa"/>
                    <w:left w:w="11" w:type="dxa"/>
                    <w:bottom w:w="0" w:type="dxa"/>
                    <w:right w:w="11" w:type="dxa"/>
                  </w:tcMar>
                  <w:vAlign w:val="center"/>
                </w:tcPr>
                <w:p w14:paraId="6FC9A974">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HW0</w:t>
                  </w:r>
                  <w:r>
                    <w:rPr>
                      <w:rFonts w:hint="eastAsia" w:ascii="Times New Roman" w:hAnsi="Times New Roman" w:eastAsia="宋体" w:cs="Times New Roman"/>
                      <w:color w:val="auto"/>
                      <w:sz w:val="21"/>
                      <w:szCs w:val="21"/>
                      <w:lang w:val="en-US" w:eastAsia="zh-CN"/>
                    </w:rPr>
                    <w:t>9</w:t>
                  </w:r>
                </w:p>
              </w:tc>
              <w:tc>
                <w:tcPr>
                  <w:tcW w:w="1084" w:type="dxa"/>
                  <w:noWrap w:val="0"/>
                  <w:tcMar>
                    <w:top w:w="0" w:type="dxa"/>
                    <w:left w:w="11" w:type="dxa"/>
                    <w:bottom w:w="0" w:type="dxa"/>
                    <w:right w:w="11" w:type="dxa"/>
                  </w:tcMar>
                  <w:vAlign w:val="center"/>
                </w:tcPr>
                <w:p w14:paraId="42234C81">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2"/>
                      <w:kern w:val="2"/>
                      <w:sz w:val="21"/>
                      <w:szCs w:val="21"/>
                      <w:lang w:val="en-US" w:eastAsia="zh-CN" w:bidi="ar-SA"/>
                    </w:rPr>
                    <w:t>900-0</w:t>
                  </w:r>
                  <w:r>
                    <w:rPr>
                      <w:rFonts w:hint="eastAsia" w:ascii="Times New Roman" w:hAnsi="Times New Roman" w:eastAsia="宋体" w:cs="Times New Roman"/>
                      <w:color w:val="auto"/>
                      <w:spacing w:val="2"/>
                      <w:kern w:val="2"/>
                      <w:sz w:val="21"/>
                      <w:szCs w:val="21"/>
                      <w:lang w:val="en-US" w:eastAsia="zh-CN" w:bidi="ar-SA"/>
                    </w:rPr>
                    <w:t>07</w:t>
                  </w:r>
                  <w:r>
                    <w:rPr>
                      <w:rFonts w:hint="default" w:ascii="Times New Roman" w:hAnsi="Times New Roman" w:eastAsia="宋体" w:cs="Times New Roman"/>
                      <w:color w:val="auto"/>
                      <w:spacing w:val="2"/>
                      <w:kern w:val="2"/>
                      <w:sz w:val="21"/>
                      <w:szCs w:val="21"/>
                      <w:lang w:val="en-US" w:eastAsia="zh-CN" w:bidi="ar-SA"/>
                    </w:rPr>
                    <w:t>-</w:t>
                  </w:r>
                  <w:r>
                    <w:rPr>
                      <w:rFonts w:hint="eastAsia" w:ascii="Times New Roman" w:hAnsi="Times New Roman" w:eastAsia="宋体" w:cs="Times New Roman"/>
                      <w:color w:val="auto"/>
                      <w:spacing w:val="2"/>
                      <w:kern w:val="2"/>
                      <w:sz w:val="21"/>
                      <w:szCs w:val="21"/>
                      <w:lang w:val="en-US" w:eastAsia="zh-CN" w:bidi="ar-SA"/>
                    </w:rPr>
                    <w:t>0</w:t>
                  </w:r>
                  <w:r>
                    <w:rPr>
                      <w:rFonts w:hint="default" w:ascii="Times New Roman" w:hAnsi="Times New Roman" w:eastAsia="宋体" w:cs="Times New Roman"/>
                      <w:color w:val="auto"/>
                      <w:spacing w:val="2"/>
                      <w:kern w:val="2"/>
                      <w:sz w:val="21"/>
                      <w:szCs w:val="21"/>
                      <w:lang w:val="en-US" w:eastAsia="zh-CN" w:bidi="ar-SA"/>
                    </w:rPr>
                    <w:t>9</w:t>
                  </w:r>
                </w:p>
              </w:tc>
              <w:tc>
                <w:tcPr>
                  <w:tcW w:w="702" w:type="dxa"/>
                  <w:noWrap w:val="0"/>
                  <w:tcMar>
                    <w:top w:w="0" w:type="dxa"/>
                    <w:left w:w="11" w:type="dxa"/>
                    <w:bottom w:w="0" w:type="dxa"/>
                    <w:right w:w="11" w:type="dxa"/>
                  </w:tcMar>
                  <w:vAlign w:val="center"/>
                </w:tcPr>
                <w:p w14:paraId="79C728E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8.1</w:t>
                  </w:r>
                </w:p>
              </w:tc>
              <w:tc>
                <w:tcPr>
                  <w:tcW w:w="665" w:type="dxa"/>
                  <w:noWrap w:val="0"/>
                  <w:tcMar>
                    <w:top w:w="0" w:type="dxa"/>
                    <w:left w:w="11" w:type="dxa"/>
                    <w:bottom w:w="0" w:type="dxa"/>
                    <w:right w:w="11" w:type="dxa"/>
                  </w:tcMar>
                  <w:vAlign w:val="center"/>
                </w:tcPr>
                <w:p w14:paraId="6012C0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桶装</w:t>
                  </w:r>
                </w:p>
              </w:tc>
              <w:tc>
                <w:tcPr>
                  <w:tcW w:w="665" w:type="dxa"/>
                  <w:noWrap w:val="0"/>
                  <w:tcMar>
                    <w:top w:w="0" w:type="dxa"/>
                    <w:left w:w="11" w:type="dxa"/>
                    <w:bottom w:w="0" w:type="dxa"/>
                    <w:right w:w="11" w:type="dxa"/>
                  </w:tcMar>
                  <w:vAlign w:val="center"/>
                </w:tcPr>
                <w:p w14:paraId="374408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个月</w:t>
                  </w:r>
                </w:p>
              </w:tc>
              <w:tc>
                <w:tcPr>
                  <w:tcW w:w="665" w:type="dxa"/>
                  <w:noWrap w:val="0"/>
                  <w:tcMar>
                    <w:top w:w="0" w:type="dxa"/>
                    <w:left w:w="11" w:type="dxa"/>
                    <w:bottom w:w="0" w:type="dxa"/>
                    <w:right w:w="11" w:type="dxa"/>
                  </w:tcMar>
                  <w:vAlign w:val="center"/>
                </w:tcPr>
                <w:p w14:paraId="46F4FD1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w:t>
                  </w:r>
                </w:p>
              </w:tc>
              <w:tc>
                <w:tcPr>
                  <w:tcW w:w="668" w:type="dxa"/>
                  <w:noWrap w:val="0"/>
                  <w:tcMar>
                    <w:top w:w="0" w:type="dxa"/>
                    <w:left w:w="11" w:type="dxa"/>
                    <w:bottom w:w="0" w:type="dxa"/>
                    <w:right w:w="11" w:type="dxa"/>
                  </w:tcMar>
                  <w:vAlign w:val="center"/>
                </w:tcPr>
                <w:p w14:paraId="4CAD020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1.62</w:t>
                  </w:r>
                </w:p>
              </w:tc>
              <w:tc>
                <w:tcPr>
                  <w:tcW w:w="973" w:type="dxa"/>
                  <w:vMerge w:val="continue"/>
                  <w:noWrap w:val="0"/>
                  <w:tcMar>
                    <w:top w:w="0" w:type="dxa"/>
                    <w:left w:w="11" w:type="dxa"/>
                    <w:bottom w:w="0" w:type="dxa"/>
                    <w:right w:w="11" w:type="dxa"/>
                  </w:tcMar>
                  <w:vAlign w:val="center"/>
                </w:tcPr>
                <w:p w14:paraId="5BAFD60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1E16C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dxa"/>
                  <w:noWrap w:val="0"/>
                  <w:tcMar>
                    <w:top w:w="0" w:type="dxa"/>
                    <w:left w:w="11" w:type="dxa"/>
                    <w:bottom w:w="0" w:type="dxa"/>
                    <w:right w:w="11" w:type="dxa"/>
                  </w:tcMar>
                  <w:vAlign w:val="center"/>
                </w:tcPr>
                <w:p w14:paraId="2FC1A15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bidi="ar-SA"/>
                    </w:rPr>
                    <w:t>6</w:t>
                  </w:r>
                </w:p>
              </w:tc>
              <w:tc>
                <w:tcPr>
                  <w:tcW w:w="1222" w:type="dxa"/>
                  <w:noWrap w:val="0"/>
                  <w:tcMar>
                    <w:top w:w="0" w:type="dxa"/>
                    <w:left w:w="11" w:type="dxa"/>
                    <w:bottom w:w="0" w:type="dxa"/>
                    <w:right w:w="11" w:type="dxa"/>
                  </w:tcMar>
                  <w:vAlign w:val="center"/>
                </w:tcPr>
                <w:p w14:paraId="1F9B323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pacing w:val="2"/>
                      <w:kern w:val="2"/>
                      <w:sz w:val="21"/>
                      <w:szCs w:val="21"/>
                      <w:lang w:val="en-US" w:eastAsia="zh-CN" w:bidi="ar-SA"/>
                    </w:rPr>
                    <w:t>废</w:t>
                  </w:r>
                  <w:r>
                    <w:rPr>
                      <w:rFonts w:hint="eastAsia" w:ascii="Times New Roman" w:hAnsi="Times New Roman" w:eastAsia="宋体" w:cs="Times New Roman"/>
                      <w:color w:val="auto"/>
                      <w:spacing w:val="2"/>
                      <w:kern w:val="2"/>
                      <w:sz w:val="21"/>
                      <w:szCs w:val="21"/>
                      <w:lang w:val="en-US" w:eastAsia="zh-CN" w:bidi="ar-SA"/>
                    </w:rPr>
                    <w:t>机油</w:t>
                  </w:r>
                </w:p>
              </w:tc>
              <w:tc>
                <w:tcPr>
                  <w:tcW w:w="618" w:type="dxa"/>
                  <w:vMerge w:val="continue"/>
                  <w:noWrap w:val="0"/>
                  <w:tcMar>
                    <w:top w:w="0" w:type="dxa"/>
                    <w:left w:w="11" w:type="dxa"/>
                    <w:bottom w:w="0" w:type="dxa"/>
                    <w:right w:w="11" w:type="dxa"/>
                  </w:tcMar>
                  <w:vAlign w:val="center"/>
                </w:tcPr>
                <w:p w14:paraId="469AE6D9">
                  <w:pPr>
                    <w:pStyle w:val="2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03" w:type="dxa"/>
                  <w:noWrap w:val="0"/>
                  <w:tcMar>
                    <w:top w:w="0" w:type="dxa"/>
                    <w:left w:w="11" w:type="dxa"/>
                    <w:bottom w:w="0" w:type="dxa"/>
                    <w:right w:w="11" w:type="dxa"/>
                  </w:tcMar>
                  <w:vAlign w:val="center"/>
                </w:tcPr>
                <w:p w14:paraId="50F74218">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HW08</w:t>
                  </w:r>
                </w:p>
              </w:tc>
              <w:tc>
                <w:tcPr>
                  <w:tcW w:w="1084" w:type="dxa"/>
                  <w:noWrap w:val="0"/>
                  <w:tcMar>
                    <w:top w:w="0" w:type="dxa"/>
                    <w:left w:w="11" w:type="dxa"/>
                    <w:bottom w:w="0" w:type="dxa"/>
                    <w:right w:w="11" w:type="dxa"/>
                  </w:tcMar>
                  <w:vAlign w:val="center"/>
                </w:tcPr>
                <w:p w14:paraId="3CCA9484">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900-2</w:t>
                  </w:r>
                  <w:r>
                    <w:rPr>
                      <w:rFonts w:hint="eastAsia" w:cs="Times New Roman"/>
                      <w:color w:val="auto"/>
                      <w:sz w:val="21"/>
                      <w:szCs w:val="21"/>
                      <w:lang w:val="en-US" w:eastAsia="zh-CN"/>
                    </w:rPr>
                    <w:t>49</w:t>
                  </w:r>
                  <w:r>
                    <w:rPr>
                      <w:rFonts w:hint="default" w:ascii="Times New Roman" w:hAnsi="Times New Roman" w:eastAsia="宋体" w:cs="Times New Roman"/>
                      <w:color w:val="auto"/>
                      <w:sz w:val="21"/>
                      <w:szCs w:val="21"/>
                      <w:lang w:val="en-US" w:eastAsia="zh-CN"/>
                    </w:rPr>
                    <w:t>-08</w:t>
                  </w:r>
                </w:p>
              </w:tc>
              <w:tc>
                <w:tcPr>
                  <w:tcW w:w="702" w:type="dxa"/>
                  <w:noWrap w:val="0"/>
                  <w:tcMar>
                    <w:top w:w="0" w:type="dxa"/>
                    <w:left w:w="11" w:type="dxa"/>
                    <w:bottom w:w="0" w:type="dxa"/>
                    <w:right w:w="11" w:type="dxa"/>
                  </w:tcMar>
                  <w:vAlign w:val="center"/>
                </w:tcPr>
                <w:p w14:paraId="255D4E5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0.9</w:t>
                  </w:r>
                </w:p>
              </w:tc>
              <w:tc>
                <w:tcPr>
                  <w:tcW w:w="665" w:type="dxa"/>
                  <w:noWrap w:val="0"/>
                  <w:tcMar>
                    <w:top w:w="0" w:type="dxa"/>
                    <w:left w:w="11" w:type="dxa"/>
                    <w:bottom w:w="0" w:type="dxa"/>
                    <w:right w:w="11" w:type="dxa"/>
                  </w:tcMar>
                  <w:vAlign w:val="center"/>
                </w:tcPr>
                <w:p w14:paraId="584A3A3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桶装</w:t>
                  </w:r>
                </w:p>
              </w:tc>
              <w:tc>
                <w:tcPr>
                  <w:tcW w:w="665" w:type="dxa"/>
                  <w:noWrap w:val="0"/>
                  <w:tcMar>
                    <w:top w:w="0" w:type="dxa"/>
                    <w:left w:w="11" w:type="dxa"/>
                    <w:bottom w:w="0" w:type="dxa"/>
                    <w:right w:w="11" w:type="dxa"/>
                  </w:tcMar>
                  <w:vAlign w:val="center"/>
                </w:tcPr>
                <w:p w14:paraId="6126419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个月</w:t>
                  </w:r>
                </w:p>
              </w:tc>
              <w:tc>
                <w:tcPr>
                  <w:tcW w:w="665" w:type="dxa"/>
                  <w:noWrap w:val="0"/>
                  <w:tcMar>
                    <w:top w:w="0" w:type="dxa"/>
                    <w:left w:w="11" w:type="dxa"/>
                    <w:bottom w:w="0" w:type="dxa"/>
                    <w:right w:w="11" w:type="dxa"/>
                  </w:tcMar>
                  <w:vAlign w:val="center"/>
                </w:tcPr>
                <w:p w14:paraId="783F55D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c>
                <w:tcPr>
                  <w:tcW w:w="668" w:type="dxa"/>
                  <w:noWrap w:val="0"/>
                  <w:tcMar>
                    <w:top w:w="0" w:type="dxa"/>
                    <w:left w:w="11" w:type="dxa"/>
                    <w:bottom w:w="0" w:type="dxa"/>
                    <w:right w:w="11" w:type="dxa"/>
                  </w:tcMar>
                  <w:vAlign w:val="center"/>
                </w:tcPr>
                <w:p w14:paraId="76E6089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0.225</w:t>
                  </w:r>
                </w:p>
              </w:tc>
              <w:tc>
                <w:tcPr>
                  <w:tcW w:w="973" w:type="dxa"/>
                  <w:vMerge w:val="continue"/>
                  <w:noWrap w:val="0"/>
                  <w:tcMar>
                    <w:top w:w="0" w:type="dxa"/>
                    <w:left w:w="11" w:type="dxa"/>
                    <w:bottom w:w="0" w:type="dxa"/>
                    <w:right w:w="11" w:type="dxa"/>
                  </w:tcMar>
                  <w:vAlign w:val="center"/>
                </w:tcPr>
                <w:p w14:paraId="0C67304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72002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dxa"/>
                  <w:noWrap w:val="0"/>
                  <w:tcMar>
                    <w:top w:w="0" w:type="dxa"/>
                    <w:left w:w="11" w:type="dxa"/>
                    <w:bottom w:w="0" w:type="dxa"/>
                    <w:right w:w="11" w:type="dxa"/>
                  </w:tcMar>
                  <w:vAlign w:val="center"/>
                </w:tcPr>
                <w:p w14:paraId="172157B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7</w:t>
                  </w:r>
                </w:p>
              </w:tc>
              <w:tc>
                <w:tcPr>
                  <w:tcW w:w="1222" w:type="dxa"/>
                  <w:noWrap w:val="0"/>
                  <w:tcMar>
                    <w:top w:w="0" w:type="dxa"/>
                    <w:left w:w="11" w:type="dxa"/>
                    <w:bottom w:w="0" w:type="dxa"/>
                    <w:right w:w="11" w:type="dxa"/>
                  </w:tcMar>
                  <w:vAlign w:val="center"/>
                </w:tcPr>
                <w:p w14:paraId="5F68ADA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pacing w:val="2"/>
                      <w:kern w:val="2"/>
                      <w:sz w:val="21"/>
                      <w:szCs w:val="21"/>
                      <w:lang w:val="en-US" w:eastAsia="zh-CN" w:bidi="ar-SA"/>
                    </w:rPr>
                    <w:t>废切削液桶</w:t>
                  </w:r>
                </w:p>
              </w:tc>
              <w:tc>
                <w:tcPr>
                  <w:tcW w:w="618" w:type="dxa"/>
                  <w:vMerge w:val="continue"/>
                  <w:noWrap w:val="0"/>
                  <w:tcMar>
                    <w:top w:w="0" w:type="dxa"/>
                    <w:left w:w="11" w:type="dxa"/>
                    <w:bottom w:w="0" w:type="dxa"/>
                    <w:right w:w="11" w:type="dxa"/>
                  </w:tcMar>
                  <w:vAlign w:val="center"/>
                </w:tcPr>
                <w:p w14:paraId="6FA94E81">
                  <w:pPr>
                    <w:pStyle w:val="2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03" w:type="dxa"/>
                  <w:noWrap w:val="0"/>
                  <w:tcMar>
                    <w:top w:w="0" w:type="dxa"/>
                    <w:left w:w="11" w:type="dxa"/>
                    <w:bottom w:w="0" w:type="dxa"/>
                    <w:right w:w="11" w:type="dxa"/>
                  </w:tcMar>
                  <w:vAlign w:val="center"/>
                </w:tcPr>
                <w:p w14:paraId="644606C7">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HW49</w:t>
                  </w:r>
                </w:p>
              </w:tc>
              <w:tc>
                <w:tcPr>
                  <w:tcW w:w="1084" w:type="dxa"/>
                  <w:noWrap w:val="0"/>
                  <w:tcMar>
                    <w:top w:w="0" w:type="dxa"/>
                    <w:left w:w="11" w:type="dxa"/>
                    <w:bottom w:w="0" w:type="dxa"/>
                    <w:right w:w="11" w:type="dxa"/>
                  </w:tcMar>
                  <w:vAlign w:val="center"/>
                </w:tcPr>
                <w:p w14:paraId="7879A9EB">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900-041-49</w:t>
                  </w:r>
                </w:p>
              </w:tc>
              <w:tc>
                <w:tcPr>
                  <w:tcW w:w="702" w:type="dxa"/>
                  <w:noWrap w:val="0"/>
                  <w:tcMar>
                    <w:top w:w="0" w:type="dxa"/>
                    <w:left w:w="11" w:type="dxa"/>
                    <w:bottom w:w="0" w:type="dxa"/>
                    <w:right w:w="11" w:type="dxa"/>
                  </w:tcMar>
                  <w:vAlign w:val="center"/>
                </w:tcPr>
                <w:p w14:paraId="0C581D8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0.01</w:t>
                  </w:r>
                </w:p>
              </w:tc>
              <w:tc>
                <w:tcPr>
                  <w:tcW w:w="665" w:type="dxa"/>
                  <w:noWrap w:val="0"/>
                  <w:tcMar>
                    <w:top w:w="0" w:type="dxa"/>
                    <w:left w:w="11" w:type="dxa"/>
                    <w:bottom w:w="0" w:type="dxa"/>
                    <w:right w:w="11" w:type="dxa"/>
                  </w:tcMar>
                  <w:vAlign w:val="center"/>
                </w:tcPr>
                <w:p w14:paraId="0AC5C85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防渗托盘</w:t>
                  </w:r>
                </w:p>
              </w:tc>
              <w:tc>
                <w:tcPr>
                  <w:tcW w:w="665" w:type="dxa"/>
                  <w:noWrap w:val="0"/>
                  <w:tcMar>
                    <w:top w:w="0" w:type="dxa"/>
                    <w:left w:w="11" w:type="dxa"/>
                    <w:bottom w:w="0" w:type="dxa"/>
                    <w:right w:w="11" w:type="dxa"/>
                  </w:tcMar>
                  <w:vAlign w:val="center"/>
                </w:tcPr>
                <w:p w14:paraId="6B7778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个月</w:t>
                  </w:r>
                </w:p>
              </w:tc>
              <w:tc>
                <w:tcPr>
                  <w:tcW w:w="665" w:type="dxa"/>
                  <w:noWrap w:val="0"/>
                  <w:tcMar>
                    <w:top w:w="0" w:type="dxa"/>
                    <w:left w:w="11" w:type="dxa"/>
                    <w:bottom w:w="0" w:type="dxa"/>
                    <w:right w:w="11" w:type="dxa"/>
                  </w:tcMar>
                  <w:vAlign w:val="center"/>
                </w:tcPr>
                <w:p w14:paraId="4D7472B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c>
                <w:tcPr>
                  <w:tcW w:w="668" w:type="dxa"/>
                  <w:noWrap w:val="0"/>
                  <w:tcMar>
                    <w:top w:w="0" w:type="dxa"/>
                    <w:left w:w="11" w:type="dxa"/>
                    <w:bottom w:w="0" w:type="dxa"/>
                    <w:right w:w="11" w:type="dxa"/>
                  </w:tcMar>
                  <w:vAlign w:val="center"/>
                </w:tcPr>
                <w:p w14:paraId="706D27C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0.01</w:t>
                  </w:r>
                </w:p>
              </w:tc>
              <w:tc>
                <w:tcPr>
                  <w:tcW w:w="973" w:type="dxa"/>
                  <w:vMerge w:val="continue"/>
                  <w:noWrap w:val="0"/>
                  <w:tcMar>
                    <w:top w:w="0" w:type="dxa"/>
                    <w:left w:w="11" w:type="dxa"/>
                    <w:bottom w:w="0" w:type="dxa"/>
                    <w:right w:w="11" w:type="dxa"/>
                  </w:tcMar>
                  <w:vAlign w:val="center"/>
                </w:tcPr>
                <w:p w14:paraId="65C603D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6D6C4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dxa"/>
                  <w:noWrap w:val="0"/>
                  <w:tcMar>
                    <w:top w:w="0" w:type="dxa"/>
                    <w:left w:w="11" w:type="dxa"/>
                    <w:bottom w:w="0" w:type="dxa"/>
                    <w:right w:w="11" w:type="dxa"/>
                  </w:tcMar>
                  <w:vAlign w:val="center"/>
                </w:tcPr>
                <w:p w14:paraId="5F987EA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8</w:t>
                  </w:r>
                </w:p>
              </w:tc>
              <w:tc>
                <w:tcPr>
                  <w:tcW w:w="1222" w:type="dxa"/>
                  <w:noWrap w:val="0"/>
                  <w:tcMar>
                    <w:top w:w="0" w:type="dxa"/>
                    <w:left w:w="11" w:type="dxa"/>
                    <w:bottom w:w="0" w:type="dxa"/>
                    <w:right w:w="11" w:type="dxa"/>
                  </w:tcMar>
                  <w:vAlign w:val="center"/>
                </w:tcPr>
                <w:p w14:paraId="64A1289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废机油桶</w:t>
                  </w:r>
                </w:p>
              </w:tc>
              <w:tc>
                <w:tcPr>
                  <w:tcW w:w="618" w:type="dxa"/>
                  <w:vMerge w:val="continue"/>
                  <w:noWrap w:val="0"/>
                  <w:tcMar>
                    <w:top w:w="0" w:type="dxa"/>
                    <w:left w:w="11" w:type="dxa"/>
                    <w:bottom w:w="0" w:type="dxa"/>
                    <w:right w:w="11" w:type="dxa"/>
                  </w:tcMar>
                  <w:vAlign w:val="center"/>
                </w:tcPr>
                <w:p w14:paraId="05F5FF04">
                  <w:pPr>
                    <w:pStyle w:val="2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03" w:type="dxa"/>
                  <w:noWrap w:val="0"/>
                  <w:tcMar>
                    <w:top w:w="0" w:type="dxa"/>
                    <w:left w:w="11" w:type="dxa"/>
                    <w:bottom w:w="0" w:type="dxa"/>
                    <w:right w:w="11" w:type="dxa"/>
                  </w:tcMar>
                  <w:vAlign w:val="center"/>
                </w:tcPr>
                <w:p w14:paraId="699EE081">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HW08</w:t>
                  </w:r>
                </w:p>
              </w:tc>
              <w:tc>
                <w:tcPr>
                  <w:tcW w:w="1084" w:type="dxa"/>
                  <w:noWrap w:val="0"/>
                  <w:tcMar>
                    <w:top w:w="0" w:type="dxa"/>
                    <w:left w:w="11" w:type="dxa"/>
                    <w:bottom w:w="0" w:type="dxa"/>
                    <w:right w:w="11" w:type="dxa"/>
                  </w:tcMar>
                  <w:vAlign w:val="center"/>
                </w:tcPr>
                <w:p w14:paraId="0EBCC45E">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900-2</w:t>
                  </w:r>
                  <w:r>
                    <w:rPr>
                      <w:rFonts w:hint="eastAsia" w:cs="Times New Roman"/>
                      <w:color w:val="auto"/>
                      <w:sz w:val="21"/>
                      <w:szCs w:val="21"/>
                      <w:lang w:val="en-US" w:eastAsia="zh-CN"/>
                    </w:rPr>
                    <w:t>49</w:t>
                  </w:r>
                  <w:r>
                    <w:rPr>
                      <w:rFonts w:hint="default" w:ascii="Times New Roman" w:hAnsi="Times New Roman" w:eastAsia="宋体" w:cs="Times New Roman"/>
                      <w:color w:val="auto"/>
                      <w:sz w:val="21"/>
                      <w:szCs w:val="21"/>
                      <w:lang w:val="en-US" w:eastAsia="zh-CN"/>
                    </w:rPr>
                    <w:t>-08</w:t>
                  </w:r>
                </w:p>
              </w:tc>
              <w:tc>
                <w:tcPr>
                  <w:tcW w:w="702" w:type="dxa"/>
                  <w:noWrap w:val="0"/>
                  <w:tcMar>
                    <w:top w:w="0" w:type="dxa"/>
                    <w:left w:w="11" w:type="dxa"/>
                    <w:bottom w:w="0" w:type="dxa"/>
                    <w:right w:w="11" w:type="dxa"/>
                  </w:tcMar>
                  <w:vAlign w:val="center"/>
                </w:tcPr>
                <w:p w14:paraId="46B6B7D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0.025</w:t>
                  </w:r>
                </w:p>
              </w:tc>
              <w:tc>
                <w:tcPr>
                  <w:tcW w:w="665" w:type="dxa"/>
                  <w:noWrap w:val="0"/>
                  <w:tcMar>
                    <w:top w:w="0" w:type="dxa"/>
                    <w:left w:w="11" w:type="dxa"/>
                    <w:bottom w:w="0" w:type="dxa"/>
                    <w:right w:w="11" w:type="dxa"/>
                  </w:tcMar>
                  <w:vAlign w:val="center"/>
                </w:tcPr>
                <w:p w14:paraId="046F9D7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防渗托盘</w:t>
                  </w:r>
                </w:p>
              </w:tc>
              <w:tc>
                <w:tcPr>
                  <w:tcW w:w="665" w:type="dxa"/>
                  <w:noWrap w:val="0"/>
                  <w:tcMar>
                    <w:top w:w="0" w:type="dxa"/>
                    <w:left w:w="11" w:type="dxa"/>
                    <w:bottom w:w="0" w:type="dxa"/>
                    <w:right w:w="11" w:type="dxa"/>
                  </w:tcMar>
                  <w:vAlign w:val="center"/>
                </w:tcPr>
                <w:p w14:paraId="20EBBD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个月</w:t>
                  </w:r>
                </w:p>
              </w:tc>
              <w:tc>
                <w:tcPr>
                  <w:tcW w:w="665" w:type="dxa"/>
                  <w:noWrap w:val="0"/>
                  <w:tcMar>
                    <w:top w:w="0" w:type="dxa"/>
                    <w:left w:w="11" w:type="dxa"/>
                    <w:bottom w:w="0" w:type="dxa"/>
                    <w:right w:w="11" w:type="dxa"/>
                  </w:tcMar>
                  <w:vAlign w:val="center"/>
                </w:tcPr>
                <w:p w14:paraId="275DFB9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0.5</w:t>
                  </w:r>
                </w:p>
              </w:tc>
              <w:tc>
                <w:tcPr>
                  <w:tcW w:w="668" w:type="dxa"/>
                  <w:noWrap w:val="0"/>
                  <w:tcMar>
                    <w:top w:w="0" w:type="dxa"/>
                    <w:left w:w="11" w:type="dxa"/>
                    <w:bottom w:w="0" w:type="dxa"/>
                    <w:right w:w="11" w:type="dxa"/>
                  </w:tcMar>
                  <w:vAlign w:val="center"/>
                </w:tcPr>
                <w:p w14:paraId="6B3D090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0.025</w:t>
                  </w:r>
                </w:p>
              </w:tc>
              <w:tc>
                <w:tcPr>
                  <w:tcW w:w="973" w:type="dxa"/>
                  <w:vMerge w:val="continue"/>
                  <w:noWrap w:val="0"/>
                  <w:tcMar>
                    <w:top w:w="0" w:type="dxa"/>
                    <w:left w:w="11" w:type="dxa"/>
                    <w:bottom w:w="0" w:type="dxa"/>
                    <w:right w:w="11" w:type="dxa"/>
                  </w:tcMar>
                  <w:vAlign w:val="center"/>
                </w:tcPr>
                <w:p w14:paraId="6C34239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566E4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dxa"/>
                  <w:noWrap w:val="0"/>
                  <w:tcMar>
                    <w:top w:w="0" w:type="dxa"/>
                    <w:left w:w="11" w:type="dxa"/>
                    <w:bottom w:w="0" w:type="dxa"/>
                    <w:right w:w="11" w:type="dxa"/>
                  </w:tcMar>
                  <w:vAlign w:val="center"/>
                </w:tcPr>
                <w:p w14:paraId="12AD7B1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9</w:t>
                  </w:r>
                </w:p>
              </w:tc>
              <w:tc>
                <w:tcPr>
                  <w:tcW w:w="1222" w:type="dxa"/>
                  <w:noWrap w:val="0"/>
                  <w:tcMar>
                    <w:top w:w="0" w:type="dxa"/>
                    <w:left w:w="11" w:type="dxa"/>
                    <w:bottom w:w="0" w:type="dxa"/>
                    <w:right w:w="11" w:type="dxa"/>
                  </w:tcMar>
                  <w:vAlign w:val="center"/>
                </w:tcPr>
                <w:p w14:paraId="66702AA2">
                  <w:pPr>
                    <w:pStyle w:val="28"/>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pacing w:val="2"/>
                      <w:kern w:val="2"/>
                      <w:sz w:val="21"/>
                      <w:szCs w:val="21"/>
                      <w:lang w:val="en-US" w:eastAsia="zh-CN" w:bidi="ar-SA"/>
                    </w:rPr>
                    <w:t>废清洗剂桶</w:t>
                  </w:r>
                </w:p>
              </w:tc>
              <w:tc>
                <w:tcPr>
                  <w:tcW w:w="618" w:type="dxa"/>
                  <w:vMerge w:val="continue"/>
                  <w:noWrap w:val="0"/>
                  <w:tcMar>
                    <w:top w:w="0" w:type="dxa"/>
                    <w:left w:w="11" w:type="dxa"/>
                    <w:bottom w:w="0" w:type="dxa"/>
                    <w:right w:w="11" w:type="dxa"/>
                  </w:tcMar>
                  <w:vAlign w:val="center"/>
                </w:tcPr>
                <w:p w14:paraId="1C5966C7">
                  <w:pPr>
                    <w:pStyle w:val="2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03" w:type="dxa"/>
                  <w:noWrap w:val="0"/>
                  <w:tcMar>
                    <w:top w:w="0" w:type="dxa"/>
                    <w:left w:w="11" w:type="dxa"/>
                    <w:bottom w:w="0" w:type="dxa"/>
                    <w:right w:w="11" w:type="dxa"/>
                  </w:tcMar>
                  <w:vAlign w:val="center"/>
                </w:tcPr>
                <w:p w14:paraId="7328C6CE">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HW49</w:t>
                  </w:r>
                </w:p>
              </w:tc>
              <w:tc>
                <w:tcPr>
                  <w:tcW w:w="1084" w:type="dxa"/>
                  <w:noWrap w:val="0"/>
                  <w:tcMar>
                    <w:top w:w="0" w:type="dxa"/>
                    <w:left w:w="11" w:type="dxa"/>
                    <w:bottom w:w="0" w:type="dxa"/>
                    <w:right w:w="11" w:type="dxa"/>
                  </w:tcMar>
                  <w:vAlign w:val="center"/>
                </w:tcPr>
                <w:p w14:paraId="252D7C69">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900-041-49</w:t>
                  </w:r>
                </w:p>
              </w:tc>
              <w:tc>
                <w:tcPr>
                  <w:tcW w:w="702" w:type="dxa"/>
                  <w:noWrap w:val="0"/>
                  <w:tcMar>
                    <w:top w:w="0" w:type="dxa"/>
                    <w:left w:w="11" w:type="dxa"/>
                    <w:bottom w:w="0" w:type="dxa"/>
                    <w:right w:w="11" w:type="dxa"/>
                  </w:tcMar>
                  <w:vAlign w:val="center"/>
                </w:tcPr>
                <w:p w14:paraId="225DDC6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0.08</w:t>
                  </w:r>
                </w:p>
              </w:tc>
              <w:tc>
                <w:tcPr>
                  <w:tcW w:w="665" w:type="dxa"/>
                  <w:noWrap w:val="0"/>
                  <w:tcMar>
                    <w:top w:w="0" w:type="dxa"/>
                    <w:left w:w="11" w:type="dxa"/>
                    <w:bottom w:w="0" w:type="dxa"/>
                    <w:right w:w="11" w:type="dxa"/>
                  </w:tcMar>
                  <w:vAlign w:val="center"/>
                </w:tcPr>
                <w:p w14:paraId="1B2D1D6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65" w:type="dxa"/>
                  <w:noWrap w:val="0"/>
                  <w:tcMar>
                    <w:top w:w="0" w:type="dxa"/>
                    <w:left w:w="11" w:type="dxa"/>
                    <w:bottom w:w="0" w:type="dxa"/>
                    <w:right w:w="11" w:type="dxa"/>
                  </w:tcMar>
                  <w:vAlign w:val="center"/>
                </w:tcPr>
                <w:p w14:paraId="3F9DDF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3个月</w:t>
                  </w:r>
                </w:p>
              </w:tc>
              <w:tc>
                <w:tcPr>
                  <w:tcW w:w="665" w:type="dxa"/>
                  <w:noWrap w:val="0"/>
                  <w:tcMar>
                    <w:top w:w="0" w:type="dxa"/>
                    <w:left w:w="11" w:type="dxa"/>
                    <w:bottom w:w="0" w:type="dxa"/>
                    <w:right w:w="11" w:type="dxa"/>
                  </w:tcMar>
                  <w:vAlign w:val="center"/>
                </w:tcPr>
                <w:p w14:paraId="52F60F3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0.5</w:t>
                  </w:r>
                </w:p>
              </w:tc>
              <w:tc>
                <w:tcPr>
                  <w:tcW w:w="668" w:type="dxa"/>
                  <w:noWrap w:val="0"/>
                  <w:tcMar>
                    <w:top w:w="0" w:type="dxa"/>
                    <w:left w:w="11" w:type="dxa"/>
                    <w:bottom w:w="0" w:type="dxa"/>
                    <w:right w:w="11" w:type="dxa"/>
                  </w:tcMar>
                  <w:vAlign w:val="center"/>
                </w:tcPr>
                <w:p w14:paraId="26EC976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0.02</w:t>
                  </w:r>
                </w:p>
              </w:tc>
              <w:tc>
                <w:tcPr>
                  <w:tcW w:w="973" w:type="dxa"/>
                  <w:vMerge w:val="continue"/>
                  <w:noWrap w:val="0"/>
                  <w:tcMar>
                    <w:top w:w="0" w:type="dxa"/>
                    <w:left w:w="11" w:type="dxa"/>
                    <w:bottom w:w="0" w:type="dxa"/>
                    <w:right w:w="11" w:type="dxa"/>
                  </w:tcMar>
                  <w:vAlign w:val="center"/>
                </w:tcPr>
                <w:p w14:paraId="0615189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44A83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dxa"/>
                  <w:noWrap w:val="0"/>
                  <w:tcMar>
                    <w:top w:w="0" w:type="dxa"/>
                    <w:left w:w="11" w:type="dxa"/>
                    <w:bottom w:w="0" w:type="dxa"/>
                    <w:right w:w="11" w:type="dxa"/>
                  </w:tcMar>
                  <w:vAlign w:val="center"/>
                </w:tcPr>
                <w:p w14:paraId="0F5B562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1222" w:type="dxa"/>
                  <w:noWrap w:val="0"/>
                  <w:tcMar>
                    <w:top w:w="0" w:type="dxa"/>
                    <w:left w:w="11" w:type="dxa"/>
                    <w:bottom w:w="0" w:type="dxa"/>
                    <w:right w:w="11" w:type="dxa"/>
                  </w:tcMar>
                  <w:vAlign w:val="center"/>
                </w:tcPr>
                <w:p w14:paraId="6EA599F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2"/>
                      <w:kern w:val="2"/>
                      <w:sz w:val="21"/>
                      <w:szCs w:val="21"/>
                      <w:lang w:val="en-US" w:eastAsia="zh-CN" w:bidi="ar-SA"/>
                    </w:rPr>
                  </w:pPr>
                  <w:r>
                    <w:rPr>
                      <w:rFonts w:hint="eastAsia" w:cs="Times New Roman"/>
                      <w:color w:val="auto"/>
                      <w:kern w:val="2"/>
                      <w:sz w:val="21"/>
                      <w:szCs w:val="21"/>
                      <w:highlight w:val="none"/>
                      <w:lang w:val="en-US" w:eastAsia="zh-CN" w:bidi="ar-SA"/>
                    </w:rPr>
                    <w:t>废包装袋</w:t>
                  </w:r>
                </w:p>
              </w:tc>
              <w:tc>
                <w:tcPr>
                  <w:tcW w:w="618" w:type="dxa"/>
                  <w:vMerge w:val="continue"/>
                  <w:noWrap w:val="0"/>
                  <w:tcMar>
                    <w:top w:w="0" w:type="dxa"/>
                    <w:left w:w="11" w:type="dxa"/>
                    <w:bottom w:w="0" w:type="dxa"/>
                    <w:right w:w="11" w:type="dxa"/>
                  </w:tcMar>
                  <w:vAlign w:val="center"/>
                </w:tcPr>
                <w:p w14:paraId="166CA163">
                  <w:pPr>
                    <w:pStyle w:val="2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03" w:type="dxa"/>
                  <w:noWrap w:val="0"/>
                  <w:tcMar>
                    <w:top w:w="0" w:type="dxa"/>
                    <w:left w:w="11" w:type="dxa"/>
                    <w:bottom w:w="0" w:type="dxa"/>
                    <w:right w:w="11" w:type="dxa"/>
                  </w:tcMar>
                  <w:vAlign w:val="center"/>
                </w:tcPr>
                <w:p w14:paraId="76593804">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HW49</w:t>
                  </w:r>
                </w:p>
              </w:tc>
              <w:tc>
                <w:tcPr>
                  <w:tcW w:w="1084" w:type="dxa"/>
                  <w:noWrap w:val="0"/>
                  <w:tcMar>
                    <w:top w:w="0" w:type="dxa"/>
                    <w:left w:w="11" w:type="dxa"/>
                    <w:bottom w:w="0" w:type="dxa"/>
                    <w:right w:w="11" w:type="dxa"/>
                  </w:tcMar>
                  <w:vAlign w:val="center"/>
                </w:tcPr>
                <w:p w14:paraId="24D8DE8C">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900-041-49</w:t>
                  </w:r>
                </w:p>
              </w:tc>
              <w:tc>
                <w:tcPr>
                  <w:tcW w:w="702" w:type="dxa"/>
                  <w:noWrap w:val="0"/>
                  <w:tcMar>
                    <w:top w:w="0" w:type="dxa"/>
                    <w:left w:w="11" w:type="dxa"/>
                    <w:bottom w:w="0" w:type="dxa"/>
                    <w:right w:w="11" w:type="dxa"/>
                  </w:tcMar>
                  <w:vAlign w:val="center"/>
                </w:tcPr>
                <w:p w14:paraId="659B2A0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0.001</w:t>
                  </w:r>
                </w:p>
              </w:tc>
              <w:tc>
                <w:tcPr>
                  <w:tcW w:w="665" w:type="dxa"/>
                  <w:noWrap w:val="0"/>
                  <w:tcMar>
                    <w:top w:w="0" w:type="dxa"/>
                    <w:left w:w="11" w:type="dxa"/>
                    <w:bottom w:w="0" w:type="dxa"/>
                    <w:right w:w="11" w:type="dxa"/>
                  </w:tcMar>
                  <w:vAlign w:val="center"/>
                </w:tcPr>
                <w:p w14:paraId="257A69A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65" w:type="dxa"/>
                  <w:noWrap w:val="0"/>
                  <w:tcMar>
                    <w:top w:w="0" w:type="dxa"/>
                    <w:left w:w="11" w:type="dxa"/>
                    <w:bottom w:w="0" w:type="dxa"/>
                    <w:right w:w="11" w:type="dxa"/>
                  </w:tcMar>
                  <w:vAlign w:val="center"/>
                </w:tcPr>
                <w:p w14:paraId="21F531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个月</w:t>
                  </w:r>
                </w:p>
              </w:tc>
              <w:tc>
                <w:tcPr>
                  <w:tcW w:w="665" w:type="dxa"/>
                  <w:noWrap w:val="0"/>
                  <w:tcMar>
                    <w:top w:w="0" w:type="dxa"/>
                    <w:left w:w="11" w:type="dxa"/>
                    <w:bottom w:w="0" w:type="dxa"/>
                    <w:right w:w="11" w:type="dxa"/>
                  </w:tcMar>
                  <w:vAlign w:val="center"/>
                </w:tcPr>
                <w:p w14:paraId="1EB6769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0.2</w:t>
                  </w:r>
                </w:p>
              </w:tc>
              <w:tc>
                <w:tcPr>
                  <w:tcW w:w="668" w:type="dxa"/>
                  <w:noWrap w:val="0"/>
                  <w:tcMar>
                    <w:top w:w="0" w:type="dxa"/>
                    <w:left w:w="11" w:type="dxa"/>
                    <w:bottom w:w="0" w:type="dxa"/>
                    <w:right w:w="11" w:type="dxa"/>
                  </w:tcMar>
                  <w:vAlign w:val="center"/>
                </w:tcPr>
                <w:p w14:paraId="42E0DB6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0.001</w:t>
                  </w:r>
                </w:p>
              </w:tc>
              <w:tc>
                <w:tcPr>
                  <w:tcW w:w="973" w:type="dxa"/>
                  <w:vMerge w:val="continue"/>
                  <w:noWrap w:val="0"/>
                  <w:tcMar>
                    <w:top w:w="0" w:type="dxa"/>
                    <w:left w:w="11" w:type="dxa"/>
                    <w:bottom w:w="0" w:type="dxa"/>
                    <w:right w:w="11" w:type="dxa"/>
                  </w:tcMar>
                  <w:vAlign w:val="center"/>
                </w:tcPr>
                <w:p w14:paraId="6C3E5A0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3BF27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dxa"/>
                  <w:noWrap w:val="0"/>
                  <w:tcMar>
                    <w:top w:w="0" w:type="dxa"/>
                    <w:left w:w="11" w:type="dxa"/>
                    <w:bottom w:w="0" w:type="dxa"/>
                    <w:right w:w="11" w:type="dxa"/>
                  </w:tcMar>
                  <w:vAlign w:val="center"/>
                </w:tcPr>
                <w:p w14:paraId="5C5C700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11</w:t>
                  </w:r>
                </w:p>
              </w:tc>
              <w:tc>
                <w:tcPr>
                  <w:tcW w:w="1222" w:type="dxa"/>
                  <w:noWrap w:val="0"/>
                  <w:tcMar>
                    <w:top w:w="0" w:type="dxa"/>
                    <w:left w:w="11" w:type="dxa"/>
                    <w:bottom w:w="0" w:type="dxa"/>
                    <w:right w:w="11" w:type="dxa"/>
                  </w:tcMar>
                  <w:vAlign w:val="center"/>
                </w:tcPr>
                <w:p w14:paraId="6244A69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废MBR膜</w:t>
                  </w:r>
                </w:p>
              </w:tc>
              <w:tc>
                <w:tcPr>
                  <w:tcW w:w="618" w:type="dxa"/>
                  <w:vMerge w:val="continue"/>
                  <w:noWrap w:val="0"/>
                  <w:tcMar>
                    <w:top w:w="0" w:type="dxa"/>
                    <w:left w:w="11" w:type="dxa"/>
                    <w:bottom w:w="0" w:type="dxa"/>
                    <w:right w:w="11" w:type="dxa"/>
                  </w:tcMar>
                  <w:vAlign w:val="center"/>
                </w:tcPr>
                <w:p w14:paraId="611993E4">
                  <w:pPr>
                    <w:pStyle w:val="2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03" w:type="dxa"/>
                  <w:noWrap w:val="0"/>
                  <w:tcMar>
                    <w:top w:w="0" w:type="dxa"/>
                    <w:left w:w="11" w:type="dxa"/>
                    <w:bottom w:w="0" w:type="dxa"/>
                    <w:right w:w="11" w:type="dxa"/>
                  </w:tcMar>
                  <w:vAlign w:val="center"/>
                </w:tcPr>
                <w:p w14:paraId="71FF232F">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HW49</w:t>
                  </w:r>
                </w:p>
              </w:tc>
              <w:tc>
                <w:tcPr>
                  <w:tcW w:w="1084" w:type="dxa"/>
                  <w:noWrap w:val="0"/>
                  <w:tcMar>
                    <w:top w:w="0" w:type="dxa"/>
                    <w:left w:w="11" w:type="dxa"/>
                    <w:bottom w:w="0" w:type="dxa"/>
                    <w:right w:w="11" w:type="dxa"/>
                  </w:tcMar>
                  <w:vAlign w:val="center"/>
                </w:tcPr>
                <w:p w14:paraId="0ED4FC01">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900-041-49</w:t>
                  </w:r>
                </w:p>
              </w:tc>
              <w:tc>
                <w:tcPr>
                  <w:tcW w:w="702" w:type="dxa"/>
                  <w:noWrap w:val="0"/>
                  <w:tcMar>
                    <w:top w:w="0" w:type="dxa"/>
                    <w:left w:w="11" w:type="dxa"/>
                    <w:bottom w:w="0" w:type="dxa"/>
                    <w:right w:w="11" w:type="dxa"/>
                  </w:tcMar>
                  <w:vAlign w:val="center"/>
                </w:tcPr>
                <w:p w14:paraId="6114CC9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0.01</w:t>
                  </w:r>
                </w:p>
              </w:tc>
              <w:tc>
                <w:tcPr>
                  <w:tcW w:w="665" w:type="dxa"/>
                  <w:noWrap w:val="0"/>
                  <w:tcMar>
                    <w:top w:w="0" w:type="dxa"/>
                    <w:left w:w="11" w:type="dxa"/>
                    <w:bottom w:w="0" w:type="dxa"/>
                    <w:right w:w="11" w:type="dxa"/>
                  </w:tcMar>
                  <w:vAlign w:val="center"/>
                </w:tcPr>
                <w:p w14:paraId="5209D13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65" w:type="dxa"/>
                  <w:noWrap w:val="0"/>
                  <w:tcMar>
                    <w:top w:w="0" w:type="dxa"/>
                    <w:left w:w="11" w:type="dxa"/>
                    <w:bottom w:w="0" w:type="dxa"/>
                    <w:right w:w="11" w:type="dxa"/>
                  </w:tcMar>
                  <w:vAlign w:val="center"/>
                </w:tcPr>
                <w:p w14:paraId="216D8C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个月</w:t>
                  </w:r>
                </w:p>
              </w:tc>
              <w:tc>
                <w:tcPr>
                  <w:tcW w:w="665" w:type="dxa"/>
                  <w:noWrap w:val="0"/>
                  <w:tcMar>
                    <w:top w:w="0" w:type="dxa"/>
                    <w:left w:w="11" w:type="dxa"/>
                    <w:bottom w:w="0" w:type="dxa"/>
                    <w:right w:w="11" w:type="dxa"/>
                  </w:tcMar>
                  <w:vAlign w:val="center"/>
                </w:tcPr>
                <w:p w14:paraId="7265B6F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0.3</w:t>
                  </w:r>
                </w:p>
              </w:tc>
              <w:tc>
                <w:tcPr>
                  <w:tcW w:w="668" w:type="dxa"/>
                  <w:noWrap w:val="0"/>
                  <w:tcMar>
                    <w:top w:w="0" w:type="dxa"/>
                    <w:left w:w="11" w:type="dxa"/>
                    <w:bottom w:w="0" w:type="dxa"/>
                    <w:right w:w="11" w:type="dxa"/>
                  </w:tcMar>
                  <w:vAlign w:val="center"/>
                </w:tcPr>
                <w:p w14:paraId="279BE52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0.01</w:t>
                  </w:r>
                </w:p>
              </w:tc>
              <w:tc>
                <w:tcPr>
                  <w:tcW w:w="973" w:type="dxa"/>
                  <w:vMerge w:val="continue"/>
                  <w:noWrap w:val="0"/>
                  <w:tcMar>
                    <w:top w:w="0" w:type="dxa"/>
                    <w:left w:w="11" w:type="dxa"/>
                    <w:bottom w:w="0" w:type="dxa"/>
                    <w:right w:w="11" w:type="dxa"/>
                  </w:tcMar>
                  <w:vAlign w:val="center"/>
                </w:tcPr>
                <w:p w14:paraId="7FCE876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09BA5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0" w:type="dxa"/>
                  <w:noWrap w:val="0"/>
                  <w:tcMar>
                    <w:top w:w="0" w:type="dxa"/>
                    <w:left w:w="11" w:type="dxa"/>
                    <w:bottom w:w="0" w:type="dxa"/>
                    <w:right w:w="11" w:type="dxa"/>
                  </w:tcMar>
                  <w:vAlign w:val="center"/>
                </w:tcPr>
                <w:p w14:paraId="795BFAF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1222" w:type="dxa"/>
                  <w:noWrap w:val="0"/>
                  <w:tcMar>
                    <w:top w:w="0" w:type="dxa"/>
                    <w:left w:w="11" w:type="dxa"/>
                    <w:bottom w:w="0" w:type="dxa"/>
                    <w:right w:w="11" w:type="dxa"/>
                  </w:tcMar>
                  <w:vAlign w:val="center"/>
                </w:tcPr>
                <w:p w14:paraId="53B33EB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pacing w:val="2"/>
                      <w:kern w:val="2"/>
                      <w:sz w:val="21"/>
                      <w:szCs w:val="21"/>
                      <w:lang w:val="en-US" w:eastAsia="zh-CN" w:bidi="ar-SA"/>
                    </w:rPr>
                    <w:t>含油废抹布手套</w:t>
                  </w:r>
                </w:p>
              </w:tc>
              <w:tc>
                <w:tcPr>
                  <w:tcW w:w="618" w:type="dxa"/>
                  <w:vMerge w:val="continue"/>
                  <w:noWrap w:val="0"/>
                  <w:tcMar>
                    <w:top w:w="0" w:type="dxa"/>
                    <w:left w:w="11" w:type="dxa"/>
                    <w:bottom w:w="0" w:type="dxa"/>
                    <w:right w:w="11" w:type="dxa"/>
                  </w:tcMar>
                  <w:vAlign w:val="center"/>
                </w:tcPr>
                <w:p w14:paraId="2D1E7458">
                  <w:pPr>
                    <w:pStyle w:val="2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p>
              </w:tc>
              <w:tc>
                <w:tcPr>
                  <w:tcW w:w="603" w:type="dxa"/>
                  <w:noWrap w:val="0"/>
                  <w:tcMar>
                    <w:top w:w="0" w:type="dxa"/>
                    <w:left w:w="11" w:type="dxa"/>
                    <w:bottom w:w="0" w:type="dxa"/>
                    <w:right w:w="11" w:type="dxa"/>
                  </w:tcMar>
                  <w:vAlign w:val="center"/>
                </w:tcPr>
                <w:p w14:paraId="04DF21F0">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color w:val="auto"/>
                      <w:sz w:val="21"/>
                      <w:szCs w:val="21"/>
                      <w:lang w:val="en-US" w:eastAsia="zh-CN"/>
                    </w:rPr>
                    <w:t>HW49</w:t>
                  </w:r>
                </w:p>
              </w:tc>
              <w:tc>
                <w:tcPr>
                  <w:tcW w:w="1084" w:type="dxa"/>
                  <w:noWrap w:val="0"/>
                  <w:tcMar>
                    <w:top w:w="0" w:type="dxa"/>
                    <w:left w:w="11" w:type="dxa"/>
                    <w:bottom w:w="0" w:type="dxa"/>
                    <w:right w:w="11" w:type="dxa"/>
                  </w:tcMar>
                  <w:vAlign w:val="center"/>
                </w:tcPr>
                <w:p w14:paraId="43523A9D">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2"/>
                      <w:kern w:val="2"/>
                      <w:sz w:val="21"/>
                      <w:szCs w:val="21"/>
                      <w:lang w:val="en-US" w:eastAsia="zh-CN" w:bidi="ar-SA"/>
                    </w:rPr>
                  </w:pPr>
                  <w:r>
                    <w:rPr>
                      <w:rFonts w:hint="default" w:ascii="Times New Roman" w:hAnsi="Times New Roman" w:eastAsia="宋体" w:cs="Times New Roman"/>
                      <w:color w:val="auto"/>
                      <w:sz w:val="21"/>
                      <w:szCs w:val="21"/>
                      <w:lang w:val="en-US" w:eastAsia="zh-CN"/>
                    </w:rPr>
                    <w:t>900-041-49</w:t>
                  </w:r>
                </w:p>
              </w:tc>
              <w:tc>
                <w:tcPr>
                  <w:tcW w:w="702" w:type="dxa"/>
                  <w:noWrap w:val="0"/>
                  <w:tcMar>
                    <w:top w:w="0" w:type="dxa"/>
                    <w:left w:w="11" w:type="dxa"/>
                    <w:bottom w:w="0" w:type="dxa"/>
                    <w:right w:w="11" w:type="dxa"/>
                  </w:tcMar>
                  <w:vAlign w:val="center"/>
                </w:tcPr>
                <w:p w14:paraId="6DF348C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w:t>
                  </w:r>
                </w:p>
              </w:tc>
              <w:tc>
                <w:tcPr>
                  <w:tcW w:w="665" w:type="dxa"/>
                  <w:noWrap w:val="0"/>
                  <w:tcMar>
                    <w:top w:w="0" w:type="dxa"/>
                    <w:left w:w="11" w:type="dxa"/>
                    <w:bottom w:w="0" w:type="dxa"/>
                    <w:right w:w="11" w:type="dxa"/>
                  </w:tcMar>
                  <w:vAlign w:val="center"/>
                </w:tcPr>
                <w:p w14:paraId="623ABD3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袋装</w:t>
                  </w:r>
                </w:p>
              </w:tc>
              <w:tc>
                <w:tcPr>
                  <w:tcW w:w="665" w:type="dxa"/>
                  <w:noWrap w:val="0"/>
                  <w:tcMar>
                    <w:top w:w="0" w:type="dxa"/>
                    <w:left w:w="11" w:type="dxa"/>
                    <w:bottom w:w="0" w:type="dxa"/>
                    <w:right w:w="11" w:type="dxa"/>
                  </w:tcMar>
                  <w:vAlign w:val="center"/>
                </w:tcPr>
                <w:p w14:paraId="3AED05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3个月</w:t>
                  </w:r>
                </w:p>
              </w:tc>
              <w:tc>
                <w:tcPr>
                  <w:tcW w:w="665" w:type="dxa"/>
                  <w:noWrap w:val="0"/>
                  <w:tcMar>
                    <w:top w:w="0" w:type="dxa"/>
                    <w:left w:w="11" w:type="dxa"/>
                    <w:bottom w:w="0" w:type="dxa"/>
                    <w:right w:w="11" w:type="dxa"/>
                  </w:tcMar>
                  <w:vAlign w:val="center"/>
                </w:tcPr>
                <w:p w14:paraId="1329186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0.5</w:t>
                  </w:r>
                </w:p>
              </w:tc>
              <w:tc>
                <w:tcPr>
                  <w:tcW w:w="668" w:type="dxa"/>
                  <w:noWrap w:val="0"/>
                  <w:tcMar>
                    <w:top w:w="0" w:type="dxa"/>
                    <w:left w:w="11" w:type="dxa"/>
                    <w:bottom w:w="0" w:type="dxa"/>
                    <w:right w:w="11" w:type="dxa"/>
                  </w:tcMar>
                  <w:vAlign w:val="center"/>
                </w:tcPr>
                <w:p w14:paraId="1A89121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0.013</w:t>
                  </w:r>
                </w:p>
              </w:tc>
              <w:tc>
                <w:tcPr>
                  <w:tcW w:w="973" w:type="dxa"/>
                  <w:vMerge w:val="continue"/>
                  <w:noWrap w:val="0"/>
                  <w:tcMar>
                    <w:top w:w="0" w:type="dxa"/>
                    <w:left w:w="11" w:type="dxa"/>
                    <w:bottom w:w="0" w:type="dxa"/>
                    <w:right w:w="11" w:type="dxa"/>
                  </w:tcMar>
                  <w:vAlign w:val="center"/>
                </w:tcPr>
                <w:p w14:paraId="12153AF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p>
              </w:tc>
            </w:tr>
            <w:tr w14:paraId="45FEF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97" w:type="dxa"/>
                  <w:gridSpan w:val="5"/>
                  <w:noWrap w:val="0"/>
                  <w:tcMar>
                    <w:top w:w="0" w:type="dxa"/>
                    <w:left w:w="11" w:type="dxa"/>
                    <w:bottom w:w="0" w:type="dxa"/>
                    <w:right w:w="11" w:type="dxa"/>
                  </w:tcMar>
                  <w:vAlign w:val="center"/>
                </w:tcPr>
                <w:p w14:paraId="74F4A8D0">
                  <w:pPr>
                    <w:pStyle w:val="29"/>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合计</w:t>
                  </w:r>
                </w:p>
              </w:tc>
              <w:tc>
                <w:tcPr>
                  <w:tcW w:w="702" w:type="dxa"/>
                  <w:noWrap w:val="0"/>
                  <w:tcMar>
                    <w:top w:w="0" w:type="dxa"/>
                    <w:left w:w="11" w:type="dxa"/>
                    <w:bottom w:w="0" w:type="dxa"/>
                    <w:right w:w="11" w:type="dxa"/>
                  </w:tcMar>
                  <w:vAlign w:val="center"/>
                </w:tcPr>
                <w:p w14:paraId="754369F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65" w:type="dxa"/>
                  <w:noWrap w:val="0"/>
                  <w:tcMar>
                    <w:top w:w="0" w:type="dxa"/>
                    <w:left w:w="11" w:type="dxa"/>
                    <w:bottom w:w="0" w:type="dxa"/>
                    <w:right w:w="11" w:type="dxa"/>
                  </w:tcMar>
                  <w:vAlign w:val="center"/>
                </w:tcPr>
                <w:p w14:paraId="0F75D95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65" w:type="dxa"/>
                  <w:noWrap w:val="0"/>
                  <w:tcMar>
                    <w:top w:w="0" w:type="dxa"/>
                    <w:left w:w="11" w:type="dxa"/>
                    <w:bottom w:w="0" w:type="dxa"/>
                    <w:right w:w="11" w:type="dxa"/>
                  </w:tcMar>
                  <w:vAlign w:val="center"/>
                </w:tcPr>
                <w:p w14:paraId="0FB004E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665" w:type="dxa"/>
                  <w:noWrap w:val="0"/>
                  <w:tcMar>
                    <w:top w:w="0" w:type="dxa"/>
                    <w:left w:w="11" w:type="dxa"/>
                    <w:bottom w:w="0" w:type="dxa"/>
                    <w:right w:w="11" w:type="dxa"/>
                  </w:tcMar>
                  <w:vAlign w:val="center"/>
                </w:tcPr>
                <w:p w14:paraId="08D40B0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8.5</w:t>
                  </w:r>
                </w:p>
              </w:tc>
              <w:tc>
                <w:tcPr>
                  <w:tcW w:w="668" w:type="dxa"/>
                  <w:noWrap w:val="0"/>
                  <w:tcMar>
                    <w:top w:w="0" w:type="dxa"/>
                    <w:left w:w="11" w:type="dxa"/>
                    <w:bottom w:w="0" w:type="dxa"/>
                    <w:right w:w="11" w:type="dxa"/>
                  </w:tcMar>
                  <w:vAlign w:val="center"/>
                </w:tcPr>
                <w:p w14:paraId="1DEC012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c>
                <w:tcPr>
                  <w:tcW w:w="973" w:type="dxa"/>
                  <w:noWrap w:val="0"/>
                  <w:tcMar>
                    <w:top w:w="0" w:type="dxa"/>
                    <w:left w:w="11" w:type="dxa"/>
                    <w:bottom w:w="0" w:type="dxa"/>
                    <w:right w:w="11" w:type="dxa"/>
                  </w:tcMar>
                  <w:vAlign w:val="center"/>
                </w:tcPr>
                <w:p w14:paraId="2E24693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w:t>
                  </w:r>
                </w:p>
              </w:tc>
            </w:tr>
          </w:tbl>
          <w:p w14:paraId="171DA6F9">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本项目危险废物收集后密闭袋装或桶装暂存于</w:t>
            </w:r>
            <w:r>
              <w:rPr>
                <w:rFonts w:hint="eastAsia" w:cs="Times New Roman"/>
                <w:color w:val="auto"/>
                <w:sz w:val="24"/>
                <w:lang w:val="en-US" w:eastAsia="zh-CN"/>
              </w:rPr>
              <w:t>危废仓库</w:t>
            </w:r>
            <w:r>
              <w:rPr>
                <w:rFonts w:hint="default" w:ascii="Times New Roman" w:hAnsi="Times New Roman" w:eastAsia="宋体" w:cs="Times New Roman"/>
                <w:color w:val="auto"/>
                <w:sz w:val="24"/>
                <w:lang w:val="en-US" w:eastAsia="zh-CN"/>
              </w:rPr>
              <w:t>，由上表可知危险废物贮存占用面积约为</w:t>
            </w:r>
            <w:r>
              <w:rPr>
                <w:rFonts w:hint="eastAsia" w:cs="Times New Roman"/>
                <w:color w:val="auto"/>
                <w:sz w:val="24"/>
                <w:lang w:val="en-US" w:eastAsia="zh-CN"/>
              </w:rPr>
              <w:t>8.5</w:t>
            </w:r>
            <w:r>
              <w:rPr>
                <w:rFonts w:hint="default" w:ascii="Times New Roman" w:hAnsi="Times New Roman" w:eastAsia="宋体" w:cs="Times New Roman"/>
                <w:color w:val="auto"/>
                <w:sz w:val="24"/>
                <w:lang w:val="en-US" w:eastAsia="zh-CN"/>
              </w:rPr>
              <w:t>m</w:t>
            </w:r>
            <w:r>
              <w:rPr>
                <w:rFonts w:hint="default" w:ascii="Times New Roman" w:hAnsi="Times New Roman" w:eastAsia="宋体" w:cs="Times New Roman"/>
                <w:color w:val="auto"/>
                <w:sz w:val="24"/>
                <w:vertAlign w:val="superscript"/>
                <w:lang w:val="en-US" w:eastAsia="zh-CN"/>
              </w:rPr>
              <w:t>2</w:t>
            </w:r>
            <w:r>
              <w:rPr>
                <w:rFonts w:hint="default" w:ascii="Times New Roman" w:hAnsi="Times New Roman" w:eastAsia="宋体" w:cs="Times New Roman"/>
                <w:color w:val="auto"/>
                <w:sz w:val="24"/>
                <w:lang w:val="en-US" w:eastAsia="zh-CN"/>
              </w:rPr>
              <w:t>，项目</w:t>
            </w:r>
            <w:r>
              <w:rPr>
                <w:rFonts w:hint="eastAsia" w:cs="Times New Roman"/>
                <w:color w:val="auto"/>
                <w:sz w:val="24"/>
                <w:lang w:val="en-US" w:eastAsia="zh-CN"/>
              </w:rPr>
              <w:t>拟</w:t>
            </w:r>
            <w:r>
              <w:rPr>
                <w:rFonts w:hint="default" w:ascii="Times New Roman" w:hAnsi="Times New Roman" w:eastAsia="宋体" w:cs="Times New Roman"/>
                <w:color w:val="auto"/>
                <w:sz w:val="24"/>
                <w:lang w:val="en-US" w:eastAsia="zh-CN"/>
              </w:rPr>
              <w:t>设置一个</w:t>
            </w:r>
            <w:r>
              <w:rPr>
                <w:rFonts w:hint="eastAsia" w:cs="Times New Roman"/>
                <w:color w:val="FF0000"/>
                <w:sz w:val="24"/>
                <w:lang w:val="en-US" w:eastAsia="zh-CN"/>
              </w:rPr>
              <w:t>20</w:t>
            </w:r>
            <w:r>
              <w:rPr>
                <w:rFonts w:hint="default" w:ascii="Times New Roman" w:hAnsi="Times New Roman" w:eastAsia="宋体" w:cs="Times New Roman"/>
                <w:color w:val="FF0000"/>
                <w:sz w:val="24"/>
                <w:lang w:val="en-US" w:eastAsia="zh-CN"/>
              </w:rPr>
              <w:t>m</w:t>
            </w:r>
            <w:r>
              <w:rPr>
                <w:rFonts w:hint="default" w:ascii="Times New Roman" w:hAnsi="Times New Roman" w:eastAsia="宋体" w:cs="Times New Roman"/>
                <w:color w:val="FF0000"/>
                <w:sz w:val="24"/>
                <w:vertAlign w:val="superscript"/>
                <w:lang w:val="en-US" w:eastAsia="zh-CN"/>
              </w:rPr>
              <w:t>2</w:t>
            </w:r>
            <w:r>
              <w:rPr>
                <w:rFonts w:hint="eastAsia" w:cs="Times New Roman"/>
                <w:color w:val="auto"/>
                <w:sz w:val="24"/>
                <w:lang w:val="en-US" w:eastAsia="zh-CN"/>
              </w:rPr>
              <w:t>危废仓库</w:t>
            </w:r>
            <w:r>
              <w:rPr>
                <w:rFonts w:hint="default" w:ascii="Times New Roman" w:hAnsi="Times New Roman" w:eastAsia="宋体" w:cs="Times New Roman"/>
                <w:color w:val="auto"/>
                <w:sz w:val="24"/>
                <w:lang w:val="en-US" w:eastAsia="zh-CN"/>
              </w:rPr>
              <w:t>，可满足</w:t>
            </w:r>
            <w:r>
              <w:rPr>
                <w:rFonts w:hint="eastAsia" w:cs="Times New Roman"/>
                <w:color w:val="auto"/>
                <w:sz w:val="24"/>
                <w:lang w:val="en-US" w:eastAsia="zh-CN"/>
              </w:rPr>
              <w:t>本项目</w:t>
            </w:r>
            <w:r>
              <w:rPr>
                <w:rFonts w:hint="default" w:ascii="Times New Roman" w:hAnsi="Times New Roman" w:eastAsia="宋体" w:cs="Times New Roman"/>
                <w:color w:val="auto"/>
                <w:sz w:val="24"/>
                <w:lang w:val="en-US" w:eastAsia="zh-CN"/>
              </w:rPr>
              <w:t>各类危险废物暂存需求。</w:t>
            </w:r>
          </w:p>
          <w:p w14:paraId="56E275EC">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（4）环境管理要求</w:t>
            </w:r>
          </w:p>
          <w:p w14:paraId="08D5BEDD">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生活</w:t>
            </w:r>
            <w:r>
              <w:rPr>
                <w:rFonts w:hint="default" w:ascii="Times New Roman" w:hAnsi="Times New Roman" w:eastAsia="宋体" w:cs="Times New Roman"/>
                <w:b w:val="0"/>
                <w:bCs w:val="0"/>
                <w:color w:val="auto"/>
                <w:sz w:val="24"/>
                <w:szCs w:val="24"/>
                <w:shd w:val="clear" w:fill="auto"/>
                <w:lang w:val="en-US" w:eastAsia="zh-CN"/>
              </w:rPr>
              <w:t>垃圾</w:t>
            </w:r>
            <w:r>
              <w:rPr>
                <w:rFonts w:hint="default" w:ascii="Times New Roman" w:hAnsi="Times New Roman" w:eastAsia="宋体" w:cs="Times New Roman"/>
                <w:b w:val="0"/>
                <w:bCs w:val="0"/>
                <w:color w:val="auto"/>
                <w:sz w:val="24"/>
                <w:szCs w:val="24"/>
                <w:lang w:val="en-US" w:eastAsia="zh-CN"/>
              </w:rPr>
              <w:t>：</w:t>
            </w:r>
          </w:p>
          <w:p w14:paraId="0315BCE5">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生活</w:t>
            </w:r>
            <w:r>
              <w:rPr>
                <w:rFonts w:hint="default" w:ascii="Times New Roman" w:hAnsi="Times New Roman" w:eastAsia="宋体" w:cs="Times New Roman"/>
                <w:color w:val="auto"/>
                <w:sz w:val="24"/>
                <w:szCs w:val="24"/>
                <w:shd w:val="clear" w:fill="auto"/>
                <w:lang w:val="en-US" w:eastAsia="zh-CN"/>
              </w:rPr>
              <w:t>垃圾</w:t>
            </w:r>
            <w:r>
              <w:rPr>
                <w:rFonts w:hint="default" w:ascii="Times New Roman" w:hAnsi="Times New Roman" w:eastAsia="宋体" w:cs="Times New Roman"/>
                <w:color w:val="auto"/>
                <w:sz w:val="24"/>
                <w:szCs w:val="24"/>
                <w:lang w:val="en-US" w:eastAsia="zh-CN"/>
              </w:rPr>
              <w:t>按要求分类收集，袋装封口，放</w:t>
            </w:r>
            <w:r>
              <w:rPr>
                <w:rFonts w:hint="default" w:ascii="Times New Roman" w:hAnsi="Times New Roman" w:eastAsia="宋体" w:cs="Times New Roman"/>
                <w:color w:val="auto"/>
                <w:sz w:val="24"/>
                <w:szCs w:val="24"/>
                <w:shd w:val="clear" w:fill="auto"/>
                <w:lang w:val="en-US" w:eastAsia="zh-CN"/>
              </w:rPr>
              <w:t>至</w:t>
            </w:r>
            <w:r>
              <w:rPr>
                <w:rFonts w:hint="default" w:ascii="Times New Roman" w:hAnsi="Times New Roman" w:eastAsia="宋体" w:cs="Times New Roman"/>
                <w:color w:val="auto"/>
                <w:sz w:val="24"/>
                <w:szCs w:val="24"/>
                <w:lang w:val="en-US" w:eastAsia="zh-CN"/>
              </w:rPr>
              <w:t>指定的位置，由环卫部门集中收集。</w:t>
            </w:r>
          </w:p>
          <w:p w14:paraId="5507D89D">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一般工业固体</w:t>
            </w:r>
            <w:r>
              <w:rPr>
                <w:rFonts w:hint="default" w:ascii="Times New Roman" w:hAnsi="Times New Roman" w:eastAsia="宋体" w:cs="Times New Roman"/>
                <w:b w:val="0"/>
                <w:bCs w:val="0"/>
                <w:color w:val="auto"/>
                <w:sz w:val="24"/>
                <w:szCs w:val="24"/>
                <w:shd w:val="clear" w:fill="auto"/>
                <w:lang w:val="en-US" w:eastAsia="zh-CN"/>
              </w:rPr>
              <w:t>废物</w:t>
            </w:r>
            <w:r>
              <w:rPr>
                <w:rFonts w:hint="default" w:ascii="Times New Roman" w:hAnsi="Times New Roman" w:eastAsia="宋体" w:cs="Times New Roman"/>
                <w:color w:val="auto"/>
                <w:sz w:val="24"/>
                <w:szCs w:val="24"/>
                <w:lang w:val="en-US" w:eastAsia="zh-CN"/>
              </w:rPr>
              <w:t>：</w:t>
            </w:r>
          </w:p>
          <w:p w14:paraId="32215DF3">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一般工业固体</w:t>
            </w:r>
            <w:r>
              <w:rPr>
                <w:rFonts w:hint="default" w:ascii="Times New Roman" w:hAnsi="Times New Roman" w:eastAsia="宋体" w:cs="Times New Roman"/>
                <w:color w:val="auto"/>
                <w:sz w:val="24"/>
                <w:szCs w:val="24"/>
                <w:shd w:val="clear" w:fill="auto"/>
              </w:rPr>
              <w:t>废物</w:t>
            </w:r>
            <w:r>
              <w:rPr>
                <w:rFonts w:hint="default" w:ascii="Times New Roman" w:hAnsi="Times New Roman" w:eastAsia="宋体" w:cs="Times New Roman"/>
                <w:color w:val="auto"/>
                <w:sz w:val="24"/>
                <w:szCs w:val="24"/>
              </w:rPr>
              <w:t>贮存</w:t>
            </w:r>
            <w:r>
              <w:rPr>
                <w:rFonts w:hint="default" w:ascii="Times New Roman" w:hAnsi="Times New Roman" w:eastAsia="宋体" w:cs="Times New Roman"/>
                <w:color w:val="auto"/>
                <w:sz w:val="24"/>
                <w:szCs w:val="24"/>
                <w:highlight w:val="none"/>
                <w:lang w:val="en-US" w:eastAsia="zh-CN"/>
              </w:rPr>
              <w:t>在</w:t>
            </w:r>
            <w:r>
              <w:rPr>
                <w:rFonts w:hint="default" w:ascii="Times New Roman" w:hAnsi="Times New Roman" w:eastAsia="宋体" w:cs="Times New Roman"/>
                <w:color w:val="auto"/>
                <w:sz w:val="24"/>
                <w:szCs w:val="24"/>
              </w:rPr>
              <w:t>一般工业固体</w:t>
            </w:r>
            <w:r>
              <w:rPr>
                <w:rFonts w:hint="default" w:ascii="Times New Roman" w:hAnsi="Times New Roman" w:eastAsia="宋体" w:cs="Times New Roman"/>
                <w:color w:val="auto"/>
                <w:sz w:val="24"/>
                <w:szCs w:val="24"/>
                <w:shd w:val="clear" w:fill="auto"/>
              </w:rPr>
              <w:t>废物</w:t>
            </w:r>
            <w:r>
              <w:rPr>
                <w:rFonts w:hint="eastAsia" w:cs="Times New Roman"/>
                <w:color w:val="auto"/>
                <w:sz w:val="24"/>
                <w:szCs w:val="24"/>
                <w:lang w:eastAsia="zh-CN"/>
              </w:rPr>
              <w:t>暂存间</w:t>
            </w:r>
            <w:r>
              <w:rPr>
                <w:rFonts w:hint="default" w:ascii="Times New Roman" w:hAnsi="Times New Roman" w:eastAsia="宋体" w:cs="Times New Roman"/>
                <w:color w:val="auto"/>
                <w:sz w:val="24"/>
                <w:szCs w:val="24"/>
              </w:rPr>
              <w:t>，定期交由相关单位综合利用。</w:t>
            </w:r>
            <w:r>
              <w:rPr>
                <w:rFonts w:hint="default" w:ascii="Times New Roman" w:hAnsi="Times New Roman" w:eastAsia="宋体" w:cs="Times New Roman"/>
                <w:color w:val="auto"/>
                <w:sz w:val="24"/>
                <w:szCs w:val="24"/>
                <w:lang w:val="en-US" w:eastAsia="zh-CN"/>
              </w:rPr>
              <w:t>贮存过程应满足防渗漏、防雨淋、防扬尘等环境保护措施；</w:t>
            </w:r>
            <w:r>
              <w:rPr>
                <w:rFonts w:hint="default" w:ascii="Times New Roman" w:hAnsi="Times New Roman" w:eastAsia="宋体" w:cs="Times New Roman"/>
                <w:color w:val="auto"/>
                <w:sz w:val="24"/>
                <w:szCs w:val="24"/>
              </w:rPr>
              <w:t>一般固体</w:t>
            </w:r>
            <w:r>
              <w:rPr>
                <w:rFonts w:hint="default" w:ascii="Times New Roman" w:hAnsi="Times New Roman" w:eastAsia="宋体" w:cs="Times New Roman"/>
                <w:color w:val="auto"/>
                <w:sz w:val="24"/>
                <w:szCs w:val="24"/>
                <w:shd w:val="clear" w:fill="auto"/>
              </w:rPr>
              <w:t>废物暂存</w:t>
            </w:r>
            <w:r>
              <w:rPr>
                <w:rFonts w:hint="default" w:ascii="Times New Roman" w:hAnsi="Times New Roman" w:eastAsia="宋体" w:cs="Times New Roman"/>
                <w:color w:val="auto"/>
                <w:sz w:val="24"/>
                <w:szCs w:val="24"/>
              </w:rPr>
              <w:t>场所</w:t>
            </w:r>
            <w:r>
              <w:rPr>
                <w:rFonts w:hint="default" w:ascii="Times New Roman" w:hAnsi="Times New Roman" w:eastAsia="宋体" w:cs="Times New Roman"/>
                <w:color w:val="auto"/>
                <w:sz w:val="24"/>
                <w:szCs w:val="24"/>
                <w:lang w:val="en-US" w:eastAsia="zh-CN"/>
              </w:rPr>
              <w:t>及标志</w:t>
            </w:r>
            <w:r>
              <w:rPr>
                <w:rFonts w:hint="default" w:ascii="Times New Roman" w:hAnsi="Times New Roman" w:eastAsia="宋体" w:cs="Times New Roman"/>
                <w:color w:val="auto"/>
                <w:sz w:val="24"/>
                <w:szCs w:val="24"/>
                <w:shd w:val="clear" w:fill="auto"/>
                <w:lang w:val="en-US" w:eastAsia="zh-CN"/>
              </w:rPr>
              <w:t>标识</w:t>
            </w:r>
            <w:r>
              <w:rPr>
                <w:rFonts w:hint="default" w:ascii="Times New Roman" w:hAnsi="Times New Roman" w:eastAsia="宋体" w:cs="Times New Roman"/>
                <w:color w:val="auto"/>
                <w:sz w:val="24"/>
                <w:szCs w:val="24"/>
              </w:rPr>
              <w:t>按照《一般工业固体</w:t>
            </w:r>
            <w:r>
              <w:rPr>
                <w:rFonts w:hint="default" w:ascii="Times New Roman" w:hAnsi="Times New Roman" w:eastAsia="宋体" w:cs="Times New Roman"/>
                <w:color w:val="auto"/>
                <w:sz w:val="24"/>
                <w:szCs w:val="24"/>
                <w:shd w:val="clear" w:fill="auto"/>
              </w:rPr>
              <w:t>废物</w:t>
            </w:r>
            <w:r>
              <w:rPr>
                <w:rFonts w:hint="default" w:ascii="Times New Roman" w:hAnsi="Times New Roman" w:eastAsia="宋体" w:cs="Times New Roman"/>
                <w:color w:val="auto"/>
                <w:sz w:val="24"/>
                <w:szCs w:val="24"/>
              </w:rPr>
              <w:t>贮存和填埋污染控制标准》</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GB18599-</w:t>
            </w:r>
            <w:r>
              <w:rPr>
                <w:rFonts w:hint="default" w:ascii="Times New Roman" w:hAnsi="Times New Roman" w:eastAsia="宋体" w:cs="Times New Roman"/>
                <w:color w:val="auto"/>
                <w:sz w:val="24"/>
                <w:szCs w:val="24"/>
                <w:shd w:val="clear" w:fill="auto"/>
              </w:rPr>
              <w:t>2020</w:t>
            </w:r>
            <w:r>
              <w:rPr>
                <w:rFonts w:hint="default" w:ascii="Times New Roman" w:hAnsi="Times New Roman" w:eastAsia="宋体" w:cs="Times New Roman"/>
                <w:color w:val="auto"/>
                <w:sz w:val="24"/>
                <w:szCs w:val="24"/>
                <w:highlight w:val="none"/>
                <w:shd w:val="clear" w:fill="auto"/>
              </w:rPr>
              <w:t>）</w:t>
            </w:r>
            <w:r>
              <w:rPr>
                <w:rFonts w:hint="default" w:ascii="Times New Roman" w:hAnsi="Times New Roman" w:eastAsia="宋体" w:cs="Times New Roman"/>
                <w:color w:val="auto"/>
                <w:sz w:val="24"/>
                <w:szCs w:val="24"/>
                <w:shd w:val="clear" w:fill="auto"/>
              </w:rPr>
              <w:t>、</w:t>
            </w:r>
            <w:r>
              <w:rPr>
                <w:rFonts w:hint="default" w:ascii="Times New Roman" w:hAnsi="Times New Roman" w:eastAsia="宋体" w:cs="Times New Roman"/>
                <w:color w:val="auto"/>
                <w:sz w:val="24"/>
                <w:szCs w:val="24"/>
              </w:rPr>
              <w:t>《环境保护图形标志固体</w:t>
            </w:r>
            <w:r>
              <w:rPr>
                <w:rFonts w:hint="default" w:ascii="Times New Roman" w:hAnsi="Times New Roman" w:eastAsia="宋体" w:cs="Times New Roman"/>
                <w:color w:val="auto"/>
                <w:sz w:val="24"/>
                <w:szCs w:val="24"/>
                <w:shd w:val="clear" w:fill="auto"/>
              </w:rPr>
              <w:t>废物</w:t>
            </w:r>
            <w:r>
              <w:rPr>
                <w:rFonts w:hint="default" w:ascii="Times New Roman" w:hAnsi="Times New Roman" w:eastAsia="宋体" w:cs="Times New Roman"/>
                <w:color w:val="auto"/>
                <w:sz w:val="24"/>
                <w:szCs w:val="24"/>
              </w:rPr>
              <w:t>贮存（处置）</w:t>
            </w:r>
            <w:r>
              <w:rPr>
                <w:rFonts w:hint="default" w:ascii="Times New Roman" w:hAnsi="Times New Roman" w:eastAsia="宋体" w:cs="Times New Roman"/>
                <w:color w:val="auto"/>
                <w:sz w:val="24"/>
                <w:szCs w:val="24"/>
                <w:shd w:val="clear" w:fill="auto"/>
              </w:rPr>
              <w:t>场</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GB1</w:t>
            </w:r>
            <w:r>
              <w:rPr>
                <w:rFonts w:hint="default" w:ascii="Times New Roman" w:hAnsi="Times New Roman" w:eastAsia="宋体" w:cs="Times New Roman"/>
                <w:color w:val="auto"/>
                <w:sz w:val="24"/>
                <w:szCs w:val="24"/>
                <w:shd w:val="clear" w:fill="auto"/>
              </w:rPr>
              <w:t>5562</w:t>
            </w:r>
            <w:r>
              <w:rPr>
                <w:rFonts w:hint="default" w:ascii="Times New Roman" w:hAnsi="Times New Roman" w:eastAsia="宋体" w:cs="Times New Roman"/>
                <w:color w:val="auto"/>
                <w:sz w:val="24"/>
                <w:szCs w:val="24"/>
                <w:highlight w:val="none"/>
                <w:shd w:val="clear" w:fill="auto"/>
              </w:rPr>
              <w:t>.</w:t>
            </w:r>
            <w:r>
              <w:rPr>
                <w:rFonts w:hint="default" w:ascii="Times New Roman" w:hAnsi="Times New Roman" w:eastAsia="宋体" w:cs="Times New Roman"/>
                <w:color w:val="auto"/>
                <w:sz w:val="24"/>
                <w:szCs w:val="24"/>
                <w:shd w:val="clear" w:fill="auto"/>
              </w:rPr>
              <w:t>2-19</w:t>
            </w:r>
            <w:r>
              <w:rPr>
                <w:rFonts w:hint="default" w:ascii="Times New Roman" w:hAnsi="Times New Roman" w:eastAsia="宋体" w:cs="Times New Roman"/>
                <w:color w:val="auto"/>
                <w:sz w:val="24"/>
                <w:szCs w:val="24"/>
              </w:rPr>
              <w:t>95</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及其修改</w:t>
            </w:r>
            <w:r>
              <w:rPr>
                <w:rFonts w:hint="default" w:ascii="Times New Roman" w:hAnsi="Times New Roman" w:eastAsia="宋体" w:cs="Times New Roman"/>
                <w:color w:val="auto"/>
                <w:sz w:val="24"/>
                <w:szCs w:val="24"/>
                <w:shd w:val="clear" w:fill="auto"/>
              </w:rPr>
              <w:t>单</w:t>
            </w:r>
            <w:r>
              <w:rPr>
                <w:rFonts w:hint="default" w:ascii="Times New Roman" w:hAnsi="Times New Roman" w:eastAsia="宋体" w:cs="Times New Roman"/>
                <w:color w:val="auto"/>
                <w:sz w:val="24"/>
                <w:szCs w:val="24"/>
              </w:rPr>
              <w:t>相关要求进行建设，地面防渗</w:t>
            </w:r>
            <w:r>
              <w:rPr>
                <w:rFonts w:hint="default" w:ascii="Times New Roman" w:hAnsi="Times New Roman" w:eastAsia="宋体" w:cs="Times New Roman"/>
                <w:color w:val="auto"/>
                <w:sz w:val="24"/>
                <w:szCs w:val="24"/>
                <w:lang w:val="en-US" w:eastAsia="zh-CN"/>
              </w:rPr>
              <w:t>满足</w:t>
            </w:r>
            <w:r>
              <w:rPr>
                <w:rFonts w:hint="default" w:ascii="Times New Roman" w:hAnsi="Times New Roman" w:eastAsia="宋体" w:cs="Times New Roman"/>
                <w:color w:val="auto"/>
                <w:sz w:val="24"/>
                <w:szCs w:val="24"/>
              </w:rPr>
              <w:t>GB18599-2020要求。</w:t>
            </w:r>
          </w:p>
          <w:p w14:paraId="77F6D118">
            <w:pPr>
              <w:pStyle w:val="7"/>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right="0" w:firstLine="480" w:firstLineChars="200"/>
              <w:jc w:val="both"/>
              <w:textAlignment w:val="auto"/>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危险</w:t>
            </w:r>
            <w:r>
              <w:rPr>
                <w:rFonts w:hint="default" w:ascii="Times New Roman" w:hAnsi="Times New Roman" w:eastAsia="宋体" w:cs="Times New Roman"/>
                <w:b w:val="0"/>
                <w:bCs w:val="0"/>
                <w:color w:val="auto"/>
                <w:sz w:val="24"/>
                <w:szCs w:val="24"/>
                <w:shd w:val="clear" w:fill="auto"/>
                <w:lang w:val="en-US" w:eastAsia="zh-CN"/>
              </w:rPr>
              <w:t>废物：</w:t>
            </w:r>
          </w:p>
          <w:p w14:paraId="1BDAD521">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a</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收集过程污染控制</w:t>
            </w:r>
          </w:p>
          <w:p w14:paraId="0E10423E">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本项目对危险</w:t>
            </w:r>
            <w:r>
              <w:rPr>
                <w:rFonts w:hint="default" w:ascii="Times New Roman" w:hAnsi="Times New Roman" w:eastAsia="宋体" w:cs="Times New Roman"/>
                <w:color w:val="auto"/>
                <w:sz w:val="24"/>
                <w:szCs w:val="24"/>
                <w:shd w:val="clear" w:fill="auto"/>
              </w:rPr>
              <w:t>废物</w:t>
            </w:r>
            <w:r>
              <w:rPr>
                <w:rFonts w:hint="default" w:ascii="Times New Roman" w:hAnsi="Times New Roman" w:eastAsia="宋体" w:cs="Times New Roman"/>
                <w:color w:val="auto"/>
                <w:sz w:val="24"/>
                <w:szCs w:val="24"/>
              </w:rPr>
              <w:t>进行收集，使用容器进行包装，所有包装容器应足够安全，</w:t>
            </w:r>
            <w:r>
              <w:rPr>
                <w:rFonts w:hint="default" w:ascii="Times New Roman" w:hAnsi="Times New Roman" w:eastAsia="宋体" w:cs="Times New Roman"/>
                <w:color w:val="auto"/>
                <w:sz w:val="24"/>
                <w:szCs w:val="24"/>
                <w:lang w:val="en-US" w:eastAsia="zh-CN"/>
              </w:rPr>
              <w:t>密闭，</w:t>
            </w:r>
            <w:r>
              <w:rPr>
                <w:rFonts w:hint="default" w:ascii="Times New Roman" w:hAnsi="Times New Roman" w:eastAsia="宋体" w:cs="Times New Roman"/>
                <w:color w:val="auto"/>
                <w:sz w:val="24"/>
                <w:szCs w:val="24"/>
              </w:rPr>
              <w:t>并经过周密检查，严防在装载、搬移或运输途中出现渗漏、</w:t>
            </w:r>
            <w:r>
              <w:rPr>
                <w:rFonts w:hint="eastAsia" w:cs="Times New Roman"/>
                <w:color w:val="auto"/>
                <w:sz w:val="24"/>
                <w:szCs w:val="24"/>
                <w:lang w:eastAsia="zh-CN"/>
              </w:rPr>
              <w:t>溢出</w:t>
            </w:r>
            <w:r>
              <w:rPr>
                <w:rFonts w:hint="default" w:ascii="Times New Roman" w:hAnsi="Times New Roman" w:eastAsia="宋体" w:cs="Times New Roman"/>
                <w:color w:val="auto"/>
                <w:sz w:val="24"/>
                <w:szCs w:val="24"/>
              </w:rPr>
              <w:t>、抛洒或挥发等情况。</w:t>
            </w:r>
          </w:p>
          <w:p w14:paraId="1FB81674">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b</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临时贮存过程污染控制</w:t>
            </w:r>
          </w:p>
          <w:p w14:paraId="12024E7F">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eastAsia" w:cs="Times New Roman"/>
                <w:color w:val="auto"/>
                <w:sz w:val="24"/>
                <w:szCs w:val="24"/>
                <w:lang w:eastAsia="zh-CN"/>
              </w:rPr>
              <w:t>危废仓库</w:t>
            </w:r>
            <w:r>
              <w:rPr>
                <w:rFonts w:hint="default" w:ascii="Times New Roman" w:hAnsi="Times New Roman" w:eastAsia="宋体" w:cs="Times New Roman"/>
                <w:color w:val="auto"/>
                <w:sz w:val="24"/>
                <w:szCs w:val="24"/>
                <w:lang w:val="en-US" w:eastAsia="zh-CN"/>
              </w:rPr>
              <w:t>设计</w:t>
            </w:r>
            <w:r>
              <w:rPr>
                <w:rFonts w:hint="default" w:ascii="Times New Roman" w:hAnsi="Times New Roman" w:eastAsia="宋体" w:cs="Times New Roman"/>
                <w:color w:val="auto"/>
                <w:sz w:val="24"/>
                <w:szCs w:val="24"/>
              </w:rPr>
              <w:t>符合《危险</w:t>
            </w:r>
            <w:r>
              <w:rPr>
                <w:rFonts w:hint="default" w:ascii="Times New Roman" w:hAnsi="Times New Roman" w:eastAsia="宋体" w:cs="Times New Roman"/>
                <w:color w:val="auto"/>
                <w:sz w:val="24"/>
                <w:szCs w:val="24"/>
                <w:shd w:val="clear" w:fill="auto"/>
              </w:rPr>
              <w:t>废物</w:t>
            </w:r>
            <w:r>
              <w:rPr>
                <w:rFonts w:hint="default" w:ascii="Times New Roman" w:hAnsi="Times New Roman" w:eastAsia="宋体" w:cs="Times New Roman"/>
                <w:color w:val="auto"/>
                <w:sz w:val="24"/>
                <w:szCs w:val="24"/>
              </w:rPr>
              <w:t>贮存污染控制标准》</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GB18597-2023</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的要求</w:t>
            </w:r>
            <w:r>
              <w:rPr>
                <w:rFonts w:hint="default" w:ascii="Times New Roman" w:hAnsi="Times New Roman" w:eastAsia="宋体" w:cs="Times New Roman"/>
                <w:color w:val="auto"/>
                <w:sz w:val="24"/>
                <w:szCs w:val="24"/>
                <w:lang w:eastAsia="zh-CN"/>
              </w:rPr>
              <w:t>：</w:t>
            </w:r>
          </w:p>
          <w:p w14:paraId="7B39B010">
            <w:pPr>
              <w:keepNext w:val="0"/>
              <w:keepLines w:val="0"/>
              <w:pageBreakBefore w:val="0"/>
              <w:widowControl w:val="0"/>
              <w:kinsoku/>
              <w:wordWrap/>
              <w:overflowPunct/>
              <w:topLinePunct w:val="0"/>
              <w:autoSpaceDE/>
              <w:autoSpaceDN/>
              <w:bidi w:val="0"/>
              <w:adjustRightInd w:val="0"/>
              <w:snapToGrid w:val="0"/>
              <w:spacing w:line="360" w:lineRule="auto"/>
              <w:ind w:left="0" w:right="0" w:firstLine="55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8"/>
                <w:sz w:val="24"/>
                <w:szCs w:val="24"/>
                <w:lang w:val="en-US" w:eastAsia="zh-CN"/>
              </w:rPr>
              <w:t>1.</w:t>
            </w:r>
            <w:r>
              <w:rPr>
                <w:rFonts w:hint="eastAsia" w:cs="Times New Roman"/>
                <w:color w:val="auto"/>
                <w:spacing w:val="9"/>
                <w:sz w:val="24"/>
                <w:szCs w:val="24"/>
                <w:lang w:eastAsia="zh-CN"/>
              </w:rPr>
              <w:t>暂存间</w:t>
            </w:r>
            <w:r>
              <w:rPr>
                <w:rFonts w:hint="default" w:ascii="Times New Roman" w:hAnsi="Times New Roman" w:eastAsia="宋体" w:cs="Times New Roman"/>
                <w:color w:val="auto"/>
                <w:spacing w:val="9"/>
                <w:sz w:val="24"/>
                <w:szCs w:val="24"/>
              </w:rPr>
              <w:t>内不同贮存分区之间应采取隔离措施。隔离措施可根据危险</w:t>
            </w:r>
            <w:r>
              <w:rPr>
                <w:rFonts w:hint="default" w:ascii="Times New Roman" w:hAnsi="Times New Roman" w:eastAsia="宋体" w:cs="Times New Roman"/>
                <w:color w:val="auto"/>
                <w:spacing w:val="9"/>
                <w:sz w:val="24"/>
                <w:szCs w:val="24"/>
                <w:shd w:val="clear" w:fill="auto"/>
              </w:rPr>
              <w:t>废物</w:t>
            </w:r>
            <w:r>
              <w:rPr>
                <w:rFonts w:hint="default" w:ascii="Times New Roman" w:hAnsi="Times New Roman" w:eastAsia="宋体" w:cs="Times New Roman"/>
                <w:color w:val="auto"/>
                <w:spacing w:val="9"/>
                <w:sz w:val="24"/>
                <w:szCs w:val="24"/>
              </w:rPr>
              <w:t>特性采用过道、隔板或</w:t>
            </w:r>
            <w:r>
              <w:rPr>
                <w:rFonts w:hint="default" w:ascii="Times New Roman" w:hAnsi="Times New Roman" w:eastAsia="宋体" w:cs="Times New Roman"/>
                <w:color w:val="auto"/>
                <w:spacing w:val="8"/>
                <w:sz w:val="24"/>
                <w:szCs w:val="24"/>
              </w:rPr>
              <w:t>隔</w:t>
            </w:r>
            <w:r>
              <w:rPr>
                <w:rFonts w:hint="default" w:ascii="Times New Roman" w:hAnsi="Times New Roman" w:eastAsia="宋体" w:cs="Times New Roman"/>
                <w:color w:val="auto"/>
                <w:spacing w:val="4"/>
                <w:sz w:val="24"/>
                <w:szCs w:val="24"/>
              </w:rPr>
              <w:t>墙等方式。</w:t>
            </w:r>
          </w:p>
          <w:p w14:paraId="426181D2">
            <w:pPr>
              <w:keepNext w:val="0"/>
              <w:keepLines w:val="0"/>
              <w:pageBreakBefore w:val="0"/>
              <w:widowControl w:val="0"/>
              <w:kinsoku/>
              <w:wordWrap/>
              <w:overflowPunct/>
              <w:topLinePunct w:val="0"/>
              <w:autoSpaceDE/>
              <w:autoSpaceDN/>
              <w:bidi w:val="0"/>
              <w:adjustRightInd w:val="0"/>
              <w:snapToGrid w:val="0"/>
              <w:spacing w:line="360" w:lineRule="auto"/>
              <w:ind w:left="0" w:right="0" w:firstLine="552"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8"/>
                <w:sz w:val="24"/>
                <w:szCs w:val="24"/>
                <w:lang w:val="en-US" w:eastAsia="zh-CN"/>
              </w:rPr>
              <w:t>2.</w:t>
            </w:r>
            <w:r>
              <w:rPr>
                <w:rFonts w:hint="default" w:ascii="Times New Roman" w:hAnsi="Times New Roman" w:eastAsia="宋体" w:cs="Times New Roman"/>
                <w:color w:val="auto"/>
                <w:spacing w:val="9"/>
                <w:sz w:val="24"/>
                <w:szCs w:val="24"/>
              </w:rPr>
              <w:t>在</w:t>
            </w:r>
            <w:r>
              <w:rPr>
                <w:rFonts w:hint="eastAsia" w:cs="Times New Roman"/>
                <w:color w:val="auto"/>
                <w:spacing w:val="9"/>
                <w:sz w:val="24"/>
                <w:szCs w:val="24"/>
                <w:lang w:eastAsia="zh-CN"/>
              </w:rPr>
              <w:t>暂存间</w:t>
            </w:r>
            <w:r>
              <w:rPr>
                <w:rFonts w:hint="default" w:ascii="Times New Roman" w:hAnsi="Times New Roman" w:eastAsia="宋体" w:cs="Times New Roman"/>
                <w:color w:val="auto"/>
                <w:spacing w:val="9"/>
                <w:sz w:val="24"/>
                <w:szCs w:val="24"/>
              </w:rPr>
              <w:t>内或通过贮存分区方式贮存液态危险</w:t>
            </w:r>
            <w:r>
              <w:rPr>
                <w:rFonts w:hint="default" w:ascii="Times New Roman" w:hAnsi="Times New Roman" w:eastAsia="宋体" w:cs="Times New Roman"/>
                <w:color w:val="auto"/>
                <w:spacing w:val="9"/>
                <w:sz w:val="24"/>
                <w:szCs w:val="24"/>
                <w:shd w:val="clear" w:fill="auto"/>
              </w:rPr>
              <w:t>废物</w:t>
            </w:r>
            <w:r>
              <w:rPr>
                <w:rFonts w:hint="default" w:ascii="Times New Roman" w:hAnsi="Times New Roman" w:eastAsia="宋体" w:cs="Times New Roman"/>
                <w:color w:val="auto"/>
                <w:spacing w:val="9"/>
                <w:sz w:val="24"/>
                <w:szCs w:val="24"/>
              </w:rPr>
              <w:t>的，应具有液体泄漏堵截设施，堵截设施</w:t>
            </w:r>
            <w:r>
              <w:rPr>
                <w:rFonts w:hint="default" w:ascii="Times New Roman" w:hAnsi="Times New Roman" w:eastAsia="宋体" w:cs="Times New Roman"/>
                <w:color w:val="auto"/>
                <w:spacing w:val="9"/>
                <w:sz w:val="24"/>
                <w:szCs w:val="24"/>
                <w:shd w:val="clear" w:fill="auto"/>
              </w:rPr>
              <w:t>最</w:t>
            </w:r>
            <w:r>
              <w:rPr>
                <w:rFonts w:hint="default" w:ascii="Times New Roman" w:hAnsi="Times New Roman" w:eastAsia="宋体" w:cs="Times New Roman"/>
                <w:color w:val="auto"/>
                <w:spacing w:val="7"/>
                <w:sz w:val="24"/>
                <w:szCs w:val="24"/>
                <w:shd w:val="clear" w:fill="auto"/>
              </w:rPr>
              <w:t>小</w:t>
            </w:r>
            <w:r>
              <w:rPr>
                <w:rFonts w:hint="default" w:ascii="Times New Roman" w:hAnsi="Times New Roman" w:eastAsia="宋体" w:cs="Times New Roman"/>
                <w:color w:val="auto"/>
                <w:spacing w:val="7"/>
                <w:sz w:val="24"/>
                <w:szCs w:val="24"/>
              </w:rPr>
              <w:t>容积不应低于对应贮存区域</w:t>
            </w:r>
            <w:r>
              <w:rPr>
                <w:rFonts w:hint="default" w:ascii="Times New Roman" w:hAnsi="Times New Roman" w:eastAsia="宋体" w:cs="Times New Roman"/>
                <w:color w:val="auto"/>
                <w:spacing w:val="7"/>
                <w:sz w:val="24"/>
                <w:szCs w:val="24"/>
                <w:shd w:val="clear" w:fill="auto"/>
              </w:rPr>
              <w:t>最大</w:t>
            </w:r>
            <w:r>
              <w:rPr>
                <w:rFonts w:hint="default" w:ascii="Times New Roman" w:hAnsi="Times New Roman" w:eastAsia="宋体" w:cs="Times New Roman"/>
                <w:color w:val="auto"/>
                <w:spacing w:val="7"/>
                <w:sz w:val="24"/>
                <w:szCs w:val="24"/>
              </w:rPr>
              <w:t>液态</w:t>
            </w:r>
            <w:r>
              <w:rPr>
                <w:rFonts w:hint="default" w:ascii="Times New Roman" w:hAnsi="Times New Roman" w:eastAsia="宋体" w:cs="Times New Roman"/>
                <w:color w:val="auto"/>
                <w:spacing w:val="7"/>
                <w:sz w:val="24"/>
                <w:szCs w:val="24"/>
                <w:shd w:val="clear" w:fill="auto"/>
              </w:rPr>
              <w:t>废物</w:t>
            </w:r>
            <w:r>
              <w:rPr>
                <w:rFonts w:hint="default" w:ascii="Times New Roman" w:hAnsi="Times New Roman" w:eastAsia="宋体" w:cs="Times New Roman"/>
                <w:color w:val="auto"/>
                <w:spacing w:val="7"/>
                <w:sz w:val="24"/>
                <w:szCs w:val="24"/>
              </w:rPr>
              <w:t>容器容积或液态</w:t>
            </w:r>
            <w:r>
              <w:rPr>
                <w:rFonts w:hint="default" w:ascii="Times New Roman" w:hAnsi="Times New Roman" w:eastAsia="宋体" w:cs="Times New Roman"/>
                <w:color w:val="auto"/>
                <w:spacing w:val="7"/>
                <w:sz w:val="24"/>
                <w:szCs w:val="24"/>
                <w:shd w:val="clear" w:fill="auto"/>
              </w:rPr>
              <w:t>废物</w:t>
            </w:r>
            <w:r>
              <w:rPr>
                <w:rFonts w:hint="default" w:ascii="Times New Roman" w:hAnsi="Times New Roman" w:eastAsia="宋体" w:cs="Times New Roman"/>
                <w:color w:val="auto"/>
                <w:spacing w:val="7"/>
                <w:sz w:val="24"/>
                <w:szCs w:val="24"/>
              </w:rPr>
              <w:t>总储量1/10</w:t>
            </w:r>
            <w:r>
              <w:rPr>
                <w:rFonts w:hint="default" w:ascii="Times New Roman" w:hAnsi="Times New Roman" w:eastAsia="宋体" w:cs="Times New Roman"/>
                <w:color w:val="auto"/>
                <w:spacing w:val="7"/>
                <w:sz w:val="24"/>
                <w:szCs w:val="24"/>
                <w:lang w:eastAsia="zh-CN"/>
              </w:rPr>
              <w:t>（</w:t>
            </w:r>
            <w:r>
              <w:rPr>
                <w:rFonts w:hint="default" w:ascii="Times New Roman" w:hAnsi="Times New Roman" w:eastAsia="宋体" w:cs="Times New Roman"/>
                <w:color w:val="auto"/>
                <w:spacing w:val="7"/>
                <w:sz w:val="24"/>
                <w:szCs w:val="24"/>
              </w:rPr>
              <w:t>二者取较大者</w:t>
            </w:r>
            <w:r>
              <w:rPr>
                <w:rFonts w:hint="default" w:ascii="Times New Roman" w:hAnsi="Times New Roman" w:eastAsia="宋体" w:cs="Times New Roman"/>
                <w:color w:val="auto"/>
                <w:spacing w:val="7"/>
                <w:sz w:val="24"/>
                <w:szCs w:val="24"/>
                <w:lang w:eastAsia="zh-CN"/>
              </w:rPr>
              <w:t>）</w:t>
            </w:r>
            <w:r>
              <w:rPr>
                <w:rFonts w:hint="default" w:ascii="Times New Roman" w:hAnsi="Times New Roman" w:eastAsia="宋体" w:cs="Times New Roman"/>
                <w:color w:val="auto"/>
                <w:spacing w:val="7"/>
                <w:sz w:val="24"/>
                <w:szCs w:val="24"/>
              </w:rPr>
              <w:t>；用</w:t>
            </w:r>
            <w:r>
              <w:rPr>
                <w:rFonts w:hint="default" w:ascii="Times New Roman" w:hAnsi="Times New Roman" w:eastAsia="宋体" w:cs="Times New Roman"/>
                <w:color w:val="auto"/>
                <w:spacing w:val="4"/>
                <w:sz w:val="24"/>
                <w:szCs w:val="24"/>
              </w:rPr>
              <w:t>于</w:t>
            </w:r>
            <w:r>
              <w:rPr>
                <w:rFonts w:hint="default" w:ascii="Times New Roman" w:hAnsi="Times New Roman" w:eastAsia="宋体" w:cs="Times New Roman"/>
                <w:color w:val="auto"/>
                <w:sz w:val="24"/>
                <w:szCs w:val="24"/>
              </w:rPr>
              <w:t>贮</w:t>
            </w:r>
            <w:r>
              <w:rPr>
                <w:rFonts w:hint="default" w:ascii="Times New Roman" w:hAnsi="Times New Roman" w:eastAsia="宋体" w:cs="Times New Roman"/>
                <w:color w:val="auto"/>
                <w:spacing w:val="14"/>
                <w:sz w:val="24"/>
                <w:szCs w:val="24"/>
              </w:rPr>
              <w:t>存可能产</w:t>
            </w:r>
            <w:r>
              <w:rPr>
                <w:rFonts w:hint="default" w:ascii="Times New Roman" w:hAnsi="Times New Roman" w:eastAsia="宋体" w:cs="Times New Roman"/>
                <w:color w:val="auto"/>
                <w:spacing w:val="7"/>
                <w:sz w:val="24"/>
                <w:szCs w:val="24"/>
              </w:rPr>
              <w:t>生渗滤液的危险</w:t>
            </w:r>
            <w:r>
              <w:rPr>
                <w:rFonts w:hint="default" w:ascii="Times New Roman" w:hAnsi="Times New Roman" w:eastAsia="宋体" w:cs="Times New Roman"/>
                <w:color w:val="auto"/>
                <w:spacing w:val="7"/>
                <w:sz w:val="24"/>
                <w:szCs w:val="24"/>
                <w:shd w:val="clear" w:fill="auto"/>
              </w:rPr>
              <w:t>废物</w:t>
            </w:r>
            <w:r>
              <w:rPr>
                <w:rFonts w:hint="default" w:ascii="Times New Roman" w:hAnsi="Times New Roman" w:eastAsia="宋体" w:cs="Times New Roman"/>
                <w:color w:val="auto"/>
                <w:spacing w:val="7"/>
                <w:sz w:val="24"/>
                <w:szCs w:val="24"/>
              </w:rPr>
              <w:t>的</w:t>
            </w:r>
            <w:r>
              <w:rPr>
                <w:rFonts w:hint="eastAsia" w:cs="Times New Roman"/>
                <w:color w:val="auto"/>
                <w:spacing w:val="7"/>
                <w:sz w:val="24"/>
                <w:szCs w:val="24"/>
                <w:lang w:eastAsia="zh-CN"/>
              </w:rPr>
              <w:t>暂存间</w:t>
            </w:r>
            <w:r>
              <w:rPr>
                <w:rFonts w:hint="default" w:ascii="Times New Roman" w:hAnsi="Times New Roman" w:eastAsia="宋体" w:cs="Times New Roman"/>
                <w:color w:val="auto"/>
                <w:spacing w:val="7"/>
                <w:sz w:val="24"/>
                <w:szCs w:val="24"/>
              </w:rPr>
              <w:t>或贮存分区应设计渗滤液收集设施，收集设施容积应满足渗滤液的收集要求</w:t>
            </w:r>
            <w:r>
              <w:rPr>
                <w:rFonts w:hint="default" w:ascii="Times New Roman" w:hAnsi="Times New Roman" w:eastAsia="宋体" w:cs="Times New Roman"/>
                <w:color w:val="auto"/>
                <w:spacing w:val="6"/>
                <w:sz w:val="24"/>
                <w:szCs w:val="24"/>
              </w:rPr>
              <w:t>。</w:t>
            </w:r>
          </w:p>
          <w:p w14:paraId="07E5AFBB">
            <w:pPr>
              <w:keepNext w:val="0"/>
              <w:keepLines w:val="0"/>
              <w:pageBreakBefore w:val="0"/>
              <w:widowControl w:val="0"/>
              <w:kinsoku/>
              <w:wordWrap/>
              <w:overflowPunct/>
              <w:topLinePunct w:val="0"/>
              <w:autoSpaceDE/>
              <w:autoSpaceDN/>
              <w:bidi w:val="0"/>
              <w:adjustRightInd w:val="0"/>
              <w:snapToGrid w:val="0"/>
              <w:spacing w:line="360" w:lineRule="auto"/>
              <w:ind w:left="0" w:right="0" w:firstLine="524"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1"/>
                <w:sz w:val="24"/>
                <w:szCs w:val="24"/>
                <w:lang w:val="en-US" w:eastAsia="zh-CN"/>
              </w:rPr>
              <w:t>3</w:t>
            </w:r>
            <w:r>
              <w:rPr>
                <w:rFonts w:hint="default" w:ascii="Times New Roman" w:hAnsi="Times New Roman" w:eastAsia="宋体" w:cs="Times New Roman"/>
                <w:color w:val="auto"/>
                <w:spacing w:val="8"/>
                <w:sz w:val="24"/>
                <w:szCs w:val="24"/>
              </w:rPr>
              <w:t>容器和包装物污染控制要求</w:t>
            </w:r>
          </w:p>
          <w:p w14:paraId="415996CC">
            <w:pPr>
              <w:keepNext w:val="0"/>
              <w:keepLines w:val="0"/>
              <w:pageBreakBefore w:val="0"/>
              <w:widowControl w:val="0"/>
              <w:kinsoku/>
              <w:wordWrap/>
              <w:overflowPunct/>
              <w:topLinePunct w:val="0"/>
              <w:autoSpaceDE/>
              <w:autoSpaceDN/>
              <w:bidi w:val="0"/>
              <w:adjustRightInd w:val="0"/>
              <w:snapToGrid w:val="0"/>
              <w:spacing w:line="360" w:lineRule="auto"/>
              <w:ind w:left="0" w:right="0" w:firstLine="54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5"/>
                <w:sz w:val="24"/>
                <w:szCs w:val="24"/>
                <w:lang w:val="en-US" w:eastAsia="zh-CN"/>
              </w:rPr>
              <w:t>3.1</w:t>
            </w:r>
            <w:r>
              <w:rPr>
                <w:rFonts w:hint="default" w:ascii="Times New Roman" w:hAnsi="Times New Roman" w:eastAsia="宋体" w:cs="Times New Roman"/>
                <w:color w:val="auto"/>
                <w:spacing w:val="8"/>
                <w:sz w:val="24"/>
                <w:szCs w:val="24"/>
              </w:rPr>
              <w:t>容器和包装物材质、内衬应与盛装的危险</w:t>
            </w:r>
            <w:r>
              <w:rPr>
                <w:rFonts w:hint="default" w:ascii="Times New Roman" w:hAnsi="Times New Roman" w:eastAsia="宋体" w:cs="Times New Roman"/>
                <w:color w:val="auto"/>
                <w:spacing w:val="8"/>
                <w:sz w:val="24"/>
                <w:szCs w:val="24"/>
                <w:shd w:val="clear" w:fill="auto"/>
              </w:rPr>
              <w:t>废物</w:t>
            </w:r>
            <w:r>
              <w:rPr>
                <w:rFonts w:hint="default" w:ascii="Times New Roman" w:hAnsi="Times New Roman" w:eastAsia="宋体" w:cs="Times New Roman"/>
                <w:color w:val="auto"/>
                <w:spacing w:val="8"/>
                <w:sz w:val="24"/>
                <w:szCs w:val="24"/>
              </w:rPr>
              <w:t>相容。</w:t>
            </w:r>
          </w:p>
          <w:p w14:paraId="2CC4F7E6">
            <w:pPr>
              <w:keepNext w:val="0"/>
              <w:keepLines w:val="0"/>
              <w:pageBreakBefore w:val="0"/>
              <w:widowControl w:val="0"/>
              <w:kinsoku/>
              <w:wordWrap/>
              <w:overflowPunct/>
              <w:topLinePunct w:val="0"/>
              <w:autoSpaceDE/>
              <w:autoSpaceDN/>
              <w:bidi w:val="0"/>
              <w:adjustRightInd w:val="0"/>
              <w:snapToGrid w:val="0"/>
              <w:spacing w:line="360" w:lineRule="auto"/>
              <w:ind w:left="0" w:right="0" w:firstLine="516"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9"/>
                <w:sz w:val="24"/>
                <w:szCs w:val="24"/>
                <w:lang w:val="en-US" w:eastAsia="zh-CN"/>
              </w:rPr>
              <w:t>3.2</w:t>
            </w:r>
            <w:r>
              <w:rPr>
                <w:rFonts w:hint="default" w:ascii="Times New Roman" w:hAnsi="Times New Roman" w:eastAsia="宋体" w:cs="Times New Roman"/>
                <w:color w:val="auto"/>
                <w:spacing w:val="9"/>
                <w:sz w:val="24"/>
                <w:szCs w:val="24"/>
              </w:rPr>
              <w:t>针对不同类别、形态、物理化学性质的危险</w:t>
            </w:r>
            <w:r>
              <w:rPr>
                <w:rFonts w:hint="default" w:ascii="Times New Roman" w:hAnsi="Times New Roman" w:eastAsia="宋体" w:cs="Times New Roman"/>
                <w:color w:val="auto"/>
                <w:spacing w:val="9"/>
                <w:sz w:val="24"/>
                <w:szCs w:val="24"/>
                <w:shd w:val="clear" w:fill="auto"/>
              </w:rPr>
              <w:t>废物</w:t>
            </w:r>
            <w:r>
              <w:rPr>
                <w:rFonts w:hint="default" w:ascii="Times New Roman" w:hAnsi="Times New Roman" w:eastAsia="宋体" w:cs="Times New Roman"/>
                <w:color w:val="auto"/>
                <w:spacing w:val="9"/>
                <w:sz w:val="24"/>
                <w:szCs w:val="24"/>
              </w:rPr>
              <w:t>，其容器和包装物应满足相应的防渗、防漏、防</w:t>
            </w:r>
            <w:r>
              <w:rPr>
                <w:rFonts w:hint="default" w:ascii="Times New Roman" w:hAnsi="Times New Roman" w:eastAsia="宋体" w:cs="Times New Roman"/>
                <w:color w:val="auto"/>
                <w:spacing w:val="11"/>
                <w:sz w:val="24"/>
                <w:szCs w:val="24"/>
              </w:rPr>
              <w:t>腐</w:t>
            </w:r>
            <w:r>
              <w:rPr>
                <w:rFonts w:hint="default" w:ascii="Times New Roman" w:hAnsi="Times New Roman" w:eastAsia="宋体" w:cs="Times New Roman"/>
                <w:color w:val="auto"/>
                <w:spacing w:val="7"/>
                <w:sz w:val="24"/>
                <w:szCs w:val="24"/>
              </w:rPr>
              <w:t>和强度等要求。</w:t>
            </w:r>
          </w:p>
          <w:p w14:paraId="61F0FFC4">
            <w:pPr>
              <w:keepNext w:val="0"/>
              <w:keepLines w:val="0"/>
              <w:pageBreakBefore w:val="0"/>
              <w:widowControl w:val="0"/>
              <w:kinsoku/>
              <w:wordWrap/>
              <w:overflowPunct/>
              <w:topLinePunct w:val="0"/>
              <w:autoSpaceDE/>
              <w:autoSpaceDN/>
              <w:bidi w:val="0"/>
              <w:adjustRightInd w:val="0"/>
              <w:snapToGrid w:val="0"/>
              <w:spacing w:line="360" w:lineRule="auto"/>
              <w:ind w:left="0" w:right="0" w:firstLine="544"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6"/>
                <w:position w:val="7"/>
                <w:sz w:val="24"/>
                <w:szCs w:val="24"/>
                <w:lang w:val="en-US" w:eastAsia="zh-CN"/>
              </w:rPr>
              <w:t>3.3</w:t>
            </w:r>
            <w:r>
              <w:rPr>
                <w:rFonts w:hint="default" w:ascii="Times New Roman" w:hAnsi="Times New Roman" w:eastAsia="宋体" w:cs="Times New Roman"/>
                <w:color w:val="auto"/>
                <w:spacing w:val="8"/>
                <w:position w:val="7"/>
                <w:sz w:val="24"/>
                <w:szCs w:val="24"/>
              </w:rPr>
              <w:t>硬质容器和包装物及其支护结构堆叠码放时不应有明显变形，无破损泄漏。</w:t>
            </w:r>
          </w:p>
          <w:p w14:paraId="2A91F2A6">
            <w:pPr>
              <w:keepNext w:val="0"/>
              <w:keepLines w:val="0"/>
              <w:pageBreakBefore w:val="0"/>
              <w:widowControl w:val="0"/>
              <w:kinsoku/>
              <w:wordWrap/>
              <w:overflowPunct/>
              <w:topLinePunct w:val="0"/>
              <w:autoSpaceDE/>
              <w:autoSpaceDN/>
              <w:bidi w:val="0"/>
              <w:adjustRightInd w:val="0"/>
              <w:snapToGrid w:val="0"/>
              <w:spacing w:line="360" w:lineRule="auto"/>
              <w:ind w:left="0" w:right="0" w:firstLine="544"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6"/>
                <w:sz w:val="24"/>
                <w:szCs w:val="24"/>
                <w:lang w:val="en-US" w:eastAsia="zh-CN"/>
              </w:rPr>
              <w:t>3.4</w:t>
            </w:r>
            <w:r>
              <w:rPr>
                <w:rFonts w:hint="default" w:ascii="Times New Roman" w:hAnsi="Times New Roman" w:eastAsia="宋体" w:cs="Times New Roman"/>
                <w:color w:val="auto"/>
                <w:spacing w:val="8"/>
                <w:sz w:val="24"/>
                <w:szCs w:val="24"/>
              </w:rPr>
              <w:t>柔性容器和包装物堆叠码放时应封口严密，无破损泄漏。</w:t>
            </w:r>
          </w:p>
          <w:p w14:paraId="75F6B014">
            <w:pPr>
              <w:keepNext w:val="0"/>
              <w:keepLines w:val="0"/>
              <w:pageBreakBefore w:val="0"/>
              <w:widowControl w:val="0"/>
              <w:kinsoku/>
              <w:wordWrap/>
              <w:overflowPunct/>
              <w:topLinePunct w:val="0"/>
              <w:autoSpaceDE/>
              <w:autoSpaceDN/>
              <w:bidi w:val="0"/>
              <w:adjustRightInd w:val="0"/>
              <w:snapToGrid w:val="0"/>
              <w:spacing w:line="360" w:lineRule="auto"/>
              <w:ind w:left="0" w:right="0" w:firstLine="528"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2"/>
                <w:sz w:val="24"/>
                <w:szCs w:val="24"/>
                <w:lang w:val="en-US" w:eastAsia="zh-CN"/>
              </w:rPr>
              <w:t>3.5</w:t>
            </w:r>
            <w:r>
              <w:rPr>
                <w:rFonts w:hint="default" w:ascii="Times New Roman" w:hAnsi="Times New Roman" w:eastAsia="宋体" w:cs="Times New Roman"/>
                <w:color w:val="auto"/>
                <w:spacing w:val="7"/>
                <w:sz w:val="24"/>
                <w:szCs w:val="24"/>
              </w:rPr>
              <w:t>使用容器盛装液态、半固态危险</w:t>
            </w:r>
            <w:r>
              <w:rPr>
                <w:rFonts w:hint="default" w:ascii="Times New Roman" w:hAnsi="Times New Roman" w:eastAsia="宋体" w:cs="Times New Roman"/>
                <w:color w:val="auto"/>
                <w:spacing w:val="7"/>
                <w:sz w:val="24"/>
                <w:szCs w:val="24"/>
                <w:shd w:val="clear" w:fill="auto"/>
              </w:rPr>
              <w:t>废物</w:t>
            </w:r>
            <w:r>
              <w:rPr>
                <w:rFonts w:hint="default" w:ascii="Times New Roman" w:hAnsi="Times New Roman" w:eastAsia="宋体" w:cs="Times New Roman"/>
                <w:color w:val="auto"/>
                <w:spacing w:val="7"/>
                <w:sz w:val="24"/>
                <w:szCs w:val="24"/>
              </w:rPr>
              <w:t>时，容器内部应留有适当的空间，以适应因温度变化等可能</w:t>
            </w:r>
            <w:r>
              <w:rPr>
                <w:rFonts w:hint="default" w:ascii="Times New Roman" w:hAnsi="Times New Roman" w:eastAsia="宋体" w:cs="Times New Roman"/>
                <w:color w:val="auto"/>
                <w:spacing w:val="16"/>
                <w:sz w:val="24"/>
                <w:szCs w:val="24"/>
              </w:rPr>
              <w:t>引</w:t>
            </w:r>
            <w:r>
              <w:rPr>
                <w:rFonts w:hint="default" w:ascii="Times New Roman" w:hAnsi="Times New Roman" w:eastAsia="宋体" w:cs="Times New Roman"/>
                <w:color w:val="auto"/>
                <w:spacing w:val="13"/>
                <w:sz w:val="24"/>
                <w:szCs w:val="24"/>
              </w:rPr>
              <w:t>发</w:t>
            </w:r>
            <w:r>
              <w:rPr>
                <w:rFonts w:hint="default" w:ascii="Times New Roman" w:hAnsi="Times New Roman" w:eastAsia="宋体" w:cs="Times New Roman"/>
                <w:color w:val="auto"/>
                <w:spacing w:val="8"/>
                <w:sz w:val="24"/>
                <w:szCs w:val="24"/>
              </w:rPr>
              <w:t>的收缩和膨胀，</w:t>
            </w:r>
            <w:r>
              <w:rPr>
                <w:rFonts w:hint="default" w:ascii="Times New Roman" w:hAnsi="Times New Roman" w:eastAsia="宋体" w:cs="Times New Roman"/>
                <w:color w:val="auto"/>
                <w:spacing w:val="8"/>
                <w:sz w:val="24"/>
                <w:szCs w:val="24"/>
                <w:shd w:val="clear" w:fill="auto"/>
              </w:rPr>
              <w:t>防止</w:t>
            </w:r>
            <w:r>
              <w:rPr>
                <w:rFonts w:hint="default" w:ascii="Times New Roman" w:hAnsi="Times New Roman" w:eastAsia="宋体" w:cs="Times New Roman"/>
                <w:color w:val="auto"/>
                <w:spacing w:val="8"/>
                <w:sz w:val="24"/>
                <w:szCs w:val="24"/>
              </w:rPr>
              <w:t>其导致容器渗漏或</w:t>
            </w:r>
            <w:r>
              <w:rPr>
                <w:rFonts w:hint="default" w:ascii="Times New Roman" w:hAnsi="Times New Roman" w:eastAsia="宋体" w:cs="Times New Roman"/>
                <w:color w:val="auto"/>
                <w:spacing w:val="8"/>
                <w:sz w:val="24"/>
                <w:szCs w:val="24"/>
                <w:shd w:val="clear" w:fill="auto"/>
              </w:rPr>
              <w:t>永久</w:t>
            </w:r>
            <w:r>
              <w:rPr>
                <w:rFonts w:hint="default" w:ascii="Times New Roman" w:hAnsi="Times New Roman" w:eastAsia="宋体" w:cs="Times New Roman"/>
                <w:color w:val="auto"/>
                <w:spacing w:val="8"/>
                <w:sz w:val="24"/>
                <w:szCs w:val="24"/>
              </w:rPr>
              <w:t>变形。</w:t>
            </w:r>
          </w:p>
          <w:p w14:paraId="1E092B61">
            <w:pPr>
              <w:keepNext w:val="0"/>
              <w:keepLines w:val="0"/>
              <w:pageBreakBefore w:val="0"/>
              <w:widowControl w:val="0"/>
              <w:kinsoku/>
              <w:wordWrap/>
              <w:overflowPunct/>
              <w:topLinePunct w:val="0"/>
              <w:autoSpaceDE/>
              <w:autoSpaceDN/>
              <w:bidi w:val="0"/>
              <w:adjustRightInd w:val="0"/>
              <w:snapToGrid w:val="0"/>
              <w:spacing w:line="360" w:lineRule="auto"/>
              <w:ind w:left="0" w:right="0" w:firstLine="536"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14"/>
                <w:sz w:val="24"/>
                <w:szCs w:val="24"/>
                <w:lang w:val="en-US" w:eastAsia="zh-CN"/>
              </w:rPr>
              <w:t>3.6</w:t>
            </w:r>
            <w:r>
              <w:rPr>
                <w:rFonts w:hint="default" w:ascii="Times New Roman" w:hAnsi="Times New Roman" w:eastAsia="宋体" w:cs="Times New Roman"/>
                <w:color w:val="auto"/>
                <w:spacing w:val="7"/>
                <w:sz w:val="24"/>
                <w:szCs w:val="24"/>
              </w:rPr>
              <w:t>容器和包装物外表面应保持清洁。</w:t>
            </w:r>
          </w:p>
          <w:p w14:paraId="72999BE0">
            <w:pPr>
              <w:keepNext w:val="0"/>
              <w:keepLines w:val="0"/>
              <w:pageBreakBefore w:val="0"/>
              <w:widowControl w:val="0"/>
              <w:kinsoku/>
              <w:wordWrap/>
              <w:overflowPunct/>
              <w:topLinePunct w:val="0"/>
              <w:autoSpaceDE/>
              <w:autoSpaceDN/>
              <w:bidi w:val="0"/>
              <w:adjustRightInd w:val="0"/>
              <w:snapToGrid w:val="0"/>
              <w:spacing w:line="360" w:lineRule="auto"/>
              <w:ind w:left="0" w:right="0" w:firstLine="516"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9"/>
                <w:position w:val="7"/>
                <w:sz w:val="24"/>
                <w:szCs w:val="24"/>
                <w:lang w:val="en-US" w:eastAsia="zh-CN"/>
              </w:rPr>
              <w:t>3.7</w:t>
            </w:r>
            <w:r>
              <w:rPr>
                <w:rFonts w:hint="default" w:ascii="Times New Roman" w:hAnsi="Times New Roman" w:eastAsia="宋体" w:cs="Times New Roman"/>
                <w:color w:val="auto"/>
                <w:spacing w:val="9"/>
                <w:position w:val="7"/>
                <w:sz w:val="24"/>
                <w:szCs w:val="24"/>
              </w:rPr>
              <w:t>贮存设施内产生以及清理的固体</w:t>
            </w:r>
            <w:r>
              <w:rPr>
                <w:rFonts w:hint="default" w:ascii="Times New Roman" w:hAnsi="Times New Roman" w:eastAsia="宋体" w:cs="Times New Roman"/>
                <w:color w:val="auto"/>
                <w:spacing w:val="9"/>
                <w:position w:val="7"/>
                <w:sz w:val="24"/>
                <w:szCs w:val="24"/>
                <w:shd w:val="clear" w:fill="auto"/>
              </w:rPr>
              <w:t>废物</w:t>
            </w:r>
            <w:r>
              <w:rPr>
                <w:rFonts w:hint="default" w:ascii="Times New Roman" w:hAnsi="Times New Roman" w:eastAsia="宋体" w:cs="Times New Roman"/>
                <w:color w:val="auto"/>
                <w:spacing w:val="9"/>
                <w:position w:val="7"/>
                <w:sz w:val="24"/>
                <w:szCs w:val="24"/>
              </w:rPr>
              <w:t>应按固体</w:t>
            </w:r>
            <w:r>
              <w:rPr>
                <w:rFonts w:hint="default" w:ascii="Times New Roman" w:hAnsi="Times New Roman" w:eastAsia="宋体" w:cs="Times New Roman"/>
                <w:color w:val="auto"/>
                <w:spacing w:val="9"/>
                <w:position w:val="7"/>
                <w:sz w:val="24"/>
                <w:szCs w:val="24"/>
                <w:shd w:val="clear" w:fill="auto"/>
              </w:rPr>
              <w:t>废物</w:t>
            </w:r>
            <w:r>
              <w:rPr>
                <w:rFonts w:hint="default" w:ascii="Times New Roman" w:hAnsi="Times New Roman" w:eastAsia="宋体" w:cs="Times New Roman"/>
                <w:color w:val="auto"/>
                <w:spacing w:val="9"/>
                <w:position w:val="7"/>
                <w:sz w:val="24"/>
                <w:szCs w:val="24"/>
              </w:rPr>
              <w:t>分类管理要求妥善处理</w:t>
            </w:r>
            <w:r>
              <w:rPr>
                <w:rFonts w:hint="default" w:ascii="Times New Roman" w:hAnsi="Times New Roman" w:eastAsia="宋体" w:cs="Times New Roman"/>
                <w:color w:val="auto"/>
                <w:spacing w:val="5"/>
                <w:position w:val="7"/>
                <w:sz w:val="24"/>
                <w:szCs w:val="24"/>
              </w:rPr>
              <w:t>。</w:t>
            </w:r>
          </w:p>
          <w:p w14:paraId="387091D2">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环境应急要求</w:t>
            </w:r>
          </w:p>
          <w:p w14:paraId="68FE3F84">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3.8贮存设施所有者或运营者应按照</w:t>
            </w:r>
            <w:r>
              <w:rPr>
                <w:rFonts w:hint="default" w:ascii="Times New Roman" w:hAnsi="Times New Roman" w:eastAsia="宋体" w:cs="Times New Roman"/>
                <w:color w:val="auto"/>
                <w:sz w:val="24"/>
                <w:szCs w:val="24"/>
                <w:shd w:val="clear" w:fill="auto"/>
                <w:lang w:val="en-US" w:eastAsia="zh-CN"/>
              </w:rPr>
              <w:t>国家</w:t>
            </w:r>
            <w:r>
              <w:rPr>
                <w:rFonts w:hint="default" w:ascii="Times New Roman" w:hAnsi="Times New Roman" w:eastAsia="宋体" w:cs="Times New Roman"/>
                <w:color w:val="auto"/>
                <w:sz w:val="24"/>
                <w:szCs w:val="24"/>
                <w:lang w:val="en-US" w:eastAsia="zh-CN"/>
              </w:rPr>
              <w:t>有关规定编制突发环境事件应急预案，定期开展必要的培训和环境应急演练，并做好培训、演练记录。</w:t>
            </w:r>
          </w:p>
          <w:p w14:paraId="4A611F99">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3.9贮存设施所有者或运营者应配备满足其突发环境事件应急要求的应急人员、装备和物资，并应设置应急照明系统。</w:t>
            </w:r>
          </w:p>
          <w:p w14:paraId="6938F13D">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w:t>
            </w:r>
            <w:r>
              <w:rPr>
                <w:rFonts w:hint="eastAsia" w:cs="Times New Roman"/>
                <w:color w:val="auto"/>
                <w:sz w:val="24"/>
                <w:szCs w:val="24"/>
                <w:lang w:val="en-US" w:eastAsia="zh-CN"/>
              </w:rPr>
              <w:t>危废仓库</w:t>
            </w:r>
            <w:r>
              <w:rPr>
                <w:rFonts w:hint="default" w:ascii="Times New Roman" w:hAnsi="Times New Roman" w:eastAsia="宋体" w:cs="Times New Roman"/>
                <w:color w:val="auto"/>
                <w:sz w:val="24"/>
                <w:szCs w:val="24"/>
                <w:lang w:val="en-US" w:eastAsia="zh-CN"/>
              </w:rPr>
              <w:t>设置不小于1立方米容积的</w:t>
            </w:r>
            <w:r>
              <w:rPr>
                <w:rFonts w:hint="default" w:ascii="Times New Roman" w:hAnsi="Times New Roman" w:eastAsia="宋体" w:cs="Times New Roman"/>
                <w:color w:val="auto"/>
                <w:sz w:val="24"/>
                <w:szCs w:val="24"/>
              </w:rPr>
              <w:t>液体泄漏堵截设施</w:t>
            </w:r>
            <w:r>
              <w:rPr>
                <w:rFonts w:hint="default" w:ascii="Times New Roman" w:hAnsi="Times New Roman" w:eastAsia="宋体" w:cs="Times New Roman"/>
                <w:color w:val="auto"/>
                <w:sz w:val="24"/>
                <w:szCs w:val="24"/>
                <w:lang w:val="en-US" w:eastAsia="zh-CN"/>
              </w:rPr>
              <w:t>；不同类别的危险</w:t>
            </w:r>
            <w:r>
              <w:rPr>
                <w:rFonts w:hint="default" w:ascii="Times New Roman" w:hAnsi="Times New Roman" w:eastAsia="宋体" w:cs="Times New Roman"/>
                <w:color w:val="auto"/>
                <w:sz w:val="24"/>
                <w:szCs w:val="24"/>
                <w:shd w:val="clear" w:fill="auto"/>
                <w:lang w:val="en-US" w:eastAsia="zh-CN"/>
              </w:rPr>
              <w:t>废物</w:t>
            </w:r>
            <w:r>
              <w:rPr>
                <w:rFonts w:hint="default" w:ascii="Times New Roman" w:hAnsi="Times New Roman" w:eastAsia="宋体" w:cs="Times New Roman"/>
                <w:color w:val="auto"/>
                <w:sz w:val="24"/>
                <w:szCs w:val="24"/>
                <w:lang w:val="en-US" w:eastAsia="zh-CN"/>
              </w:rPr>
              <w:t>分区隔离贮存；危险</w:t>
            </w:r>
            <w:r>
              <w:rPr>
                <w:rFonts w:hint="default" w:ascii="Times New Roman" w:hAnsi="Times New Roman" w:eastAsia="宋体" w:cs="Times New Roman"/>
                <w:color w:val="auto"/>
                <w:sz w:val="24"/>
                <w:szCs w:val="24"/>
                <w:shd w:val="clear" w:fill="auto"/>
                <w:lang w:val="en-US" w:eastAsia="zh-CN"/>
              </w:rPr>
              <w:t>废物</w:t>
            </w:r>
            <w:r>
              <w:rPr>
                <w:rFonts w:hint="default" w:ascii="Times New Roman" w:hAnsi="Times New Roman" w:eastAsia="宋体" w:cs="Times New Roman"/>
                <w:color w:val="auto"/>
                <w:sz w:val="24"/>
                <w:szCs w:val="24"/>
                <w:lang w:val="en-US" w:eastAsia="zh-CN"/>
              </w:rPr>
              <w:t>入库后均放置在防渗漏托盘上；防渗</w:t>
            </w:r>
            <w:r>
              <w:rPr>
                <w:rFonts w:hint="default" w:ascii="Times New Roman" w:hAnsi="Times New Roman" w:eastAsia="宋体" w:cs="Times New Roman"/>
                <w:color w:val="auto"/>
                <w:sz w:val="24"/>
                <w:szCs w:val="24"/>
                <w:shd w:val="clear" w:fill="auto"/>
                <w:lang w:val="en-US" w:eastAsia="zh-CN"/>
              </w:rPr>
              <w:t>设计</w:t>
            </w:r>
            <w:r>
              <w:rPr>
                <w:rFonts w:hint="default" w:ascii="Times New Roman" w:hAnsi="Times New Roman" w:eastAsia="宋体" w:cs="Times New Roman"/>
                <w:color w:val="auto"/>
                <w:sz w:val="24"/>
                <w:szCs w:val="24"/>
                <w:lang w:val="en-US" w:eastAsia="zh-CN"/>
              </w:rPr>
              <w:t>符合</w:t>
            </w:r>
            <w:r>
              <w:rPr>
                <w:rFonts w:hint="default" w:ascii="Times New Roman" w:hAnsi="Times New Roman" w:eastAsia="宋体" w:cs="Times New Roman"/>
                <w:color w:val="auto"/>
                <w:sz w:val="24"/>
                <w:szCs w:val="24"/>
              </w:rPr>
              <w:t>GB18597-2023</w:t>
            </w:r>
            <w:r>
              <w:rPr>
                <w:rFonts w:hint="default" w:ascii="Times New Roman" w:hAnsi="Times New Roman" w:eastAsia="宋体" w:cs="Times New Roman"/>
                <w:color w:val="auto"/>
                <w:sz w:val="24"/>
                <w:szCs w:val="24"/>
                <w:lang w:val="en-US" w:eastAsia="zh-CN"/>
              </w:rPr>
              <w:t>要求；危险</w:t>
            </w:r>
            <w:r>
              <w:rPr>
                <w:rFonts w:hint="default" w:ascii="Times New Roman" w:hAnsi="Times New Roman" w:eastAsia="宋体" w:cs="Times New Roman"/>
                <w:color w:val="auto"/>
                <w:sz w:val="24"/>
                <w:szCs w:val="24"/>
                <w:shd w:val="clear" w:fill="auto"/>
                <w:lang w:val="en-US" w:eastAsia="zh-CN"/>
              </w:rPr>
              <w:t>废物</w:t>
            </w:r>
            <w:r>
              <w:rPr>
                <w:rFonts w:hint="default" w:ascii="Times New Roman" w:hAnsi="Times New Roman" w:eastAsia="宋体" w:cs="Times New Roman"/>
                <w:color w:val="auto"/>
                <w:sz w:val="24"/>
                <w:szCs w:val="24"/>
                <w:lang w:val="en-US" w:eastAsia="zh-CN"/>
              </w:rPr>
              <w:t>进出、转移等登记记录台账按照相关要求登记、管理、留档；本项目投产前</w:t>
            </w:r>
            <w:r>
              <w:rPr>
                <w:rFonts w:hint="default" w:ascii="Times New Roman" w:hAnsi="Times New Roman" w:eastAsia="宋体" w:cs="Times New Roman"/>
                <w:color w:val="auto"/>
                <w:sz w:val="24"/>
                <w:szCs w:val="24"/>
              </w:rPr>
              <w:t>应配备满足其突发环境事件应急要求的应急人员、装备和物资，并应设置应急照明系统</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按照</w:t>
            </w:r>
            <w:r>
              <w:rPr>
                <w:rFonts w:hint="default" w:ascii="Times New Roman" w:hAnsi="Times New Roman" w:eastAsia="宋体" w:cs="Times New Roman"/>
                <w:color w:val="auto"/>
                <w:sz w:val="24"/>
                <w:szCs w:val="24"/>
                <w:shd w:val="clear" w:fill="auto"/>
              </w:rPr>
              <w:t>国家</w:t>
            </w:r>
            <w:r>
              <w:rPr>
                <w:rFonts w:hint="default" w:ascii="Times New Roman" w:hAnsi="Times New Roman" w:eastAsia="宋体" w:cs="Times New Roman"/>
                <w:color w:val="auto"/>
                <w:sz w:val="24"/>
                <w:szCs w:val="24"/>
              </w:rPr>
              <w:t>有关规定编制突发环境事件应急预案，定期开展必要的培训和环境应急演练，并做好培训、演练记录</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上述未尽事宜参照</w:t>
            </w:r>
            <w:r>
              <w:rPr>
                <w:rFonts w:hint="default" w:ascii="Times New Roman" w:hAnsi="Times New Roman" w:eastAsia="宋体" w:cs="Times New Roman"/>
                <w:color w:val="auto"/>
                <w:sz w:val="24"/>
                <w:szCs w:val="24"/>
              </w:rPr>
              <w:t>《危险</w:t>
            </w:r>
            <w:r>
              <w:rPr>
                <w:rFonts w:hint="default" w:ascii="Times New Roman" w:hAnsi="Times New Roman" w:eastAsia="宋体" w:cs="Times New Roman"/>
                <w:color w:val="auto"/>
                <w:sz w:val="24"/>
                <w:szCs w:val="24"/>
                <w:shd w:val="clear" w:fill="auto"/>
              </w:rPr>
              <w:t>废物</w:t>
            </w:r>
            <w:r>
              <w:rPr>
                <w:rFonts w:hint="default" w:ascii="Times New Roman" w:hAnsi="Times New Roman" w:eastAsia="宋体" w:cs="Times New Roman"/>
                <w:color w:val="auto"/>
                <w:sz w:val="24"/>
                <w:szCs w:val="24"/>
              </w:rPr>
              <w:t>贮存污染控制标准》（GB18597-2023）</w:t>
            </w:r>
            <w:r>
              <w:rPr>
                <w:rFonts w:hint="default" w:ascii="Times New Roman" w:hAnsi="Times New Roman" w:eastAsia="宋体" w:cs="Times New Roman"/>
                <w:color w:val="auto"/>
                <w:sz w:val="24"/>
                <w:szCs w:val="24"/>
                <w:lang w:val="en-US" w:eastAsia="zh-CN"/>
              </w:rPr>
              <w:t>等相关规范执行。</w:t>
            </w:r>
          </w:p>
          <w:p w14:paraId="7AC5FA49">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按照《环境保护图形标志固体</w:t>
            </w:r>
            <w:r>
              <w:rPr>
                <w:rFonts w:hint="default" w:ascii="Times New Roman" w:hAnsi="Times New Roman" w:eastAsia="宋体" w:cs="Times New Roman"/>
                <w:color w:val="auto"/>
                <w:sz w:val="24"/>
                <w:szCs w:val="24"/>
                <w:shd w:val="clear" w:fill="auto"/>
                <w:lang w:val="en-US" w:eastAsia="zh-CN"/>
              </w:rPr>
              <w:t>废物</w:t>
            </w:r>
            <w:r>
              <w:rPr>
                <w:rFonts w:hint="default" w:ascii="Times New Roman" w:hAnsi="Times New Roman" w:eastAsia="宋体" w:cs="Times New Roman"/>
                <w:color w:val="auto"/>
                <w:sz w:val="24"/>
                <w:szCs w:val="24"/>
                <w:lang w:val="en-US" w:eastAsia="zh-CN"/>
              </w:rPr>
              <w:t>贮存（处置）</w:t>
            </w:r>
            <w:r>
              <w:rPr>
                <w:rFonts w:hint="default" w:ascii="Times New Roman" w:hAnsi="Times New Roman" w:eastAsia="宋体" w:cs="Times New Roman"/>
                <w:color w:val="auto"/>
                <w:sz w:val="24"/>
                <w:szCs w:val="24"/>
                <w:shd w:val="clear" w:fill="auto"/>
                <w:lang w:val="en-US" w:eastAsia="zh-CN"/>
              </w:rPr>
              <w:t>场</w:t>
            </w:r>
            <w:r>
              <w:rPr>
                <w:rFonts w:hint="default" w:ascii="Times New Roman" w:hAnsi="Times New Roman" w:eastAsia="宋体" w:cs="Times New Roman"/>
                <w:color w:val="auto"/>
                <w:sz w:val="24"/>
                <w:szCs w:val="24"/>
                <w:lang w:val="en-US" w:eastAsia="zh-CN"/>
              </w:rPr>
              <w:t>》（GB1</w:t>
            </w:r>
            <w:r>
              <w:rPr>
                <w:rFonts w:hint="default" w:ascii="Times New Roman" w:hAnsi="Times New Roman" w:eastAsia="宋体" w:cs="Times New Roman"/>
                <w:color w:val="auto"/>
                <w:sz w:val="24"/>
                <w:szCs w:val="24"/>
                <w:shd w:val="clear" w:fill="auto"/>
                <w:lang w:val="en-US" w:eastAsia="zh-CN"/>
              </w:rPr>
              <w:t>5562.2-19</w:t>
            </w:r>
            <w:r>
              <w:rPr>
                <w:rFonts w:hint="default" w:ascii="Times New Roman" w:hAnsi="Times New Roman" w:eastAsia="宋体" w:cs="Times New Roman"/>
                <w:color w:val="auto"/>
                <w:sz w:val="24"/>
                <w:szCs w:val="24"/>
                <w:lang w:val="en-US" w:eastAsia="zh-CN"/>
              </w:rPr>
              <w:t>95）及其修改</w:t>
            </w:r>
            <w:r>
              <w:rPr>
                <w:rFonts w:hint="default" w:ascii="Times New Roman" w:hAnsi="Times New Roman" w:eastAsia="宋体" w:cs="Times New Roman"/>
                <w:color w:val="auto"/>
                <w:sz w:val="24"/>
                <w:szCs w:val="24"/>
                <w:shd w:val="clear" w:fill="auto"/>
                <w:lang w:val="en-US" w:eastAsia="zh-CN"/>
              </w:rPr>
              <w:t>单</w:t>
            </w:r>
            <w:r>
              <w:rPr>
                <w:rFonts w:hint="default" w:ascii="Times New Roman" w:hAnsi="Times New Roman" w:eastAsia="宋体" w:cs="Times New Roman"/>
                <w:color w:val="auto"/>
                <w:sz w:val="24"/>
                <w:szCs w:val="24"/>
                <w:lang w:val="en-US" w:eastAsia="zh-CN"/>
              </w:rPr>
              <w:t>、《危险</w:t>
            </w:r>
            <w:r>
              <w:rPr>
                <w:rFonts w:hint="default" w:ascii="Times New Roman" w:hAnsi="Times New Roman" w:eastAsia="宋体" w:cs="Times New Roman"/>
                <w:color w:val="auto"/>
                <w:sz w:val="24"/>
                <w:szCs w:val="24"/>
                <w:shd w:val="clear" w:fill="auto"/>
                <w:lang w:val="en-US" w:eastAsia="zh-CN"/>
              </w:rPr>
              <w:t>废物</w:t>
            </w:r>
            <w:r>
              <w:rPr>
                <w:rFonts w:hint="default" w:ascii="Times New Roman" w:hAnsi="Times New Roman" w:eastAsia="宋体" w:cs="Times New Roman"/>
                <w:color w:val="auto"/>
                <w:sz w:val="24"/>
                <w:szCs w:val="24"/>
                <w:lang w:val="en-US" w:eastAsia="zh-CN"/>
              </w:rPr>
              <w:t>识别标志设置技术规范》（HJ1276-2022）要求设置标志、标识，配备通讯设备、照明设施和消防设施，针对不同危险</w:t>
            </w:r>
            <w:r>
              <w:rPr>
                <w:rFonts w:hint="default" w:ascii="Times New Roman" w:hAnsi="Times New Roman" w:eastAsia="宋体" w:cs="Times New Roman"/>
                <w:color w:val="auto"/>
                <w:sz w:val="24"/>
                <w:szCs w:val="24"/>
                <w:shd w:val="clear" w:fill="auto"/>
                <w:lang w:val="en-US" w:eastAsia="zh-CN"/>
              </w:rPr>
              <w:t>废物</w:t>
            </w:r>
            <w:r>
              <w:rPr>
                <w:rFonts w:hint="default" w:ascii="Times New Roman" w:hAnsi="Times New Roman" w:eastAsia="宋体" w:cs="Times New Roman"/>
                <w:color w:val="auto"/>
                <w:sz w:val="24"/>
                <w:szCs w:val="24"/>
                <w:lang w:val="en-US" w:eastAsia="zh-CN"/>
              </w:rPr>
              <w:t>进行分区存放。</w:t>
            </w:r>
          </w:p>
          <w:p w14:paraId="1B42826C">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c.标识化建设</w:t>
            </w:r>
          </w:p>
          <w:p w14:paraId="0BF8288F">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根据《危险</w:t>
            </w:r>
            <w:r>
              <w:rPr>
                <w:rFonts w:hint="default" w:ascii="Times New Roman" w:hAnsi="Times New Roman" w:eastAsia="宋体" w:cs="Times New Roman"/>
                <w:color w:val="auto"/>
                <w:sz w:val="24"/>
                <w:szCs w:val="24"/>
                <w:shd w:val="clear" w:fill="auto"/>
                <w:lang w:val="en-US" w:eastAsia="zh-CN"/>
              </w:rPr>
              <w:t>废物</w:t>
            </w:r>
            <w:r>
              <w:rPr>
                <w:rFonts w:hint="default" w:ascii="Times New Roman" w:hAnsi="Times New Roman" w:eastAsia="宋体" w:cs="Times New Roman"/>
                <w:color w:val="auto"/>
                <w:sz w:val="24"/>
                <w:szCs w:val="24"/>
                <w:lang w:val="en-US" w:eastAsia="zh-CN"/>
              </w:rPr>
              <w:t>贮存污染控制标准》（GB18597-2023）</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《危险</w:t>
            </w:r>
            <w:r>
              <w:rPr>
                <w:rFonts w:hint="default" w:ascii="Times New Roman" w:hAnsi="Times New Roman" w:eastAsia="宋体" w:cs="Times New Roman"/>
                <w:color w:val="auto"/>
                <w:sz w:val="24"/>
                <w:szCs w:val="24"/>
                <w:shd w:val="clear" w:fill="auto"/>
                <w:lang w:val="en-US" w:eastAsia="zh-CN"/>
              </w:rPr>
              <w:t>废物</w:t>
            </w:r>
            <w:r>
              <w:rPr>
                <w:rFonts w:hint="default" w:ascii="Times New Roman" w:hAnsi="Times New Roman" w:eastAsia="宋体" w:cs="Times New Roman"/>
                <w:color w:val="auto"/>
                <w:sz w:val="24"/>
                <w:szCs w:val="24"/>
                <w:lang w:val="en-US" w:eastAsia="zh-CN"/>
              </w:rPr>
              <w:t>收集贮存运输技术规范》（HJ2025-2012）等文件要求，公开危险</w:t>
            </w:r>
            <w:r>
              <w:rPr>
                <w:rFonts w:hint="default" w:ascii="Times New Roman" w:hAnsi="Times New Roman" w:eastAsia="宋体" w:cs="Times New Roman"/>
                <w:color w:val="auto"/>
                <w:sz w:val="24"/>
                <w:szCs w:val="24"/>
                <w:shd w:val="clear" w:fill="auto"/>
                <w:lang w:val="en-US" w:eastAsia="zh-CN"/>
              </w:rPr>
              <w:t>废物</w:t>
            </w:r>
            <w:r>
              <w:rPr>
                <w:rFonts w:hint="default" w:ascii="Times New Roman" w:hAnsi="Times New Roman" w:eastAsia="宋体" w:cs="Times New Roman"/>
                <w:color w:val="auto"/>
                <w:sz w:val="24"/>
                <w:szCs w:val="24"/>
                <w:lang w:val="en-US" w:eastAsia="zh-CN"/>
              </w:rPr>
              <w:t>信息、贮存设施设置警示标志。在识别</w:t>
            </w:r>
            <w:r>
              <w:rPr>
                <w:rFonts w:hint="default" w:ascii="Times New Roman" w:hAnsi="Times New Roman" w:eastAsia="宋体" w:cs="Times New Roman"/>
                <w:color w:val="auto"/>
                <w:sz w:val="24"/>
                <w:szCs w:val="24"/>
                <w:shd w:val="clear" w:fill="auto"/>
                <w:lang w:val="en-US" w:eastAsia="zh-CN"/>
              </w:rPr>
              <w:t>标识</w:t>
            </w:r>
            <w:r>
              <w:rPr>
                <w:rFonts w:hint="default" w:ascii="Times New Roman" w:hAnsi="Times New Roman" w:eastAsia="宋体" w:cs="Times New Roman"/>
                <w:color w:val="auto"/>
                <w:sz w:val="24"/>
                <w:szCs w:val="24"/>
                <w:lang w:val="en-US" w:eastAsia="zh-CN"/>
              </w:rPr>
              <w:t>外观质量上，应确保公开栏、标志牌、立柱、支架无明显变形；立柱、支架的材料、内外径大小及地下部分高度应确保公开栏、标志牌等安全、稳定固定，避免发生倾倒情况；公开栏、标志</w:t>
            </w:r>
            <w:r>
              <w:rPr>
                <w:rFonts w:hint="default" w:ascii="Times New Roman" w:hAnsi="Times New Roman" w:eastAsia="宋体" w:cs="Times New Roman"/>
                <w:color w:val="auto"/>
                <w:sz w:val="24"/>
                <w:szCs w:val="24"/>
              </w:rPr>
              <w:t>牌、立柱、支架等均应经过防腐处理；公开栏、标志牌表面无气泡，膜或搪瓷无脱落，无开裂、脱落及其他破损；公开栏、标志牌、标签等图案清晰，色泽一致，不得有明显缺损。当发现形象损坏、颜色污染或有变化、褪色等情况时，应及时修复或更换。</w:t>
            </w:r>
          </w:p>
          <w:p w14:paraId="7DBCC8EC">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监控</w:t>
            </w:r>
          </w:p>
          <w:p w14:paraId="512BA4AC">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本项目应在</w:t>
            </w:r>
            <w:r>
              <w:rPr>
                <w:rFonts w:hint="eastAsia" w:cs="Times New Roman"/>
                <w:color w:val="auto"/>
                <w:sz w:val="24"/>
                <w:szCs w:val="24"/>
                <w:lang w:eastAsia="zh-CN"/>
              </w:rPr>
              <w:t>危废仓库</w:t>
            </w:r>
            <w:r>
              <w:rPr>
                <w:rFonts w:hint="default" w:ascii="Times New Roman" w:hAnsi="Times New Roman" w:eastAsia="宋体" w:cs="Times New Roman"/>
                <w:color w:val="auto"/>
                <w:sz w:val="24"/>
                <w:szCs w:val="24"/>
              </w:rPr>
              <w:t>出入口及内部布设视频监控，且满足以下要求：</w:t>
            </w:r>
          </w:p>
          <w:p w14:paraId="474F0089">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监控系统：须满足《公共安全视频监控联网系统信息传输、交换、控制技术要求》</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eastAsia="zh-CN"/>
              </w:rPr>
              <w:t>GB/T28181-</w:t>
            </w:r>
            <w:r>
              <w:rPr>
                <w:rFonts w:hint="default" w:ascii="Times New Roman" w:hAnsi="Times New Roman" w:eastAsia="宋体" w:cs="Times New Roman"/>
                <w:color w:val="auto"/>
                <w:sz w:val="24"/>
                <w:szCs w:val="24"/>
                <w:highlight w:val="none"/>
                <w:shd w:val="clear" w:fill="auto"/>
                <w:lang w:eastAsia="zh-CN"/>
              </w:rPr>
              <w:t>2022</w:t>
            </w:r>
            <w:r>
              <w:rPr>
                <w:rFonts w:hint="default" w:ascii="Times New Roman" w:hAnsi="Times New Roman" w:eastAsia="宋体" w:cs="Times New Roman"/>
                <w:color w:val="auto"/>
                <w:sz w:val="24"/>
                <w:szCs w:val="24"/>
                <w:highlight w:val="none"/>
                <w:shd w:val="clear" w:fill="auto"/>
              </w:rPr>
              <w:t>）</w:t>
            </w:r>
            <w:r>
              <w:rPr>
                <w:rFonts w:hint="default" w:ascii="Times New Roman" w:hAnsi="Times New Roman" w:eastAsia="宋体" w:cs="Times New Roman"/>
                <w:color w:val="auto"/>
                <w:sz w:val="24"/>
                <w:szCs w:val="24"/>
                <w:shd w:val="clear" w:fill="auto"/>
              </w:rPr>
              <w:t>、</w:t>
            </w:r>
            <w:r>
              <w:rPr>
                <w:rFonts w:hint="default" w:ascii="Times New Roman" w:hAnsi="Times New Roman" w:eastAsia="宋体" w:cs="Times New Roman"/>
                <w:color w:val="auto"/>
                <w:sz w:val="24"/>
                <w:szCs w:val="24"/>
              </w:rPr>
              <w:t>《安全防范高清视频监控系统技术要求》</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GA/T1211-2014</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等标准；所有摄像机须支持</w:t>
            </w:r>
            <w:r>
              <w:rPr>
                <w:rFonts w:hint="default" w:ascii="Times New Roman" w:hAnsi="Times New Roman" w:eastAsia="宋体" w:cs="Times New Roman"/>
                <w:color w:val="auto"/>
                <w:sz w:val="24"/>
                <w:szCs w:val="24"/>
                <w:shd w:val="clear" w:fill="auto"/>
              </w:rPr>
              <w:t>ONVIF、</w:t>
            </w:r>
            <w:r>
              <w:rPr>
                <w:rFonts w:hint="default" w:ascii="Times New Roman" w:hAnsi="Times New Roman" w:eastAsia="宋体" w:cs="Times New Roman"/>
                <w:color w:val="auto"/>
                <w:sz w:val="24"/>
                <w:szCs w:val="24"/>
                <w:lang w:eastAsia="zh-CN"/>
              </w:rPr>
              <w:t>GB/T28181-2022</w:t>
            </w:r>
            <w:r>
              <w:rPr>
                <w:rFonts w:hint="default" w:ascii="Times New Roman" w:hAnsi="Times New Roman" w:eastAsia="宋体" w:cs="Times New Roman"/>
                <w:color w:val="auto"/>
                <w:sz w:val="24"/>
                <w:szCs w:val="24"/>
              </w:rPr>
              <w:t>标准协议。</w:t>
            </w:r>
          </w:p>
          <w:p w14:paraId="7E84450A">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监控质量：须连续记录危险</w:t>
            </w:r>
            <w:r>
              <w:rPr>
                <w:rFonts w:hint="default" w:ascii="Times New Roman" w:hAnsi="Times New Roman" w:eastAsia="宋体" w:cs="Times New Roman"/>
                <w:color w:val="auto"/>
                <w:sz w:val="24"/>
                <w:szCs w:val="24"/>
                <w:shd w:val="clear" w:fill="auto"/>
              </w:rPr>
              <w:t>废物</w:t>
            </w:r>
            <w:r>
              <w:rPr>
                <w:rFonts w:hint="default" w:ascii="Times New Roman" w:hAnsi="Times New Roman" w:eastAsia="宋体" w:cs="Times New Roman"/>
                <w:color w:val="auto"/>
                <w:sz w:val="24"/>
                <w:szCs w:val="24"/>
              </w:rPr>
              <w:t>出入库情况和物流情况，包含录制日期及时间显示，不得对原始影像文件进行拼接、剪辑和编辑，保证影像连贯；摄像头距离监控对象的位置应保证监控对象全部摄入监控视频中，同时避免人员、设备、建筑物等的遮挡，清楚辨识贮存、处理等关键环节；监控区域24小时须有足够的光源以保证画面清晰辨识；视频监控录像画面分辨率须达到300万像素以上。</w:t>
            </w:r>
          </w:p>
          <w:p w14:paraId="2758EC07">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存储传输：企业应当做好备用电源、视频双备份等保障措施，确保视频监控全天24小时不间断录像，监控视频保存时间至少为3个月。</w:t>
            </w:r>
          </w:p>
          <w:p w14:paraId="684913E9">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e</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rPr>
              <w:t>运输过程污染控制</w:t>
            </w:r>
          </w:p>
          <w:p w14:paraId="7BE661ED">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本项目危险</w:t>
            </w:r>
            <w:r>
              <w:rPr>
                <w:rFonts w:hint="default" w:ascii="Times New Roman" w:hAnsi="Times New Roman" w:eastAsia="宋体" w:cs="Times New Roman"/>
                <w:color w:val="auto"/>
                <w:sz w:val="24"/>
                <w:szCs w:val="24"/>
                <w:shd w:val="clear" w:fill="auto"/>
              </w:rPr>
              <w:t>废物</w:t>
            </w:r>
            <w:r>
              <w:rPr>
                <w:rFonts w:hint="default" w:ascii="Times New Roman" w:hAnsi="Times New Roman" w:eastAsia="宋体" w:cs="Times New Roman"/>
                <w:color w:val="auto"/>
                <w:sz w:val="24"/>
                <w:szCs w:val="24"/>
              </w:rPr>
              <w:t>运输由有资质单位负责，运输车辆须经主管单位检查，并持有有关单位签发的许可证，负责运输的司机应通过培训，持有证明文件。</w:t>
            </w:r>
          </w:p>
          <w:p w14:paraId="25860414">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危险废物产生单位应在</w:t>
            </w:r>
            <w:r>
              <w:rPr>
                <w:rFonts w:hint="default" w:ascii="Times New Roman" w:hAnsi="Times New Roman" w:eastAsia="宋体" w:cs="Times New Roman"/>
                <w:color w:val="auto"/>
                <w:sz w:val="24"/>
                <w:szCs w:val="24"/>
              </w:rPr>
              <w:t>危险</w:t>
            </w:r>
            <w:r>
              <w:rPr>
                <w:rFonts w:hint="default" w:ascii="Times New Roman" w:hAnsi="Times New Roman" w:eastAsia="宋体" w:cs="Times New Roman"/>
                <w:color w:val="auto"/>
                <w:sz w:val="24"/>
                <w:szCs w:val="24"/>
                <w:shd w:val="clear" w:fill="auto"/>
              </w:rPr>
              <w:t>废物</w:t>
            </w:r>
            <w:r>
              <w:rPr>
                <w:rFonts w:hint="default" w:ascii="Times New Roman" w:hAnsi="Times New Roman" w:eastAsia="宋体" w:cs="Times New Roman"/>
                <w:color w:val="auto"/>
                <w:sz w:val="24"/>
                <w:szCs w:val="24"/>
              </w:rPr>
              <w:t>包装上按照GB18597</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lang w:val="en-US" w:eastAsia="zh-CN"/>
              </w:rPr>
              <w:t>HJ1276等规范要求</w:t>
            </w:r>
            <w:r>
              <w:rPr>
                <w:rFonts w:hint="default" w:ascii="Times New Roman" w:hAnsi="Times New Roman" w:eastAsia="宋体" w:cs="Times New Roman"/>
                <w:color w:val="auto"/>
                <w:sz w:val="24"/>
                <w:szCs w:val="24"/>
              </w:rPr>
              <w:t>设置</w:t>
            </w:r>
            <w:r>
              <w:rPr>
                <w:rFonts w:hint="default" w:ascii="Times New Roman" w:hAnsi="Times New Roman" w:eastAsia="宋体" w:cs="Times New Roman"/>
                <w:color w:val="auto"/>
                <w:sz w:val="24"/>
                <w:szCs w:val="24"/>
                <w:lang w:val="en-US" w:eastAsia="zh-CN"/>
              </w:rPr>
              <w:t>标志标识</w:t>
            </w:r>
            <w:r>
              <w:rPr>
                <w:rFonts w:hint="default" w:ascii="Times New Roman" w:hAnsi="Times New Roman" w:eastAsia="宋体" w:cs="Times New Roman"/>
                <w:color w:val="auto"/>
                <w:sz w:val="24"/>
                <w:szCs w:val="24"/>
              </w:rPr>
              <w:t>；危险</w:t>
            </w:r>
            <w:r>
              <w:rPr>
                <w:rFonts w:hint="default" w:ascii="Times New Roman" w:hAnsi="Times New Roman" w:eastAsia="宋体" w:cs="Times New Roman"/>
                <w:color w:val="auto"/>
                <w:sz w:val="24"/>
                <w:szCs w:val="24"/>
                <w:shd w:val="clear" w:fill="auto"/>
              </w:rPr>
              <w:t>废物</w:t>
            </w:r>
            <w:r>
              <w:rPr>
                <w:rFonts w:hint="default" w:ascii="Times New Roman" w:hAnsi="Times New Roman" w:eastAsia="宋体" w:cs="Times New Roman"/>
                <w:color w:val="auto"/>
                <w:sz w:val="24"/>
                <w:szCs w:val="24"/>
              </w:rPr>
              <w:t>公路运输时，车辆按GB13392设置车辆标志；危险</w:t>
            </w:r>
            <w:r>
              <w:rPr>
                <w:rFonts w:hint="default" w:ascii="Times New Roman" w:hAnsi="Times New Roman" w:eastAsia="宋体" w:cs="Times New Roman"/>
                <w:color w:val="auto"/>
                <w:sz w:val="24"/>
                <w:szCs w:val="24"/>
                <w:shd w:val="clear" w:fill="auto"/>
              </w:rPr>
              <w:t>废物</w:t>
            </w:r>
            <w:r>
              <w:rPr>
                <w:rFonts w:hint="default" w:ascii="Times New Roman" w:hAnsi="Times New Roman" w:eastAsia="宋体" w:cs="Times New Roman"/>
                <w:color w:val="auto"/>
                <w:sz w:val="24"/>
                <w:szCs w:val="24"/>
              </w:rPr>
              <w:t>铁路运输和水路运输时，应在集装箱外按GB190规定悬挂标志。</w:t>
            </w:r>
          </w:p>
          <w:p w14:paraId="1AC80B52">
            <w:pPr>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载有危险</w:t>
            </w:r>
            <w:r>
              <w:rPr>
                <w:rFonts w:hint="default" w:ascii="Times New Roman" w:hAnsi="Times New Roman" w:eastAsia="宋体" w:cs="Times New Roman"/>
                <w:color w:val="auto"/>
                <w:sz w:val="24"/>
                <w:szCs w:val="24"/>
                <w:shd w:val="clear" w:fill="auto"/>
              </w:rPr>
              <w:t>废物</w:t>
            </w:r>
            <w:r>
              <w:rPr>
                <w:rFonts w:hint="default" w:ascii="Times New Roman" w:hAnsi="Times New Roman" w:eastAsia="宋体" w:cs="Times New Roman"/>
                <w:color w:val="auto"/>
                <w:sz w:val="24"/>
                <w:szCs w:val="24"/>
              </w:rPr>
              <w:t>的车辆在运输时，需持有运输许可证，其上应注明</w:t>
            </w:r>
            <w:r>
              <w:rPr>
                <w:rFonts w:hint="default" w:ascii="Times New Roman" w:hAnsi="Times New Roman" w:eastAsia="宋体" w:cs="Times New Roman"/>
                <w:color w:val="auto"/>
                <w:sz w:val="24"/>
                <w:szCs w:val="24"/>
                <w:shd w:val="clear" w:fill="auto"/>
              </w:rPr>
              <w:t>废物</w:t>
            </w:r>
            <w:r>
              <w:rPr>
                <w:rFonts w:hint="default" w:ascii="Times New Roman" w:hAnsi="Times New Roman" w:eastAsia="宋体" w:cs="Times New Roman"/>
                <w:color w:val="auto"/>
                <w:sz w:val="24"/>
                <w:szCs w:val="24"/>
              </w:rPr>
              <w:t>来源、性质和运往地点。组织危险</w:t>
            </w:r>
            <w:r>
              <w:rPr>
                <w:rFonts w:hint="default" w:ascii="Times New Roman" w:hAnsi="Times New Roman" w:eastAsia="宋体" w:cs="Times New Roman"/>
                <w:color w:val="auto"/>
                <w:sz w:val="24"/>
                <w:szCs w:val="24"/>
                <w:shd w:val="clear" w:fill="auto"/>
              </w:rPr>
              <w:t>废物</w:t>
            </w:r>
            <w:r>
              <w:rPr>
                <w:rFonts w:hint="default" w:ascii="Times New Roman" w:hAnsi="Times New Roman" w:eastAsia="宋体" w:cs="Times New Roman"/>
                <w:color w:val="auto"/>
                <w:sz w:val="24"/>
                <w:szCs w:val="24"/>
              </w:rPr>
              <w:t>的运输单位，在事先需</w:t>
            </w:r>
            <w:r>
              <w:rPr>
                <w:rFonts w:hint="eastAsia" w:cs="Times New Roman"/>
                <w:color w:val="auto"/>
                <w:sz w:val="24"/>
                <w:szCs w:val="24"/>
                <w:lang w:eastAsia="zh-CN"/>
              </w:rPr>
              <w:t>作出</w:t>
            </w:r>
            <w:r>
              <w:rPr>
                <w:rFonts w:hint="default" w:ascii="Times New Roman" w:hAnsi="Times New Roman" w:eastAsia="宋体" w:cs="Times New Roman"/>
                <w:color w:val="auto"/>
                <w:sz w:val="24"/>
                <w:szCs w:val="24"/>
              </w:rPr>
              <w:t>周密的运输计划和行驶路线，其中包括有效的</w:t>
            </w:r>
            <w:r>
              <w:rPr>
                <w:rFonts w:hint="default" w:ascii="Times New Roman" w:hAnsi="Times New Roman" w:eastAsia="宋体" w:cs="Times New Roman"/>
                <w:color w:val="auto"/>
                <w:sz w:val="24"/>
                <w:szCs w:val="24"/>
                <w:shd w:val="clear" w:fill="auto"/>
              </w:rPr>
              <w:t>废物</w:t>
            </w:r>
            <w:r>
              <w:rPr>
                <w:rFonts w:hint="default" w:ascii="Times New Roman" w:hAnsi="Times New Roman" w:eastAsia="宋体" w:cs="Times New Roman"/>
                <w:color w:val="auto"/>
                <w:sz w:val="24"/>
                <w:szCs w:val="24"/>
              </w:rPr>
              <w:t>泄漏情况下的应急措施</w:t>
            </w:r>
          </w:p>
          <w:p w14:paraId="2771B511">
            <w:pPr>
              <w:pStyle w:val="28"/>
              <w:keepNext w:val="0"/>
              <w:keepLines w:val="0"/>
              <w:pageBreakBefore w:val="0"/>
              <w:widowControl w:val="0"/>
              <w:kinsoku/>
              <w:wordWrap/>
              <w:overflowPunct/>
              <w:topLinePunct w:val="0"/>
              <w:autoSpaceDE/>
              <w:autoSpaceDN/>
              <w:bidi w:val="0"/>
              <w:adjustRightInd w:val="0"/>
              <w:snapToGrid w:val="0"/>
              <w:spacing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eastAsia" w:cs="Times New Roman"/>
                <w:color w:val="auto"/>
                <w:sz w:val="24"/>
                <w:szCs w:val="24"/>
                <w:lang w:eastAsia="zh-CN"/>
              </w:rPr>
              <w:t>危废仓库</w:t>
            </w:r>
            <w:r>
              <w:rPr>
                <w:rFonts w:hint="eastAsia" w:cs="Times New Roman"/>
                <w:color w:val="auto"/>
                <w:sz w:val="24"/>
                <w:szCs w:val="24"/>
                <w:lang w:val="en-US" w:eastAsia="zh-CN"/>
              </w:rPr>
              <w:t>需</w:t>
            </w:r>
            <w:r>
              <w:rPr>
                <w:rFonts w:hint="default" w:ascii="Times New Roman" w:hAnsi="Times New Roman" w:eastAsia="宋体" w:cs="Times New Roman"/>
                <w:color w:val="auto"/>
                <w:sz w:val="24"/>
                <w:szCs w:val="24"/>
              </w:rPr>
              <w:t>按照GB18597-2023进行建设，其中防渗等级兼顾地下水、土壤分区防控要求，按照重点防渗区设置，符合GB18597-2023中防渗要求。仓库内设</w:t>
            </w:r>
            <w:r>
              <w:rPr>
                <w:rFonts w:hint="default" w:ascii="Times New Roman" w:hAnsi="Times New Roman" w:eastAsia="宋体" w:cs="Times New Roman"/>
                <w:color w:val="auto"/>
                <w:sz w:val="24"/>
                <w:szCs w:val="24"/>
                <w:lang w:val="en-US" w:eastAsia="zh-CN"/>
              </w:rPr>
              <w:t>防渗漏</w:t>
            </w:r>
            <w:r>
              <w:rPr>
                <w:rFonts w:hint="default" w:ascii="Times New Roman" w:hAnsi="Times New Roman" w:eastAsia="宋体" w:cs="Times New Roman"/>
                <w:color w:val="auto"/>
                <w:sz w:val="24"/>
                <w:szCs w:val="24"/>
              </w:rPr>
              <w:t>托盘，生产过程中产生的危险</w:t>
            </w:r>
            <w:r>
              <w:rPr>
                <w:rFonts w:hint="default" w:ascii="Times New Roman" w:hAnsi="Times New Roman" w:eastAsia="宋体" w:cs="Times New Roman"/>
                <w:color w:val="auto"/>
                <w:sz w:val="24"/>
                <w:szCs w:val="24"/>
                <w:shd w:val="clear" w:fill="auto"/>
              </w:rPr>
              <w:t>废物</w:t>
            </w:r>
            <w:r>
              <w:rPr>
                <w:rFonts w:hint="default" w:ascii="Times New Roman" w:hAnsi="Times New Roman" w:eastAsia="宋体" w:cs="Times New Roman"/>
                <w:color w:val="auto"/>
                <w:sz w:val="24"/>
                <w:szCs w:val="24"/>
              </w:rPr>
              <w:t>及时收集、汇总，桶装</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袋装</w:t>
            </w:r>
            <w:r>
              <w:rPr>
                <w:rFonts w:hint="default" w:ascii="Times New Roman" w:hAnsi="Times New Roman" w:eastAsia="宋体" w:cs="Times New Roman"/>
                <w:color w:val="auto"/>
                <w:sz w:val="24"/>
                <w:szCs w:val="24"/>
              </w:rPr>
              <w:t>、密封后</w:t>
            </w:r>
            <w:r>
              <w:rPr>
                <w:rFonts w:hint="default" w:ascii="Times New Roman" w:hAnsi="Times New Roman" w:eastAsia="宋体" w:cs="Times New Roman"/>
                <w:color w:val="auto"/>
                <w:sz w:val="24"/>
                <w:szCs w:val="24"/>
                <w:lang w:val="en-US" w:eastAsia="zh-CN"/>
              </w:rPr>
              <w:t>定期</w:t>
            </w:r>
            <w:r>
              <w:rPr>
                <w:rFonts w:hint="default" w:ascii="Times New Roman" w:hAnsi="Times New Roman" w:eastAsia="宋体" w:cs="Times New Roman"/>
                <w:color w:val="auto"/>
                <w:sz w:val="24"/>
                <w:szCs w:val="24"/>
              </w:rPr>
              <w:t>委托有资质单位处置，贮存周期</w:t>
            </w:r>
            <w:r>
              <w:rPr>
                <w:rFonts w:hint="default" w:ascii="Times New Roman" w:hAnsi="Times New Roman" w:eastAsia="宋体" w:cs="Times New Roman"/>
                <w:color w:val="auto"/>
                <w:sz w:val="24"/>
                <w:szCs w:val="24"/>
                <w:lang w:val="en-US" w:eastAsia="zh-CN"/>
              </w:rPr>
              <w:t>较短</w:t>
            </w:r>
            <w:r>
              <w:rPr>
                <w:rFonts w:hint="default" w:ascii="Times New Roman" w:hAnsi="Times New Roman" w:eastAsia="宋体" w:cs="Times New Roman"/>
                <w:color w:val="auto"/>
                <w:sz w:val="24"/>
                <w:szCs w:val="24"/>
              </w:rPr>
              <w:t>（冷却废液不在</w:t>
            </w:r>
            <w:r>
              <w:rPr>
                <w:rFonts w:hint="default" w:ascii="Times New Roman" w:hAnsi="Times New Roman" w:eastAsia="宋体" w:cs="Times New Roman"/>
                <w:color w:val="auto"/>
                <w:sz w:val="24"/>
                <w:szCs w:val="24"/>
                <w:highlight w:val="none"/>
              </w:rPr>
              <w:t>公司</w:t>
            </w:r>
            <w:r>
              <w:rPr>
                <w:rFonts w:hint="default" w:ascii="Times New Roman" w:hAnsi="Times New Roman" w:eastAsia="宋体" w:cs="Times New Roman"/>
                <w:color w:val="auto"/>
                <w:sz w:val="24"/>
                <w:szCs w:val="24"/>
              </w:rPr>
              <w:t>暂存）；库内危险</w:t>
            </w:r>
            <w:r>
              <w:rPr>
                <w:rFonts w:hint="default" w:ascii="Times New Roman" w:hAnsi="Times New Roman" w:eastAsia="宋体" w:cs="Times New Roman"/>
                <w:color w:val="auto"/>
                <w:sz w:val="24"/>
                <w:szCs w:val="24"/>
                <w:shd w:val="clear" w:fill="auto"/>
              </w:rPr>
              <w:t>废物</w:t>
            </w:r>
            <w:r>
              <w:rPr>
                <w:rFonts w:hint="default" w:ascii="Times New Roman" w:hAnsi="Times New Roman" w:eastAsia="宋体" w:cs="Times New Roman"/>
                <w:color w:val="auto"/>
                <w:sz w:val="24"/>
                <w:szCs w:val="24"/>
              </w:rPr>
              <w:t>设置标识牌，配备通讯设备、照明设施、消防设施；在</w:t>
            </w:r>
            <w:r>
              <w:rPr>
                <w:rFonts w:hint="eastAsia" w:cs="Times New Roman"/>
                <w:color w:val="auto"/>
                <w:sz w:val="24"/>
                <w:szCs w:val="24"/>
                <w:lang w:eastAsia="zh-CN"/>
              </w:rPr>
              <w:t>危废仓库</w:t>
            </w:r>
            <w:r>
              <w:rPr>
                <w:rFonts w:hint="default" w:ascii="Times New Roman" w:hAnsi="Times New Roman" w:eastAsia="宋体" w:cs="Times New Roman"/>
                <w:color w:val="auto"/>
                <w:sz w:val="24"/>
                <w:szCs w:val="24"/>
              </w:rPr>
              <w:t>出入口、设施内部、危险</w:t>
            </w:r>
            <w:r>
              <w:rPr>
                <w:rFonts w:hint="default" w:ascii="Times New Roman" w:hAnsi="Times New Roman" w:eastAsia="宋体" w:cs="Times New Roman"/>
                <w:color w:val="auto"/>
                <w:sz w:val="24"/>
                <w:szCs w:val="24"/>
                <w:shd w:val="clear" w:fill="auto"/>
              </w:rPr>
              <w:t>废物</w:t>
            </w:r>
            <w:r>
              <w:rPr>
                <w:rFonts w:hint="default" w:ascii="Times New Roman" w:hAnsi="Times New Roman" w:eastAsia="宋体" w:cs="Times New Roman"/>
                <w:color w:val="auto"/>
                <w:sz w:val="24"/>
                <w:szCs w:val="24"/>
                <w:highlight w:val="none"/>
                <w:shd w:val="clear" w:fill="auto"/>
              </w:rPr>
              <w:t>运</w:t>
            </w:r>
            <w:r>
              <w:rPr>
                <w:rFonts w:hint="default" w:ascii="Times New Roman" w:hAnsi="Times New Roman" w:eastAsia="宋体" w:cs="Times New Roman"/>
                <w:color w:val="auto"/>
                <w:sz w:val="24"/>
                <w:szCs w:val="24"/>
              </w:rPr>
              <w:t>车辆通道等关键位置设置视频监控；</w:t>
            </w:r>
            <w:r>
              <w:rPr>
                <w:rFonts w:hint="eastAsia" w:cs="Times New Roman"/>
                <w:color w:val="auto"/>
                <w:sz w:val="24"/>
                <w:szCs w:val="24"/>
                <w:lang w:eastAsia="zh-CN"/>
              </w:rPr>
              <w:t>危废仓库</w:t>
            </w:r>
            <w:r>
              <w:rPr>
                <w:rFonts w:hint="default" w:ascii="Times New Roman" w:hAnsi="Times New Roman" w:eastAsia="宋体" w:cs="Times New Roman"/>
                <w:color w:val="auto"/>
                <w:sz w:val="24"/>
                <w:szCs w:val="24"/>
              </w:rPr>
              <w:t>加装可视窗口，按规定设置导流沟等。</w:t>
            </w:r>
          </w:p>
          <w:p w14:paraId="66FBDBCC">
            <w:pPr>
              <w:pStyle w:val="7"/>
              <w:widowControl w:val="0"/>
              <w:numPr>
                <w:ilvl w:val="0"/>
                <w:numId w:val="0"/>
              </w:numPr>
              <w:jc w:val="both"/>
              <w:rPr>
                <w:rFonts w:hint="default" w:ascii="Times New Roman" w:hAnsi="Times New Roman" w:eastAsia="宋体" w:cs="Times New Roman"/>
                <w:color w:val="auto"/>
                <w:lang w:val="en-US" w:eastAsia="zh-CN"/>
              </w:rPr>
            </w:pPr>
          </w:p>
        </w:tc>
      </w:tr>
      <w:tr w14:paraId="7067E2F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736" w:hRule="atLeast"/>
        </w:trPr>
        <w:tc>
          <w:tcPr>
            <w:tcW w:w="372" w:type="dxa"/>
            <w:noWrap w:val="0"/>
            <w:tcMar>
              <w:left w:w="28" w:type="dxa"/>
              <w:right w:w="28" w:type="dxa"/>
            </w:tcMar>
            <w:vAlign w:val="center"/>
          </w:tcPr>
          <w:p w14:paraId="3CCBB730">
            <w:pPr>
              <w:adjustRightInd w:val="0"/>
              <w:snapToGrid w:val="0"/>
              <w:jc w:val="center"/>
              <w:rPr>
                <w:rFonts w:hint="default" w:ascii="Times New Roman" w:hAnsi="Times New Roman" w:eastAsia="宋体" w:cs="Times New Roman"/>
                <w:bCs/>
                <w:color w:val="auto"/>
                <w:szCs w:val="21"/>
              </w:rPr>
            </w:pPr>
          </w:p>
        </w:tc>
        <w:tc>
          <w:tcPr>
            <w:tcW w:w="8495" w:type="dxa"/>
            <w:gridSpan w:val="2"/>
            <w:noWrap w:val="0"/>
            <w:vAlign w:val="top"/>
          </w:tcPr>
          <w:p w14:paraId="2685C182">
            <w:pPr>
              <w:numPr>
                <w:ilvl w:val="0"/>
                <w:numId w:val="0"/>
              </w:numPr>
              <w:adjustRightInd w:val="0"/>
              <w:snapToGrid w:val="0"/>
              <w:jc w:val="both"/>
              <w:rPr>
                <w:rFonts w:hint="default" w:ascii="Times New Roman" w:hAnsi="Times New Roman" w:eastAsia="宋体" w:cs="Times New Roman"/>
                <w:b/>
                <w:bCs w:val="0"/>
                <w:color w:val="auto"/>
                <w:spacing w:val="-10"/>
                <w:sz w:val="24"/>
                <w:szCs w:val="24"/>
                <w:lang w:val="en-US" w:eastAsia="zh-CN"/>
              </w:rPr>
            </w:pPr>
            <w:r>
              <w:rPr>
                <w:rFonts w:hint="default" w:ascii="Times New Roman" w:hAnsi="Times New Roman" w:eastAsia="宋体" w:cs="Times New Roman"/>
                <w:b/>
                <w:bCs w:val="0"/>
                <w:color w:val="auto"/>
                <w:spacing w:val="-10"/>
                <w:sz w:val="24"/>
                <w:szCs w:val="24"/>
                <w:lang w:val="en-US" w:eastAsia="zh-CN"/>
              </w:rPr>
              <w:t>4.5地下水、土壤</w:t>
            </w:r>
          </w:p>
          <w:p w14:paraId="35AF459B">
            <w:pPr>
              <w:keepNext w:val="0"/>
              <w:keepLines w:val="0"/>
              <w:pageBreakBefore w:val="0"/>
              <w:widowControl w:val="0"/>
              <w:kinsoku/>
              <w:wordWrap/>
              <w:overflowPunct/>
              <w:topLinePunct w:val="0"/>
              <w:autoSpaceDE/>
              <w:autoSpaceDN/>
              <w:bidi w:val="0"/>
              <w:adjustRightInd/>
              <w:snapToGrid/>
              <w:spacing w:line="336"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污染源</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本项目可能造成土壤和地下水污染影响的区域有：生产车间、</w:t>
            </w:r>
            <w:r>
              <w:rPr>
                <w:rFonts w:hint="eastAsia" w:cs="Times New Roman"/>
                <w:color w:val="auto"/>
                <w:sz w:val="24"/>
                <w:lang w:val="en-US" w:eastAsia="zh-CN"/>
              </w:rPr>
              <w:t>仓库</w:t>
            </w:r>
            <w:r>
              <w:rPr>
                <w:rFonts w:hint="default" w:ascii="Times New Roman" w:hAnsi="Times New Roman" w:eastAsia="宋体" w:cs="Times New Roman"/>
                <w:color w:val="auto"/>
                <w:sz w:val="24"/>
                <w:lang w:val="en-US" w:eastAsia="zh-CN"/>
              </w:rPr>
              <w:t>、</w:t>
            </w:r>
            <w:r>
              <w:rPr>
                <w:rFonts w:hint="eastAsia" w:cs="Times New Roman"/>
                <w:color w:val="auto"/>
                <w:sz w:val="24"/>
                <w:lang w:val="en-US" w:eastAsia="zh-CN"/>
              </w:rPr>
              <w:t>污水处理站、危废仓库</w:t>
            </w:r>
            <w:r>
              <w:rPr>
                <w:rFonts w:hint="eastAsia" w:ascii="Times New Roman" w:hAnsi="Times New Roman" w:eastAsia="宋体" w:cs="Times New Roman"/>
                <w:color w:val="auto"/>
                <w:sz w:val="24"/>
                <w:lang w:val="en-US" w:eastAsia="zh-CN"/>
              </w:rPr>
              <w:t>。可能的污染途径为：液体辅料、危险废物在装卸、贮存、使用、输送过程中发生倾覆或者包装容器、输送管道破损，由此导致危险物质发生泄漏，泄漏后渗入到泄漏区附近的土壤和地下水中，从而发生污染事故。</w:t>
            </w:r>
          </w:p>
          <w:p w14:paraId="52B9011B">
            <w:pPr>
              <w:keepNext w:val="0"/>
              <w:keepLines w:val="0"/>
              <w:pageBreakBefore w:val="0"/>
              <w:widowControl w:val="0"/>
              <w:kinsoku/>
              <w:wordWrap/>
              <w:overflowPunct/>
              <w:topLinePunct w:val="0"/>
              <w:autoSpaceDE/>
              <w:autoSpaceDN/>
              <w:bidi w:val="0"/>
              <w:adjustRightInd/>
              <w:snapToGrid/>
              <w:spacing w:line="336" w:lineRule="auto"/>
              <w:ind w:firstLine="480" w:firstLineChars="200"/>
              <w:jc w:val="left"/>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污染</w:t>
            </w:r>
            <w:r>
              <w:rPr>
                <w:rFonts w:hint="default" w:ascii="Times New Roman" w:hAnsi="Times New Roman" w:eastAsia="宋体" w:cs="Times New Roman"/>
                <w:color w:val="auto"/>
                <w:sz w:val="24"/>
                <w:shd w:val="clear" w:fill="auto"/>
              </w:rPr>
              <w:t>途径</w:t>
            </w:r>
            <w:r>
              <w:rPr>
                <w:rFonts w:hint="default" w:ascii="Times New Roman" w:hAnsi="Times New Roman" w:eastAsia="宋体" w:cs="Times New Roman"/>
                <w:color w:val="auto"/>
                <w:sz w:val="24"/>
              </w:rPr>
              <w:t>和防控措施</w:t>
            </w:r>
          </w:p>
          <w:p w14:paraId="4755D4E1">
            <w:pPr>
              <w:keepNext w:val="0"/>
              <w:keepLines w:val="0"/>
              <w:pageBreakBefore w:val="0"/>
              <w:widowControl w:val="0"/>
              <w:kinsoku/>
              <w:wordWrap/>
              <w:overflowPunct/>
              <w:topLinePunct w:val="0"/>
              <w:autoSpaceDE/>
              <w:autoSpaceDN/>
              <w:bidi w:val="0"/>
              <w:adjustRightInd/>
              <w:snapToGrid/>
              <w:spacing w:line="336" w:lineRule="auto"/>
              <w:ind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lang w:val="en-US" w:eastAsia="zh-CN"/>
              </w:rPr>
              <w:t>运营期</w:t>
            </w:r>
            <w:r>
              <w:rPr>
                <w:rFonts w:hint="default" w:ascii="Times New Roman" w:hAnsi="Times New Roman" w:eastAsia="宋体" w:cs="Times New Roman"/>
                <w:color w:val="auto"/>
                <w:sz w:val="24"/>
              </w:rPr>
              <w:t>土壤</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地下水污染主要是由于污染物迁移穿过</w:t>
            </w:r>
            <w:r>
              <w:rPr>
                <w:rFonts w:hint="default" w:ascii="Times New Roman" w:hAnsi="Times New Roman" w:eastAsia="宋体" w:cs="Times New Roman"/>
                <w:color w:val="auto"/>
                <w:sz w:val="24"/>
                <w:shd w:val="clear" w:fill="auto"/>
              </w:rPr>
              <w:t>包</w:t>
            </w:r>
            <w:r>
              <w:rPr>
                <w:rFonts w:hint="default" w:ascii="Times New Roman" w:hAnsi="Times New Roman" w:eastAsia="宋体" w:cs="Times New Roman"/>
                <w:color w:val="auto"/>
                <w:sz w:val="24"/>
              </w:rPr>
              <w:t>气带进入含水层造成。本项目所在厂区路面均已硬化，根据地形特点优化地面布局，厂区</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lang w:val="en-US" w:eastAsia="zh-CN"/>
              </w:rPr>
              <w:t>园区</w:t>
            </w:r>
            <w:r>
              <w:rPr>
                <w:rFonts w:hint="default" w:ascii="Times New Roman" w:hAnsi="Times New Roman" w:eastAsia="宋体" w:cs="Times New Roman"/>
                <w:color w:val="auto"/>
                <w:sz w:val="24"/>
                <w:lang w:eastAsia="zh-CN"/>
              </w:rPr>
              <w:t>）</w:t>
            </w:r>
            <w:r>
              <w:rPr>
                <w:rFonts w:hint="default" w:ascii="Times New Roman" w:hAnsi="Times New Roman" w:eastAsia="宋体" w:cs="Times New Roman"/>
                <w:color w:val="auto"/>
                <w:sz w:val="24"/>
              </w:rPr>
              <w:t>四周已设置围墙，危险</w:t>
            </w:r>
            <w:r>
              <w:rPr>
                <w:rFonts w:hint="default" w:ascii="Times New Roman" w:hAnsi="Times New Roman" w:eastAsia="宋体" w:cs="Times New Roman"/>
                <w:color w:val="auto"/>
                <w:sz w:val="24"/>
                <w:shd w:val="clear" w:fill="auto"/>
              </w:rPr>
              <w:t>废物</w:t>
            </w:r>
            <w:r>
              <w:rPr>
                <w:rFonts w:hint="default" w:ascii="Times New Roman" w:hAnsi="Times New Roman" w:eastAsia="宋体" w:cs="Times New Roman"/>
                <w:color w:val="auto"/>
                <w:sz w:val="24"/>
              </w:rPr>
              <w:t>、一般固体</w:t>
            </w:r>
            <w:r>
              <w:rPr>
                <w:rFonts w:hint="default" w:ascii="Times New Roman" w:hAnsi="Times New Roman" w:eastAsia="宋体" w:cs="Times New Roman"/>
                <w:color w:val="auto"/>
                <w:sz w:val="24"/>
                <w:shd w:val="clear" w:fill="auto"/>
              </w:rPr>
              <w:t>废物</w:t>
            </w:r>
            <w:r>
              <w:rPr>
                <w:rFonts w:hint="eastAsia" w:cs="Times New Roman"/>
                <w:color w:val="auto"/>
                <w:sz w:val="24"/>
                <w:lang w:eastAsia="zh-CN"/>
              </w:rPr>
              <w:t>暂存间</w:t>
            </w:r>
            <w:r>
              <w:rPr>
                <w:rFonts w:hint="default" w:ascii="Times New Roman" w:hAnsi="Times New Roman" w:eastAsia="宋体" w:cs="Times New Roman"/>
                <w:color w:val="auto"/>
                <w:sz w:val="24"/>
              </w:rPr>
              <w:t>位于室内且设置隔断，生产活动均在室内，</w:t>
            </w:r>
            <w:r>
              <w:rPr>
                <w:rFonts w:hint="default" w:ascii="Times New Roman" w:hAnsi="Times New Roman" w:eastAsia="宋体" w:cs="Times New Roman"/>
                <w:color w:val="auto"/>
                <w:sz w:val="24"/>
                <w:lang w:val="en-US" w:eastAsia="zh-CN"/>
              </w:rPr>
              <w:t>主要</w:t>
            </w:r>
            <w:r>
              <w:rPr>
                <w:rFonts w:hint="default" w:ascii="Times New Roman" w:hAnsi="Times New Roman" w:eastAsia="宋体" w:cs="Times New Roman"/>
                <w:color w:val="auto"/>
                <w:sz w:val="24"/>
              </w:rPr>
              <w:t>生产</w:t>
            </w:r>
            <w:r>
              <w:rPr>
                <w:rFonts w:hint="default" w:ascii="Times New Roman" w:hAnsi="Times New Roman" w:eastAsia="宋体" w:cs="Times New Roman"/>
                <w:color w:val="auto"/>
                <w:sz w:val="24"/>
                <w:shd w:val="clear" w:fill="auto"/>
              </w:rPr>
              <w:t>原料</w:t>
            </w:r>
            <w:r>
              <w:rPr>
                <w:rFonts w:hint="default" w:ascii="Times New Roman" w:hAnsi="Times New Roman" w:eastAsia="宋体" w:cs="Times New Roman"/>
                <w:color w:val="auto"/>
                <w:sz w:val="24"/>
              </w:rPr>
              <w:t>、产品皆是难溶固体，因此不涉及地面漫流影响；本项目按分区防控要求设置防渗措施，因此在生产运营过程中无垂直入渗污染途径；</w:t>
            </w:r>
          </w:p>
          <w:p w14:paraId="675A2490">
            <w:pPr>
              <w:keepNext w:val="0"/>
              <w:keepLines w:val="0"/>
              <w:pageBreakBefore w:val="0"/>
              <w:widowControl w:val="0"/>
              <w:kinsoku/>
              <w:wordWrap/>
              <w:overflowPunct/>
              <w:topLinePunct w:val="0"/>
              <w:autoSpaceDE/>
              <w:autoSpaceDN/>
              <w:bidi w:val="0"/>
              <w:adjustRightInd/>
              <w:snapToGrid/>
              <w:spacing w:line="336" w:lineRule="auto"/>
              <w:ind w:firstLine="480"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为更好的保护土壤、地下水，将本项目对土壤、地下水的影响降至最低限度，采取以下污染防治措施：①源头控制：为保护地下水、土壤环境，采取防控措施从源头控制对地下水、土壤的污染。实施清洁生产和循环经济，减少污染物的排放量。从设计、管理各种工艺设备和物料输送管线上，防止和减少污染物的跑冒滴漏，合理布局，减少污染物的泄漏途径。</w:t>
            </w:r>
            <w:r>
              <w:rPr>
                <w:rFonts w:hint="eastAsia" w:ascii="Times New Roman" w:hAnsi="Times New Roman" w:eastAsia="宋体" w:cs="Times New Roman"/>
                <w:color w:val="auto"/>
                <w:sz w:val="24"/>
                <w:lang w:val="en-US" w:eastAsia="zh-CN"/>
              </w:rPr>
              <w:t>清洗剂、油品使用防渗托盘贮存；漂洗废水</w:t>
            </w:r>
            <w:r>
              <w:rPr>
                <w:rFonts w:hint="default" w:ascii="Times New Roman" w:hAnsi="Times New Roman" w:eastAsia="宋体" w:cs="Times New Roman"/>
                <w:color w:val="auto"/>
                <w:sz w:val="24"/>
                <w:lang w:val="en-US" w:eastAsia="zh-CN"/>
              </w:rPr>
              <w:t>设专用防渗管沟，管沟上设活动观察顶盖，以便出现渗漏问题及时发现解决；</w:t>
            </w:r>
            <w:r>
              <w:rPr>
                <w:rFonts w:hint="eastAsia" w:ascii="Times New Roman" w:hAnsi="Times New Roman" w:eastAsia="宋体" w:cs="Times New Roman"/>
                <w:color w:val="auto"/>
                <w:sz w:val="24"/>
                <w:lang w:val="en-US" w:eastAsia="zh-CN"/>
              </w:rPr>
              <w:t>污水</w:t>
            </w:r>
            <w:r>
              <w:rPr>
                <w:rFonts w:hint="default" w:ascii="Times New Roman" w:hAnsi="Times New Roman" w:eastAsia="宋体" w:cs="Times New Roman"/>
                <w:color w:val="auto"/>
                <w:sz w:val="24"/>
                <w:lang w:val="en-US" w:eastAsia="zh-CN"/>
              </w:rPr>
              <w:t>处理设施设置防渗、防腐衬层</w:t>
            </w:r>
            <w:r>
              <w:rPr>
                <w:rFonts w:hint="eastAsia" w:ascii="Times New Roman" w:hAnsi="Times New Roman" w:eastAsia="宋体" w:cs="Times New Roman"/>
                <w:color w:val="auto"/>
                <w:sz w:val="24"/>
                <w:lang w:val="en-US" w:eastAsia="zh-CN"/>
              </w:rPr>
              <w:t>。</w:t>
            </w:r>
            <w:r>
              <w:rPr>
                <w:rFonts w:hint="default" w:ascii="Times New Roman" w:hAnsi="Times New Roman" w:eastAsia="宋体" w:cs="Times New Roman"/>
                <w:color w:val="auto"/>
                <w:sz w:val="24"/>
                <w:lang w:val="en-US" w:eastAsia="zh-CN"/>
              </w:rPr>
              <w:t>②分区防控（过程防控）：加强重点污染区的防渗漏措施，对污染防治区进行划分，本项目分为重点防渗区、一般防渗区；建设单位落实分区防控措施后，可阻断土壤及地下水的污染途径。企业在实际生产过程中，需严格控制污染物排放，采取严格的防渗措施，加强巡查巡视，加强设备、设施的维护保养。③应急响应：制定地下水、土壤污染应急响应方案，明确污染状况下应采取的控制污染源、切断污染途径等措施；发现地下水和土壤污染事故，应立即启动应急方案；控制污染源</w:t>
            </w:r>
            <w:r>
              <w:rPr>
                <w:rFonts w:hint="eastAsia" w:eastAsia="宋体" w:cs="Times New Roman"/>
                <w:color w:val="auto"/>
                <w:sz w:val="24"/>
                <w:lang w:val="en-US" w:eastAsia="zh-CN"/>
              </w:rPr>
              <w:t>。</w:t>
            </w:r>
            <w:r>
              <w:rPr>
                <w:rFonts w:hint="default" w:ascii="Times New Roman" w:hAnsi="Times New Roman" w:eastAsia="宋体" w:cs="Times New Roman"/>
                <w:color w:val="auto"/>
                <w:sz w:val="24"/>
                <w:lang w:val="en-US" w:eastAsia="zh-CN"/>
              </w:rPr>
              <w:t>根据分析，建设单位在采取并落实各项防控措施的前提下，可阻断对土壤、地下水的污染途径，因此暂不进行跟踪监测。</w:t>
            </w:r>
          </w:p>
          <w:p w14:paraId="024A85ED">
            <w:pPr>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表4-</w:t>
            </w:r>
            <w:r>
              <w:rPr>
                <w:rFonts w:hint="eastAsia" w:cs="Times New Roman"/>
                <w:b/>
                <w:bCs/>
                <w:color w:val="auto"/>
                <w:sz w:val="21"/>
                <w:szCs w:val="21"/>
                <w:lang w:val="en-US" w:eastAsia="zh-CN"/>
              </w:rPr>
              <w:t xml:space="preserve">21 </w:t>
            </w:r>
            <w:r>
              <w:rPr>
                <w:rFonts w:hint="default" w:ascii="Times New Roman" w:hAnsi="Times New Roman" w:eastAsia="宋体" w:cs="Times New Roman"/>
                <w:b/>
                <w:bCs/>
                <w:color w:val="auto"/>
                <w:sz w:val="21"/>
                <w:szCs w:val="21"/>
              </w:rPr>
              <w:t>地下水、土壤污染源预防措施</w:t>
            </w:r>
          </w:p>
          <w:tbl>
            <w:tblPr>
              <w:tblStyle w:val="1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8"/>
              <w:gridCol w:w="1558"/>
              <w:gridCol w:w="4602"/>
            </w:tblGrid>
            <w:tr w14:paraId="0839D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97" w:type="pct"/>
                  <w:noWrap w:val="0"/>
                  <w:vAlign w:val="center"/>
                </w:tcPr>
                <w:p w14:paraId="01A1A3D6">
                  <w:pPr>
                    <w:adjustRightInd w:val="0"/>
                    <w:snapToGrid w:val="0"/>
                    <w:spacing w:line="240" w:lineRule="auto"/>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防渗区域</w:t>
                  </w:r>
                </w:p>
              </w:tc>
              <w:tc>
                <w:tcPr>
                  <w:tcW w:w="936" w:type="pct"/>
                  <w:noWrap w:val="0"/>
                  <w:vAlign w:val="center"/>
                </w:tcPr>
                <w:p w14:paraId="02B3DD33">
                  <w:pPr>
                    <w:adjustRightInd w:val="0"/>
                    <w:snapToGrid w:val="0"/>
                    <w:spacing w:line="240" w:lineRule="auto"/>
                    <w:ind w:firstLine="0" w:firstLineChars="0"/>
                    <w:jc w:val="center"/>
                    <w:rPr>
                      <w:rFonts w:hint="default" w:ascii="Times New Roman" w:hAnsi="Times New Roman" w:eastAsia="宋体" w:cs="Times New Roman"/>
                      <w:b/>
                      <w:bCs/>
                      <w:color w:val="auto"/>
                      <w:lang w:eastAsia="zh-CN"/>
                    </w:rPr>
                  </w:pPr>
                  <w:r>
                    <w:rPr>
                      <w:rFonts w:hint="default" w:ascii="Times New Roman" w:hAnsi="Times New Roman" w:eastAsia="宋体" w:cs="Times New Roman"/>
                      <w:b/>
                      <w:bCs/>
                      <w:color w:val="auto"/>
                    </w:rPr>
                    <w:t>防渗</w:t>
                  </w:r>
                  <w:r>
                    <w:rPr>
                      <w:rFonts w:hint="default" w:ascii="Times New Roman" w:hAnsi="Times New Roman" w:eastAsia="宋体" w:cs="Times New Roman"/>
                      <w:b/>
                      <w:bCs/>
                      <w:color w:val="auto"/>
                      <w:lang w:val="en-US" w:eastAsia="zh-CN"/>
                    </w:rPr>
                    <w:t>分区</w:t>
                  </w:r>
                </w:p>
              </w:tc>
              <w:tc>
                <w:tcPr>
                  <w:tcW w:w="2765" w:type="pct"/>
                  <w:noWrap w:val="0"/>
                  <w:vAlign w:val="center"/>
                </w:tcPr>
                <w:p w14:paraId="2778B31B">
                  <w:pPr>
                    <w:adjustRightInd w:val="0"/>
                    <w:snapToGrid w:val="0"/>
                    <w:spacing w:line="240" w:lineRule="auto"/>
                    <w:ind w:firstLine="0" w:firstLineChars="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防渗</w:t>
                  </w:r>
                  <w:r>
                    <w:rPr>
                      <w:rFonts w:hint="default" w:ascii="Times New Roman" w:hAnsi="Times New Roman" w:eastAsia="宋体" w:cs="Times New Roman"/>
                      <w:b/>
                      <w:bCs/>
                      <w:color w:val="auto"/>
                      <w:lang w:val="en-US" w:eastAsia="zh-CN"/>
                    </w:rPr>
                    <w:t>技术</w:t>
                  </w:r>
                  <w:r>
                    <w:rPr>
                      <w:rFonts w:hint="default" w:ascii="Times New Roman" w:hAnsi="Times New Roman" w:eastAsia="宋体" w:cs="Times New Roman"/>
                      <w:b/>
                      <w:bCs/>
                      <w:color w:val="auto"/>
                    </w:rPr>
                    <w:t>要求</w:t>
                  </w:r>
                </w:p>
              </w:tc>
            </w:tr>
            <w:tr w14:paraId="4E77C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1297" w:type="pct"/>
                  <w:noWrap w:val="0"/>
                  <w:vAlign w:val="center"/>
                </w:tcPr>
                <w:p w14:paraId="14619C75">
                  <w:pPr>
                    <w:adjustRightInd w:val="0"/>
                    <w:snapToGrid w:val="0"/>
                    <w:spacing w:line="240" w:lineRule="auto"/>
                    <w:ind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生产车间、</w:t>
                  </w:r>
                  <w:r>
                    <w:rPr>
                      <w:rFonts w:hint="eastAsia" w:cs="Times New Roman"/>
                      <w:color w:val="auto"/>
                      <w:lang w:val="en-US" w:eastAsia="zh-CN"/>
                    </w:rPr>
                    <w:t>原料仓库</w:t>
                  </w:r>
                  <w:r>
                    <w:rPr>
                      <w:rFonts w:hint="default" w:ascii="Times New Roman" w:hAnsi="Times New Roman" w:eastAsia="宋体" w:cs="Times New Roman"/>
                      <w:color w:val="auto"/>
                      <w:lang w:val="en-US" w:eastAsia="zh-CN"/>
                    </w:rPr>
                    <w:t>、</w:t>
                  </w:r>
                  <w:r>
                    <w:rPr>
                      <w:rFonts w:hint="eastAsia" w:ascii="Times New Roman" w:hAnsi="Times New Roman" w:eastAsia="宋体" w:cs="Times New Roman"/>
                      <w:color w:val="auto"/>
                      <w:lang w:val="en-US" w:eastAsia="zh-CN"/>
                    </w:rPr>
                    <w:t>污水处理站、</w:t>
                  </w:r>
                  <w:r>
                    <w:rPr>
                      <w:rFonts w:hint="eastAsia" w:cs="Times New Roman"/>
                      <w:color w:val="auto"/>
                      <w:lang w:val="en-US" w:eastAsia="zh-CN"/>
                    </w:rPr>
                    <w:t>危废仓库</w:t>
                  </w:r>
                </w:p>
              </w:tc>
              <w:tc>
                <w:tcPr>
                  <w:tcW w:w="936" w:type="pct"/>
                  <w:noWrap w:val="0"/>
                  <w:vAlign w:val="center"/>
                </w:tcPr>
                <w:p w14:paraId="42F313D2">
                  <w:pPr>
                    <w:adjustRightInd w:val="0"/>
                    <w:snapToGrid w:val="0"/>
                    <w:spacing w:line="240" w:lineRule="auto"/>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t>重点防渗区</w:t>
                  </w:r>
                </w:p>
              </w:tc>
              <w:tc>
                <w:tcPr>
                  <w:tcW w:w="2765" w:type="pct"/>
                  <w:noWrap w:val="0"/>
                  <w:vAlign w:val="center"/>
                </w:tcPr>
                <w:p w14:paraId="4217C782">
                  <w:pPr>
                    <w:adjustRightInd w:val="0"/>
                    <w:snapToGrid w:val="0"/>
                    <w:spacing w:line="240" w:lineRule="auto"/>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等效黏土防渗层Mb≥6</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rPr>
                    <w:t>0m</w:t>
                  </w:r>
                  <w:r>
                    <w:rPr>
                      <w:rFonts w:hint="default" w:ascii="Times New Roman" w:hAnsi="Times New Roman" w:eastAsia="宋体" w:cs="Times New Roman"/>
                      <w:color w:val="auto"/>
                      <w:highlight w:val="none"/>
                      <w:shd w:val="clear" w:fill="auto"/>
                    </w:rPr>
                    <w:t>，</w:t>
                  </w:r>
                  <w:r>
                    <w:rPr>
                      <w:rFonts w:hint="default" w:ascii="Times New Roman" w:hAnsi="Times New Roman" w:eastAsia="宋体" w:cs="Times New Roman"/>
                      <w:color w:val="auto"/>
                    </w:rPr>
                    <w:t>K≤1</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rPr>
                    <w:t>0×10</w:t>
                  </w:r>
                  <w:r>
                    <w:rPr>
                      <w:rFonts w:hint="default" w:ascii="Times New Roman" w:hAnsi="Times New Roman" w:eastAsia="宋体" w:cs="Times New Roman"/>
                      <w:color w:val="auto"/>
                      <w:vertAlign w:val="superscript"/>
                    </w:rPr>
                    <w:t>-7</w:t>
                  </w:r>
                  <w:r>
                    <w:rPr>
                      <w:rFonts w:hint="default" w:ascii="Times New Roman" w:hAnsi="Times New Roman" w:eastAsia="宋体" w:cs="Times New Roman"/>
                      <w:color w:val="auto"/>
                    </w:rPr>
                    <w:t>cm/s，或参照GB18598执行</w:t>
                  </w:r>
                </w:p>
              </w:tc>
            </w:tr>
            <w:tr w14:paraId="38535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trPr>
              <w:tc>
                <w:tcPr>
                  <w:tcW w:w="1297" w:type="pct"/>
                  <w:noWrap w:val="0"/>
                  <w:vAlign w:val="center"/>
                </w:tcPr>
                <w:p w14:paraId="4F2B4F4C">
                  <w:pPr>
                    <w:adjustRightInd w:val="0"/>
                    <w:snapToGrid w:val="0"/>
                    <w:spacing w:line="240" w:lineRule="auto"/>
                    <w:ind w:firstLine="0" w:firstLineChars="0"/>
                    <w:jc w:val="center"/>
                    <w:rPr>
                      <w:rFonts w:hint="default" w:ascii="Times New Roman" w:hAnsi="Times New Roman" w:eastAsia="宋体" w:cs="Times New Roman"/>
                      <w:color w:val="auto"/>
                      <w:lang w:val="en-US" w:eastAsia="zh-CN"/>
                    </w:rPr>
                  </w:pPr>
                  <w:r>
                    <w:rPr>
                      <w:rFonts w:hint="eastAsia" w:cs="Times New Roman"/>
                      <w:color w:val="auto"/>
                      <w:lang w:val="en-US" w:eastAsia="zh-CN"/>
                    </w:rPr>
                    <w:t>成品仓库、一般固废仓库等</w:t>
                  </w:r>
                </w:p>
              </w:tc>
              <w:tc>
                <w:tcPr>
                  <w:tcW w:w="936" w:type="pct"/>
                  <w:noWrap w:val="0"/>
                  <w:vAlign w:val="center"/>
                </w:tcPr>
                <w:p w14:paraId="13991E93">
                  <w:pPr>
                    <w:adjustRightInd w:val="0"/>
                    <w:snapToGrid w:val="0"/>
                    <w:spacing w:line="240" w:lineRule="auto"/>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t>一般防渗区</w:t>
                  </w:r>
                </w:p>
              </w:tc>
              <w:tc>
                <w:tcPr>
                  <w:tcW w:w="2765" w:type="pct"/>
                  <w:noWrap w:val="0"/>
                  <w:vAlign w:val="center"/>
                </w:tcPr>
                <w:p w14:paraId="30235BCC">
                  <w:pPr>
                    <w:adjustRightInd w:val="0"/>
                    <w:snapToGrid w:val="0"/>
                    <w:spacing w:line="240" w:lineRule="auto"/>
                    <w:ind w:firstLine="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rPr>
                    <w:t>等效黏土防渗层Mb≥1</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rPr>
                    <w:t>5m</w:t>
                  </w:r>
                  <w:r>
                    <w:rPr>
                      <w:rFonts w:hint="default" w:ascii="Times New Roman" w:hAnsi="Times New Roman" w:eastAsia="宋体" w:cs="Times New Roman"/>
                      <w:color w:val="auto"/>
                      <w:highlight w:val="none"/>
                      <w:shd w:val="clear" w:fill="auto"/>
                    </w:rPr>
                    <w:t>，</w:t>
                  </w:r>
                  <w:r>
                    <w:rPr>
                      <w:rFonts w:hint="default" w:ascii="Times New Roman" w:hAnsi="Times New Roman" w:eastAsia="宋体" w:cs="Times New Roman"/>
                      <w:color w:val="auto"/>
                    </w:rPr>
                    <w:t>K≤1</w:t>
                  </w:r>
                  <w:r>
                    <w:rPr>
                      <w:rFonts w:hint="default" w:ascii="Times New Roman" w:hAnsi="Times New Roman" w:eastAsia="宋体" w:cs="Times New Roman"/>
                      <w:color w:val="auto"/>
                      <w:highlight w:val="none"/>
                    </w:rPr>
                    <w:t>.</w:t>
                  </w:r>
                  <w:r>
                    <w:rPr>
                      <w:rFonts w:hint="default" w:ascii="Times New Roman" w:hAnsi="Times New Roman" w:eastAsia="宋体" w:cs="Times New Roman"/>
                      <w:color w:val="auto"/>
                    </w:rPr>
                    <w:t>0×10</w:t>
                  </w:r>
                  <w:r>
                    <w:rPr>
                      <w:rFonts w:hint="default" w:ascii="Times New Roman" w:hAnsi="Times New Roman" w:eastAsia="宋体" w:cs="Times New Roman"/>
                      <w:color w:val="auto"/>
                      <w:vertAlign w:val="superscript"/>
                    </w:rPr>
                    <w:t>-7</w:t>
                  </w:r>
                  <w:r>
                    <w:rPr>
                      <w:rFonts w:hint="default" w:ascii="Times New Roman" w:hAnsi="Times New Roman" w:eastAsia="宋体" w:cs="Times New Roman"/>
                      <w:color w:val="auto"/>
                    </w:rPr>
                    <w:t>cm/s，或参照GB</w:t>
                  </w:r>
                  <w:r>
                    <w:rPr>
                      <w:rFonts w:hint="default" w:ascii="Times New Roman" w:hAnsi="Times New Roman" w:eastAsia="宋体" w:cs="Times New Roman"/>
                      <w:color w:val="auto"/>
                      <w:lang w:val="en-US" w:eastAsia="zh-CN"/>
                    </w:rPr>
                    <w:t>16889</w:t>
                  </w:r>
                  <w:r>
                    <w:rPr>
                      <w:rFonts w:hint="default" w:ascii="Times New Roman" w:hAnsi="Times New Roman" w:eastAsia="宋体" w:cs="Times New Roman"/>
                      <w:color w:val="auto"/>
                    </w:rPr>
                    <w:t>执行</w:t>
                  </w:r>
                </w:p>
              </w:tc>
            </w:tr>
          </w:tbl>
          <w:p w14:paraId="0E491BD5">
            <w:pPr>
              <w:keepNext w:val="0"/>
              <w:keepLines w:val="0"/>
              <w:pageBreakBefore w:val="0"/>
              <w:widowControl w:val="0"/>
              <w:kinsoku/>
              <w:wordWrap/>
              <w:overflowPunct/>
              <w:topLinePunct w:val="0"/>
              <w:autoSpaceDE/>
              <w:autoSpaceDN/>
              <w:bidi w:val="0"/>
              <w:adjustRightInd/>
              <w:snapToGrid/>
              <w:spacing w:line="360" w:lineRule="auto"/>
              <w:ind w:firstLine="482"/>
              <w:jc w:val="left"/>
              <w:textAlignment w:val="auto"/>
              <w:rPr>
                <w:rFonts w:hint="default" w:ascii="Times New Roman" w:hAnsi="Times New Roman" w:eastAsia="宋体" w:cs="Times New Roman"/>
                <w:bCs/>
                <w:color w:val="auto"/>
                <w:spacing w:val="-10"/>
                <w:szCs w:val="21"/>
                <w:lang w:val="en-US" w:eastAsia="zh-CN"/>
              </w:rPr>
            </w:pPr>
          </w:p>
        </w:tc>
      </w:tr>
    </w:tbl>
    <w:p w14:paraId="122C00DE">
      <w:pPr>
        <w:pStyle w:val="25"/>
        <w:rPr>
          <w:rFonts w:hint="default" w:ascii="Times New Roman" w:hAnsi="Times New Roman" w:eastAsia="宋体" w:cs="Times New Roman"/>
          <w:color w:val="auto"/>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3"/>
        <w:gridCol w:w="8436"/>
      </w:tblGrid>
      <w:tr w14:paraId="61869B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407" w:hRule="atLeast"/>
          <w:jc w:val="center"/>
        </w:trPr>
        <w:tc>
          <w:tcPr>
            <w:tcW w:w="403" w:type="dxa"/>
            <w:noWrap w:val="0"/>
            <w:tcMar>
              <w:left w:w="28" w:type="dxa"/>
              <w:right w:w="28" w:type="dxa"/>
            </w:tcMar>
            <w:vAlign w:val="center"/>
          </w:tcPr>
          <w:p w14:paraId="2B6608F5">
            <w:pPr>
              <w:adjustRightInd w:val="0"/>
              <w:snapToGrid w:val="0"/>
              <w:jc w:val="center"/>
              <w:rPr>
                <w:rFonts w:hint="default" w:ascii="Times New Roman" w:hAnsi="Times New Roman" w:eastAsia="宋体" w:cs="Times New Roman"/>
                <w:bCs/>
                <w:color w:val="auto"/>
                <w:szCs w:val="21"/>
              </w:rPr>
            </w:pPr>
          </w:p>
        </w:tc>
        <w:tc>
          <w:tcPr>
            <w:tcW w:w="8436" w:type="dxa"/>
            <w:noWrap w:val="0"/>
            <w:vAlign w:val="top"/>
          </w:tcPr>
          <w:p w14:paraId="283B6CDF">
            <w:pPr>
              <w:keepNext w:val="0"/>
              <w:keepLines w:val="0"/>
              <w:pageBreakBefore w:val="0"/>
              <w:widowControl w:val="0"/>
              <w:numPr>
                <w:ilvl w:val="0"/>
                <w:numId w:val="0"/>
              </w:numPr>
              <w:kinsoku/>
              <w:wordWrap/>
              <w:overflowPunct/>
              <w:topLinePunct w:val="0"/>
              <w:bidi w:val="0"/>
              <w:adjustRightInd w:val="0"/>
              <w:snapToGrid w:val="0"/>
              <w:spacing w:line="360" w:lineRule="auto"/>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lang w:val="en-US" w:eastAsia="zh-CN"/>
              </w:rPr>
              <w:t>4.6</w:t>
            </w:r>
            <w:r>
              <w:rPr>
                <w:rFonts w:hint="default" w:ascii="Times New Roman" w:hAnsi="Times New Roman" w:eastAsia="宋体" w:cs="Times New Roman"/>
                <w:b/>
                <w:bCs/>
                <w:color w:val="auto"/>
                <w:sz w:val="24"/>
                <w:szCs w:val="24"/>
                <w:lang w:val="en-US" w:eastAsia="zh-CN"/>
              </w:rPr>
              <w:t>生态</w:t>
            </w:r>
          </w:p>
          <w:p w14:paraId="4E157BD4">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本项目</w:t>
            </w:r>
            <w:r>
              <w:rPr>
                <w:rFonts w:hint="eastAsia" w:cs="Times New Roman"/>
                <w:color w:val="auto"/>
                <w:sz w:val="24"/>
                <w:szCs w:val="24"/>
                <w:lang w:val="en-US" w:eastAsia="zh-CN"/>
              </w:rPr>
              <w:t>租用</w:t>
            </w:r>
            <w:r>
              <w:rPr>
                <w:rFonts w:hint="default" w:ascii="Times New Roman" w:hAnsi="Times New Roman" w:eastAsia="宋体" w:cs="Times New Roman"/>
                <w:color w:val="auto"/>
                <w:sz w:val="24"/>
                <w:szCs w:val="24"/>
              </w:rPr>
              <w:t>厂房进行建设，对周边生态环境无影响。</w:t>
            </w:r>
          </w:p>
          <w:p w14:paraId="49BDCFF9">
            <w:pPr>
              <w:pStyle w:val="25"/>
              <w:keepNext w:val="0"/>
              <w:keepLines w:val="0"/>
              <w:pageBreakBefore w:val="0"/>
              <w:widowControl w:val="0"/>
              <w:kinsoku/>
              <w:wordWrap/>
              <w:overflowPunct/>
              <w:topLinePunct w:val="0"/>
              <w:bidi w:val="0"/>
              <w:spacing w:line="360" w:lineRule="auto"/>
              <w:textAlignment w:val="auto"/>
              <w:rPr>
                <w:rFonts w:hint="default" w:ascii="Times New Roman" w:hAnsi="Times New Roman" w:eastAsia="宋体" w:cs="Times New Roman"/>
                <w:b/>
                <w:bCs w:val="0"/>
                <w:color w:val="auto"/>
                <w:sz w:val="24"/>
                <w:szCs w:val="24"/>
                <w:lang w:val="en-US" w:eastAsia="zh-CN"/>
              </w:rPr>
            </w:pPr>
            <w:r>
              <w:rPr>
                <w:rFonts w:hint="default" w:ascii="Times New Roman" w:hAnsi="Times New Roman" w:eastAsia="宋体" w:cs="Times New Roman"/>
                <w:b/>
                <w:bCs w:val="0"/>
                <w:color w:val="auto"/>
                <w:sz w:val="24"/>
                <w:szCs w:val="24"/>
                <w:lang w:val="en-US" w:eastAsia="zh-CN"/>
              </w:rPr>
              <w:t>4.7环境风险</w:t>
            </w:r>
          </w:p>
          <w:p w14:paraId="01DBD669">
            <w:pPr>
              <w:keepNext w:val="0"/>
              <w:keepLines w:val="0"/>
              <w:pageBreakBefore w:val="0"/>
              <w:widowControl w:val="0"/>
              <w:kinsoku/>
              <w:wordWrap/>
              <w:overflowPunct/>
              <w:topLinePunct w:val="0"/>
              <w:bidi w:val="0"/>
              <w:spacing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4.7.1评价依据</w:t>
            </w:r>
          </w:p>
          <w:p w14:paraId="365693BD">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1、风险源调查及风险潜势初判 </w:t>
            </w:r>
          </w:p>
          <w:p w14:paraId="3C79AD32">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对照《建设项目环境风险评价技术导则》（HJ 169-2018）附录 B，计算所涉及的每种危险物质在厂界内的最大存在总量与其在附录 B 中对应临界量的比值Q。在不同厂区的同一种物质，按其在厂界内的最大存在总量计算。对于长输管线项目，按照两个截断阀室之间管段危险物质最大存在总量计算。 </w:t>
            </w:r>
          </w:p>
          <w:p w14:paraId="40B216DD">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lang w:val="en-US" w:eastAsia="zh-CN"/>
              </w:rPr>
              <w:t>当只涉及一种危险物质时，计算该物质的总量与其临界量比值，即为 Q；当存在多种危险物质时，则按式（C.1）计算物质总量与其临界量比值（Q）</w:t>
            </w:r>
            <w:r>
              <w:rPr>
                <w:rFonts w:hint="default" w:ascii="Times New Roman" w:hAnsi="Times New Roman" w:eastAsia="宋体" w:cs="Times New Roman"/>
                <w:color w:val="auto"/>
                <w:sz w:val="24"/>
                <w:szCs w:val="24"/>
              </w:rPr>
              <w:t>。</w:t>
            </w:r>
          </w:p>
          <w:p w14:paraId="1B359BB3">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val="0"/>
                <w:bCs w:val="0"/>
                <w:color w:val="auto"/>
                <w:kern w:val="0"/>
                <w:sz w:val="24"/>
                <w:szCs w:val="24"/>
                <w:highlight w:val="none"/>
                <w:lang w:val="en-US" w:eastAsia="zh-CN" w:bidi="ar"/>
              </w:rPr>
              <w:t>本项目涉及的危险物质最大存在总量及其分布情况见下表。</w:t>
            </w:r>
          </w:p>
          <w:p w14:paraId="463CC952">
            <w:pPr>
              <w:pStyle w:val="36"/>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表4-</w:t>
            </w:r>
            <w:r>
              <w:rPr>
                <w:rFonts w:hint="eastAsia" w:cs="Times New Roman"/>
                <w:color w:val="auto"/>
                <w:sz w:val="21"/>
                <w:szCs w:val="21"/>
                <w:lang w:val="en-US" w:eastAsia="zh-CN"/>
              </w:rPr>
              <w:t xml:space="preserve">22 </w:t>
            </w:r>
            <w:r>
              <w:rPr>
                <w:rFonts w:hint="default" w:ascii="Times New Roman" w:hAnsi="Times New Roman" w:eastAsia="宋体" w:cs="Times New Roman"/>
                <w:color w:val="auto"/>
                <w:sz w:val="21"/>
                <w:szCs w:val="21"/>
              </w:rPr>
              <w:t>突发环境事件风险物质与临界量比值（Q）结果</w:t>
            </w:r>
            <w:r>
              <w:rPr>
                <w:rFonts w:hint="default" w:ascii="Times New Roman" w:hAnsi="Times New Roman" w:eastAsia="宋体" w:cs="Times New Roman"/>
                <w:color w:val="auto"/>
                <w:sz w:val="21"/>
                <w:szCs w:val="21"/>
                <w:highlight w:val="none"/>
              </w:rPr>
              <w:t>表</w:t>
            </w:r>
          </w:p>
          <w:tbl>
            <w:tblPr>
              <w:tblStyle w:val="17"/>
              <w:tblW w:w="82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1"/>
              <w:gridCol w:w="2266"/>
              <w:gridCol w:w="2027"/>
              <w:gridCol w:w="1545"/>
              <w:gridCol w:w="1469"/>
            </w:tblGrid>
            <w:tr w14:paraId="7CC42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dxa"/>
                  <w:noWrap w:val="0"/>
                  <w:vAlign w:val="center"/>
                </w:tcPr>
                <w:p w14:paraId="75033D16">
                  <w:pPr>
                    <w:pStyle w:val="29"/>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序号</w:t>
                  </w:r>
                </w:p>
              </w:tc>
              <w:tc>
                <w:tcPr>
                  <w:tcW w:w="2266" w:type="dxa"/>
                  <w:noWrap w:val="0"/>
                  <w:vAlign w:val="center"/>
                </w:tcPr>
                <w:p w14:paraId="27D12C12">
                  <w:pPr>
                    <w:pStyle w:val="29"/>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风险物质</w:t>
                  </w:r>
                </w:p>
              </w:tc>
              <w:tc>
                <w:tcPr>
                  <w:tcW w:w="2027" w:type="dxa"/>
                  <w:noWrap w:val="0"/>
                  <w:vAlign w:val="center"/>
                </w:tcPr>
                <w:p w14:paraId="060ECD07">
                  <w:pPr>
                    <w:pStyle w:val="29"/>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shd w:val="clear" w:fill="auto"/>
                    </w:rPr>
                    <w:t>最大</w:t>
                  </w:r>
                  <w:r>
                    <w:rPr>
                      <w:rFonts w:hint="default" w:ascii="Times New Roman" w:hAnsi="Times New Roman" w:eastAsia="宋体" w:cs="Times New Roman"/>
                      <w:b/>
                      <w:bCs/>
                      <w:color w:val="auto"/>
                      <w:szCs w:val="21"/>
                    </w:rPr>
                    <w:t>暂存总量</w:t>
                  </w:r>
                  <w:r>
                    <w:rPr>
                      <w:rFonts w:hint="default" w:ascii="Times New Roman" w:hAnsi="Times New Roman" w:eastAsia="宋体" w:cs="Times New Roman"/>
                      <w:b/>
                      <w:bCs/>
                      <w:color w:val="auto"/>
                      <w:szCs w:val="21"/>
                      <w:highlight w:val="none"/>
                    </w:rPr>
                    <w:t>（</w:t>
                  </w:r>
                  <w:r>
                    <w:rPr>
                      <w:rFonts w:hint="default" w:ascii="Times New Roman" w:hAnsi="Times New Roman" w:eastAsia="宋体" w:cs="Times New Roman"/>
                      <w:b/>
                      <w:bCs/>
                      <w:color w:val="auto"/>
                      <w:szCs w:val="21"/>
                    </w:rPr>
                    <w:t>t</w:t>
                  </w:r>
                  <w:r>
                    <w:rPr>
                      <w:rFonts w:hint="default" w:ascii="Times New Roman" w:hAnsi="Times New Roman" w:eastAsia="宋体" w:cs="Times New Roman"/>
                      <w:b/>
                      <w:bCs/>
                      <w:color w:val="auto"/>
                      <w:szCs w:val="21"/>
                      <w:highlight w:val="none"/>
                    </w:rPr>
                    <w:t>）</w:t>
                  </w:r>
                </w:p>
              </w:tc>
              <w:tc>
                <w:tcPr>
                  <w:tcW w:w="1545" w:type="dxa"/>
                  <w:noWrap w:val="0"/>
                  <w:vAlign w:val="center"/>
                </w:tcPr>
                <w:p w14:paraId="167601E0">
                  <w:pPr>
                    <w:pStyle w:val="29"/>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临界量</w:t>
                  </w:r>
                  <w:r>
                    <w:rPr>
                      <w:rFonts w:hint="default" w:ascii="Times New Roman" w:hAnsi="Times New Roman" w:eastAsia="宋体" w:cs="Times New Roman"/>
                      <w:b/>
                      <w:bCs/>
                      <w:color w:val="auto"/>
                      <w:szCs w:val="21"/>
                      <w:highlight w:val="none"/>
                    </w:rPr>
                    <w:t>（</w:t>
                  </w:r>
                  <w:r>
                    <w:rPr>
                      <w:rFonts w:hint="default" w:ascii="Times New Roman" w:hAnsi="Times New Roman" w:eastAsia="宋体" w:cs="Times New Roman"/>
                      <w:b/>
                      <w:bCs/>
                      <w:color w:val="auto"/>
                      <w:szCs w:val="21"/>
                    </w:rPr>
                    <w:t>t</w:t>
                  </w:r>
                  <w:r>
                    <w:rPr>
                      <w:rFonts w:hint="default" w:ascii="Times New Roman" w:hAnsi="Times New Roman" w:eastAsia="宋体" w:cs="Times New Roman"/>
                      <w:b/>
                      <w:bCs/>
                      <w:color w:val="auto"/>
                      <w:szCs w:val="21"/>
                      <w:highlight w:val="none"/>
                    </w:rPr>
                    <w:t>）</w:t>
                  </w:r>
                </w:p>
              </w:tc>
              <w:tc>
                <w:tcPr>
                  <w:tcW w:w="1469" w:type="dxa"/>
                  <w:noWrap w:val="0"/>
                  <w:vAlign w:val="center"/>
                </w:tcPr>
                <w:p w14:paraId="09173B3C">
                  <w:pPr>
                    <w:pStyle w:val="29"/>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object>
                      <v:shape id="_x0000_i1026" o:spt="75" type="#_x0000_t75" style="height:31.5pt;width:15.75pt;" o:ole="t" filled="f" o:preferrelative="t" stroked="f" coordsize="21600,21600">
                        <v:path/>
                        <v:fill on="f" focussize="0,0"/>
                        <v:stroke on="f" joinstyle="miter"/>
                        <v:imagedata r:id="rId14" o:title=""/>
                        <o:lock v:ext="edit" aspectratio="t"/>
                        <w10:wrap type="none"/>
                        <w10:anchorlock/>
                      </v:shape>
                      <o:OLEObject Type="Embed" ProgID="Equation.3" ShapeID="_x0000_i1026" DrawAspect="Content" ObjectID="_1468075726" r:id="rId13">
                        <o:LockedField>false</o:LockedField>
                      </o:OLEObject>
                    </w:object>
                  </w:r>
                </w:p>
              </w:tc>
            </w:tr>
            <w:tr w14:paraId="0C6DA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dxa"/>
                  <w:noWrap w:val="0"/>
                  <w:vAlign w:val="center"/>
                </w:tcPr>
                <w:p w14:paraId="350CB845">
                  <w:pPr>
                    <w:pStyle w:val="29"/>
                    <w:ind w:firstLine="0" w:firstLineChars="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w:t>
                  </w:r>
                </w:p>
              </w:tc>
              <w:tc>
                <w:tcPr>
                  <w:tcW w:w="2266" w:type="dxa"/>
                  <w:noWrap w:val="0"/>
                  <w:vAlign w:val="center"/>
                </w:tcPr>
                <w:p w14:paraId="7DB870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kern w:val="0"/>
                      <w:sz w:val="21"/>
                      <w:szCs w:val="21"/>
                      <w:lang w:val="en-US" w:eastAsia="zh-CN"/>
                    </w:rPr>
                    <w:t>切削液</w:t>
                  </w:r>
                </w:p>
              </w:tc>
              <w:tc>
                <w:tcPr>
                  <w:tcW w:w="2027" w:type="dxa"/>
                  <w:noWrap w:val="0"/>
                  <w:vAlign w:val="center"/>
                </w:tcPr>
                <w:p w14:paraId="4B6BCBC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w:t>
                  </w:r>
                  <w:r>
                    <w:rPr>
                      <w:rFonts w:hint="eastAsia" w:cs="Times New Roman"/>
                      <w:color w:val="auto"/>
                      <w:sz w:val="21"/>
                      <w:szCs w:val="21"/>
                      <w:lang w:val="en-US" w:eastAsia="zh-CN"/>
                    </w:rPr>
                    <w:t>5</w:t>
                  </w:r>
                </w:p>
              </w:tc>
              <w:tc>
                <w:tcPr>
                  <w:tcW w:w="1545" w:type="dxa"/>
                  <w:noWrap w:val="0"/>
                  <w:vAlign w:val="center"/>
                </w:tcPr>
                <w:p w14:paraId="41DC797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2500</w:t>
                  </w:r>
                </w:p>
              </w:tc>
              <w:tc>
                <w:tcPr>
                  <w:tcW w:w="1469" w:type="dxa"/>
                  <w:noWrap w:val="0"/>
                  <w:vAlign w:val="center"/>
                </w:tcPr>
                <w:p w14:paraId="7FFE152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0.0001</w:t>
                  </w:r>
                </w:p>
              </w:tc>
            </w:tr>
            <w:tr w14:paraId="53746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dxa"/>
                  <w:noWrap w:val="0"/>
                  <w:vAlign w:val="center"/>
                </w:tcPr>
                <w:p w14:paraId="162D27B0">
                  <w:pPr>
                    <w:pStyle w:val="29"/>
                    <w:ind w:firstLine="0" w:firstLineChars="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w:t>
                  </w:r>
                </w:p>
              </w:tc>
              <w:tc>
                <w:tcPr>
                  <w:tcW w:w="2266" w:type="dxa"/>
                  <w:noWrap w:val="0"/>
                  <w:vAlign w:val="center"/>
                </w:tcPr>
                <w:p w14:paraId="00D541E1">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kern w:val="0"/>
                      <w:sz w:val="21"/>
                      <w:szCs w:val="21"/>
                      <w:highlight w:val="none"/>
                      <w:lang w:val="en-US" w:eastAsia="zh-CN" w:bidi="ar-SA"/>
                    </w:rPr>
                    <w:t>清洗剂</w:t>
                  </w:r>
                </w:p>
              </w:tc>
              <w:tc>
                <w:tcPr>
                  <w:tcW w:w="2027" w:type="dxa"/>
                  <w:noWrap w:val="0"/>
                  <w:vAlign w:val="center"/>
                </w:tcPr>
                <w:p w14:paraId="291A558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w:t>
                  </w:r>
                  <w:r>
                    <w:rPr>
                      <w:rFonts w:hint="eastAsia" w:cs="Times New Roman"/>
                      <w:color w:val="auto"/>
                      <w:sz w:val="21"/>
                      <w:szCs w:val="21"/>
                      <w:lang w:val="en-US" w:eastAsia="zh-CN"/>
                    </w:rPr>
                    <w:t>2</w:t>
                  </w:r>
                </w:p>
              </w:tc>
              <w:tc>
                <w:tcPr>
                  <w:tcW w:w="1545" w:type="dxa"/>
                  <w:noWrap w:val="0"/>
                  <w:vAlign w:val="center"/>
                </w:tcPr>
                <w:p w14:paraId="3BC53FB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c>
                <w:tcPr>
                  <w:tcW w:w="1469" w:type="dxa"/>
                  <w:noWrap w:val="0"/>
                  <w:vAlign w:val="center"/>
                </w:tcPr>
                <w:p w14:paraId="0CC1E4D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0.0022</w:t>
                  </w:r>
                </w:p>
              </w:tc>
            </w:tr>
            <w:tr w14:paraId="6AB6E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dxa"/>
                  <w:noWrap w:val="0"/>
                  <w:vAlign w:val="center"/>
                </w:tcPr>
                <w:p w14:paraId="4B7F59EE">
                  <w:pPr>
                    <w:pStyle w:val="29"/>
                    <w:ind w:firstLine="0" w:firstLineChars="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rPr>
                    <w:t>3</w:t>
                  </w:r>
                </w:p>
              </w:tc>
              <w:tc>
                <w:tcPr>
                  <w:tcW w:w="2266" w:type="dxa"/>
                  <w:noWrap w:val="0"/>
                  <w:vAlign w:val="center"/>
                </w:tcPr>
                <w:p w14:paraId="502F6734">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Cs w:val="21"/>
                      <w:lang w:val="en-US" w:eastAsia="zh-CN"/>
                    </w:rPr>
                  </w:pPr>
                  <w:r>
                    <w:rPr>
                      <w:rFonts w:hint="eastAsia" w:cs="Times New Roman"/>
                      <w:color w:val="auto"/>
                      <w:kern w:val="0"/>
                      <w:sz w:val="21"/>
                      <w:szCs w:val="21"/>
                      <w:highlight w:val="none"/>
                      <w:lang w:val="en-US" w:eastAsia="zh-CN" w:bidi="ar-SA"/>
                    </w:rPr>
                    <w:t>机油</w:t>
                  </w:r>
                </w:p>
              </w:tc>
              <w:tc>
                <w:tcPr>
                  <w:tcW w:w="2027" w:type="dxa"/>
                  <w:noWrap w:val="0"/>
                  <w:vAlign w:val="center"/>
                </w:tcPr>
                <w:p w14:paraId="45C9296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w:t>
                  </w:r>
                  <w:r>
                    <w:rPr>
                      <w:rFonts w:hint="eastAsia" w:cs="Times New Roman"/>
                      <w:color w:val="auto"/>
                      <w:sz w:val="21"/>
                      <w:szCs w:val="21"/>
                      <w:lang w:val="en-US" w:eastAsia="zh-CN"/>
                    </w:rPr>
                    <w:t>5</w:t>
                  </w:r>
                </w:p>
              </w:tc>
              <w:tc>
                <w:tcPr>
                  <w:tcW w:w="1545" w:type="dxa"/>
                  <w:noWrap w:val="0"/>
                  <w:vAlign w:val="center"/>
                </w:tcPr>
                <w:p w14:paraId="1A5D1B1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2500</w:t>
                  </w:r>
                </w:p>
              </w:tc>
              <w:tc>
                <w:tcPr>
                  <w:tcW w:w="1469" w:type="dxa"/>
                  <w:noWrap w:val="0"/>
                  <w:vAlign w:val="center"/>
                </w:tcPr>
                <w:p w14:paraId="5568161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0.0001</w:t>
                  </w:r>
                </w:p>
              </w:tc>
            </w:tr>
            <w:tr w14:paraId="1D6CC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dxa"/>
                  <w:noWrap w:val="0"/>
                  <w:vAlign w:val="center"/>
                </w:tcPr>
                <w:p w14:paraId="7491C43B">
                  <w:pPr>
                    <w:pStyle w:val="29"/>
                    <w:ind w:firstLine="0" w:firstLineChars="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4</w:t>
                  </w:r>
                </w:p>
              </w:tc>
              <w:tc>
                <w:tcPr>
                  <w:tcW w:w="2266" w:type="dxa"/>
                  <w:noWrap w:val="0"/>
                  <w:vAlign w:val="center"/>
                </w:tcPr>
                <w:p w14:paraId="079EAA0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PAC</w:t>
                  </w:r>
                </w:p>
              </w:tc>
              <w:tc>
                <w:tcPr>
                  <w:tcW w:w="2027" w:type="dxa"/>
                  <w:noWrap w:val="0"/>
                  <w:vAlign w:val="center"/>
                </w:tcPr>
                <w:p w14:paraId="0BF212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w:t>
                  </w:r>
                </w:p>
              </w:tc>
              <w:tc>
                <w:tcPr>
                  <w:tcW w:w="1545" w:type="dxa"/>
                  <w:noWrap w:val="0"/>
                  <w:vAlign w:val="center"/>
                </w:tcPr>
                <w:p w14:paraId="0B66275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w:t>
                  </w:r>
                </w:p>
              </w:tc>
              <w:tc>
                <w:tcPr>
                  <w:tcW w:w="1469" w:type="dxa"/>
                  <w:noWrap w:val="0"/>
                  <w:vAlign w:val="center"/>
                </w:tcPr>
                <w:p w14:paraId="75FBFC9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w:t>
                  </w:r>
                </w:p>
              </w:tc>
            </w:tr>
            <w:tr w14:paraId="69EC6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dxa"/>
                  <w:noWrap w:val="0"/>
                  <w:vAlign w:val="center"/>
                </w:tcPr>
                <w:p w14:paraId="2B7342CD">
                  <w:pPr>
                    <w:pStyle w:val="29"/>
                    <w:ind w:firstLine="0" w:firstLineChars="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5</w:t>
                  </w:r>
                </w:p>
              </w:tc>
              <w:tc>
                <w:tcPr>
                  <w:tcW w:w="2266" w:type="dxa"/>
                  <w:noWrap w:val="0"/>
                  <w:vAlign w:val="center"/>
                </w:tcPr>
                <w:p w14:paraId="44EFE5E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default"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PAM</w:t>
                  </w:r>
                </w:p>
              </w:tc>
              <w:tc>
                <w:tcPr>
                  <w:tcW w:w="2027" w:type="dxa"/>
                  <w:noWrap w:val="0"/>
                  <w:vAlign w:val="center"/>
                </w:tcPr>
                <w:p w14:paraId="6DC58E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w:t>
                  </w:r>
                </w:p>
              </w:tc>
              <w:tc>
                <w:tcPr>
                  <w:tcW w:w="1545" w:type="dxa"/>
                  <w:noWrap w:val="0"/>
                  <w:vAlign w:val="center"/>
                </w:tcPr>
                <w:p w14:paraId="2F77E93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w:t>
                  </w:r>
                </w:p>
              </w:tc>
              <w:tc>
                <w:tcPr>
                  <w:tcW w:w="1469" w:type="dxa"/>
                  <w:noWrap w:val="0"/>
                  <w:vAlign w:val="center"/>
                </w:tcPr>
                <w:p w14:paraId="4AC149A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w:t>
                  </w:r>
                </w:p>
              </w:tc>
            </w:tr>
            <w:tr w14:paraId="57EA7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dxa"/>
                  <w:noWrap w:val="0"/>
                  <w:vAlign w:val="center"/>
                </w:tcPr>
                <w:p w14:paraId="4685B1B5">
                  <w:pPr>
                    <w:pStyle w:val="29"/>
                    <w:ind w:firstLine="0" w:firstLineChars="0"/>
                    <w:rPr>
                      <w:rFonts w:hint="default" w:ascii="Times New Roman" w:hAnsi="Times New Roman" w:eastAsia="宋体" w:cs="Times New Roman"/>
                      <w:color w:val="auto"/>
                      <w:szCs w:val="21"/>
                    </w:rPr>
                  </w:pPr>
                  <w:r>
                    <w:rPr>
                      <w:rFonts w:hint="eastAsia" w:cs="Times New Roman"/>
                      <w:color w:val="auto"/>
                      <w:szCs w:val="21"/>
                      <w:lang w:val="en-US" w:eastAsia="zh-CN"/>
                    </w:rPr>
                    <w:t>6</w:t>
                  </w:r>
                </w:p>
              </w:tc>
              <w:tc>
                <w:tcPr>
                  <w:tcW w:w="2266" w:type="dxa"/>
                  <w:noWrap w:val="0"/>
                  <w:vAlign w:val="center"/>
                </w:tcPr>
                <w:p w14:paraId="6056DB1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kern w:val="0"/>
                      <w:sz w:val="21"/>
                      <w:szCs w:val="21"/>
                      <w:highlight w:val="none"/>
                      <w:lang w:val="en-US" w:eastAsia="zh-CN" w:bidi="ar-SA"/>
                    </w:rPr>
                  </w:pPr>
                  <w:r>
                    <w:rPr>
                      <w:rFonts w:hint="eastAsia"/>
                      <w:color w:val="auto"/>
                      <w:lang w:val="en-US" w:eastAsia="zh-CN"/>
                    </w:rPr>
                    <w:t>柠檬酸</w:t>
                  </w:r>
                </w:p>
              </w:tc>
              <w:tc>
                <w:tcPr>
                  <w:tcW w:w="2027" w:type="dxa"/>
                  <w:noWrap w:val="0"/>
                  <w:vAlign w:val="center"/>
                </w:tcPr>
                <w:p w14:paraId="5150752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0.025</w:t>
                  </w:r>
                </w:p>
              </w:tc>
              <w:tc>
                <w:tcPr>
                  <w:tcW w:w="1545" w:type="dxa"/>
                  <w:noWrap w:val="0"/>
                  <w:vAlign w:val="center"/>
                </w:tcPr>
                <w:p w14:paraId="508B3A9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w:t>
                  </w:r>
                </w:p>
              </w:tc>
              <w:tc>
                <w:tcPr>
                  <w:tcW w:w="1469" w:type="dxa"/>
                  <w:noWrap w:val="0"/>
                  <w:vAlign w:val="center"/>
                </w:tcPr>
                <w:p w14:paraId="23E789C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0.00025</w:t>
                  </w:r>
                </w:p>
              </w:tc>
            </w:tr>
            <w:tr w14:paraId="280DF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dxa"/>
                  <w:noWrap w:val="0"/>
                  <w:vAlign w:val="center"/>
                </w:tcPr>
                <w:p w14:paraId="0E0F4466">
                  <w:pPr>
                    <w:pStyle w:val="29"/>
                    <w:ind w:firstLine="0" w:firstLineChars="0"/>
                    <w:rPr>
                      <w:rFonts w:hint="default" w:ascii="Times New Roman" w:hAnsi="Times New Roman" w:eastAsia="宋体" w:cs="Times New Roman"/>
                      <w:color w:val="auto"/>
                      <w:szCs w:val="21"/>
                      <w:lang w:eastAsia="zh-CN"/>
                    </w:rPr>
                  </w:pPr>
                  <w:r>
                    <w:rPr>
                      <w:rFonts w:hint="eastAsia" w:cs="Times New Roman"/>
                      <w:color w:val="auto"/>
                      <w:szCs w:val="21"/>
                      <w:lang w:val="en-US" w:eastAsia="zh-CN"/>
                    </w:rPr>
                    <w:t>7</w:t>
                  </w:r>
                </w:p>
              </w:tc>
              <w:tc>
                <w:tcPr>
                  <w:tcW w:w="2266" w:type="dxa"/>
                  <w:noWrap w:val="0"/>
                  <w:vAlign w:val="center"/>
                </w:tcPr>
                <w:p w14:paraId="090CF153">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 w:val="21"/>
                      <w:szCs w:val="21"/>
                      <w:lang w:val="en-US" w:eastAsia="zh-CN"/>
                    </w:rPr>
                    <w:t>污泥</w:t>
                  </w:r>
                </w:p>
              </w:tc>
              <w:tc>
                <w:tcPr>
                  <w:tcW w:w="2027" w:type="dxa"/>
                  <w:noWrap w:val="0"/>
                  <w:vAlign w:val="center"/>
                </w:tcPr>
                <w:p w14:paraId="7671116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0.31</w:t>
                  </w:r>
                </w:p>
              </w:tc>
              <w:tc>
                <w:tcPr>
                  <w:tcW w:w="1545" w:type="dxa"/>
                  <w:noWrap w:val="0"/>
                  <w:vAlign w:val="center"/>
                </w:tcPr>
                <w:p w14:paraId="3B47809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c>
                <w:tcPr>
                  <w:tcW w:w="1469" w:type="dxa"/>
                  <w:noWrap w:val="0"/>
                  <w:vAlign w:val="center"/>
                </w:tcPr>
                <w:p w14:paraId="2F526D9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w:t>
                  </w:r>
                  <w:r>
                    <w:rPr>
                      <w:rFonts w:hint="eastAsia" w:cs="Times New Roman"/>
                      <w:color w:val="auto"/>
                      <w:sz w:val="21"/>
                      <w:szCs w:val="21"/>
                      <w:lang w:val="en-US" w:eastAsia="zh-CN"/>
                    </w:rPr>
                    <w:t>0031</w:t>
                  </w:r>
                </w:p>
              </w:tc>
            </w:tr>
            <w:tr w14:paraId="192A8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dxa"/>
                  <w:noWrap w:val="0"/>
                  <w:vAlign w:val="center"/>
                </w:tcPr>
                <w:p w14:paraId="53F4651D">
                  <w:pPr>
                    <w:pStyle w:val="29"/>
                    <w:ind w:firstLine="0" w:firstLineChars="0"/>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8</w:t>
                  </w:r>
                </w:p>
              </w:tc>
              <w:tc>
                <w:tcPr>
                  <w:tcW w:w="2266" w:type="dxa"/>
                  <w:noWrap w:val="0"/>
                  <w:vAlign w:val="center"/>
                </w:tcPr>
                <w:p w14:paraId="71BE4005">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废过滤介质</w:t>
                  </w:r>
                </w:p>
              </w:tc>
              <w:tc>
                <w:tcPr>
                  <w:tcW w:w="2027" w:type="dxa"/>
                  <w:noWrap w:val="0"/>
                  <w:vAlign w:val="center"/>
                </w:tcPr>
                <w:p w14:paraId="18FAFDF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0.103</w:t>
                  </w:r>
                </w:p>
              </w:tc>
              <w:tc>
                <w:tcPr>
                  <w:tcW w:w="1545" w:type="dxa"/>
                  <w:noWrap w:val="0"/>
                  <w:vAlign w:val="center"/>
                </w:tcPr>
                <w:p w14:paraId="733DFE9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w:t>
                  </w:r>
                </w:p>
              </w:tc>
              <w:tc>
                <w:tcPr>
                  <w:tcW w:w="1469" w:type="dxa"/>
                  <w:noWrap w:val="0"/>
                  <w:vAlign w:val="center"/>
                </w:tcPr>
                <w:p w14:paraId="3F77894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0.00103</w:t>
                  </w:r>
                </w:p>
              </w:tc>
            </w:tr>
            <w:tr w14:paraId="473A5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dxa"/>
                  <w:noWrap w:val="0"/>
                  <w:vAlign w:val="center"/>
                </w:tcPr>
                <w:p w14:paraId="67F6C181">
                  <w:pPr>
                    <w:pStyle w:val="29"/>
                    <w:ind w:firstLine="0" w:firstLineChars="0"/>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9</w:t>
                  </w:r>
                </w:p>
              </w:tc>
              <w:tc>
                <w:tcPr>
                  <w:tcW w:w="2266" w:type="dxa"/>
                  <w:noWrap w:val="0"/>
                  <w:vAlign w:val="center"/>
                </w:tcPr>
                <w:p w14:paraId="53D31F1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pacing w:val="2"/>
                      <w:kern w:val="2"/>
                      <w:sz w:val="21"/>
                      <w:szCs w:val="21"/>
                      <w:lang w:val="en-US" w:eastAsia="zh-CN" w:bidi="ar-SA"/>
                    </w:rPr>
                    <w:t>含切削液铝屑</w:t>
                  </w:r>
                </w:p>
              </w:tc>
              <w:tc>
                <w:tcPr>
                  <w:tcW w:w="2027" w:type="dxa"/>
                  <w:noWrap w:val="0"/>
                  <w:vAlign w:val="center"/>
                </w:tcPr>
                <w:p w14:paraId="320A844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1.05</w:t>
                  </w:r>
                </w:p>
              </w:tc>
              <w:tc>
                <w:tcPr>
                  <w:tcW w:w="1545" w:type="dxa"/>
                  <w:noWrap w:val="0"/>
                  <w:vAlign w:val="center"/>
                </w:tcPr>
                <w:p w14:paraId="5F09D09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c>
                <w:tcPr>
                  <w:tcW w:w="1469" w:type="dxa"/>
                  <w:noWrap w:val="0"/>
                  <w:vAlign w:val="center"/>
                </w:tcPr>
                <w:p w14:paraId="0267511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0.0105</w:t>
                  </w:r>
                </w:p>
              </w:tc>
            </w:tr>
            <w:tr w14:paraId="3F074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dxa"/>
                  <w:noWrap w:val="0"/>
                  <w:vAlign w:val="center"/>
                </w:tcPr>
                <w:p w14:paraId="21745839">
                  <w:pPr>
                    <w:pStyle w:val="29"/>
                    <w:ind w:firstLine="0" w:firstLineChars="0"/>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w:t>
                  </w:r>
                </w:p>
              </w:tc>
              <w:tc>
                <w:tcPr>
                  <w:tcW w:w="2266" w:type="dxa"/>
                  <w:noWrap w:val="0"/>
                  <w:vAlign w:val="center"/>
                </w:tcPr>
                <w:p w14:paraId="3A8CDC4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pacing w:val="2"/>
                      <w:kern w:val="2"/>
                      <w:sz w:val="21"/>
                      <w:szCs w:val="21"/>
                      <w:lang w:val="en-US" w:eastAsia="zh-CN" w:bidi="ar-SA"/>
                    </w:rPr>
                    <w:t>废切削液</w:t>
                  </w:r>
                </w:p>
              </w:tc>
              <w:tc>
                <w:tcPr>
                  <w:tcW w:w="2027" w:type="dxa"/>
                  <w:noWrap w:val="0"/>
                  <w:vAlign w:val="center"/>
                </w:tcPr>
                <w:p w14:paraId="7E2FD9C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0.55</w:t>
                  </w:r>
                </w:p>
              </w:tc>
              <w:tc>
                <w:tcPr>
                  <w:tcW w:w="1545" w:type="dxa"/>
                  <w:noWrap w:val="0"/>
                  <w:vAlign w:val="center"/>
                </w:tcPr>
                <w:p w14:paraId="33CB327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c>
                <w:tcPr>
                  <w:tcW w:w="1469" w:type="dxa"/>
                  <w:noWrap w:val="0"/>
                  <w:vAlign w:val="center"/>
                </w:tcPr>
                <w:p w14:paraId="22DD21D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0.055</w:t>
                  </w:r>
                </w:p>
              </w:tc>
            </w:tr>
            <w:tr w14:paraId="0F939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dxa"/>
                  <w:noWrap w:val="0"/>
                  <w:vAlign w:val="center"/>
                </w:tcPr>
                <w:p w14:paraId="14942719">
                  <w:pPr>
                    <w:pStyle w:val="29"/>
                    <w:ind w:firstLine="0" w:firstLineChars="0"/>
                    <w:rPr>
                      <w:rFonts w:hint="default" w:cs="Times New Roman"/>
                      <w:color w:val="auto"/>
                      <w:szCs w:val="21"/>
                      <w:lang w:val="en-US" w:eastAsia="zh-CN"/>
                    </w:rPr>
                  </w:pPr>
                  <w:r>
                    <w:rPr>
                      <w:rFonts w:hint="eastAsia" w:cs="Times New Roman"/>
                      <w:color w:val="auto"/>
                      <w:szCs w:val="21"/>
                      <w:lang w:val="en-US" w:eastAsia="zh-CN"/>
                    </w:rPr>
                    <w:t>11</w:t>
                  </w:r>
                </w:p>
              </w:tc>
              <w:tc>
                <w:tcPr>
                  <w:tcW w:w="2266" w:type="dxa"/>
                  <w:noWrap w:val="0"/>
                  <w:vAlign w:val="center"/>
                </w:tcPr>
                <w:p w14:paraId="51F0DC3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ascii="Times New Roman" w:hAnsi="Times New Roman" w:eastAsia="宋体" w:cs="Times New Roman"/>
                      <w:color w:val="auto"/>
                      <w:spacing w:val="2"/>
                      <w:kern w:val="2"/>
                      <w:sz w:val="21"/>
                      <w:szCs w:val="21"/>
                      <w:lang w:val="en-US" w:eastAsia="zh-CN" w:bidi="ar-SA"/>
                    </w:rPr>
                    <w:t>清洗废液</w:t>
                  </w:r>
                </w:p>
              </w:tc>
              <w:tc>
                <w:tcPr>
                  <w:tcW w:w="2027" w:type="dxa"/>
                  <w:noWrap w:val="0"/>
                  <w:vAlign w:val="center"/>
                </w:tcPr>
                <w:p w14:paraId="48F3915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1.62</w:t>
                  </w:r>
                </w:p>
              </w:tc>
              <w:tc>
                <w:tcPr>
                  <w:tcW w:w="1545" w:type="dxa"/>
                  <w:noWrap w:val="0"/>
                  <w:vAlign w:val="center"/>
                </w:tcPr>
                <w:p w14:paraId="686EDAC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w:t>
                  </w:r>
                </w:p>
              </w:tc>
              <w:tc>
                <w:tcPr>
                  <w:tcW w:w="1469" w:type="dxa"/>
                  <w:noWrap w:val="0"/>
                  <w:vAlign w:val="center"/>
                </w:tcPr>
                <w:p w14:paraId="60EAABB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0.0162</w:t>
                  </w:r>
                </w:p>
              </w:tc>
            </w:tr>
            <w:tr w14:paraId="54EA0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dxa"/>
                  <w:noWrap w:val="0"/>
                  <w:vAlign w:val="center"/>
                </w:tcPr>
                <w:p w14:paraId="26F239FB">
                  <w:pPr>
                    <w:pStyle w:val="29"/>
                    <w:ind w:firstLine="0" w:firstLineChars="0"/>
                    <w:rPr>
                      <w:rFonts w:hint="default" w:cs="Times New Roman"/>
                      <w:color w:val="auto"/>
                      <w:szCs w:val="21"/>
                      <w:lang w:val="en-US" w:eastAsia="zh-CN"/>
                    </w:rPr>
                  </w:pPr>
                  <w:r>
                    <w:rPr>
                      <w:rFonts w:hint="eastAsia" w:cs="Times New Roman"/>
                      <w:color w:val="auto"/>
                      <w:szCs w:val="21"/>
                      <w:lang w:val="en-US" w:eastAsia="zh-CN"/>
                    </w:rPr>
                    <w:t>12</w:t>
                  </w:r>
                </w:p>
              </w:tc>
              <w:tc>
                <w:tcPr>
                  <w:tcW w:w="2266" w:type="dxa"/>
                  <w:noWrap w:val="0"/>
                  <w:vAlign w:val="center"/>
                </w:tcPr>
                <w:p w14:paraId="5F41236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default" w:ascii="Times New Roman" w:hAnsi="Times New Roman" w:eastAsia="宋体" w:cs="Times New Roman"/>
                      <w:color w:val="auto"/>
                      <w:spacing w:val="2"/>
                      <w:kern w:val="2"/>
                      <w:sz w:val="21"/>
                      <w:szCs w:val="21"/>
                      <w:lang w:val="en-US" w:eastAsia="zh-CN" w:bidi="ar-SA"/>
                    </w:rPr>
                    <w:t>废</w:t>
                  </w:r>
                  <w:r>
                    <w:rPr>
                      <w:rFonts w:hint="eastAsia" w:ascii="Times New Roman" w:hAnsi="Times New Roman" w:eastAsia="宋体" w:cs="Times New Roman"/>
                      <w:color w:val="auto"/>
                      <w:spacing w:val="2"/>
                      <w:kern w:val="2"/>
                      <w:sz w:val="21"/>
                      <w:szCs w:val="21"/>
                      <w:lang w:val="en-US" w:eastAsia="zh-CN" w:bidi="ar-SA"/>
                    </w:rPr>
                    <w:t>机油</w:t>
                  </w:r>
                </w:p>
              </w:tc>
              <w:tc>
                <w:tcPr>
                  <w:tcW w:w="2027" w:type="dxa"/>
                  <w:noWrap w:val="0"/>
                  <w:vAlign w:val="center"/>
                </w:tcPr>
                <w:p w14:paraId="5ED930E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0.225</w:t>
                  </w:r>
                </w:p>
              </w:tc>
              <w:tc>
                <w:tcPr>
                  <w:tcW w:w="1545" w:type="dxa"/>
                  <w:noWrap w:val="0"/>
                  <w:vAlign w:val="center"/>
                </w:tcPr>
                <w:p w14:paraId="0112668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w:t>
                  </w:r>
                </w:p>
              </w:tc>
              <w:tc>
                <w:tcPr>
                  <w:tcW w:w="1469" w:type="dxa"/>
                  <w:noWrap w:val="0"/>
                  <w:vAlign w:val="center"/>
                </w:tcPr>
                <w:p w14:paraId="1D248AF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0.0225</w:t>
                  </w:r>
                </w:p>
              </w:tc>
            </w:tr>
            <w:tr w14:paraId="1953C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dxa"/>
                  <w:noWrap w:val="0"/>
                  <w:vAlign w:val="center"/>
                </w:tcPr>
                <w:p w14:paraId="01AFA9C8">
                  <w:pPr>
                    <w:pStyle w:val="29"/>
                    <w:ind w:firstLine="0" w:firstLineChars="0"/>
                    <w:rPr>
                      <w:rFonts w:hint="default" w:cs="Times New Roman"/>
                      <w:color w:val="auto"/>
                      <w:szCs w:val="21"/>
                      <w:lang w:val="en-US" w:eastAsia="zh-CN"/>
                    </w:rPr>
                  </w:pPr>
                  <w:r>
                    <w:rPr>
                      <w:rFonts w:hint="eastAsia" w:cs="Times New Roman"/>
                      <w:color w:val="auto"/>
                      <w:szCs w:val="21"/>
                      <w:lang w:val="en-US" w:eastAsia="zh-CN"/>
                    </w:rPr>
                    <w:t>13</w:t>
                  </w:r>
                </w:p>
              </w:tc>
              <w:tc>
                <w:tcPr>
                  <w:tcW w:w="2266" w:type="dxa"/>
                  <w:noWrap w:val="0"/>
                  <w:vAlign w:val="center"/>
                </w:tcPr>
                <w:p w14:paraId="239E5416">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pacing w:val="2"/>
                      <w:kern w:val="2"/>
                      <w:sz w:val="21"/>
                      <w:szCs w:val="21"/>
                      <w:lang w:val="en-US" w:eastAsia="zh-CN" w:bidi="ar-SA"/>
                    </w:rPr>
                    <w:t>废切削液桶</w:t>
                  </w:r>
                </w:p>
              </w:tc>
              <w:tc>
                <w:tcPr>
                  <w:tcW w:w="2027" w:type="dxa"/>
                  <w:noWrap w:val="0"/>
                  <w:vAlign w:val="center"/>
                </w:tcPr>
                <w:p w14:paraId="5E8A6A2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w:t>
                  </w:r>
                </w:p>
              </w:tc>
              <w:tc>
                <w:tcPr>
                  <w:tcW w:w="1545" w:type="dxa"/>
                  <w:noWrap w:val="0"/>
                  <w:vAlign w:val="center"/>
                </w:tcPr>
                <w:p w14:paraId="6ECAA5D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c>
                <w:tcPr>
                  <w:tcW w:w="1469" w:type="dxa"/>
                  <w:noWrap w:val="0"/>
                  <w:vAlign w:val="center"/>
                </w:tcPr>
                <w:p w14:paraId="19D1096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0.0001</w:t>
                  </w:r>
                </w:p>
              </w:tc>
            </w:tr>
            <w:tr w14:paraId="31554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dxa"/>
                  <w:noWrap w:val="0"/>
                  <w:vAlign w:val="center"/>
                </w:tcPr>
                <w:p w14:paraId="65892E86">
                  <w:pPr>
                    <w:pStyle w:val="29"/>
                    <w:ind w:firstLine="0" w:firstLineChars="0"/>
                    <w:rPr>
                      <w:rFonts w:hint="default" w:cs="Times New Roman"/>
                      <w:color w:val="auto"/>
                      <w:szCs w:val="21"/>
                      <w:lang w:val="en-US" w:eastAsia="zh-CN"/>
                    </w:rPr>
                  </w:pPr>
                  <w:r>
                    <w:rPr>
                      <w:rFonts w:hint="eastAsia" w:cs="Times New Roman"/>
                      <w:color w:val="auto"/>
                      <w:szCs w:val="21"/>
                      <w:lang w:val="en-US" w:eastAsia="zh-CN"/>
                    </w:rPr>
                    <w:t>14</w:t>
                  </w:r>
                </w:p>
              </w:tc>
              <w:tc>
                <w:tcPr>
                  <w:tcW w:w="2266" w:type="dxa"/>
                  <w:noWrap w:val="0"/>
                  <w:vAlign w:val="center"/>
                </w:tcPr>
                <w:p w14:paraId="48855C0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2"/>
                      <w:kern w:val="2"/>
                      <w:sz w:val="21"/>
                      <w:szCs w:val="21"/>
                      <w:lang w:val="en-US" w:eastAsia="zh-CN" w:bidi="ar-SA"/>
                    </w:rPr>
                  </w:pPr>
                  <w:r>
                    <w:rPr>
                      <w:rFonts w:hint="eastAsia" w:ascii="Times New Roman" w:hAnsi="Times New Roman" w:eastAsia="宋体" w:cs="Times New Roman"/>
                      <w:color w:val="auto"/>
                      <w:spacing w:val="2"/>
                      <w:kern w:val="2"/>
                      <w:sz w:val="21"/>
                      <w:szCs w:val="21"/>
                      <w:lang w:val="en-US" w:eastAsia="zh-CN" w:bidi="ar-SA"/>
                    </w:rPr>
                    <w:t>废机油桶</w:t>
                  </w:r>
                </w:p>
              </w:tc>
              <w:tc>
                <w:tcPr>
                  <w:tcW w:w="2027" w:type="dxa"/>
                  <w:noWrap w:val="0"/>
                  <w:vAlign w:val="center"/>
                </w:tcPr>
                <w:p w14:paraId="3390B1D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0.025</w:t>
                  </w:r>
                </w:p>
              </w:tc>
              <w:tc>
                <w:tcPr>
                  <w:tcW w:w="1545" w:type="dxa"/>
                  <w:noWrap w:val="0"/>
                  <w:vAlign w:val="center"/>
                </w:tcPr>
                <w:p w14:paraId="4B5D531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w:t>
                  </w:r>
                </w:p>
              </w:tc>
              <w:tc>
                <w:tcPr>
                  <w:tcW w:w="1469" w:type="dxa"/>
                  <w:noWrap w:val="0"/>
                  <w:vAlign w:val="center"/>
                </w:tcPr>
                <w:p w14:paraId="533AAEB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0.00025</w:t>
                  </w:r>
                </w:p>
              </w:tc>
            </w:tr>
            <w:tr w14:paraId="71FB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dxa"/>
                  <w:noWrap w:val="0"/>
                  <w:vAlign w:val="center"/>
                </w:tcPr>
                <w:p w14:paraId="09EF6F3A">
                  <w:pPr>
                    <w:pStyle w:val="29"/>
                    <w:ind w:firstLine="0" w:firstLineChars="0"/>
                    <w:rPr>
                      <w:rFonts w:hint="default" w:cs="Times New Roman"/>
                      <w:color w:val="auto"/>
                      <w:szCs w:val="21"/>
                      <w:lang w:val="en-US" w:eastAsia="zh-CN"/>
                    </w:rPr>
                  </w:pPr>
                  <w:r>
                    <w:rPr>
                      <w:rFonts w:hint="eastAsia" w:cs="Times New Roman"/>
                      <w:color w:val="auto"/>
                      <w:szCs w:val="21"/>
                      <w:lang w:val="en-US" w:eastAsia="zh-CN"/>
                    </w:rPr>
                    <w:t>15</w:t>
                  </w:r>
                </w:p>
              </w:tc>
              <w:tc>
                <w:tcPr>
                  <w:tcW w:w="2266" w:type="dxa"/>
                  <w:noWrap w:val="0"/>
                  <w:vAlign w:val="center"/>
                </w:tcPr>
                <w:p w14:paraId="38C1DB39">
                  <w:pPr>
                    <w:pStyle w:val="28"/>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cs="Times New Roman"/>
                      <w:color w:val="auto"/>
                      <w:spacing w:val="2"/>
                      <w:kern w:val="2"/>
                      <w:sz w:val="21"/>
                      <w:szCs w:val="21"/>
                      <w:lang w:val="en-US" w:eastAsia="zh-CN" w:bidi="ar-SA"/>
                    </w:rPr>
                  </w:pPr>
                  <w:r>
                    <w:rPr>
                      <w:rFonts w:hint="eastAsia" w:cs="Times New Roman"/>
                      <w:color w:val="auto"/>
                      <w:spacing w:val="2"/>
                      <w:kern w:val="2"/>
                      <w:sz w:val="21"/>
                      <w:szCs w:val="21"/>
                      <w:lang w:val="en-US" w:eastAsia="zh-CN" w:bidi="ar-SA"/>
                    </w:rPr>
                    <w:t>废包装袋</w:t>
                  </w:r>
                </w:p>
              </w:tc>
              <w:tc>
                <w:tcPr>
                  <w:tcW w:w="2027" w:type="dxa"/>
                  <w:noWrap w:val="0"/>
                  <w:vAlign w:val="center"/>
                </w:tcPr>
                <w:p w14:paraId="08C00FA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0.001</w:t>
                  </w:r>
                </w:p>
              </w:tc>
              <w:tc>
                <w:tcPr>
                  <w:tcW w:w="1545" w:type="dxa"/>
                  <w:noWrap w:val="0"/>
                  <w:vAlign w:val="center"/>
                </w:tcPr>
                <w:p w14:paraId="122AA80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c>
                <w:tcPr>
                  <w:tcW w:w="1469" w:type="dxa"/>
                  <w:noWrap w:val="0"/>
                  <w:vAlign w:val="center"/>
                </w:tcPr>
                <w:p w14:paraId="55CC3B8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0.00001</w:t>
                  </w:r>
                </w:p>
              </w:tc>
            </w:tr>
            <w:tr w14:paraId="65684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dxa"/>
                  <w:noWrap w:val="0"/>
                  <w:vAlign w:val="center"/>
                </w:tcPr>
                <w:p w14:paraId="5C7F5DA1">
                  <w:pPr>
                    <w:pStyle w:val="29"/>
                    <w:ind w:firstLine="0" w:firstLineChars="0"/>
                    <w:rPr>
                      <w:rFonts w:hint="default" w:cs="Times New Roman"/>
                      <w:color w:val="auto"/>
                      <w:szCs w:val="21"/>
                      <w:lang w:val="en-US" w:eastAsia="zh-CN"/>
                    </w:rPr>
                  </w:pPr>
                  <w:r>
                    <w:rPr>
                      <w:rFonts w:hint="eastAsia" w:cs="Times New Roman"/>
                      <w:color w:val="auto"/>
                      <w:szCs w:val="21"/>
                      <w:lang w:val="en-US" w:eastAsia="zh-CN"/>
                    </w:rPr>
                    <w:t>16</w:t>
                  </w:r>
                </w:p>
              </w:tc>
              <w:tc>
                <w:tcPr>
                  <w:tcW w:w="2266" w:type="dxa"/>
                  <w:noWrap w:val="0"/>
                  <w:vAlign w:val="center"/>
                </w:tcPr>
                <w:p w14:paraId="132A89D0">
                  <w:pPr>
                    <w:pStyle w:val="28"/>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pacing w:val="2"/>
                      <w:kern w:val="2"/>
                      <w:sz w:val="21"/>
                      <w:szCs w:val="21"/>
                      <w:lang w:val="en-US" w:eastAsia="zh-CN" w:bidi="ar-SA"/>
                    </w:rPr>
                    <w:t>废清洗剂桶</w:t>
                  </w:r>
                </w:p>
              </w:tc>
              <w:tc>
                <w:tcPr>
                  <w:tcW w:w="2027" w:type="dxa"/>
                  <w:noWrap w:val="0"/>
                  <w:vAlign w:val="center"/>
                </w:tcPr>
                <w:p w14:paraId="7C7BD0E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2</w:t>
                  </w:r>
                </w:p>
              </w:tc>
              <w:tc>
                <w:tcPr>
                  <w:tcW w:w="1545" w:type="dxa"/>
                  <w:noWrap w:val="0"/>
                  <w:vAlign w:val="center"/>
                </w:tcPr>
                <w:p w14:paraId="16FF8DB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c>
                <w:tcPr>
                  <w:tcW w:w="1469" w:type="dxa"/>
                  <w:noWrap w:val="0"/>
                  <w:vAlign w:val="center"/>
                </w:tcPr>
                <w:p w14:paraId="2881C81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w:t>
                  </w:r>
                  <w:r>
                    <w:rPr>
                      <w:rFonts w:hint="eastAsia" w:cs="Times New Roman"/>
                      <w:color w:val="auto"/>
                      <w:sz w:val="21"/>
                      <w:szCs w:val="21"/>
                      <w:lang w:val="en-US" w:eastAsia="zh-CN"/>
                    </w:rPr>
                    <w:t>2</w:t>
                  </w:r>
                </w:p>
              </w:tc>
            </w:tr>
            <w:tr w14:paraId="2877A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dxa"/>
                  <w:noWrap w:val="0"/>
                  <w:vAlign w:val="center"/>
                </w:tcPr>
                <w:p w14:paraId="780BBDC2">
                  <w:pPr>
                    <w:pStyle w:val="29"/>
                    <w:ind w:firstLine="0" w:firstLineChars="0"/>
                    <w:rPr>
                      <w:rFonts w:hint="default" w:cs="Times New Roman"/>
                      <w:color w:val="auto"/>
                      <w:szCs w:val="21"/>
                      <w:lang w:val="en-US" w:eastAsia="zh-CN"/>
                    </w:rPr>
                  </w:pPr>
                  <w:r>
                    <w:rPr>
                      <w:rFonts w:hint="eastAsia" w:cs="Times New Roman"/>
                      <w:color w:val="auto"/>
                      <w:szCs w:val="21"/>
                      <w:lang w:val="en-US" w:eastAsia="zh-CN"/>
                    </w:rPr>
                    <w:t>17</w:t>
                  </w:r>
                </w:p>
              </w:tc>
              <w:tc>
                <w:tcPr>
                  <w:tcW w:w="2266" w:type="dxa"/>
                  <w:noWrap w:val="0"/>
                  <w:vAlign w:val="center"/>
                </w:tcPr>
                <w:p w14:paraId="0A966E4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2"/>
                      <w:kern w:val="2"/>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废MBR膜</w:t>
                  </w:r>
                </w:p>
              </w:tc>
              <w:tc>
                <w:tcPr>
                  <w:tcW w:w="2027" w:type="dxa"/>
                  <w:noWrap w:val="0"/>
                  <w:vAlign w:val="center"/>
                </w:tcPr>
                <w:p w14:paraId="5BEB5DE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0.01</w:t>
                  </w:r>
                </w:p>
              </w:tc>
              <w:tc>
                <w:tcPr>
                  <w:tcW w:w="1545" w:type="dxa"/>
                  <w:noWrap w:val="0"/>
                  <w:vAlign w:val="center"/>
                </w:tcPr>
                <w:p w14:paraId="041F1A6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w:t>
                  </w:r>
                </w:p>
              </w:tc>
              <w:tc>
                <w:tcPr>
                  <w:tcW w:w="1469" w:type="dxa"/>
                  <w:noWrap w:val="0"/>
                  <w:vAlign w:val="center"/>
                </w:tcPr>
                <w:p w14:paraId="67F973A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0.0001</w:t>
                  </w:r>
                </w:p>
              </w:tc>
            </w:tr>
            <w:tr w14:paraId="289FB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11" w:type="dxa"/>
                  <w:noWrap w:val="0"/>
                  <w:vAlign w:val="center"/>
                </w:tcPr>
                <w:p w14:paraId="5EE5B084">
                  <w:pPr>
                    <w:pStyle w:val="29"/>
                    <w:ind w:firstLine="0" w:firstLineChars="0"/>
                    <w:rPr>
                      <w:rFonts w:hint="default" w:cs="Times New Roman"/>
                      <w:color w:val="auto"/>
                      <w:szCs w:val="21"/>
                      <w:lang w:val="en-US" w:eastAsia="zh-CN"/>
                    </w:rPr>
                  </w:pPr>
                  <w:r>
                    <w:rPr>
                      <w:rFonts w:hint="eastAsia" w:cs="Times New Roman"/>
                      <w:color w:val="auto"/>
                      <w:szCs w:val="21"/>
                      <w:lang w:val="en-US" w:eastAsia="zh-CN"/>
                    </w:rPr>
                    <w:t>18</w:t>
                  </w:r>
                </w:p>
              </w:tc>
              <w:tc>
                <w:tcPr>
                  <w:tcW w:w="2266" w:type="dxa"/>
                  <w:noWrap w:val="0"/>
                  <w:vAlign w:val="center"/>
                </w:tcPr>
                <w:p w14:paraId="09161C7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pacing w:val="2"/>
                      <w:kern w:val="2"/>
                      <w:sz w:val="21"/>
                      <w:szCs w:val="21"/>
                      <w:lang w:val="en-US" w:eastAsia="zh-CN" w:bidi="ar-SA"/>
                    </w:rPr>
                    <w:t>含油废抹布手套</w:t>
                  </w:r>
                </w:p>
              </w:tc>
              <w:tc>
                <w:tcPr>
                  <w:tcW w:w="2027" w:type="dxa"/>
                  <w:noWrap w:val="0"/>
                  <w:vAlign w:val="center"/>
                </w:tcPr>
                <w:p w14:paraId="5BEE875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w:t>
                  </w:r>
                  <w:r>
                    <w:rPr>
                      <w:rFonts w:hint="eastAsia" w:cs="Times New Roman"/>
                      <w:color w:val="auto"/>
                      <w:sz w:val="21"/>
                      <w:szCs w:val="21"/>
                      <w:lang w:val="en-US" w:eastAsia="zh-CN"/>
                    </w:rPr>
                    <w:t>3</w:t>
                  </w:r>
                </w:p>
              </w:tc>
              <w:tc>
                <w:tcPr>
                  <w:tcW w:w="1545" w:type="dxa"/>
                  <w:noWrap w:val="0"/>
                  <w:vAlign w:val="center"/>
                </w:tcPr>
                <w:p w14:paraId="6B71281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100</w:t>
                  </w:r>
                </w:p>
              </w:tc>
              <w:tc>
                <w:tcPr>
                  <w:tcW w:w="1469" w:type="dxa"/>
                  <w:noWrap w:val="0"/>
                  <w:vAlign w:val="center"/>
                </w:tcPr>
                <w:p w14:paraId="47B729A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0.00013</w:t>
                  </w:r>
                </w:p>
              </w:tc>
            </w:tr>
            <w:tr w14:paraId="44898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6749" w:type="dxa"/>
                  <w:gridSpan w:val="4"/>
                  <w:noWrap w:val="0"/>
                  <w:vAlign w:val="center"/>
                </w:tcPr>
                <w:p w14:paraId="61B8A52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项目Q值Σ</w:t>
                  </w:r>
                </w:p>
              </w:tc>
              <w:tc>
                <w:tcPr>
                  <w:tcW w:w="1469" w:type="dxa"/>
                  <w:noWrap w:val="0"/>
                  <w:vAlign w:val="center"/>
                </w:tcPr>
                <w:p w14:paraId="11FEA91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0.11377</w:t>
                  </w:r>
                </w:p>
              </w:tc>
            </w:tr>
          </w:tbl>
          <w:p w14:paraId="5EDCC31A">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注：临界量取值参考《建设项目环境风险评价技术导则》（HJ169-2018）附录</w:t>
            </w:r>
            <w:r>
              <w:rPr>
                <w:rFonts w:hint="default" w:ascii="Times New Roman" w:hAnsi="Times New Roman" w:eastAsia="宋体" w:cs="Times New Roman"/>
                <w:color w:val="auto"/>
                <w:sz w:val="24"/>
                <w:szCs w:val="24"/>
                <w:shd w:val="clear" w:fill="auto"/>
              </w:rPr>
              <w:t>B、</w:t>
            </w:r>
            <w:r>
              <w:rPr>
                <w:rFonts w:hint="default" w:ascii="Times New Roman" w:hAnsi="Times New Roman" w:eastAsia="宋体" w:cs="Times New Roman"/>
                <w:color w:val="auto"/>
                <w:sz w:val="24"/>
                <w:szCs w:val="24"/>
              </w:rPr>
              <w:t>C</w:t>
            </w:r>
            <w:r>
              <w:rPr>
                <w:rFonts w:hint="default" w:ascii="Times New Roman" w:hAnsi="Times New Roman" w:eastAsia="宋体" w:cs="Times New Roman"/>
                <w:color w:val="auto"/>
                <w:sz w:val="24"/>
                <w:szCs w:val="24"/>
                <w:shd w:val="clear" w:fill="auto"/>
              </w:rPr>
              <w:t>。</w:t>
            </w:r>
          </w:p>
          <w:p w14:paraId="2226B04C">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w:t>
            </w:r>
            <w:r>
              <w:rPr>
                <w:rFonts w:hint="default" w:ascii="Times New Roman" w:hAnsi="Times New Roman" w:eastAsia="宋体" w:cs="Times New Roman"/>
                <w:color w:val="auto"/>
                <w:sz w:val="24"/>
                <w:szCs w:val="24"/>
                <w:highlight w:val="none"/>
              </w:rPr>
              <w:t>据企业突发环境事件风险物质</w:t>
            </w:r>
            <w:r>
              <w:rPr>
                <w:rFonts w:hint="default" w:ascii="Times New Roman" w:hAnsi="Times New Roman" w:eastAsia="宋体" w:cs="Times New Roman"/>
                <w:color w:val="auto"/>
                <w:sz w:val="24"/>
                <w:szCs w:val="24"/>
                <w:highlight w:val="none"/>
                <w:shd w:val="clear" w:fill="auto"/>
              </w:rPr>
              <w:t>最大</w:t>
            </w:r>
            <w:r>
              <w:rPr>
                <w:rFonts w:hint="default" w:ascii="Times New Roman" w:hAnsi="Times New Roman" w:eastAsia="宋体" w:cs="Times New Roman"/>
                <w:color w:val="auto"/>
                <w:sz w:val="24"/>
                <w:szCs w:val="24"/>
                <w:highlight w:val="none"/>
              </w:rPr>
              <w:t>存在总量与其对应的临界量计算Q值，Q&lt;</w:t>
            </w:r>
            <w:r>
              <w:rPr>
                <w:rFonts w:hint="default" w:ascii="Times New Roman" w:hAnsi="Times New Roman" w:eastAsia="宋体" w:cs="Times New Roman"/>
                <w:color w:val="auto"/>
                <w:sz w:val="24"/>
                <w:szCs w:val="24"/>
              </w:rPr>
              <w:t>1，故本项目环境风险潜势为Ⅰ，对环境风险开展简单分析。</w:t>
            </w:r>
          </w:p>
          <w:p w14:paraId="65F2C582">
            <w:pPr>
              <w:keepNext w:val="0"/>
              <w:keepLines w:val="0"/>
              <w:pageBreakBefore w:val="0"/>
              <w:widowControl w:val="0"/>
              <w:kinsoku/>
              <w:wordWrap/>
              <w:overflowPunct/>
              <w:topLinePunct w:val="0"/>
              <w:bidi w:val="0"/>
              <w:spacing w:line="360" w:lineRule="auto"/>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4.7.2.1环境风险识别及分析</w:t>
            </w:r>
          </w:p>
          <w:p w14:paraId="7558CDBB">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（1）物质危险性识别 </w:t>
            </w:r>
          </w:p>
          <w:p w14:paraId="1B99D0C5">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lang w:val="en-US" w:eastAsia="zh-CN"/>
              </w:rPr>
              <w:t>风险识别范围包括全厂生产设施和生产过程所涉及的物质风险识别。</w:t>
            </w:r>
          </w:p>
          <w:p w14:paraId="375C338E">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lang w:val="en-US" w:eastAsia="zh-CN"/>
              </w:rPr>
              <w:t>①生产设施风险识别范围包括：主要生产装置存储区的危险性分析等；</w:t>
            </w:r>
          </w:p>
          <w:p w14:paraId="41742FE6">
            <w:pPr>
              <w:pStyle w:val="25"/>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lang w:val="en-US" w:eastAsia="zh-CN"/>
              </w:rPr>
              <w:t>②物质风险识别范围包括：根据生产特点和原辅材料理化性质，本项目存在的主要环境风险的物质见下表：</w:t>
            </w:r>
          </w:p>
          <w:p w14:paraId="0F8BEE9E">
            <w:pPr>
              <w:spacing w:before="55" w:line="213" w:lineRule="auto"/>
              <w:ind w:left="1616"/>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b/>
                <w:bCs/>
                <w:color w:val="auto"/>
                <w:spacing w:val="0"/>
                <w:w w:val="100"/>
                <w:kern w:val="2"/>
                <w:position w:val="0"/>
                <w:sz w:val="21"/>
                <w:szCs w:val="21"/>
              </w:rPr>
              <w:t>表4-</w:t>
            </w:r>
            <w:r>
              <w:rPr>
                <w:rFonts w:hint="eastAsia" w:cs="Times New Roman"/>
                <w:b/>
                <w:bCs/>
                <w:color w:val="auto"/>
                <w:spacing w:val="0"/>
                <w:w w:val="100"/>
                <w:kern w:val="2"/>
                <w:position w:val="0"/>
                <w:sz w:val="21"/>
                <w:szCs w:val="21"/>
                <w:lang w:val="en-US" w:eastAsia="zh-CN"/>
              </w:rPr>
              <w:t>23</w:t>
            </w:r>
            <w:r>
              <w:rPr>
                <w:rFonts w:hint="default" w:ascii="Times New Roman" w:hAnsi="Times New Roman" w:eastAsia="宋体" w:cs="Times New Roman"/>
                <w:b/>
                <w:bCs/>
                <w:color w:val="auto"/>
                <w:spacing w:val="0"/>
                <w:w w:val="100"/>
                <w:kern w:val="2"/>
                <w:position w:val="0"/>
                <w:sz w:val="21"/>
                <w:szCs w:val="21"/>
              </w:rPr>
              <w:t>项目主要物料危险特性、毒理性统计表</w:t>
            </w:r>
          </w:p>
          <w:tbl>
            <w:tblPr>
              <w:tblStyle w:val="33"/>
              <w:tblW w:w="8310" w:type="dxa"/>
              <w:tblInd w:w="1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3"/>
              <w:gridCol w:w="896"/>
              <w:gridCol w:w="895"/>
              <w:gridCol w:w="867"/>
              <w:gridCol w:w="904"/>
              <w:gridCol w:w="1157"/>
              <w:gridCol w:w="1227"/>
              <w:gridCol w:w="1221"/>
            </w:tblGrid>
            <w:tr w14:paraId="30B33F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1143" w:type="dxa"/>
                  <w:noWrap w:val="0"/>
                  <w:vAlign w:val="center"/>
                </w:tcPr>
                <w:p w14:paraId="5E4718A0">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rPr>
                  </w:pPr>
                  <w:r>
                    <w:rPr>
                      <w:rFonts w:hint="default" w:ascii="Times New Roman" w:hAnsi="Times New Roman" w:eastAsia="宋体" w:cs="Times New Roman"/>
                      <w:b w:val="0"/>
                      <w:bCs w:val="0"/>
                      <w:color w:val="auto"/>
                      <w:spacing w:val="0"/>
                      <w:w w:val="100"/>
                      <w:kern w:val="2"/>
                      <w:position w:val="0"/>
                      <w:sz w:val="21"/>
                      <w:szCs w:val="21"/>
                    </w:rPr>
                    <w:t>物质名称</w:t>
                  </w:r>
                </w:p>
              </w:tc>
              <w:tc>
                <w:tcPr>
                  <w:tcW w:w="896" w:type="dxa"/>
                  <w:noWrap w:val="0"/>
                  <w:vAlign w:val="center"/>
                </w:tcPr>
                <w:p w14:paraId="2FAF163B">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rPr>
                  </w:pPr>
                  <w:r>
                    <w:rPr>
                      <w:rFonts w:hint="default" w:ascii="Times New Roman" w:hAnsi="Times New Roman" w:eastAsia="宋体" w:cs="Times New Roman"/>
                      <w:b w:val="0"/>
                      <w:bCs w:val="0"/>
                      <w:color w:val="auto"/>
                      <w:spacing w:val="0"/>
                      <w:w w:val="100"/>
                      <w:kern w:val="2"/>
                      <w:position w:val="0"/>
                      <w:sz w:val="21"/>
                      <w:szCs w:val="21"/>
                    </w:rPr>
                    <w:t>CAS号</w:t>
                  </w:r>
                </w:p>
              </w:tc>
              <w:tc>
                <w:tcPr>
                  <w:tcW w:w="895" w:type="dxa"/>
                  <w:noWrap w:val="0"/>
                  <w:vAlign w:val="center"/>
                </w:tcPr>
                <w:p w14:paraId="67D3532A">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rPr>
                  </w:pPr>
                  <w:r>
                    <w:rPr>
                      <w:rFonts w:hint="default" w:ascii="Times New Roman" w:hAnsi="Times New Roman" w:eastAsia="宋体" w:cs="Times New Roman"/>
                      <w:b w:val="0"/>
                      <w:bCs w:val="0"/>
                      <w:color w:val="auto"/>
                      <w:spacing w:val="0"/>
                      <w:w w:val="100"/>
                      <w:kern w:val="2"/>
                      <w:position w:val="0"/>
                      <w:sz w:val="21"/>
                      <w:szCs w:val="21"/>
                    </w:rPr>
                    <w:t>闪点(℃)</w:t>
                  </w:r>
                </w:p>
              </w:tc>
              <w:tc>
                <w:tcPr>
                  <w:tcW w:w="867" w:type="dxa"/>
                  <w:noWrap w:val="0"/>
                  <w:vAlign w:val="center"/>
                </w:tcPr>
                <w:p w14:paraId="3B0AD2EA">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rPr>
                  </w:pPr>
                  <w:r>
                    <w:rPr>
                      <w:rFonts w:hint="default" w:ascii="Times New Roman" w:hAnsi="Times New Roman" w:eastAsia="宋体" w:cs="Times New Roman"/>
                      <w:b w:val="0"/>
                      <w:bCs w:val="0"/>
                      <w:color w:val="auto"/>
                      <w:spacing w:val="0"/>
                      <w:w w:val="100"/>
                      <w:kern w:val="2"/>
                      <w:position w:val="0"/>
                      <w:sz w:val="21"/>
                      <w:szCs w:val="21"/>
                    </w:rPr>
                    <w:t>沸点(℃)</w:t>
                  </w:r>
                </w:p>
              </w:tc>
              <w:tc>
                <w:tcPr>
                  <w:tcW w:w="904" w:type="dxa"/>
                  <w:noWrap w:val="0"/>
                  <w:vAlign w:val="center"/>
                </w:tcPr>
                <w:p w14:paraId="759660A1">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rPr>
                  </w:pPr>
                  <w:r>
                    <w:rPr>
                      <w:rFonts w:hint="default" w:ascii="Times New Roman" w:hAnsi="Times New Roman" w:eastAsia="宋体" w:cs="Times New Roman"/>
                      <w:b w:val="0"/>
                      <w:bCs w:val="0"/>
                      <w:color w:val="auto"/>
                      <w:spacing w:val="0"/>
                      <w:w w:val="100"/>
                      <w:kern w:val="2"/>
                      <w:position w:val="0"/>
                      <w:sz w:val="21"/>
                      <w:szCs w:val="21"/>
                    </w:rPr>
                    <w:t>熔点(℃)</w:t>
                  </w:r>
                </w:p>
              </w:tc>
              <w:tc>
                <w:tcPr>
                  <w:tcW w:w="1157" w:type="dxa"/>
                  <w:noWrap w:val="0"/>
                  <w:vAlign w:val="center"/>
                </w:tcPr>
                <w:p w14:paraId="2139D366">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rPr>
                  </w:pPr>
                  <w:r>
                    <w:rPr>
                      <w:rFonts w:hint="default" w:ascii="Times New Roman" w:hAnsi="Times New Roman" w:eastAsia="宋体" w:cs="Times New Roman"/>
                      <w:b w:val="0"/>
                      <w:bCs w:val="0"/>
                      <w:color w:val="auto"/>
                      <w:spacing w:val="0"/>
                      <w:w w:val="100"/>
                      <w:kern w:val="2"/>
                      <w:position w:val="0"/>
                      <w:sz w:val="21"/>
                      <w:szCs w:val="21"/>
                    </w:rPr>
                    <w:t>LD</w:t>
                  </w:r>
                  <w:r>
                    <w:rPr>
                      <w:rFonts w:hint="default" w:ascii="Times New Roman" w:hAnsi="Times New Roman" w:eastAsia="宋体" w:cs="Times New Roman"/>
                      <w:b w:val="0"/>
                      <w:bCs w:val="0"/>
                      <w:color w:val="auto"/>
                      <w:spacing w:val="0"/>
                      <w:w w:val="100"/>
                      <w:kern w:val="2"/>
                      <w:position w:val="0"/>
                      <w:sz w:val="21"/>
                      <w:szCs w:val="21"/>
                      <w:vertAlign w:val="subscript"/>
                    </w:rPr>
                    <w:t>50</w:t>
                  </w:r>
                  <w:r>
                    <w:rPr>
                      <w:rFonts w:hint="default" w:ascii="Times New Roman" w:hAnsi="Times New Roman" w:eastAsia="宋体" w:cs="Times New Roman"/>
                      <w:b w:val="0"/>
                      <w:bCs w:val="0"/>
                      <w:color w:val="auto"/>
                      <w:spacing w:val="0"/>
                      <w:w w:val="100"/>
                      <w:kern w:val="2"/>
                      <w:position w:val="0"/>
                      <w:sz w:val="21"/>
                      <w:szCs w:val="21"/>
                    </w:rPr>
                    <w:t>（经口，mg/kg）</w:t>
                  </w:r>
                </w:p>
              </w:tc>
              <w:tc>
                <w:tcPr>
                  <w:tcW w:w="1227" w:type="dxa"/>
                  <w:noWrap w:val="0"/>
                  <w:vAlign w:val="center"/>
                </w:tcPr>
                <w:p w14:paraId="48A2163E">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rPr>
                  </w:pPr>
                  <w:r>
                    <w:rPr>
                      <w:rFonts w:hint="default" w:ascii="Times New Roman" w:hAnsi="Times New Roman" w:eastAsia="宋体" w:cs="Times New Roman"/>
                      <w:b w:val="0"/>
                      <w:bCs w:val="0"/>
                      <w:color w:val="auto"/>
                      <w:spacing w:val="0"/>
                      <w:w w:val="100"/>
                      <w:kern w:val="2"/>
                      <w:position w:val="0"/>
                      <w:sz w:val="21"/>
                      <w:szCs w:val="21"/>
                    </w:rPr>
                    <w:t>LD</w:t>
                  </w:r>
                  <w:r>
                    <w:rPr>
                      <w:rFonts w:hint="default" w:ascii="Times New Roman" w:hAnsi="Times New Roman" w:eastAsia="宋体" w:cs="Times New Roman"/>
                      <w:b w:val="0"/>
                      <w:bCs w:val="0"/>
                      <w:color w:val="auto"/>
                      <w:spacing w:val="0"/>
                      <w:w w:val="100"/>
                      <w:kern w:val="2"/>
                      <w:position w:val="0"/>
                      <w:sz w:val="21"/>
                      <w:szCs w:val="21"/>
                      <w:vertAlign w:val="subscript"/>
                    </w:rPr>
                    <w:t>50</w:t>
                  </w:r>
                  <w:r>
                    <w:rPr>
                      <w:rFonts w:hint="default" w:ascii="Times New Roman" w:hAnsi="Times New Roman" w:eastAsia="宋体" w:cs="Times New Roman"/>
                      <w:b w:val="0"/>
                      <w:bCs w:val="0"/>
                      <w:color w:val="auto"/>
                      <w:spacing w:val="0"/>
                      <w:w w:val="100"/>
                      <w:kern w:val="2"/>
                      <w:position w:val="0"/>
                      <w:sz w:val="21"/>
                      <w:szCs w:val="21"/>
                    </w:rPr>
                    <w:t>（经皮，</w:t>
                  </w:r>
                </w:p>
                <w:p w14:paraId="1424E1AA">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rPr>
                  </w:pPr>
                  <w:r>
                    <w:rPr>
                      <w:rFonts w:hint="default" w:ascii="Times New Roman" w:hAnsi="Times New Roman" w:eastAsia="宋体" w:cs="Times New Roman"/>
                      <w:b w:val="0"/>
                      <w:bCs w:val="0"/>
                      <w:color w:val="auto"/>
                      <w:spacing w:val="0"/>
                      <w:w w:val="100"/>
                      <w:kern w:val="2"/>
                      <w:position w:val="0"/>
                      <w:sz w:val="21"/>
                      <w:szCs w:val="21"/>
                    </w:rPr>
                    <w:t>mg/kg）</w:t>
                  </w:r>
                </w:p>
              </w:tc>
              <w:tc>
                <w:tcPr>
                  <w:tcW w:w="1221" w:type="dxa"/>
                  <w:noWrap w:val="0"/>
                  <w:vAlign w:val="center"/>
                </w:tcPr>
                <w:p w14:paraId="00DC7846">
                  <w:pPr>
                    <w:keepNext w:val="0"/>
                    <w:keepLines w:val="0"/>
                    <w:pageBreakBefore w:val="0"/>
                    <w:widowControl w:val="0"/>
                    <w:kinsoku/>
                    <w:wordWrap/>
                    <w:overflowPunct/>
                    <w:topLinePunct w:val="0"/>
                    <w:autoSpaceDE/>
                    <w:autoSpaceDN/>
                    <w:bidi w:val="0"/>
                    <w:adjustRightInd/>
                    <w:snapToGrid/>
                    <w:spacing w:line="240" w:lineRule="atLeast"/>
                    <w:ind w:left="0" w:right="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rPr>
                  </w:pPr>
                  <w:r>
                    <w:rPr>
                      <w:rFonts w:hint="default" w:ascii="Times New Roman" w:hAnsi="Times New Roman" w:eastAsia="宋体" w:cs="Times New Roman"/>
                      <w:b w:val="0"/>
                      <w:bCs w:val="0"/>
                      <w:color w:val="auto"/>
                      <w:spacing w:val="0"/>
                      <w:w w:val="100"/>
                      <w:kern w:val="2"/>
                      <w:position w:val="0"/>
                      <w:sz w:val="21"/>
                      <w:szCs w:val="21"/>
                    </w:rPr>
                    <w:t>LC</w:t>
                  </w:r>
                  <w:r>
                    <w:rPr>
                      <w:rFonts w:hint="default" w:ascii="Times New Roman" w:hAnsi="Times New Roman" w:eastAsia="宋体" w:cs="Times New Roman"/>
                      <w:b w:val="0"/>
                      <w:bCs w:val="0"/>
                      <w:color w:val="auto"/>
                      <w:spacing w:val="0"/>
                      <w:w w:val="100"/>
                      <w:kern w:val="2"/>
                      <w:position w:val="0"/>
                      <w:sz w:val="21"/>
                      <w:szCs w:val="21"/>
                      <w:vertAlign w:val="subscript"/>
                    </w:rPr>
                    <w:t>50</w:t>
                  </w:r>
                  <w:r>
                    <w:rPr>
                      <w:rFonts w:hint="default" w:ascii="Times New Roman" w:hAnsi="Times New Roman" w:eastAsia="宋体" w:cs="Times New Roman"/>
                      <w:b w:val="0"/>
                      <w:bCs w:val="0"/>
                      <w:color w:val="auto"/>
                      <w:spacing w:val="0"/>
                      <w:w w:val="100"/>
                      <w:kern w:val="2"/>
                      <w:position w:val="0"/>
                      <w:sz w:val="21"/>
                      <w:szCs w:val="21"/>
                    </w:rPr>
                    <w:t>（大鼠吸入mg/m</w:t>
                  </w:r>
                  <w:r>
                    <w:rPr>
                      <w:rFonts w:hint="default" w:ascii="Times New Roman" w:hAnsi="Times New Roman" w:eastAsia="宋体" w:cs="Times New Roman"/>
                      <w:b w:val="0"/>
                      <w:bCs w:val="0"/>
                      <w:color w:val="auto"/>
                      <w:spacing w:val="0"/>
                      <w:w w:val="100"/>
                      <w:kern w:val="2"/>
                      <w:position w:val="0"/>
                      <w:sz w:val="21"/>
                      <w:szCs w:val="21"/>
                      <w:vertAlign w:val="superscript"/>
                    </w:rPr>
                    <w:t>3</w:t>
                  </w:r>
                  <w:r>
                    <w:rPr>
                      <w:rFonts w:hint="default" w:ascii="Times New Roman" w:hAnsi="Times New Roman" w:eastAsia="宋体" w:cs="Times New Roman"/>
                      <w:b w:val="0"/>
                      <w:bCs w:val="0"/>
                      <w:color w:val="auto"/>
                      <w:spacing w:val="0"/>
                      <w:w w:val="100"/>
                      <w:kern w:val="2"/>
                      <w:position w:val="0"/>
                      <w:sz w:val="21"/>
                      <w:szCs w:val="21"/>
                    </w:rPr>
                    <w:t>）</w:t>
                  </w:r>
                </w:p>
              </w:tc>
            </w:tr>
            <w:tr w14:paraId="188AA5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43" w:type="dxa"/>
                  <w:noWrap w:val="0"/>
                  <w:vAlign w:val="center"/>
                </w:tcPr>
                <w:p w14:paraId="64F15B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cs="Times New Roman"/>
                      <w:color w:val="auto"/>
                      <w:kern w:val="0"/>
                      <w:sz w:val="21"/>
                      <w:szCs w:val="21"/>
                      <w:lang w:val="en-US" w:eastAsia="zh-CN"/>
                    </w:rPr>
                    <w:t>切削液</w:t>
                  </w:r>
                </w:p>
              </w:tc>
              <w:tc>
                <w:tcPr>
                  <w:tcW w:w="896" w:type="dxa"/>
                  <w:noWrap w:val="0"/>
                  <w:vAlign w:val="center"/>
                </w:tcPr>
                <w:p w14:paraId="265EB299">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bidi="ar-SA"/>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895" w:type="dxa"/>
                  <w:noWrap w:val="0"/>
                  <w:vAlign w:val="center"/>
                </w:tcPr>
                <w:p w14:paraId="5E562014">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bidi="ar-SA"/>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867" w:type="dxa"/>
                  <w:noWrap w:val="0"/>
                  <w:vAlign w:val="center"/>
                </w:tcPr>
                <w:p w14:paraId="23A009B0">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bidi="ar-SA"/>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904" w:type="dxa"/>
                  <w:noWrap w:val="0"/>
                  <w:vAlign w:val="center"/>
                </w:tcPr>
                <w:p w14:paraId="6D2C97E5">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bidi="ar-SA"/>
                    </w:rPr>
                  </w:pPr>
                  <w:r>
                    <w:rPr>
                      <w:rFonts w:hint="default" w:ascii="Times New Roman" w:hAnsi="Times New Roman" w:eastAsia="宋体" w:cs="Times New Roman"/>
                      <w:b w:val="0"/>
                      <w:bCs w:val="0"/>
                      <w:color w:val="auto"/>
                      <w:spacing w:val="0"/>
                      <w:w w:val="100"/>
                      <w:kern w:val="2"/>
                      <w:position w:val="0"/>
                      <w:sz w:val="21"/>
                      <w:szCs w:val="21"/>
                    </w:rPr>
                    <w:t>/</w:t>
                  </w:r>
                </w:p>
              </w:tc>
              <w:tc>
                <w:tcPr>
                  <w:tcW w:w="1157" w:type="dxa"/>
                  <w:noWrap w:val="0"/>
                  <w:vAlign w:val="center"/>
                </w:tcPr>
                <w:p w14:paraId="60E62D68">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bidi="ar-SA"/>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1227" w:type="dxa"/>
                  <w:noWrap w:val="0"/>
                  <w:vAlign w:val="center"/>
                </w:tcPr>
                <w:p w14:paraId="2402AD25">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bidi="ar-SA"/>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1221" w:type="dxa"/>
                  <w:noWrap w:val="0"/>
                  <w:vAlign w:val="center"/>
                </w:tcPr>
                <w:p w14:paraId="44D70039">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bidi="ar-SA"/>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r>
            <w:tr w14:paraId="66F881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43" w:type="dxa"/>
                  <w:noWrap w:val="0"/>
                  <w:vAlign w:val="center"/>
                </w:tcPr>
                <w:p w14:paraId="022F37EB">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eastAsia" w:cs="Times New Roman"/>
                      <w:color w:val="auto"/>
                      <w:kern w:val="0"/>
                      <w:sz w:val="21"/>
                      <w:szCs w:val="21"/>
                      <w:highlight w:val="none"/>
                      <w:lang w:val="en-US" w:eastAsia="zh-CN" w:bidi="ar-SA"/>
                    </w:rPr>
                    <w:t>清洗剂</w:t>
                  </w:r>
                </w:p>
              </w:tc>
              <w:tc>
                <w:tcPr>
                  <w:tcW w:w="896" w:type="dxa"/>
                  <w:noWrap w:val="0"/>
                  <w:vAlign w:val="center"/>
                </w:tcPr>
                <w:p w14:paraId="0A7334E1">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895" w:type="dxa"/>
                  <w:noWrap w:val="0"/>
                  <w:vAlign w:val="center"/>
                </w:tcPr>
                <w:p w14:paraId="14D729AD">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867" w:type="dxa"/>
                  <w:noWrap w:val="0"/>
                  <w:vAlign w:val="center"/>
                </w:tcPr>
                <w:p w14:paraId="4DF50E71">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904" w:type="dxa"/>
                  <w:noWrap w:val="0"/>
                  <w:vAlign w:val="center"/>
                </w:tcPr>
                <w:p w14:paraId="6096FB14">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rPr>
                    <w:t>/</w:t>
                  </w:r>
                </w:p>
              </w:tc>
              <w:tc>
                <w:tcPr>
                  <w:tcW w:w="1157" w:type="dxa"/>
                  <w:noWrap w:val="0"/>
                  <w:vAlign w:val="center"/>
                </w:tcPr>
                <w:p w14:paraId="67426848">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eastAsia" w:ascii="Times New Roman" w:hAnsi="Times New Roman" w:eastAsia="宋体" w:cs="Times New Roman"/>
                      <w:b w:val="0"/>
                      <w:bCs w:val="0"/>
                      <w:color w:val="auto"/>
                      <w:spacing w:val="0"/>
                      <w:w w:val="100"/>
                      <w:kern w:val="2"/>
                      <w:position w:val="0"/>
                      <w:sz w:val="21"/>
                      <w:szCs w:val="21"/>
                      <w:lang w:val="en-US" w:eastAsia="zh-CN"/>
                    </w:rPr>
                    <w:t>600</w:t>
                  </w:r>
                </w:p>
              </w:tc>
              <w:tc>
                <w:tcPr>
                  <w:tcW w:w="1227" w:type="dxa"/>
                  <w:noWrap w:val="0"/>
                  <w:vAlign w:val="center"/>
                </w:tcPr>
                <w:p w14:paraId="17E44BF7">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1221" w:type="dxa"/>
                  <w:noWrap w:val="0"/>
                  <w:vAlign w:val="center"/>
                </w:tcPr>
                <w:p w14:paraId="609F4F40">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r>
            <w:tr w14:paraId="58239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43" w:type="dxa"/>
                  <w:noWrap w:val="0"/>
                  <w:vAlign w:val="center"/>
                </w:tcPr>
                <w:p w14:paraId="001B260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eastAsia" w:cs="Times New Roman"/>
                      <w:color w:val="auto"/>
                      <w:kern w:val="0"/>
                      <w:sz w:val="21"/>
                      <w:szCs w:val="21"/>
                      <w:highlight w:val="none"/>
                      <w:lang w:val="en-US" w:eastAsia="zh-CN" w:bidi="ar-SA"/>
                    </w:rPr>
                    <w:t>机油</w:t>
                  </w:r>
                </w:p>
              </w:tc>
              <w:tc>
                <w:tcPr>
                  <w:tcW w:w="896" w:type="dxa"/>
                  <w:noWrap w:val="0"/>
                  <w:vAlign w:val="center"/>
                </w:tcPr>
                <w:p w14:paraId="26A35D67">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895" w:type="dxa"/>
                  <w:noWrap w:val="0"/>
                  <w:vAlign w:val="center"/>
                </w:tcPr>
                <w:p w14:paraId="08A5B684">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867" w:type="dxa"/>
                  <w:noWrap w:val="0"/>
                  <w:vAlign w:val="center"/>
                </w:tcPr>
                <w:p w14:paraId="3E3BEFA9">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904" w:type="dxa"/>
                  <w:noWrap w:val="0"/>
                  <w:vAlign w:val="center"/>
                </w:tcPr>
                <w:p w14:paraId="0C62CD14">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rPr>
                    <w:t>/</w:t>
                  </w:r>
                </w:p>
              </w:tc>
              <w:tc>
                <w:tcPr>
                  <w:tcW w:w="1157" w:type="dxa"/>
                  <w:noWrap w:val="0"/>
                  <w:vAlign w:val="center"/>
                </w:tcPr>
                <w:p w14:paraId="0B9FDCFD">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1227" w:type="dxa"/>
                  <w:noWrap w:val="0"/>
                  <w:vAlign w:val="center"/>
                </w:tcPr>
                <w:p w14:paraId="5825A326">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1221" w:type="dxa"/>
                  <w:noWrap w:val="0"/>
                  <w:vAlign w:val="center"/>
                </w:tcPr>
                <w:p w14:paraId="4DB2E582">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r>
            <w:tr w14:paraId="3BFB7D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43" w:type="dxa"/>
                  <w:noWrap w:val="0"/>
                  <w:vAlign w:val="center"/>
                </w:tcPr>
                <w:p w14:paraId="15B9388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PAC</w:t>
                  </w:r>
                </w:p>
              </w:tc>
              <w:tc>
                <w:tcPr>
                  <w:tcW w:w="896" w:type="dxa"/>
                  <w:noWrap w:val="0"/>
                  <w:vAlign w:val="center"/>
                </w:tcPr>
                <w:p w14:paraId="14CF4DA7">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895" w:type="dxa"/>
                  <w:noWrap w:val="0"/>
                  <w:vAlign w:val="center"/>
                </w:tcPr>
                <w:p w14:paraId="3603813D">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867" w:type="dxa"/>
                  <w:noWrap w:val="0"/>
                  <w:vAlign w:val="center"/>
                </w:tcPr>
                <w:p w14:paraId="626BEE6F">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904" w:type="dxa"/>
                  <w:noWrap w:val="0"/>
                  <w:vAlign w:val="center"/>
                </w:tcPr>
                <w:p w14:paraId="7A4D94B7">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eastAsia" w:cs="Times New Roman"/>
                      <w:b w:val="0"/>
                      <w:bCs w:val="0"/>
                      <w:color w:val="auto"/>
                      <w:spacing w:val="0"/>
                      <w:w w:val="100"/>
                      <w:kern w:val="2"/>
                      <w:position w:val="0"/>
                      <w:sz w:val="21"/>
                      <w:szCs w:val="21"/>
                      <w:lang w:val="en-US" w:eastAsia="zh-CN"/>
                    </w:rPr>
                    <w:t>190</w:t>
                  </w:r>
                </w:p>
              </w:tc>
              <w:tc>
                <w:tcPr>
                  <w:tcW w:w="1157" w:type="dxa"/>
                  <w:noWrap w:val="0"/>
                  <w:vAlign w:val="center"/>
                </w:tcPr>
                <w:p w14:paraId="3FA84B4C">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1227" w:type="dxa"/>
                  <w:noWrap w:val="0"/>
                  <w:vAlign w:val="center"/>
                </w:tcPr>
                <w:p w14:paraId="7C569C6D">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1221" w:type="dxa"/>
                  <w:noWrap w:val="0"/>
                  <w:vAlign w:val="center"/>
                </w:tcPr>
                <w:p w14:paraId="62EDD4EA">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r>
            <w:tr w14:paraId="12791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43" w:type="dxa"/>
                  <w:noWrap w:val="0"/>
                  <w:vAlign w:val="center"/>
                </w:tcPr>
                <w:p w14:paraId="31E87B7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PAM</w:t>
                  </w:r>
                </w:p>
              </w:tc>
              <w:tc>
                <w:tcPr>
                  <w:tcW w:w="896" w:type="dxa"/>
                  <w:noWrap w:val="0"/>
                  <w:vAlign w:val="center"/>
                </w:tcPr>
                <w:p w14:paraId="22407691">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895" w:type="dxa"/>
                  <w:noWrap w:val="0"/>
                  <w:vAlign w:val="center"/>
                </w:tcPr>
                <w:p w14:paraId="21A7D552">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867" w:type="dxa"/>
                  <w:noWrap w:val="0"/>
                  <w:vAlign w:val="center"/>
                </w:tcPr>
                <w:p w14:paraId="5E9500E7">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904" w:type="dxa"/>
                  <w:noWrap w:val="0"/>
                  <w:vAlign w:val="center"/>
                </w:tcPr>
                <w:p w14:paraId="6A2EF551">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rPr>
                  </w:pPr>
                  <w:r>
                    <w:rPr>
                      <w:rFonts w:hint="default" w:ascii="Times New Roman" w:hAnsi="Times New Roman" w:eastAsia="宋体" w:cs="Times New Roman"/>
                      <w:b w:val="0"/>
                      <w:bCs w:val="0"/>
                      <w:color w:val="auto"/>
                      <w:spacing w:val="0"/>
                      <w:w w:val="100"/>
                      <w:kern w:val="2"/>
                      <w:position w:val="0"/>
                      <w:sz w:val="21"/>
                      <w:szCs w:val="21"/>
                    </w:rPr>
                    <w:t>/</w:t>
                  </w:r>
                </w:p>
              </w:tc>
              <w:tc>
                <w:tcPr>
                  <w:tcW w:w="1157" w:type="dxa"/>
                  <w:noWrap w:val="0"/>
                  <w:vAlign w:val="center"/>
                </w:tcPr>
                <w:p w14:paraId="3925530B">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1227" w:type="dxa"/>
                  <w:noWrap w:val="0"/>
                  <w:vAlign w:val="center"/>
                </w:tcPr>
                <w:p w14:paraId="7EB3618E">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1221" w:type="dxa"/>
                  <w:noWrap w:val="0"/>
                  <w:vAlign w:val="center"/>
                </w:tcPr>
                <w:p w14:paraId="4C317459">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r>
            <w:tr w14:paraId="04A7E4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43" w:type="dxa"/>
                  <w:noWrap w:val="0"/>
                  <w:vAlign w:val="center"/>
                </w:tcPr>
                <w:p w14:paraId="4906EE19">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kern w:val="0"/>
                      <w:sz w:val="21"/>
                      <w:szCs w:val="21"/>
                      <w:highlight w:val="none"/>
                      <w:lang w:val="en-US" w:eastAsia="zh-CN" w:bidi="ar-SA"/>
                    </w:rPr>
                  </w:pPr>
                  <w:r>
                    <w:rPr>
                      <w:rFonts w:hint="eastAsia"/>
                      <w:color w:val="auto"/>
                      <w:lang w:val="en-US" w:eastAsia="zh-CN"/>
                    </w:rPr>
                    <w:t>柠檬酸</w:t>
                  </w:r>
                </w:p>
              </w:tc>
              <w:tc>
                <w:tcPr>
                  <w:tcW w:w="896" w:type="dxa"/>
                  <w:noWrap w:val="0"/>
                  <w:vAlign w:val="center"/>
                </w:tcPr>
                <w:p w14:paraId="06E49EBF">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895" w:type="dxa"/>
                  <w:noWrap w:val="0"/>
                  <w:vAlign w:val="center"/>
                </w:tcPr>
                <w:p w14:paraId="2DC0FBB2">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867" w:type="dxa"/>
                  <w:noWrap w:val="0"/>
                  <w:vAlign w:val="center"/>
                </w:tcPr>
                <w:p w14:paraId="64E502B6">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eastAsia" w:cs="Times New Roman"/>
                      <w:b w:val="0"/>
                      <w:bCs w:val="0"/>
                      <w:color w:val="auto"/>
                      <w:spacing w:val="0"/>
                      <w:w w:val="100"/>
                      <w:kern w:val="2"/>
                      <w:position w:val="0"/>
                      <w:sz w:val="21"/>
                      <w:szCs w:val="21"/>
                      <w:lang w:val="en-US" w:eastAsia="zh-CN"/>
                    </w:rPr>
                    <w:t>175</w:t>
                  </w:r>
                </w:p>
              </w:tc>
              <w:tc>
                <w:tcPr>
                  <w:tcW w:w="904" w:type="dxa"/>
                  <w:noWrap w:val="0"/>
                  <w:vAlign w:val="center"/>
                </w:tcPr>
                <w:p w14:paraId="5CD63E78">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eastAsia" w:cs="Times New Roman"/>
                      <w:b w:val="0"/>
                      <w:bCs w:val="0"/>
                      <w:color w:val="auto"/>
                      <w:spacing w:val="0"/>
                      <w:w w:val="100"/>
                      <w:kern w:val="2"/>
                      <w:position w:val="0"/>
                      <w:sz w:val="21"/>
                      <w:szCs w:val="21"/>
                      <w:lang w:val="en-US" w:eastAsia="zh-CN"/>
                    </w:rPr>
                    <w:t>153-159</w:t>
                  </w:r>
                </w:p>
              </w:tc>
              <w:tc>
                <w:tcPr>
                  <w:tcW w:w="1157" w:type="dxa"/>
                  <w:noWrap w:val="0"/>
                  <w:vAlign w:val="center"/>
                </w:tcPr>
                <w:p w14:paraId="67CBE703">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1227" w:type="dxa"/>
                  <w:noWrap w:val="0"/>
                  <w:vAlign w:val="center"/>
                </w:tcPr>
                <w:p w14:paraId="0B6B62E0">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1221" w:type="dxa"/>
                  <w:noWrap w:val="0"/>
                  <w:vAlign w:val="center"/>
                </w:tcPr>
                <w:p w14:paraId="5E1FFEEB">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r>
            <w:tr w14:paraId="3443B7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143" w:type="dxa"/>
                  <w:noWrap w:val="0"/>
                  <w:vAlign w:val="center"/>
                </w:tcPr>
                <w:p w14:paraId="0FA383AD">
                  <w:pPr>
                    <w:pStyle w:val="30"/>
                    <w:keepNext w:val="0"/>
                    <w:keepLines w:val="0"/>
                    <w:pageBreakBefore w:val="0"/>
                    <w:widowControl w:val="0"/>
                    <w:kinsoku/>
                    <w:wordWrap/>
                    <w:overflowPunct/>
                    <w:topLinePunct w:val="0"/>
                    <w:autoSpaceDE/>
                    <w:autoSpaceDN/>
                    <w:bidi w:val="0"/>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危废</w:t>
                  </w:r>
                </w:p>
              </w:tc>
              <w:tc>
                <w:tcPr>
                  <w:tcW w:w="896" w:type="dxa"/>
                  <w:noWrap w:val="0"/>
                  <w:vAlign w:val="center"/>
                </w:tcPr>
                <w:p w14:paraId="6A85B876">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895" w:type="dxa"/>
                  <w:noWrap w:val="0"/>
                  <w:vAlign w:val="center"/>
                </w:tcPr>
                <w:p w14:paraId="598033C0">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867" w:type="dxa"/>
                  <w:noWrap w:val="0"/>
                  <w:vAlign w:val="center"/>
                </w:tcPr>
                <w:p w14:paraId="4FE10333">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904" w:type="dxa"/>
                  <w:noWrap w:val="0"/>
                  <w:vAlign w:val="center"/>
                </w:tcPr>
                <w:p w14:paraId="4E53177B">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1157" w:type="dxa"/>
                  <w:noWrap w:val="0"/>
                  <w:vAlign w:val="center"/>
                </w:tcPr>
                <w:p w14:paraId="26F6DEEE">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1227" w:type="dxa"/>
                  <w:noWrap w:val="0"/>
                  <w:vAlign w:val="center"/>
                </w:tcPr>
                <w:p w14:paraId="77C78C38">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c>
                <w:tcPr>
                  <w:tcW w:w="1221" w:type="dxa"/>
                  <w:noWrap w:val="0"/>
                  <w:vAlign w:val="center"/>
                </w:tcPr>
                <w:p w14:paraId="0888FDA0">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b w:val="0"/>
                      <w:bCs w:val="0"/>
                      <w:color w:val="auto"/>
                      <w:spacing w:val="0"/>
                      <w:w w:val="100"/>
                      <w:kern w:val="2"/>
                      <w:position w:val="0"/>
                      <w:sz w:val="21"/>
                      <w:szCs w:val="21"/>
                      <w:lang w:val="en-US" w:eastAsia="zh-CN"/>
                    </w:rPr>
                    <w:t>/</w:t>
                  </w:r>
                </w:p>
              </w:tc>
            </w:tr>
          </w:tbl>
          <w:p w14:paraId="3909947E">
            <w:pPr>
              <w:spacing w:before="35" w:line="213" w:lineRule="auto"/>
              <w:ind w:left="1616"/>
              <w:rPr>
                <w:rFonts w:hint="default" w:ascii="Times New Roman" w:hAnsi="Times New Roman" w:eastAsia="宋体" w:cs="Times New Roman"/>
                <w:b/>
                <w:bCs/>
                <w:color w:val="auto"/>
                <w:spacing w:val="0"/>
                <w:w w:val="100"/>
                <w:kern w:val="2"/>
                <w:position w:val="0"/>
                <w:sz w:val="21"/>
                <w:szCs w:val="21"/>
              </w:rPr>
            </w:pPr>
            <w:r>
              <w:rPr>
                <w:rFonts w:hint="default" w:ascii="Times New Roman" w:hAnsi="Times New Roman" w:eastAsia="宋体" w:cs="Times New Roman"/>
                <w:b/>
                <w:bCs/>
                <w:color w:val="auto"/>
                <w:spacing w:val="0"/>
                <w:w w:val="100"/>
                <w:kern w:val="2"/>
                <w:position w:val="0"/>
                <w:sz w:val="21"/>
                <w:szCs w:val="21"/>
              </w:rPr>
              <w:t>表4-</w:t>
            </w:r>
            <w:r>
              <w:rPr>
                <w:rFonts w:hint="eastAsia" w:cs="Times New Roman"/>
                <w:b/>
                <w:bCs/>
                <w:color w:val="auto"/>
                <w:spacing w:val="0"/>
                <w:w w:val="100"/>
                <w:kern w:val="2"/>
                <w:position w:val="0"/>
                <w:sz w:val="21"/>
                <w:szCs w:val="21"/>
                <w:lang w:val="en-US" w:eastAsia="zh-CN"/>
              </w:rPr>
              <w:t>24</w:t>
            </w:r>
            <w:r>
              <w:rPr>
                <w:rFonts w:hint="default" w:ascii="Times New Roman" w:hAnsi="Times New Roman" w:eastAsia="宋体" w:cs="Times New Roman"/>
                <w:b/>
                <w:bCs/>
                <w:color w:val="auto"/>
                <w:spacing w:val="0"/>
                <w:w w:val="100"/>
                <w:kern w:val="2"/>
                <w:position w:val="0"/>
                <w:sz w:val="21"/>
                <w:szCs w:val="21"/>
              </w:rPr>
              <w:t>项目危险物质危险、有害因素辨识汇总</w:t>
            </w:r>
          </w:p>
          <w:tbl>
            <w:tblPr>
              <w:tblStyle w:val="33"/>
              <w:tblW w:w="8294" w:type="dxa"/>
              <w:tblInd w:w="2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85"/>
              <w:gridCol w:w="1701"/>
              <w:gridCol w:w="1704"/>
              <w:gridCol w:w="1813"/>
              <w:gridCol w:w="1491"/>
            </w:tblGrid>
            <w:tr w14:paraId="55D371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585" w:type="dxa"/>
                  <w:vMerge w:val="restart"/>
                  <w:tcBorders>
                    <w:bottom w:val="nil"/>
                  </w:tcBorders>
                  <w:noWrap w:val="0"/>
                  <w:vAlign w:val="top"/>
                </w:tcPr>
                <w:p w14:paraId="0F061072">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物质名称</w:t>
                  </w:r>
                </w:p>
              </w:tc>
              <w:tc>
                <w:tcPr>
                  <w:tcW w:w="3405" w:type="dxa"/>
                  <w:gridSpan w:val="2"/>
                  <w:noWrap w:val="0"/>
                  <w:vAlign w:val="top"/>
                </w:tcPr>
                <w:p w14:paraId="2ACEA960">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有毒物质</w:t>
                  </w:r>
                </w:p>
              </w:tc>
              <w:tc>
                <w:tcPr>
                  <w:tcW w:w="1813" w:type="dxa"/>
                  <w:vMerge w:val="restart"/>
                  <w:tcBorders>
                    <w:bottom w:val="nil"/>
                  </w:tcBorders>
                  <w:noWrap w:val="0"/>
                  <w:vAlign w:val="center"/>
                </w:tcPr>
                <w:p w14:paraId="246B1DA7">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可、易燃物质</w:t>
                  </w:r>
                </w:p>
              </w:tc>
              <w:tc>
                <w:tcPr>
                  <w:tcW w:w="1491" w:type="dxa"/>
                  <w:vMerge w:val="restart"/>
                  <w:tcBorders>
                    <w:bottom w:val="nil"/>
                  </w:tcBorders>
                  <w:noWrap w:val="0"/>
                  <w:vAlign w:val="center"/>
                </w:tcPr>
                <w:p w14:paraId="4BF1B3A0">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腐蚀性物质</w:t>
                  </w:r>
                </w:p>
              </w:tc>
            </w:tr>
            <w:tr w14:paraId="24BAC6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trPr>
              <w:tc>
                <w:tcPr>
                  <w:tcW w:w="1585" w:type="dxa"/>
                  <w:vMerge w:val="continue"/>
                  <w:tcBorders>
                    <w:top w:val="nil"/>
                  </w:tcBorders>
                  <w:noWrap w:val="0"/>
                  <w:vAlign w:val="top"/>
                </w:tcPr>
                <w:p w14:paraId="58FE2FA0">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p>
              </w:tc>
              <w:tc>
                <w:tcPr>
                  <w:tcW w:w="1701" w:type="dxa"/>
                  <w:noWrap w:val="0"/>
                  <w:vAlign w:val="top"/>
                </w:tcPr>
                <w:p w14:paraId="584701E8">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剧毒</w:t>
                  </w:r>
                </w:p>
              </w:tc>
              <w:tc>
                <w:tcPr>
                  <w:tcW w:w="1704" w:type="dxa"/>
                  <w:noWrap w:val="0"/>
                  <w:vAlign w:val="top"/>
                </w:tcPr>
                <w:p w14:paraId="678AC9AF">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一般毒性</w:t>
                  </w:r>
                </w:p>
              </w:tc>
              <w:tc>
                <w:tcPr>
                  <w:tcW w:w="1813" w:type="dxa"/>
                  <w:vMerge w:val="continue"/>
                  <w:tcBorders>
                    <w:top w:val="nil"/>
                  </w:tcBorders>
                  <w:noWrap w:val="0"/>
                  <w:vAlign w:val="top"/>
                </w:tcPr>
                <w:p w14:paraId="64B6A76F">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p>
              </w:tc>
              <w:tc>
                <w:tcPr>
                  <w:tcW w:w="1491" w:type="dxa"/>
                  <w:vMerge w:val="continue"/>
                  <w:tcBorders>
                    <w:top w:val="nil"/>
                  </w:tcBorders>
                  <w:noWrap w:val="0"/>
                  <w:vAlign w:val="top"/>
                </w:tcPr>
                <w:p w14:paraId="4BEB070F">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p>
              </w:tc>
            </w:tr>
            <w:tr w14:paraId="48878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85" w:type="dxa"/>
                  <w:noWrap w:val="0"/>
                  <w:vAlign w:val="center"/>
                </w:tcPr>
                <w:p w14:paraId="4FDF82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cs="Times New Roman"/>
                      <w:color w:val="auto"/>
                      <w:kern w:val="0"/>
                      <w:sz w:val="21"/>
                      <w:szCs w:val="21"/>
                      <w:lang w:val="en-US" w:eastAsia="zh-CN"/>
                    </w:rPr>
                    <w:t>切削液</w:t>
                  </w:r>
                </w:p>
              </w:tc>
              <w:tc>
                <w:tcPr>
                  <w:tcW w:w="1701" w:type="dxa"/>
                  <w:noWrap w:val="0"/>
                  <w:vAlign w:val="top"/>
                </w:tcPr>
                <w:p w14:paraId="0F0E2AF0">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704" w:type="dxa"/>
                  <w:noWrap w:val="0"/>
                  <w:vAlign w:val="top"/>
                </w:tcPr>
                <w:p w14:paraId="5A497DA3">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813" w:type="dxa"/>
                  <w:noWrap w:val="0"/>
                  <w:vAlign w:val="top"/>
                </w:tcPr>
                <w:p w14:paraId="7C25FAAB">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491" w:type="dxa"/>
                  <w:noWrap w:val="0"/>
                  <w:vAlign w:val="top"/>
                </w:tcPr>
                <w:p w14:paraId="66A36131">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r>
            <w:tr w14:paraId="13F5DF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85" w:type="dxa"/>
                  <w:noWrap w:val="0"/>
                  <w:vAlign w:val="center"/>
                </w:tcPr>
                <w:p w14:paraId="15B54BE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color w:val="auto"/>
                      <w:kern w:val="0"/>
                      <w:sz w:val="21"/>
                      <w:szCs w:val="21"/>
                      <w:highlight w:val="none"/>
                      <w:lang w:val="en-US" w:eastAsia="zh-CN" w:bidi="ar-SA"/>
                    </w:rPr>
                    <w:t>清洗剂</w:t>
                  </w:r>
                </w:p>
              </w:tc>
              <w:tc>
                <w:tcPr>
                  <w:tcW w:w="1701" w:type="dxa"/>
                  <w:noWrap w:val="0"/>
                  <w:vAlign w:val="top"/>
                </w:tcPr>
                <w:p w14:paraId="59429031">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704" w:type="dxa"/>
                  <w:noWrap w:val="0"/>
                  <w:vAlign w:val="top"/>
                </w:tcPr>
                <w:p w14:paraId="4980D01E">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813" w:type="dxa"/>
                  <w:noWrap w:val="0"/>
                  <w:vAlign w:val="top"/>
                </w:tcPr>
                <w:p w14:paraId="64193EFD">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491" w:type="dxa"/>
                  <w:noWrap w:val="0"/>
                  <w:vAlign w:val="top"/>
                </w:tcPr>
                <w:p w14:paraId="5350B6B0">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r>
            <w:tr w14:paraId="21F32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85" w:type="dxa"/>
                  <w:noWrap w:val="0"/>
                  <w:vAlign w:val="center"/>
                </w:tcPr>
                <w:p w14:paraId="666066A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color w:val="auto"/>
                      <w:kern w:val="0"/>
                      <w:sz w:val="21"/>
                      <w:szCs w:val="21"/>
                      <w:highlight w:val="none"/>
                      <w:lang w:val="en-US" w:eastAsia="zh-CN" w:bidi="ar-SA"/>
                    </w:rPr>
                    <w:t>机油</w:t>
                  </w:r>
                </w:p>
              </w:tc>
              <w:tc>
                <w:tcPr>
                  <w:tcW w:w="1701" w:type="dxa"/>
                  <w:noWrap w:val="0"/>
                  <w:vAlign w:val="top"/>
                </w:tcPr>
                <w:p w14:paraId="6538DDB0">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704" w:type="dxa"/>
                  <w:noWrap w:val="0"/>
                  <w:vAlign w:val="top"/>
                </w:tcPr>
                <w:p w14:paraId="6B3DAEEC">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813" w:type="dxa"/>
                  <w:noWrap w:val="0"/>
                  <w:vAlign w:val="top"/>
                </w:tcPr>
                <w:p w14:paraId="74A6871A">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491" w:type="dxa"/>
                  <w:noWrap w:val="0"/>
                  <w:vAlign w:val="top"/>
                </w:tcPr>
                <w:p w14:paraId="07FC0F59">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r>
            <w:tr w14:paraId="1D416C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85" w:type="dxa"/>
                  <w:noWrap w:val="0"/>
                  <w:vAlign w:val="center"/>
                </w:tcPr>
                <w:p w14:paraId="6BC613B6">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PAC</w:t>
                  </w:r>
                </w:p>
              </w:tc>
              <w:tc>
                <w:tcPr>
                  <w:tcW w:w="1701" w:type="dxa"/>
                  <w:noWrap w:val="0"/>
                  <w:vAlign w:val="top"/>
                </w:tcPr>
                <w:p w14:paraId="0AC8284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704" w:type="dxa"/>
                  <w:noWrap w:val="0"/>
                  <w:vAlign w:val="top"/>
                </w:tcPr>
                <w:p w14:paraId="1118AEE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813" w:type="dxa"/>
                  <w:noWrap w:val="0"/>
                  <w:vAlign w:val="top"/>
                </w:tcPr>
                <w:p w14:paraId="34315A7F">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491" w:type="dxa"/>
                  <w:noWrap w:val="0"/>
                  <w:vAlign w:val="top"/>
                </w:tcPr>
                <w:p w14:paraId="185E023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r>
            <w:tr w14:paraId="1F79FA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85" w:type="dxa"/>
                  <w:noWrap w:val="0"/>
                  <w:vAlign w:val="center"/>
                </w:tcPr>
                <w:p w14:paraId="6B2E0D1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PAM</w:t>
                  </w:r>
                </w:p>
              </w:tc>
              <w:tc>
                <w:tcPr>
                  <w:tcW w:w="1701" w:type="dxa"/>
                  <w:noWrap w:val="0"/>
                  <w:vAlign w:val="top"/>
                </w:tcPr>
                <w:p w14:paraId="4B83BF3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704" w:type="dxa"/>
                  <w:noWrap w:val="0"/>
                  <w:vAlign w:val="top"/>
                </w:tcPr>
                <w:p w14:paraId="6F676F9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813" w:type="dxa"/>
                  <w:noWrap w:val="0"/>
                  <w:vAlign w:val="top"/>
                </w:tcPr>
                <w:p w14:paraId="111EB7E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491" w:type="dxa"/>
                  <w:noWrap w:val="0"/>
                  <w:vAlign w:val="top"/>
                </w:tcPr>
                <w:p w14:paraId="1A12EE2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r>
            <w:tr w14:paraId="508411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1585" w:type="dxa"/>
                  <w:noWrap w:val="0"/>
                  <w:vAlign w:val="center"/>
                </w:tcPr>
                <w:p w14:paraId="6193A7A8">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kern w:val="0"/>
                      <w:sz w:val="21"/>
                      <w:szCs w:val="21"/>
                      <w:highlight w:val="none"/>
                      <w:lang w:val="en-US" w:eastAsia="zh-CN" w:bidi="ar-SA"/>
                    </w:rPr>
                  </w:pPr>
                  <w:r>
                    <w:rPr>
                      <w:rFonts w:hint="eastAsia"/>
                      <w:color w:val="auto"/>
                      <w:lang w:val="en-US" w:eastAsia="zh-CN"/>
                    </w:rPr>
                    <w:t>柠檬酸</w:t>
                  </w:r>
                </w:p>
              </w:tc>
              <w:tc>
                <w:tcPr>
                  <w:tcW w:w="1701" w:type="dxa"/>
                  <w:noWrap w:val="0"/>
                  <w:vAlign w:val="top"/>
                </w:tcPr>
                <w:p w14:paraId="0DF4AF2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704" w:type="dxa"/>
                  <w:noWrap w:val="0"/>
                  <w:vAlign w:val="top"/>
                </w:tcPr>
                <w:p w14:paraId="1E77EFC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813" w:type="dxa"/>
                  <w:noWrap w:val="0"/>
                  <w:vAlign w:val="top"/>
                </w:tcPr>
                <w:p w14:paraId="6985E5F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491" w:type="dxa"/>
                  <w:noWrap w:val="0"/>
                  <w:vAlign w:val="top"/>
                </w:tcPr>
                <w:p w14:paraId="1298798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r>
            <w:tr w14:paraId="2A7A51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585" w:type="dxa"/>
                  <w:noWrap w:val="0"/>
                  <w:vAlign w:val="center"/>
                </w:tcPr>
                <w:p w14:paraId="29D467A1">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eastAsia" w:ascii="Times New Roman" w:hAnsi="Times New Roman" w:eastAsia="宋体" w:cs="Times New Roman"/>
                      <w:color w:val="auto"/>
                      <w:sz w:val="21"/>
                      <w:szCs w:val="21"/>
                      <w:lang w:val="en-US" w:eastAsia="zh-CN"/>
                    </w:rPr>
                    <w:t>污泥</w:t>
                  </w:r>
                </w:p>
              </w:tc>
              <w:tc>
                <w:tcPr>
                  <w:tcW w:w="1701" w:type="dxa"/>
                  <w:noWrap w:val="0"/>
                  <w:vAlign w:val="top"/>
                </w:tcPr>
                <w:p w14:paraId="455278DD">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pacing w:val="0"/>
                      <w:w w:val="100"/>
                      <w:kern w:val="2"/>
                      <w:position w:val="0"/>
                      <w:sz w:val="21"/>
                      <w:szCs w:val="21"/>
                      <w:lang w:val="en-US" w:eastAsia="zh-CN"/>
                    </w:rPr>
                  </w:pPr>
                  <w:r>
                    <w:rPr>
                      <w:rFonts w:hint="default" w:ascii="Times New Roman" w:hAnsi="Times New Roman" w:eastAsia="宋体" w:cs="Times New Roman"/>
                      <w:color w:val="auto"/>
                      <w:spacing w:val="0"/>
                      <w:w w:val="100"/>
                      <w:kern w:val="2"/>
                      <w:position w:val="0"/>
                      <w:sz w:val="21"/>
                      <w:szCs w:val="21"/>
                      <w:lang w:val="en-US" w:eastAsia="zh-CN"/>
                    </w:rPr>
                    <w:t>/</w:t>
                  </w:r>
                </w:p>
              </w:tc>
              <w:tc>
                <w:tcPr>
                  <w:tcW w:w="1704" w:type="dxa"/>
                  <w:noWrap w:val="0"/>
                  <w:vAlign w:val="top"/>
                </w:tcPr>
                <w:p w14:paraId="3BE1BC8F">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813" w:type="dxa"/>
                  <w:noWrap w:val="0"/>
                  <w:vAlign w:val="top"/>
                </w:tcPr>
                <w:p w14:paraId="1F267B51">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491" w:type="dxa"/>
                  <w:noWrap w:val="0"/>
                  <w:vAlign w:val="top"/>
                </w:tcPr>
                <w:p w14:paraId="569A9A8B">
                  <w:pPr>
                    <w:keepNext w:val="0"/>
                    <w:keepLines w:val="0"/>
                    <w:pageBreakBefore w:val="0"/>
                    <w:widowControl w:val="0"/>
                    <w:kinsoku/>
                    <w:wordWrap/>
                    <w:overflowPunct/>
                    <w:topLinePunct w:val="0"/>
                    <w:autoSpaceDE/>
                    <w:autoSpaceDN/>
                    <w:bidi w:val="0"/>
                    <w:adjustRightInd/>
                    <w:snapToGrid/>
                    <w:spacing w:line="240" w:lineRule="atLeast"/>
                    <w:ind w:left="0" w:firstLine="0" w:firstLineChars="0"/>
                    <w:jc w:val="center"/>
                    <w:textAlignment w:val="auto"/>
                    <w:rPr>
                      <w:rFonts w:hint="default" w:ascii="Times New Roman" w:hAnsi="Times New Roman" w:eastAsia="宋体" w:cs="Times New Roman"/>
                      <w:color w:val="auto"/>
                      <w:spacing w:val="0"/>
                      <w:w w:val="100"/>
                      <w:kern w:val="2"/>
                      <w:position w:val="0"/>
                      <w:sz w:val="21"/>
                      <w:szCs w:val="21"/>
                      <w:lang w:val="en-US" w:eastAsia="zh-CN"/>
                    </w:rPr>
                  </w:pPr>
                  <w:r>
                    <w:rPr>
                      <w:rFonts w:hint="default" w:ascii="Times New Roman" w:hAnsi="Times New Roman" w:eastAsia="宋体" w:cs="Times New Roman"/>
                      <w:color w:val="auto"/>
                      <w:spacing w:val="0"/>
                      <w:w w:val="100"/>
                      <w:kern w:val="2"/>
                      <w:position w:val="0"/>
                      <w:sz w:val="21"/>
                      <w:szCs w:val="21"/>
                      <w:lang w:val="en-US" w:eastAsia="zh-CN"/>
                    </w:rPr>
                    <w:t>/</w:t>
                  </w:r>
                </w:p>
              </w:tc>
            </w:tr>
            <w:tr w14:paraId="2CA721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585" w:type="dxa"/>
                  <w:noWrap w:val="0"/>
                  <w:vAlign w:val="center"/>
                </w:tcPr>
                <w:p w14:paraId="69F64B01">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color w:val="auto"/>
                      <w:sz w:val="21"/>
                      <w:szCs w:val="21"/>
                      <w:highlight w:val="none"/>
                      <w:lang w:val="en-US" w:eastAsia="zh-CN"/>
                    </w:rPr>
                    <w:t>废过滤介质</w:t>
                  </w:r>
                </w:p>
              </w:tc>
              <w:tc>
                <w:tcPr>
                  <w:tcW w:w="1701" w:type="dxa"/>
                  <w:noWrap w:val="0"/>
                  <w:vAlign w:val="top"/>
                </w:tcPr>
                <w:p w14:paraId="0C1FD85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lang w:val="en-US" w:eastAsia="zh-CN"/>
                    </w:rPr>
                  </w:pPr>
                  <w:r>
                    <w:rPr>
                      <w:rFonts w:hint="default" w:ascii="Times New Roman" w:hAnsi="Times New Roman" w:eastAsia="宋体" w:cs="Times New Roman"/>
                      <w:color w:val="auto"/>
                      <w:spacing w:val="0"/>
                      <w:w w:val="100"/>
                      <w:kern w:val="2"/>
                      <w:position w:val="0"/>
                      <w:sz w:val="21"/>
                      <w:szCs w:val="21"/>
                    </w:rPr>
                    <w:t>/</w:t>
                  </w:r>
                </w:p>
              </w:tc>
              <w:tc>
                <w:tcPr>
                  <w:tcW w:w="1704" w:type="dxa"/>
                  <w:noWrap w:val="0"/>
                  <w:vAlign w:val="top"/>
                </w:tcPr>
                <w:p w14:paraId="7C9A2E4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813" w:type="dxa"/>
                  <w:noWrap w:val="0"/>
                  <w:vAlign w:val="top"/>
                </w:tcPr>
                <w:p w14:paraId="0F27BC5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491" w:type="dxa"/>
                  <w:noWrap w:val="0"/>
                  <w:vAlign w:val="top"/>
                </w:tcPr>
                <w:p w14:paraId="33A257C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lang w:val="en-US" w:eastAsia="zh-CN"/>
                    </w:rPr>
                  </w:pPr>
                  <w:r>
                    <w:rPr>
                      <w:rFonts w:hint="default" w:ascii="Times New Roman" w:hAnsi="Times New Roman" w:eastAsia="宋体" w:cs="Times New Roman"/>
                      <w:color w:val="auto"/>
                      <w:spacing w:val="0"/>
                      <w:w w:val="100"/>
                      <w:kern w:val="2"/>
                      <w:position w:val="0"/>
                      <w:sz w:val="21"/>
                      <w:szCs w:val="21"/>
                    </w:rPr>
                    <w:t>/</w:t>
                  </w:r>
                </w:p>
              </w:tc>
            </w:tr>
            <w:tr w14:paraId="061077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585" w:type="dxa"/>
                  <w:noWrap w:val="0"/>
                  <w:vAlign w:val="center"/>
                </w:tcPr>
                <w:p w14:paraId="01DF21C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eastAsia" w:cs="Times New Roman"/>
                      <w:color w:val="auto"/>
                      <w:spacing w:val="2"/>
                      <w:kern w:val="2"/>
                      <w:sz w:val="21"/>
                      <w:szCs w:val="21"/>
                      <w:lang w:val="en-US" w:eastAsia="zh-CN" w:bidi="ar-SA"/>
                    </w:rPr>
                    <w:t>含切削液铝屑</w:t>
                  </w:r>
                </w:p>
              </w:tc>
              <w:tc>
                <w:tcPr>
                  <w:tcW w:w="1701" w:type="dxa"/>
                  <w:noWrap w:val="0"/>
                  <w:vAlign w:val="top"/>
                </w:tcPr>
                <w:p w14:paraId="298161A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lang w:val="en-US" w:eastAsia="zh-CN"/>
                    </w:rPr>
                  </w:pPr>
                  <w:r>
                    <w:rPr>
                      <w:rFonts w:hint="default" w:ascii="Times New Roman" w:hAnsi="Times New Roman" w:eastAsia="宋体" w:cs="Times New Roman"/>
                      <w:color w:val="auto"/>
                      <w:spacing w:val="0"/>
                      <w:w w:val="100"/>
                      <w:kern w:val="2"/>
                      <w:position w:val="0"/>
                      <w:sz w:val="21"/>
                      <w:szCs w:val="21"/>
                    </w:rPr>
                    <w:t>/</w:t>
                  </w:r>
                </w:p>
              </w:tc>
              <w:tc>
                <w:tcPr>
                  <w:tcW w:w="1704" w:type="dxa"/>
                  <w:noWrap w:val="0"/>
                  <w:vAlign w:val="top"/>
                </w:tcPr>
                <w:p w14:paraId="27A93B5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813" w:type="dxa"/>
                  <w:noWrap w:val="0"/>
                  <w:vAlign w:val="top"/>
                </w:tcPr>
                <w:p w14:paraId="7FCA465B">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491" w:type="dxa"/>
                  <w:noWrap w:val="0"/>
                  <w:vAlign w:val="top"/>
                </w:tcPr>
                <w:p w14:paraId="3047674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lang w:val="en-US" w:eastAsia="zh-CN"/>
                    </w:rPr>
                  </w:pPr>
                  <w:r>
                    <w:rPr>
                      <w:rFonts w:hint="default" w:ascii="Times New Roman" w:hAnsi="Times New Roman" w:eastAsia="宋体" w:cs="Times New Roman"/>
                      <w:color w:val="auto"/>
                      <w:spacing w:val="0"/>
                      <w:w w:val="100"/>
                      <w:kern w:val="2"/>
                      <w:position w:val="0"/>
                      <w:sz w:val="21"/>
                      <w:szCs w:val="21"/>
                    </w:rPr>
                    <w:t>/</w:t>
                  </w:r>
                </w:p>
              </w:tc>
            </w:tr>
            <w:tr w14:paraId="188DCE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585" w:type="dxa"/>
                  <w:noWrap w:val="0"/>
                  <w:vAlign w:val="center"/>
                </w:tcPr>
                <w:p w14:paraId="0080648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eastAsia" w:ascii="Times New Roman" w:hAnsi="Times New Roman" w:eastAsia="宋体" w:cs="Times New Roman"/>
                      <w:color w:val="auto"/>
                      <w:spacing w:val="2"/>
                      <w:kern w:val="2"/>
                      <w:sz w:val="21"/>
                      <w:szCs w:val="21"/>
                      <w:lang w:val="en-US" w:eastAsia="zh-CN" w:bidi="ar-SA"/>
                    </w:rPr>
                    <w:t>废切削液</w:t>
                  </w:r>
                </w:p>
              </w:tc>
              <w:tc>
                <w:tcPr>
                  <w:tcW w:w="1701" w:type="dxa"/>
                  <w:noWrap w:val="0"/>
                  <w:vAlign w:val="top"/>
                </w:tcPr>
                <w:p w14:paraId="07CA80F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lang w:val="en-US" w:eastAsia="zh-CN"/>
                    </w:rPr>
                  </w:pPr>
                  <w:r>
                    <w:rPr>
                      <w:rFonts w:hint="default" w:ascii="Times New Roman" w:hAnsi="Times New Roman" w:eastAsia="宋体" w:cs="Times New Roman"/>
                      <w:color w:val="auto"/>
                      <w:spacing w:val="0"/>
                      <w:w w:val="100"/>
                      <w:kern w:val="2"/>
                      <w:position w:val="0"/>
                      <w:sz w:val="21"/>
                      <w:szCs w:val="21"/>
                    </w:rPr>
                    <w:t>/</w:t>
                  </w:r>
                </w:p>
              </w:tc>
              <w:tc>
                <w:tcPr>
                  <w:tcW w:w="1704" w:type="dxa"/>
                  <w:noWrap w:val="0"/>
                  <w:vAlign w:val="top"/>
                </w:tcPr>
                <w:p w14:paraId="76A8EBE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813" w:type="dxa"/>
                  <w:noWrap w:val="0"/>
                  <w:vAlign w:val="top"/>
                </w:tcPr>
                <w:p w14:paraId="71C02C6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491" w:type="dxa"/>
                  <w:noWrap w:val="0"/>
                  <w:vAlign w:val="top"/>
                </w:tcPr>
                <w:p w14:paraId="67260AC0">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lang w:val="en-US" w:eastAsia="zh-CN"/>
                    </w:rPr>
                  </w:pPr>
                  <w:r>
                    <w:rPr>
                      <w:rFonts w:hint="default" w:ascii="Times New Roman" w:hAnsi="Times New Roman" w:eastAsia="宋体" w:cs="Times New Roman"/>
                      <w:color w:val="auto"/>
                      <w:spacing w:val="0"/>
                      <w:w w:val="100"/>
                      <w:kern w:val="2"/>
                      <w:position w:val="0"/>
                      <w:sz w:val="21"/>
                      <w:szCs w:val="21"/>
                    </w:rPr>
                    <w:t>/</w:t>
                  </w:r>
                </w:p>
              </w:tc>
            </w:tr>
            <w:tr w14:paraId="3FF396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585" w:type="dxa"/>
                  <w:noWrap w:val="0"/>
                  <w:vAlign w:val="center"/>
                </w:tcPr>
                <w:p w14:paraId="0C80E39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eastAsia" w:ascii="Times New Roman" w:hAnsi="Times New Roman" w:eastAsia="宋体" w:cs="Times New Roman"/>
                      <w:color w:val="auto"/>
                      <w:spacing w:val="2"/>
                      <w:kern w:val="2"/>
                      <w:sz w:val="21"/>
                      <w:szCs w:val="21"/>
                      <w:lang w:val="en-US" w:eastAsia="zh-CN" w:bidi="ar-SA"/>
                    </w:rPr>
                    <w:t>清洗废液</w:t>
                  </w:r>
                </w:p>
              </w:tc>
              <w:tc>
                <w:tcPr>
                  <w:tcW w:w="1701" w:type="dxa"/>
                  <w:noWrap w:val="0"/>
                  <w:vAlign w:val="top"/>
                </w:tcPr>
                <w:p w14:paraId="522C608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lang w:val="en-US" w:eastAsia="zh-CN"/>
                    </w:rPr>
                  </w:pPr>
                  <w:r>
                    <w:rPr>
                      <w:rFonts w:hint="default" w:ascii="Times New Roman" w:hAnsi="Times New Roman" w:eastAsia="宋体" w:cs="Times New Roman"/>
                      <w:color w:val="auto"/>
                      <w:spacing w:val="0"/>
                      <w:w w:val="100"/>
                      <w:kern w:val="2"/>
                      <w:position w:val="0"/>
                      <w:sz w:val="21"/>
                      <w:szCs w:val="21"/>
                    </w:rPr>
                    <w:t>/</w:t>
                  </w:r>
                </w:p>
              </w:tc>
              <w:tc>
                <w:tcPr>
                  <w:tcW w:w="1704" w:type="dxa"/>
                  <w:noWrap w:val="0"/>
                  <w:vAlign w:val="top"/>
                </w:tcPr>
                <w:p w14:paraId="029EBC4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813" w:type="dxa"/>
                  <w:noWrap w:val="0"/>
                  <w:vAlign w:val="top"/>
                </w:tcPr>
                <w:p w14:paraId="51CBC7F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491" w:type="dxa"/>
                  <w:noWrap w:val="0"/>
                  <w:vAlign w:val="top"/>
                </w:tcPr>
                <w:p w14:paraId="5BC469F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lang w:val="en-US" w:eastAsia="zh-CN"/>
                    </w:rPr>
                  </w:pPr>
                  <w:r>
                    <w:rPr>
                      <w:rFonts w:hint="default" w:ascii="Times New Roman" w:hAnsi="Times New Roman" w:eastAsia="宋体" w:cs="Times New Roman"/>
                      <w:color w:val="auto"/>
                      <w:spacing w:val="0"/>
                      <w:w w:val="100"/>
                      <w:kern w:val="2"/>
                      <w:position w:val="0"/>
                      <w:sz w:val="21"/>
                      <w:szCs w:val="21"/>
                    </w:rPr>
                    <w:t>/</w:t>
                  </w:r>
                </w:p>
              </w:tc>
            </w:tr>
            <w:tr w14:paraId="2972D3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585" w:type="dxa"/>
                  <w:noWrap w:val="0"/>
                  <w:vAlign w:val="center"/>
                </w:tcPr>
                <w:p w14:paraId="2B7CF0D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default" w:ascii="Times New Roman" w:hAnsi="Times New Roman" w:eastAsia="宋体" w:cs="Times New Roman"/>
                      <w:color w:val="auto"/>
                      <w:spacing w:val="2"/>
                      <w:kern w:val="2"/>
                      <w:sz w:val="21"/>
                      <w:szCs w:val="21"/>
                      <w:lang w:val="en-US" w:eastAsia="zh-CN" w:bidi="ar-SA"/>
                    </w:rPr>
                    <w:t>废</w:t>
                  </w:r>
                  <w:r>
                    <w:rPr>
                      <w:rFonts w:hint="eastAsia" w:ascii="Times New Roman" w:hAnsi="Times New Roman" w:eastAsia="宋体" w:cs="Times New Roman"/>
                      <w:color w:val="auto"/>
                      <w:spacing w:val="2"/>
                      <w:kern w:val="2"/>
                      <w:sz w:val="21"/>
                      <w:szCs w:val="21"/>
                      <w:lang w:val="en-US" w:eastAsia="zh-CN" w:bidi="ar-SA"/>
                    </w:rPr>
                    <w:t>机油</w:t>
                  </w:r>
                </w:p>
              </w:tc>
              <w:tc>
                <w:tcPr>
                  <w:tcW w:w="1701" w:type="dxa"/>
                  <w:noWrap w:val="0"/>
                  <w:vAlign w:val="top"/>
                </w:tcPr>
                <w:p w14:paraId="64F9A6F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lang w:val="en-US" w:eastAsia="zh-CN"/>
                    </w:rPr>
                  </w:pPr>
                  <w:r>
                    <w:rPr>
                      <w:rFonts w:hint="default" w:ascii="Times New Roman" w:hAnsi="Times New Roman" w:eastAsia="宋体" w:cs="Times New Roman"/>
                      <w:color w:val="auto"/>
                      <w:spacing w:val="0"/>
                      <w:w w:val="100"/>
                      <w:kern w:val="2"/>
                      <w:position w:val="0"/>
                      <w:sz w:val="21"/>
                      <w:szCs w:val="21"/>
                      <w:lang w:val="en-US" w:eastAsia="zh-CN"/>
                    </w:rPr>
                    <w:t>/</w:t>
                  </w:r>
                </w:p>
              </w:tc>
              <w:tc>
                <w:tcPr>
                  <w:tcW w:w="1704" w:type="dxa"/>
                  <w:noWrap w:val="0"/>
                  <w:vAlign w:val="top"/>
                </w:tcPr>
                <w:p w14:paraId="6497254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813" w:type="dxa"/>
                  <w:noWrap w:val="0"/>
                  <w:vAlign w:val="top"/>
                </w:tcPr>
                <w:p w14:paraId="5461109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491" w:type="dxa"/>
                  <w:noWrap w:val="0"/>
                  <w:vAlign w:val="top"/>
                </w:tcPr>
                <w:p w14:paraId="75EC810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lang w:val="en-US" w:eastAsia="zh-CN"/>
                    </w:rPr>
                  </w:pPr>
                  <w:r>
                    <w:rPr>
                      <w:rFonts w:hint="default" w:ascii="Times New Roman" w:hAnsi="Times New Roman" w:eastAsia="宋体" w:cs="Times New Roman"/>
                      <w:color w:val="auto"/>
                      <w:spacing w:val="0"/>
                      <w:w w:val="100"/>
                      <w:kern w:val="2"/>
                      <w:position w:val="0"/>
                      <w:sz w:val="21"/>
                      <w:szCs w:val="21"/>
                      <w:lang w:val="en-US" w:eastAsia="zh-CN"/>
                    </w:rPr>
                    <w:t>/</w:t>
                  </w:r>
                </w:p>
              </w:tc>
            </w:tr>
            <w:tr w14:paraId="0E4920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585" w:type="dxa"/>
                  <w:noWrap w:val="0"/>
                  <w:vAlign w:val="center"/>
                </w:tcPr>
                <w:p w14:paraId="7F27D33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eastAsia" w:cs="Times New Roman"/>
                      <w:color w:val="auto"/>
                      <w:spacing w:val="2"/>
                      <w:kern w:val="2"/>
                      <w:sz w:val="21"/>
                      <w:szCs w:val="21"/>
                      <w:lang w:val="en-US" w:eastAsia="zh-CN" w:bidi="ar-SA"/>
                    </w:rPr>
                    <w:t>废切削液桶</w:t>
                  </w:r>
                </w:p>
              </w:tc>
              <w:tc>
                <w:tcPr>
                  <w:tcW w:w="1701" w:type="dxa"/>
                  <w:noWrap w:val="0"/>
                  <w:vAlign w:val="top"/>
                </w:tcPr>
                <w:p w14:paraId="2BB7DC8C">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lang w:val="en-US" w:eastAsia="zh-CN"/>
                    </w:rPr>
                  </w:pPr>
                  <w:r>
                    <w:rPr>
                      <w:rFonts w:hint="default" w:ascii="Times New Roman" w:hAnsi="Times New Roman" w:eastAsia="宋体" w:cs="Times New Roman"/>
                      <w:color w:val="auto"/>
                      <w:spacing w:val="0"/>
                      <w:w w:val="100"/>
                      <w:kern w:val="2"/>
                      <w:position w:val="0"/>
                      <w:sz w:val="21"/>
                      <w:szCs w:val="21"/>
                    </w:rPr>
                    <w:t>/</w:t>
                  </w:r>
                </w:p>
              </w:tc>
              <w:tc>
                <w:tcPr>
                  <w:tcW w:w="1704" w:type="dxa"/>
                  <w:noWrap w:val="0"/>
                  <w:vAlign w:val="top"/>
                </w:tcPr>
                <w:p w14:paraId="0732477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813" w:type="dxa"/>
                  <w:noWrap w:val="0"/>
                  <w:vAlign w:val="top"/>
                </w:tcPr>
                <w:p w14:paraId="6CA4F4B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491" w:type="dxa"/>
                  <w:noWrap w:val="0"/>
                  <w:vAlign w:val="top"/>
                </w:tcPr>
                <w:p w14:paraId="1E8C21E7">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lang w:val="en-US" w:eastAsia="zh-CN"/>
                    </w:rPr>
                  </w:pPr>
                  <w:r>
                    <w:rPr>
                      <w:rFonts w:hint="default" w:ascii="Times New Roman" w:hAnsi="Times New Roman" w:eastAsia="宋体" w:cs="Times New Roman"/>
                      <w:color w:val="auto"/>
                      <w:spacing w:val="0"/>
                      <w:w w:val="100"/>
                      <w:kern w:val="2"/>
                      <w:position w:val="0"/>
                      <w:sz w:val="21"/>
                      <w:szCs w:val="21"/>
                    </w:rPr>
                    <w:t>/</w:t>
                  </w:r>
                </w:p>
              </w:tc>
            </w:tr>
            <w:tr w14:paraId="378B0B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585" w:type="dxa"/>
                  <w:noWrap w:val="0"/>
                  <w:vAlign w:val="center"/>
                </w:tcPr>
                <w:p w14:paraId="5E5258A8">
                  <w:pPr>
                    <w:pStyle w:val="28"/>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eastAsia" w:cs="Times New Roman"/>
                      <w:color w:val="auto"/>
                      <w:spacing w:val="2"/>
                      <w:kern w:val="2"/>
                      <w:sz w:val="21"/>
                      <w:szCs w:val="21"/>
                      <w:lang w:val="en-US" w:eastAsia="zh-CN" w:bidi="ar-SA"/>
                    </w:rPr>
                    <w:t>废清洗剂桶</w:t>
                  </w:r>
                </w:p>
              </w:tc>
              <w:tc>
                <w:tcPr>
                  <w:tcW w:w="1701" w:type="dxa"/>
                  <w:noWrap w:val="0"/>
                  <w:vAlign w:val="top"/>
                </w:tcPr>
                <w:p w14:paraId="4FF7CD0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lang w:val="en-US" w:eastAsia="zh-CN"/>
                    </w:rPr>
                  </w:pPr>
                  <w:r>
                    <w:rPr>
                      <w:rFonts w:hint="default" w:ascii="Times New Roman" w:hAnsi="Times New Roman" w:eastAsia="宋体" w:cs="Times New Roman"/>
                      <w:color w:val="auto"/>
                      <w:spacing w:val="0"/>
                      <w:w w:val="100"/>
                      <w:kern w:val="2"/>
                      <w:position w:val="0"/>
                      <w:sz w:val="21"/>
                      <w:szCs w:val="21"/>
                    </w:rPr>
                    <w:t>/</w:t>
                  </w:r>
                </w:p>
              </w:tc>
              <w:tc>
                <w:tcPr>
                  <w:tcW w:w="1704" w:type="dxa"/>
                  <w:noWrap w:val="0"/>
                  <w:vAlign w:val="top"/>
                </w:tcPr>
                <w:p w14:paraId="4A3DE4A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813" w:type="dxa"/>
                  <w:noWrap w:val="0"/>
                  <w:vAlign w:val="top"/>
                </w:tcPr>
                <w:p w14:paraId="526BFBAA">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491" w:type="dxa"/>
                  <w:noWrap w:val="0"/>
                  <w:vAlign w:val="top"/>
                </w:tcPr>
                <w:p w14:paraId="03669EEB">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lang w:val="en-US" w:eastAsia="zh-CN"/>
                    </w:rPr>
                  </w:pPr>
                  <w:r>
                    <w:rPr>
                      <w:rFonts w:hint="default" w:ascii="Times New Roman" w:hAnsi="Times New Roman" w:eastAsia="宋体" w:cs="Times New Roman"/>
                      <w:color w:val="auto"/>
                      <w:spacing w:val="0"/>
                      <w:w w:val="100"/>
                      <w:kern w:val="2"/>
                      <w:position w:val="0"/>
                      <w:sz w:val="21"/>
                      <w:szCs w:val="21"/>
                    </w:rPr>
                    <w:t>/</w:t>
                  </w:r>
                </w:p>
              </w:tc>
            </w:tr>
            <w:tr w14:paraId="5B7D94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585" w:type="dxa"/>
                  <w:noWrap w:val="0"/>
                  <w:vAlign w:val="center"/>
                </w:tcPr>
                <w:p w14:paraId="607FC554">
                  <w:pPr>
                    <w:pStyle w:val="28"/>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eastAsia" w:cs="Times New Roman"/>
                      <w:color w:val="auto"/>
                      <w:spacing w:val="2"/>
                      <w:kern w:val="2"/>
                      <w:sz w:val="21"/>
                      <w:szCs w:val="21"/>
                      <w:lang w:val="en-US" w:eastAsia="zh-CN" w:bidi="ar-SA"/>
                    </w:rPr>
                  </w:pPr>
                  <w:r>
                    <w:rPr>
                      <w:rFonts w:hint="eastAsia" w:cs="Times New Roman"/>
                      <w:color w:val="auto"/>
                      <w:spacing w:val="2"/>
                      <w:kern w:val="2"/>
                      <w:sz w:val="21"/>
                      <w:szCs w:val="21"/>
                      <w:lang w:val="en-US" w:eastAsia="zh-CN" w:bidi="ar-SA"/>
                    </w:rPr>
                    <w:t>废包装袋</w:t>
                  </w:r>
                </w:p>
              </w:tc>
              <w:tc>
                <w:tcPr>
                  <w:tcW w:w="1701" w:type="dxa"/>
                  <w:noWrap w:val="0"/>
                  <w:vAlign w:val="top"/>
                </w:tcPr>
                <w:p w14:paraId="2273BC43">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704" w:type="dxa"/>
                  <w:noWrap w:val="0"/>
                  <w:vAlign w:val="top"/>
                </w:tcPr>
                <w:p w14:paraId="485896F9">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813" w:type="dxa"/>
                  <w:noWrap w:val="0"/>
                  <w:vAlign w:val="top"/>
                </w:tcPr>
                <w:p w14:paraId="6692A715">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491" w:type="dxa"/>
                  <w:noWrap w:val="0"/>
                  <w:vAlign w:val="top"/>
                </w:tcPr>
                <w:p w14:paraId="3A114E0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r>
            <w:tr w14:paraId="6175D7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585" w:type="dxa"/>
                  <w:noWrap w:val="0"/>
                  <w:vAlign w:val="center"/>
                </w:tcPr>
                <w:p w14:paraId="31EA2411">
                  <w:pPr>
                    <w:pStyle w:val="28"/>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eastAsia" w:cs="Times New Roman"/>
                      <w:color w:val="auto"/>
                      <w:spacing w:val="2"/>
                      <w:kern w:val="2"/>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废MBR膜</w:t>
                  </w:r>
                </w:p>
              </w:tc>
              <w:tc>
                <w:tcPr>
                  <w:tcW w:w="1701" w:type="dxa"/>
                  <w:noWrap w:val="0"/>
                  <w:vAlign w:val="top"/>
                </w:tcPr>
                <w:p w14:paraId="499D7812">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704" w:type="dxa"/>
                  <w:noWrap w:val="0"/>
                  <w:vAlign w:val="top"/>
                </w:tcPr>
                <w:p w14:paraId="75876BE8">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813" w:type="dxa"/>
                  <w:noWrap w:val="0"/>
                  <w:vAlign w:val="top"/>
                </w:tcPr>
                <w:p w14:paraId="30F810C0">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491" w:type="dxa"/>
                  <w:noWrap w:val="0"/>
                  <w:vAlign w:val="top"/>
                </w:tcPr>
                <w:p w14:paraId="49154DB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r>
            <w:tr w14:paraId="4484F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trPr>
              <w:tc>
                <w:tcPr>
                  <w:tcW w:w="1585" w:type="dxa"/>
                  <w:noWrap w:val="0"/>
                  <w:vAlign w:val="center"/>
                </w:tcPr>
                <w:p w14:paraId="6CAC6AB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val="0"/>
                      <w:bCs w:val="0"/>
                      <w:color w:val="auto"/>
                      <w:spacing w:val="0"/>
                      <w:w w:val="100"/>
                      <w:kern w:val="2"/>
                      <w:position w:val="0"/>
                      <w:sz w:val="21"/>
                      <w:szCs w:val="21"/>
                      <w:lang w:val="en-US" w:eastAsia="zh-CN"/>
                    </w:rPr>
                  </w:pPr>
                  <w:r>
                    <w:rPr>
                      <w:rFonts w:hint="eastAsia" w:cs="Times New Roman"/>
                      <w:color w:val="auto"/>
                      <w:spacing w:val="2"/>
                      <w:kern w:val="2"/>
                      <w:sz w:val="21"/>
                      <w:szCs w:val="21"/>
                      <w:lang w:val="en-US" w:eastAsia="zh-CN" w:bidi="ar-SA"/>
                    </w:rPr>
                    <w:t>含油废抹布手套</w:t>
                  </w:r>
                </w:p>
              </w:tc>
              <w:tc>
                <w:tcPr>
                  <w:tcW w:w="1701" w:type="dxa"/>
                  <w:noWrap w:val="0"/>
                  <w:vAlign w:val="top"/>
                </w:tcPr>
                <w:p w14:paraId="2DE6EFFE">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lang w:val="en-US" w:eastAsia="zh-CN"/>
                    </w:rPr>
                  </w:pPr>
                  <w:r>
                    <w:rPr>
                      <w:rFonts w:hint="default" w:ascii="Times New Roman" w:hAnsi="Times New Roman" w:eastAsia="宋体" w:cs="Times New Roman"/>
                      <w:color w:val="auto"/>
                      <w:spacing w:val="0"/>
                      <w:w w:val="100"/>
                      <w:kern w:val="2"/>
                      <w:position w:val="0"/>
                      <w:sz w:val="21"/>
                      <w:szCs w:val="21"/>
                      <w:lang w:val="en-US" w:eastAsia="zh-CN"/>
                    </w:rPr>
                    <w:t>/</w:t>
                  </w:r>
                </w:p>
              </w:tc>
              <w:tc>
                <w:tcPr>
                  <w:tcW w:w="1704" w:type="dxa"/>
                  <w:noWrap w:val="0"/>
                  <w:vAlign w:val="top"/>
                </w:tcPr>
                <w:p w14:paraId="18BB32E6">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813" w:type="dxa"/>
                  <w:noWrap w:val="0"/>
                  <w:vAlign w:val="top"/>
                </w:tcPr>
                <w:p w14:paraId="4A22154D">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rPr>
                  </w:pPr>
                  <w:r>
                    <w:rPr>
                      <w:rFonts w:hint="default" w:ascii="Times New Roman" w:hAnsi="Times New Roman" w:eastAsia="宋体" w:cs="Times New Roman"/>
                      <w:color w:val="auto"/>
                      <w:spacing w:val="0"/>
                      <w:w w:val="100"/>
                      <w:kern w:val="2"/>
                      <w:position w:val="0"/>
                      <w:sz w:val="21"/>
                      <w:szCs w:val="21"/>
                    </w:rPr>
                    <w:t>√</w:t>
                  </w:r>
                </w:p>
              </w:tc>
              <w:tc>
                <w:tcPr>
                  <w:tcW w:w="1491" w:type="dxa"/>
                  <w:noWrap w:val="0"/>
                  <w:vAlign w:val="top"/>
                </w:tcPr>
                <w:p w14:paraId="5EB74794">
                  <w:pPr>
                    <w:keepNext w:val="0"/>
                    <w:keepLines w:val="0"/>
                    <w:pageBreakBefore w:val="0"/>
                    <w:widowControl w:val="0"/>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pacing w:val="0"/>
                      <w:w w:val="100"/>
                      <w:kern w:val="2"/>
                      <w:position w:val="0"/>
                      <w:sz w:val="21"/>
                      <w:szCs w:val="21"/>
                      <w:lang w:val="en-US" w:eastAsia="zh-CN"/>
                    </w:rPr>
                  </w:pPr>
                  <w:r>
                    <w:rPr>
                      <w:rFonts w:hint="default" w:ascii="Times New Roman" w:hAnsi="Times New Roman" w:eastAsia="宋体" w:cs="Times New Roman"/>
                      <w:color w:val="auto"/>
                      <w:spacing w:val="0"/>
                      <w:w w:val="100"/>
                      <w:kern w:val="2"/>
                      <w:position w:val="0"/>
                      <w:sz w:val="21"/>
                      <w:szCs w:val="21"/>
                      <w:lang w:val="en-US" w:eastAsia="zh-CN"/>
                    </w:rPr>
                    <w:t>/</w:t>
                  </w:r>
                </w:p>
              </w:tc>
            </w:tr>
          </w:tbl>
          <w:p w14:paraId="53ED84F9">
            <w:pPr>
              <w:spacing w:before="120" w:beforeLines="50" w:line="360" w:lineRule="auto"/>
              <w:rPr>
                <w:rFonts w:hint="default" w:ascii="Times New Roman" w:hAnsi="Times New Roman" w:eastAsia="宋体" w:cs="Times New Roman"/>
                <w:b/>
                <w:color w:val="auto"/>
                <w:sz w:val="24"/>
                <w:szCs w:val="24"/>
                <w:lang w:val="en-US" w:eastAsia="zh-CN"/>
              </w:rPr>
            </w:pPr>
            <w:r>
              <w:rPr>
                <w:rFonts w:hint="default" w:ascii="Times New Roman" w:hAnsi="Times New Roman" w:eastAsia="宋体" w:cs="Times New Roman"/>
                <w:color w:val="auto"/>
                <w:sz w:val="24"/>
                <w:szCs w:val="24"/>
                <w:highlight w:val="none"/>
                <w:lang w:val="en-US" w:eastAsia="zh-CN"/>
              </w:rPr>
              <w:t>4.7.2.2</w:t>
            </w:r>
            <w:r>
              <w:rPr>
                <w:rFonts w:hint="default" w:ascii="Times New Roman" w:hAnsi="Times New Roman" w:eastAsia="宋体" w:cs="Times New Roman"/>
                <w:b/>
                <w:color w:val="auto"/>
                <w:sz w:val="24"/>
                <w:szCs w:val="24"/>
                <w:lang w:val="en-US" w:eastAsia="zh-CN"/>
              </w:rPr>
              <w:t>风险源分布情况</w:t>
            </w:r>
          </w:p>
          <w:p w14:paraId="488C78F0">
            <w:pPr>
              <w:pStyle w:val="6"/>
              <w:keepNext w:val="0"/>
              <w:keepLines w:val="0"/>
              <w:pageBreakBefore w:val="0"/>
              <w:widowControl/>
              <w:kinsoku/>
              <w:wordWrap/>
              <w:overflowPunct/>
              <w:topLinePunct w:val="0"/>
              <w:autoSpaceDE/>
              <w:autoSpaceDN/>
              <w:bidi w:val="0"/>
              <w:adjustRightInd/>
              <w:snapToGrid w:val="0"/>
              <w:spacing w:before="0" w:after="0" w:line="240" w:lineRule="auto"/>
              <w:ind w:right="113"/>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25</w:t>
            </w:r>
            <w:r>
              <w:rPr>
                <w:rFonts w:hint="eastAsia"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lang w:val="en-US" w:eastAsia="zh-CN"/>
              </w:rPr>
              <w:t>本项目风险源分布情况表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3"/>
              <w:gridCol w:w="1824"/>
              <w:gridCol w:w="1848"/>
              <w:gridCol w:w="2659"/>
            </w:tblGrid>
            <w:tr w14:paraId="610FB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3" w:type="dxa"/>
                  <w:noWrap w:val="0"/>
                  <w:vAlign w:val="center"/>
                </w:tcPr>
                <w:p w14:paraId="1E909A4F">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序号</w:t>
                  </w:r>
                </w:p>
              </w:tc>
              <w:tc>
                <w:tcPr>
                  <w:tcW w:w="1824" w:type="dxa"/>
                  <w:noWrap w:val="0"/>
                  <w:vAlign w:val="center"/>
                </w:tcPr>
                <w:p w14:paraId="28DF3BA7">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建筑物名称</w:t>
                  </w:r>
                </w:p>
              </w:tc>
              <w:tc>
                <w:tcPr>
                  <w:tcW w:w="1848" w:type="dxa"/>
                  <w:noWrap w:val="0"/>
                  <w:vAlign w:val="center"/>
                </w:tcPr>
                <w:p w14:paraId="40FDE976">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风险物质</w:t>
                  </w:r>
                </w:p>
              </w:tc>
              <w:tc>
                <w:tcPr>
                  <w:tcW w:w="2659" w:type="dxa"/>
                  <w:noWrap w:val="0"/>
                  <w:vAlign w:val="center"/>
                </w:tcPr>
                <w:p w14:paraId="28555C85">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最大存储量</w:t>
                  </w:r>
                  <w:r>
                    <w:rPr>
                      <w:rFonts w:hint="eastAsia" w:ascii="Times New Roman" w:hAnsi="Times New Roman" w:eastAsia="宋体" w:cs="Times New Roman"/>
                      <w:color w:val="auto"/>
                      <w:sz w:val="21"/>
                      <w:szCs w:val="21"/>
                      <w:vertAlign w:val="baseline"/>
                      <w:lang w:val="en-US" w:eastAsia="zh-CN"/>
                    </w:rPr>
                    <w:t>（t）</w:t>
                  </w:r>
                </w:p>
              </w:tc>
            </w:tr>
            <w:tr w14:paraId="5C4BA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3" w:type="dxa"/>
                  <w:vMerge w:val="restart"/>
                  <w:noWrap w:val="0"/>
                  <w:vAlign w:val="center"/>
                </w:tcPr>
                <w:p w14:paraId="1AD0DDE6">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1</w:t>
                  </w:r>
                </w:p>
              </w:tc>
              <w:tc>
                <w:tcPr>
                  <w:tcW w:w="1824" w:type="dxa"/>
                  <w:vMerge w:val="restart"/>
                  <w:noWrap w:val="0"/>
                  <w:vAlign w:val="center"/>
                </w:tcPr>
                <w:p w14:paraId="29B7403A">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lang w:eastAsia="zh-CN"/>
                    </w:rPr>
                    <w:t>车间</w:t>
                  </w:r>
                </w:p>
              </w:tc>
              <w:tc>
                <w:tcPr>
                  <w:tcW w:w="1848" w:type="dxa"/>
                  <w:noWrap w:val="0"/>
                  <w:vAlign w:val="center"/>
                </w:tcPr>
                <w:p w14:paraId="1A3A4A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rPr>
                  </w:pPr>
                  <w:r>
                    <w:rPr>
                      <w:rFonts w:hint="eastAsia" w:cs="Times New Roman"/>
                      <w:color w:val="auto"/>
                      <w:kern w:val="0"/>
                      <w:sz w:val="21"/>
                      <w:szCs w:val="21"/>
                      <w:lang w:val="en-US" w:eastAsia="zh-CN"/>
                    </w:rPr>
                    <w:t>切削液</w:t>
                  </w:r>
                </w:p>
              </w:tc>
              <w:tc>
                <w:tcPr>
                  <w:tcW w:w="2659" w:type="dxa"/>
                  <w:noWrap w:val="0"/>
                  <w:vAlign w:val="center"/>
                </w:tcPr>
                <w:p w14:paraId="52CE336D">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0.05</w:t>
                  </w:r>
                </w:p>
              </w:tc>
            </w:tr>
            <w:tr w14:paraId="1878D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3" w:type="dxa"/>
                  <w:vMerge w:val="continue"/>
                  <w:noWrap w:val="0"/>
                  <w:vAlign w:val="center"/>
                </w:tcPr>
                <w:p w14:paraId="674EB6A4">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24" w:type="dxa"/>
                  <w:vMerge w:val="continue"/>
                  <w:noWrap w:val="0"/>
                  <w:vAlign w:val="center"/>
                </w:tcPr>
                <w:p w14:paraId="2E1DA680">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848" w:type="dxa"/>
                  <w:noWrap w:val="0"/>
                  <w:vAlign w:val="center"/>
                </w:tcPr>
                <w:p w14:paraId="06F3E85F">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eastAsia" w:cs="Times New Roman"/>
                      <w:color w:val="auto"/>
                      <w:kern w:val="0"/>
                      <w:sz w:val="21"/>
                      <w:szCs w:val="21"/>
                      <w:highlight w:val="none"/>
                      <w:lang w:val="en-US" w:eastAsia="zh-CN" w:bidi="ar-SA"/>
                    </w:rPr>
                    <w:t>清洗剂</w:t>
                  </w:r>
                </w:p>
              </w:tc>
              <w:tc>
                <w:tcPr>
                  <w:tcW w:w="2659" w:type="dxa"/>
                  <w:noWrap w:val="0"/>
                  <w:vAlign w:val="center"/>
                </w:tcPr>
                <w:p w14:paraId="3F57FF51">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0.02</w:t>
                  </w:r>
                </w:p>
              </w:tc>
            </w:tr>
            <w:tr w14:paraId="19AD1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3" w:type="dxa"/>
                  <w:vMerge w:val="continue"/>
                  <w:noWrap w:val="0"/>
                  <w:vAlign w:val="center"/>
                </w:tcPr>
                <w:p w14:paraId="6FD7797E">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24" w:type="dxa"/>
                  <w:vMerge w:val="continue"/>
                  <w:noWrap w:val="0"/>
                  <w:vAlign w:val="center"/>
                </w:tcPr>
                <w:p w14:paraId="4812D2B8">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eastAsia" w:ascii="Times New Roman" w:hAnsi="Times New Roman" w:eastAsia="宋体" w:cs="Times New Roman"/>
                      <w:color w:val="auto"/>
                      <w:sz w:val="21"/>
                      <w:szCs w:val="21"/>
                      <w:vertAlign w:val="baseline"/>
                      <w:lang w:val="en-US" w:eastAsia="zh-CN"/>
                    </w:rPr>
                  </w:pPr>
                </w:p>
              </w:tc>
              <w:tc>
                <w:tcPr>
                  <w:tcW w:w="1848" w:type="dxa"/>
                  <w:noWrap w:val="0"/>
                  <w:vAlign w:val="center"/>
                </w:tcPr>
                <w:p w14:paraId="046B9DE2">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rPr>
                  </w:pPr>
                  <w:r>
                    <w:rPr>
                      <w:rFonts w:hint="eastAsia" w:cs="Times New Roman"/>
                      <w:color w:val="auto"/>
                      <w:kern w:val="0"/>
                      <w:sz w:val="21"/>
                      <w:szCs w:val="21"/>
                      <w:highlight w:val="none"/>
                      <w:lang w:val="en-US" w:eastAsia="zh-CN" w:bidi="ar-SA"/>
                    </w:rPr>
                    <w:t>机油</w:t>
                  </w:r>
                </w:p>
              </w:tc>
              <w:tc>
                <w:tcPr>
                  <w:tcW w:w="2659" w:type="dxa"/>
                  <w:noWrap w:val="0"/>
                  <w:vAlign w:val="center"/>
                </w:tcPr>
                <w:p w14:paraId="27913E31">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0.05</w:t>
                  </w:r>
                </w:p>
              </w:tc>
            </w:tr>
            <w:tr w14:paraId="34140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3" w:type="dxa"/>
                  <w:vMerge w:val="restart"/>
                  <w:noWrap w:val="0"/>
                  <w:vAlign w:val="center"/>
                </w:tcPr>
                <w:p w14:paraId="13D10955">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2</w:t>
                  </w:r>
                </w:p>
              </w:tc>
              <w:tc>
                <w:tcPr>
                  <w:tcW w:w="1824" w:type="dxa"/>
                  <w:vMerge w:val="restart"/>
                  <w:noWrap w:val="0"/>
                  <w:vAlign w:val="center"/>
                </w:tcPr>
                <w:p w14:paraId="54621AA2">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仓库</w:t>
                  </w:r>
                </w:p>
              </w:tc>
              <w:tc>
                <w:tcPr>
                  <w:tcW w:w="1848" w:type="dxa"/>
                  <w:noWrap w:val="0"/>
                  <w:vAlign w:val="center"/>
                </w:tcPr>
                <w:p w14:paraId="5B44F8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kern w:val="0"/>
                      <w:sz w:val="21"/>
                      <w:szCs w:val="21"/>
                      <w:lang w:val="en-US" w:eastAsia="zh-CN"/>
                    </w:rPr>
                    <w:t>切削液</w:t>
                  </w:r>
                </w:p>
              </w:tc>
              <w:tc>
                <w:tcPr>
                  <w:tcW w:w="2659" w:type="dxa"/>
                  <w:noWrap w:val="0"/>
                  <w:vAlign w:val="center"/>
                </w:tcPr>
                <w:p w14:paraId="56A7028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sz w:val="21"/>
                      <w:szCs w:val="21"/>
                      <w:lang w:val="en-US" w:eastAsia="zh-CN"/>
                    </w:rPr>
                    <w:t>0.2</w:t>
                  </w:r>
                </w:p>
              </w:tc>
            </w:tr>
            <w:tr w14:paraId="77C37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3" w:type="dxa"/>
                  <w:vMerge w:val="continue"/>
                  <w:noWrap w:val="0"/>
                  <w:vAlign w:val="center"/>
                </w:tcPr>
                <w:p w14:paraId="690BF345">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24" w:type="dxa"/>
                  <w:vMerge w:val="continue"/>
                  <w:noWrap w:val="0"/>
                  <w:vAlign w:val="center"/>
                </w:tcPr>
                <w:p w14:paraId="16F5879D">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48" w:type="dxa"/>
                  <w:noWrap w:val="0"/>
                  <w:vAlign w:val="center"/>
                </w:tcPr>
                <w:p w14:paraId="7551C82A">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kern w:val="0"/>
                      <w:sz w:val="21"/>
                      <w:szCs w:val="21"/>
                      <w:highlight w:val="none"/>
                      <w:lang w:val="en-US" w:eastAsia="zh-CN" w:bidi="ar-SA"/>
                    </w:rPr>
                    <w:t>清洗剂</w:t>
                  </w:r>
                </w:p>
              </w:tc>
              <w:tc>
                <w:tcPr>
                  <w:tcW w:w="2659" w:type="dxa"/>
                  <w:noWrap w:val="0"/>
                  <w:vAlign w:val="center"/>
                </w:tcPr>
                <w:p w14:paraId="0ABD02F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sz w:val="21"/>
                      <w:szCs w:val="21"/>
                      <w:lang w:val="en-US" w:eastAsia="zh-CN"/>
                    </w:rPr>
                    <w:t>0.2</w:t>
                  </w:r>
                </w:p>
              </w:tc>
            </w:tr>
            <w:tr w14:paraId="37E5E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3" w:type="dxa"/>
                  <w:vMerge w:val="continue"/>
                  <w:noWrap w:val="0"/>
                  <w:vAlign w:val="center"/>
                </w:tcPr>
                <w:p w14:paraId="1251AC90">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24" w:type="dxa"/>
                  <w:vMerge w:val="continue"/>
                  <w:noWrap w:val="0"/>
                  <w:vAlign w:val="center"/>
                </w:tcPr>
                <w:p w14:paraId="0B0685A5">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48" w:type="dxa"/>
                  <w:noWrap w:val="0"/>
                  <w:vAlign w:val="center"/>
                </w:tcPr>
                <w:p w14:paraId="3FF963A5">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kern w:val="0"/>
                      <w:sz w:val="21"/>
                      <w:szCs w:val="21"/>
                      <w:highlight w:val="none"/>
                      <w:lang w:val="en-US" w:eastAsia="zh-CN" w:bidi="ar-SA"/>
                    </w:rPr>
                    <w:t>机油</w:t>
                  </w:r>
                </w:p>
              </w:tc>
              <w:tc>
                <w:tcPr>
                  <w:tcW w:w="2659" w:type="dxa"/>
                  <w:noWrap w:val="0"/>
                  <w:vAlign w:val="center"/>
                </w:tcPr>
                <w:p w14:paraId="6CE9AAF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0"/>
                      <w:sz w:val="21"/>
                      <w:szCs w:val="21"/>
                      <w:vertAlign w:val="baseline"/>
                      <w:lang w:val="en-US" w:eastAsia="zh-CN" w:bidi="ar-SA"/>
                    </w:rPr>
                  </w:pPr>
                  <w:r>
                    <w:rPr>
                      <w:rFonts w:hint="eastAsia" w:ascii="Times New Roman" w:hAnsi="Times New Roman" w:eastAsia="宋体" w:cs="Times New Roman"/>
                      <w:color w:val="auto"/>
                      <w:sz w:val="21"/>
                      <w:szCs w:val="21"/>
                      <w:lang w:val="en-US" w:eastAsia="zh-CN"/>
                    </w:rPr>
                    <w:t>0.2</w:t>
                  </w:r>
                </w:p>
              </w:tc>
            </w:tr>
            <w:tr w14:paraId="77727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3" w:type="dxa"/>
                  <w:vMerge w:val="restart"/>
                  <w:noWrap w:val="0"/>
                  <w:vAlign w:val="center"/>
                </w:tcPr>
                <w:p w14:paraId="7755EF3B">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3</w:t>
                  </w:r>
                </w:p>
              </w:tc>
              <w:tc>
                <w:tcPr>
                  <w:tcW w:w="1824" w:type="dxa"/>
                  <w:vMerge w:val="restart"/>
                  <w:noWrap w:val="0"/>
                  <w:vAlign w:val="center"/>
                </w:tcPr>
                <w:p w14:paraId="12F4CF7F">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污水站</w:t>
                  </w:r>
                </w:p>
              </w:tc>
              <w:tc>
                <w:tcPr>
                  <w:tcW w:w="1848" w:type="dxa"/>
                  <w:noWrap w:val="0"/>
                  <w:vAlign w:val="center"/>
                </w:tcPr>
                <w:p w14:paraId="756EACCC">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PAC</w:t>
                  </w:r>
                </w:p>
              </w:tc>
              <w:tc>
                <w:tcPr>
                  <w:tcW w:w="2659" w:type="dxa"/>
                  <w:noWrap w:val="0"/>
                  <w:vAlign w:val="center"/>
                </w:tcPr>
                <w:p w14:paraId="7CDAFB3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w:t>
                  </w:r>
                </w:p>
              </w:tc>
            </w:tr>
            <w:tr w14:paraId="229BF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3" w:type="dxa"/>
                  <w:vMerge w:val="continue"/>
                  <w:noWrap w:val="0"/>
                  <w:vAlign w:val="center"/>
                </w:tcPr>
                <w:p w14:paraId="56F8D4BB">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24" w:type="dxa"/>
                  <w:vMerge w:val="continue"/>
                  <w:noWrap w:val="0"/>
                  <w:vAlign w:val="center"/>
                </w:tcPr>
                <w:p w14:paraId="188724D5">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48" w:type="dxa"/>
                  <w:noWrap w:val="0"/>
                  <w:vAlign w:val="center"/>
                </w:tcPr>
                <w:p w14:paraId="7FD904DD">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PAM</w:t>
                  </w:r>
                </w:p>
              </w:tc>
              <w:tc>
                <w:tcPr>
                  <w:tcW w:w="2659" w:type="dxa"/>
                  <w:noWrap w:val="0"/>
                  <w:vAlign w:val="center"/>
                </w:tcPr>
                <w:p w14:paraId="45E2E99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w:t>
                  </w:r>
                </w:p>
              </w:tc>
            </w:tr>
            <w:tr w14:paraId="7F260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3" w:type="dxa"/>
                  <w:vMerge w:val="continue"/>
                  <w:noWrap w:val="0"/>
                  <w:vAlign w:val="center"/>
                </w:tcPr>
                <w:p w14:paraId="78417F09">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24" w:type="dxa"/>
                  <w:vMerge w:val="continue"/>
                  <w:noWrap w:val="0"/>
                  <w:vAlign w:val="center"/>
                </w:tcPr>
                <w:p w14:paraId="6DE0340B">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48" w:type="dxa"/>
                  <w:noWrap w:val="0"/>
                  <w:vAlign w:val="center"/>
                </w:tcPr>
                <w:p w14:paraId="6FE4F843">
                  <w:pPr>
                    <w:keepNext w:val="0"/>
                    <w:keepLines w:val="0"/>
                    <w:pageBreakBefore w:val="0"/>
                    <w:widowControl/>
                    <w:kinsoku/>
                    <w:wordWrap/>
                    <w:overflowPunct/>
                    <w:topLinePunct w:val="0"/>
                    <w:autoSpaceDE/>
                    <w:autoSpaceDN/>
                    <w:bidi w:val="0"/>
                    <w:adjustRightInd w:val="0"/>
                    <w:snapToGrid w:val="0"/>
                    <w:spacing w:line="240" w:lineRule="auto"/>
                    <w:ind w:left="0" w:leftChars="0" w:right="0" w:rightChars="0"/>
                    <w:jc w:val="center"/>
                    <w:textAlignment w:val="auto"/>
                    <w:rPr>
                      <w:rFonts w:hint="eastAsia" w:cs="Times New Roman"/>
                      <w:color w:val="auto"/>
                      <w:kern w:val="0"/>
                      <w:sz w:val="21"/>
                      <w:szCs w:val="21"/>
                      <w:highlight w:val="none"/>
                      <w:lang w:val="en-US" w:eastAsia="zh-CN" w:bidi="ar-SA"/>
                    </w:rPr>
                  </w:pPr>
                  <w:r>
                    <w:rPr>
                      <w:rFonts w:hint="eastAsia"/>
                      <w:color w:val="auto"/>
                      <w:lang w:val="en-US" w:eastAsia="zh-CN"/>
                    </w:rPr>
                    <w:t>柠檬酸</w:t>
                  </w:r>
                </w:p>
              </w:tc>
              <w:tc>
                <w:tcPr>
                  <w:tcW w:w="2659" w:type="dxa"/>
                  <w:noWrap w:val="0"/>
                  <w:vAlign w:val="center"/>
                </w:tcPr>
                <w:p w14:paraId="6F7C174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0.05</w:t>
                  </w:r>
                </w:p>
              </w:tc>
            </w:tr>
            <w:tr w14:paraId="701DD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3" w:type="dxa"/>
                  <w:vMerge w:val="restart"/>
                  <w:noWrap w:val="0"/>
                  <w:vAlign w:val="center"/>
                </w:tcPr>
                <w:p w14:paraId="3545EC45">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4</w:t>
                  </w:r>
                </w:p>
              </w:tc>
              <w:tc>
                <w:tcPr>
                  <w:tcW w:w="1824" w:type="dxa"/>
                  <w:vMerge w:val="restart"/>
                  <w:noWrap w:val="0"/>
                  <w:vAlign w:val="center"/>
                </w:tcPr>
                <w:p w14:paraId="04146F09">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危废</w:t>
                  </w:r>
                  <w:r>
                    <w:rPr>
                      <w:rFonts w:hint="eastAsia" w:cs="Times New Roman"/>
                      <w:color w:val="auto"/>
                      <w:sz w:val="21"/>
                      <w:szCs w:val="21"/>
                      <w:vertAlign w:val="baseline"/>
                      <w:lang w:val="en-US" w:eastAsia="zh-CN"/>
                    </w:rPr>
                    <w:t>仓</w:t>
                  </w:r>
                  <w:r>
                    <w:rPr>
                      <w:rFonts w:hint="default" w:ascii="Times New Roman" w:hAnsi="Times New Roman" w:eastAsia="宋体" w:cs="Times New Roman"/>
                      <w:color w:val="auto"/>
                      <w:sz w:val="21"/>
                      <w:szCs w:val="21"/>
                      <w:vertAlign w:val="baseline"/>
                      <w:lang w:val="en-US" w:eastAsia="zh-CN"/>
                    </w:rPr>
                    <w:t>库</w:t>
                  </w:r>
                </w:p>
              </w:tc>
              <w:tc>
                <w:tcPr>
                  <w:tcW w:w="1848" w:type="dxa"/>
                  <w:noWrap w:val="0"/>
                  <w:vAlign w:val="center"/>
                </w:tcPr>
                <w:p w14:paraId="1AC03D58">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0"/>
                      <w:sz w:val="21"/>
                      <w:szCs w:val="21"/>
                      <w:highlight w:val="none"/>
                      <w:lang w:val="en-US" w:eastAsia="zh-CN" w:bidi="ar-SA"/>
                    </w:rPr>
                  </w:pPr>
                  <w:r>
                    <w:rPr>
                      <w:rFonts w:hint="eastAsia" w:ascii="Times New Roman" w:hAnsi="Times New Roman" w:eastAsia="宋体" w:cs="Times New Roman"/>
                      <w:color w:val="auto"/>
                      <w:sz w:val="21"/>
                      <w:szCs w:val="21"/>
                      <w:lang w:val="en-US" w:eastAsia="zh-CN"/>
                    </w:rPr>
                    <w:t>污泥</w:t>
                  </w:r>
                </w:p>
              </w:tc>
              <w:tc>
                <w:tcPr>
                  <w:tcW w:w="2659" w:type="dxa"/>
                  <w:noWrap w:val="0"/>
                  <w:vAlign w:val="center"/>
                </w:tcPr>
                <w:p w14:paraId="01A30A6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0.31</w:t>
                  </w:r>
                </w:p>
              </w:tc>
            </w:tr>
            <w:tr w14:paraId="517E5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3" w:type="dxa"/>
                  <w:vMerge w:val="continue"/>
                  <w:noWrap w:val="0"/>
                  <w:vAlign w:val="center"/>
                </w:tcPr>
                <w:p w14:paraId="49453486">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24" w:type="dxa"/>
                  <w:vMerge w:val="continue"/>
                  <w:noWrap w:val="0"/>
                  <w:vAlign w:val="center"/>
                </w:tcPr>
                <w:p w14:paraId="716D0569">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48" w:type="dxa"/>
                  <w:noWrap w:val="0"/>
                  <w:vAlign w:val="center"/>
                </w:tcPr>
                <w:p w14:paraId="53FB608B">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废过滤介质</w:t>
                  </w:r>
                </w:p>
              </w:tc>
              <w:tc>
                <w:tcPr>
                  <w:tcW w:w="2659" w:type="dxa"/>
                  <w:noWrap w:val="0"/>
                  <w:vAlign w:val="center"/>
                </w:tcPr>
                <w:p w14:paraId="1EA46039">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0.103</w:t>
                  </w:r>
                </w:p>
              </w:tc>
            </w:tr>
            <w:tr w14:paraId="4FFBF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3" w:type="dxa"/>
                  <w:vMerge w:val="continue"/>
                  <w:noWrap w:val="0"/>
                  <w:vAlign w:val="center"/>
                </w:tcPr>
                <w:p w14:paraId="6DB5D6DB">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24" w:type="dxa"/>
                  <w:vMerge w:val="continue"/>
                  <w:noWrap w:val="0"/>
                  <w:vAlign w:val="center"/>
                </w:tcPr>
                <w:p w14:paraId="5398B465">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48" w:type="dxa"/>
                  <w:noWrap w:val="0"/>
                  <w:vAlign w:val="center"/>
                </w:tcPr>
                <w:p w14:paraId="4AA63E4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0"/>
                      <w:sz w:val="21"/>
                      <w:szCs w:val="21"/>
                      <w:highlight w:val="none"/>
                      <w:lang w:val="en-US" w:eastAsia="zh-CN" w:bidi="ar-SA"/>
                    </w:rPr>
                  </w:pPr>
                  <w:r>
                    <w:rPr>
                      <w:rFonts w:hint="eastAsia" w:cs="Times New Roman"/>
                      <w:color w:val="auto"/>
                      <w:spacing w:val="2"/>
                      <w:kern w:val="2"/>
                      <w:sz w:val="21"/>
                      <w:szCs w:val="21"/>
                      <w:lang w:val="en-US" w:eastAsia="zh-CN" w:bidi="ar-SA"/>
                    </w:rPr>
                    <w:t>含切削液铝屑</w:t>
                  </w:r>
                </w:p>
              </w:tc>
              <w:tc>
                <w:tcPr>
                  <w:tcW w:w="2659" w:type="dxa"/>
                  <w:noWrap w:val="0"/>
                  <w:vAlign w:val="center"/>
                </w:tcPr>
                <w:p w14:paraId="7953ABC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1.05</w:t>
                  </w:r>
                </w:p>
              </w:tc>
            </w:tr>
            <w:tr w14:paraId="16B09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3" w:type="dxa"/>
                  <w:vMerge w:val="continue"/>
                  <w:noWrap w:val="0"/>
                  <w:vAlign w:val="center"/>
                </w:tcPr>
                <w:p w14:paraId="5E949C3D">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24" w:type="dxa"/>
                  <w:vMerge w:val="continue"/>
                  <w:noWrap w:val="0"/>
                  <w:vAlign w:val="center"/>
                </w:tcPr>
                <w:p w14:paraId="0146DD04">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48" w:type="dxa"/>
                  <w:noWrap w:val="0"/>
                  <w:vAlign w:val="center"/>
                </w:tcPr>
                <w:p w14:paraId="2D627B1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0"/>
                      <w:sz w:val="21"/>
                      <w:szCs w:val="21"/>
                      <w:highlight w:val="none"/>
                      <w:lang w:val="en-US" w:eastAsia="zh-CN" w:bidi="ar-SA"/>
                    </w:rPr>
                  </w:pPr>
                  <w:r>
                    <w:rPr>
                      <w:rFonts w:hint="eastAsia" w:ascii="Times New Roman" w:hAnsi="Times New Roman" w:eastAsia="宋体" w:cs="Times New Roman"/>
                      <w:color w:val="auto"/>
                      <w:spacing w:val="2"/>
                      <w:kern w:val="2"/>
                      <w:sz w:val="21"/>
                      <w:szCs w:val="21"/>
                      <w:lang w:val="en-US" w:eastAsia="zh-CN" w:bidi="ar-SA"/>
                    </w:rPr>
                    <w:t>废切削液</w:t>
                  </w:r>
                </w:p>
              </w:tc>
              <w:tc>
                <w:tcPr>
                  <w:tcW w:w="2659" w:type="dxa"/>
                  <w:noWrap w:val="0"/>
                  <w:vAlign w:val="center"/>
                </w:tcPr>
                <w:p w14:paraId="472ABE3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0.55</w:t>
                  </w:r>
                </w:p>
              </w:tc>
            </w:tr>
            <w:tr w14:paraId="13A80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3" w:type="dxa"/>
                  <w:vMerge w:val="continue"/>
                  <w:noWrap w:val="0"/>
                  <w:vAlign w:val="center"/>
                </w:tcPr>
                <w:p w14:paraId="27BD56E7">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24" w:type="dxa"/>
                  <w:vMerge w:val="continue"/>
                  <w:noWrap w:val="0"/>
                  <w:vAlign w:val="center"/>
                </w:tcPr>
                <w:p w14:paraId="17ED0524">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48" w:type="dxa"/>
                  <w:noWrap w:val="0"/>
                  <w:vAlign w:val="center"/>
                </w:tcPr>
                <w:p w14:paraId="05D5D8A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0"/>
                      <w:sz w:val="21"/>
                      <w:szCs w:val="21"/>
                      <w:highlight w:val="none"/>
                      <w:lang w:val="en-US" w:eastAsia="zh-CN" w:bidi="ar-SA"/>
                    </w:rPr>
                  </w:pPr>
                  <w:r>
                    <w:rPr>
                      <w:rFonts w:hint="eastAsia" w:ascii="Times New Roman" w:hAnsi="Times New Roman" w:eastAsia="宋体" w:cs="Times New Roman"/>
                      <w:color w:val="auto"/>
                      <w:spacing w:val="2"/>
                      <w:kern w:val="2"/>
                      <w:sz w:val="21"/>
                      <w:szCs w:val="21"/>
                      <w:lang w:val="en-US" w:eastAsia="zh-CN" w:bidi="ar-SA"/>
                    </w:rPr>
                    <w:t>清洗废液</w:t>
                  </w:r>
                </w:p>
              </w:tc>
              <w:tc>
                <w:tcPr>
                  <w:tcW w:w="2659" w:type="dxa"/>
                  <w:noWrap w:val="0"/>
                  <w:vAlign w:val="center"/>
                </w:tcPr>
                <w:p w14:paraId="6367788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1.62</w:t>
                  </w:r>
                </w:p>
              </w:tc>
            </w:tr>
            <w:tr w14:paraId="42AF7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3" w:type="dxa"/>
                  <w:vMerge w:val="continue"/>
                  <w:noWrap w:val="0"/>
                  <w:vAlign w:val="center"/>
                </w:tcPr>
                <w:p w14:paraId="5A7CA56A">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24" w:type="dxa"/>
                  <w:vMerge w:val="continue"/>
                  <w:noWrap w:val="0"/>
                  <w:vAlign w:val="center"/>
                </w:tcPr>
                <w:p w14:paraId="0D74E5CE">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48" w:type="dxa"/>
                  <w:noWrap w:val="0"/>
                  <w:vAlign w:val="center"/>
                </w:tcPr>
                <w:p w14:paraId="41F8691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0"/>
                      <w:sz w:val="21"/>
                      <w:szCs w:val="21"/>
                      <w:highlight w:val="none"/>
                      <w:lang w:val="en-US" w:eastAsia="zh-CN" w:bidi="ar-SA"/>
                    </w:rPr>
                  </w:pPr>
                  <w:r>
                    <w:rPr>
                      <w:rFonts w:hint="default" w:ascii="Times New Roman" w:hAnsi="Times New Roman" w:eastAsia="宋体" w:cs="Times New Roman"/>
                      <w:color w:val="auto"/>
                      <w:spacing w:val="2"/>
                      <w:kern w:val="2"/>
                      <w:sz w:val="21"/>
                      <w:szCs w:val="21"/>
                      <w:lang w:val="en-US" w:eastAsia="zh-CN" w:bidi="ar-SA"/>
                    </w:rPr>
                    <w:t>废</w:t>
                  </w:r>
                  <w:r>
                    <w:rPr>
                      <w:rFonts w:hint="eastAsia" w:ascii="Times New Roman" w:hAnsi="Times New Roman" w:eastAsia="宋体" w:cs="Times New Roman"/>
                      <w:color w:val="auto"/>
                      <w:spacing w:val="2"/>
                      <w:kern w:val="2"/>
                      <w:sz w:val="21"/>
                      <w:szCs w:val="21"/>
                      <w:lang w:val="en-US" w:eastAsia="zh-CN" w:bidi="ar-SA"/>
                    </w:rPr>
                    <w:t>机油</w:t>
                  </w:r>
                </w:p>
              </w:tc>
              <w:tc>
                <w:tcPr>
                  <w:tcW w:w="2659" w:type="dxa"/>
                  <w:noWrap w:val="0"/>
                  <w:vAlign w:val="center"/>
                </w:tcPr>
                <w:p w14:paraId="6593A58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0.225</w:t>
                  </w:r>
                </w:p>
              </w:tc>
            </w:tr>
            <w:tr w14:paraId="261BC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3" w:type="dxa"/>
                  <w:vMerge w:val="continue"/>
                  <w:noWrap w:val="0"/>
                  <w:vAlign w:val="center"/>
                </w:tcPr>
                <w:p w14:paraId="0856908B">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24" w:type="dxa"/>
                  <w:vMerge w:val="continue"/>
                  <w:noWrap w:val="0"/>
                  <w:vAlign w:val="center"/>
                </w:tcPr>
                <w:p w14:paraId="4CC7008E">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48" w:type="dxa"/>
                  <w:noWrap w:val="0"/>
                  <w:vAlign w:val="center"/>
                </w:tcPr>
                <w:p w14:paraId="2826DA0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0"/>
                      <w:sz w:val="21"/>
                      <w:szCs w:val="21"/>
                      <w:highlight w:val="none"/>
                      <w:lang w:val="en-US" w:eastAsia="zh-CN" w:bidi="ar-SA"/>
                    </w:rPr>
                  </w:pPr>
                  <w:r>
                    <w:rPr>
                      <w:rFonts w:hint="eastAsia" w:cs="Times New Roman"/>
                      <w:color w:val="auto"/>
                      <w:spacing w:val="2"/>
                      <w:kern w:val="2"/>
                      <w:sz w:val="21"/>
                      <w:szCs w:val="21"/>
                      <w:lang w:val="en-US" w:eastAsia="zh-CN" w:bidi="ar-SA"/>
                    </w:rPr>
                    <w:t>废切削液桶</w:t>
                  </w:r>
                </w:p>
              </w:tc>
              <w:tc>
                <w:tcPr>
                  <w:tcW w:w="2659" w:type="dxa"/>
                  <w:noWrap w:val="0"/>
                  <w:vAlign w:val="center"/>
                </w:tcPr>
                <w:p w14:paraId="1C7257A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w:t>
                  </w:r>
                </w:p>
              </w:tc>
            </w:tr>
            <w:tr w14:paraId="4EB25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3" w:type="dxa"/>
                  <w:vMerge w:val="continue"/>
                  <w:noWrap w:val="0"/>
                  <w:vAlign w:val="center"/>
                </w:tcPr>
                <w:p w14:paraId="6A8F9141">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24" w:type="dxa"/>
                  <w:vMerge w:val="continue"/>
                  <w:noWrap w:val="0"/>
                  <w:vAlign w:val="center"/>
                </w:tcPr>
                <w:p w14:paraId="2EFE494F">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48" w:type="dxa"/>
                  <w:noWrap w:val="0"/>
                  <w:vAlign w:val="center"/>
                </w:tcPr>
                <w:p w14:paraId="3588EF0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kern w:val="0"/>
                      <w:sz w:val="21"/>
                      <w:szCs w:val="21"/>
                      <w:highlight w:val="none"/>
                      <w:lang w:val="en-US" w:eastAsia="zh-CN" w:bidi="ar-SA"/>
                    </w:rPr>
                  </w:pPr>
                  <w:r>
                    <w:rPr>
                      <w:rFonts w:hint="eastAsia" w:ascii="Times New Roman" w:hAnsi="Times New Roman" w:eastAsia="宋体" w:cs="Times New Roman"/>
                      <w:color w:val="auto"/>
                      <w:spacing w:val="2"/>
                      <w:kern w:val="2"/>
                      <w:sz w:val="21"/>
                      <w:szCs w:val="21"/>
                      <w:lang w:val="en-US" w:eastAsia="zh-CN" w:bidi="ar-SA"/>
                    </w:rPr>
                    <w:t>废机油桶</w:t>
                  </w:r>
                </w:p>
              </w:tc>
              <w:tc>
                <w:tcPr>
                  <w:tcW w:w="2659" w:type="dxa"/>
                  <w:noWrap w:val="0"/>
                  <w:vAlign w:val="center"/>
                </w:tcPr>
                <w:p w14:paraId="0C42C3C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0.025</w:t>
                  </w:r>
                </w:p>
              </w:tc>
            </w:tr>
            <w:tr w14:paraId="4FE39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3" w:type="dxa"/>
                  <w:vMerge w:val="continue"/>
                  <w:noWrap w:val="0"/>
                  <w:vAlign w:val="center"/>
                </w:tcPr>
                <w:p w14:paraId="5D04AD15">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24" w:type="dxa"/>
                  <w:vMerge w:val="continue"/>
                  <w:noWrap w:val="0"/>
                  <w:vAlign w:val="center"/>
                </w:tcPr>
                <w:p w14:paraId="6A06CE7D">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48" w:type="dxa"/>
                  <w:noWrap w:val="0"/>
                  <w:vAlign w:val="center"/>
                </w:tcPr>
                <w:p w14:paraId="0D29F3B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pacing w:val="2"/>
                      <w:kern w:val="2"/>
                      <w:sz w:val="21"/>
                      <w:szCs w:val="21"/>
                      <w:lang w:val="en-US" w:eastAsia="zh-CN" w:bidi="ar-SA"/>
                    </w:rPr>
                  </w:pPr>
                  <w:r>
                    <w:rPr>
                      <w:rFonts w:hint="eastAsia" w:cs="Times New Roman"/>
                      <w:color w:val="auto"/>
                      <w:spacing w:val="2"/>
                      <w:kern w:val="2"/>
                      <w:sz w:val="21"/>
                      <w:szCs w:val="21"/>
                      <w:lang w:val="en-US" w:eastAsia="zh-CN" w:bidi="ar-SA"/>
                    </w:rPr>
                    <w:t>废包装袋</w:t>
                  </w:r>
                </w:p>
              </w:tc>
              <w:tc>
                <w:tcPr>
                  <w:tcW w:w="2659" w:type="dxa"/>
                  <w:noWrap w:val="0"/>
                  <w:vAlign w:val="center"/>
                </w:tcPr>
                <w:p w14:paraId="34B1AED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0.001</w:t>
                  </w:r>
                </w:p>
              </w:tc>
            </w:tr>
            <w:tr w14:paraId="3679D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3" w:type="dxa"/>
                  <w:vMerge w:val="continue"/>
                  <w:noWrap w:val="0"/>
                  <w:vAlign w:val="center"/>
                </w:tcPr>
                <w:p w14:paraId="38A9C50B">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24" w:type="dxa"/>
                  <w:vMerge w:val="continue"/>
                  <w:noWrap w:val="0"/>
                  <w:vAlign w:val="center"/>
                </w:tcPr>
                <w:p w14:paraId="116518A2">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48" w:type="dxa"/>
                  <w:noWrap w:val="0"/>
                  <w:vAlign w:val="center"/>
                </w:tcPr>
                <w:p w14:paraId="23EBBBE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2"/>
                      <w:kern w:val="2"/>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废MBR膜</w:t>
                  </w:r>
                </w:p>
              </w:tc>
              <w:tc>
                <w:tcPr>
                  <w:tcW w:w="2659" w:type="dxa"/>
                  <w:noWrap w:val="0"/>
                  <w:vAlign w:val="center"/>
                </w:tcPr>
                <w:p w14:paraId="5EC1DEB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0.01</w:t>
                  </w:r>
                </w:p>
              </w:tc>
            </w:tr>
            <w:tr w14:paraId="3403F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3" w:type="dxa"/>
                  <w:vMerge w:val="continue"/>
                  <w:noWrap w:val="0"/>
                  <w:vAlign w:val="center"/>
                </w:tcPr>
                <w:p w14:paraId="67151671">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24" w:type="dxa"/>
                  <w:vMerge w:val="continue"/>
                  <w:noWrap w:val="0"/>
                  <w:vAlign w:val="center"/>
                </w:tcPr>
                <w:p w14:paraId="4DB27C9C">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48" w:type="dxa"/>
                  <w:noWrap w:val="0"/>
                  <w:vAlign w:val="center"/>
                </w:tcPr>
                <w:p w14:paraId="2135CA5D">
                  <w:pPr>
                    <w:pStyle w:val="28"/>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eastAsia" w:cs="Times New Roman"/>
                      <w:color w:val="auto"/>
                      <w:kern w:val="0"/>
                      <w:sz w:val="21"/>
                      <w:szCs w:val="21"/>
                      <w:highlight w:val="none"/>
                      <w:lang w:val="en-US" w:eastAsia="zh-CN" w:bidi="ar-SA"/>
                    </w:rPr>
                  </w:pPr>
                  <w:r>
                    <w:rPr>
                      <w:rFonts w:hint="eastAsia" w:cs="Times New Roman"/>
                      <w:color w:val="auto"/>
                      <w:spacing w:val="2"/>
                      <w:kern w:val="2"/>
                      <w:sz w:val="21"/>
                      <w:szCs w:val="21"/>
                      <w:lang w:val="en-US" w:eastAsia="zh-CN" w:bidi="ar-SA"/>
                    </w:rPr>
                    <w:t>废清洗剂桶</w:t>
                  </w:r>
                </w:p>
              </w:tc>
              <w:tc>
                <w:tcPr>
                  <w:tcW w:w="2659" w:type="dxa"/>
                  <w:noWrap w:val="0"/>
                  <w:vAlign w:val="center"/>
                </w:tcPr>
                <w:p w14:paraId="1CA42B5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w:t>
                  </w:r>
                  <w:r>
                    <w:rPr>
                      <w:rFonts w:hint="eastAsia" w:cs="Times New Roman"/>
                      <w:color w:val="auto"/>
                      <w:sz w:val="21"/>
                      <w:szCs w:val="21"/>
                      <w:lang w:val="en-US" w:eastAsia="zh-CN"/>
                    </w:rPr>
                    <w:t>2</w:t>
                  </w:r>
                </w:p>
              </w:tc>
            </w:tr>
            <w:tr w14:paraId="5533D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823" w:type="dxa"/>
                  <w:vMerge w:val="continue"/>
                  <w:noWrap w:val="0"/>
                  <w:vAlign w:val="center"/>
                </w:tcPr>
                <w:p w14:paraId="6F9D9E91">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24" w:type="dxa"/>
                  <w:vMerge w:val="continue"/>
                  <w:noWrap w:val="0"/>
                  <w:vAlign w:val="center"/>
                </w:tcPr>
                <w:p w14:paraId="4306BC80">
                  <w:pPr>
                    <w:pStyle w:val="6"/>
                    <w:keepNext w:val="0"/>
                    <w:keepLines w:val="0"/>
                    <w:pageBreakBefore w:val="0"/>
                    <w:kinsoku/>
                    <w:wordWrap/>
                    <w:overflowPunct/>
                    <w:topLinePunct w:val="0"/>
                    <w:autoSpaceDE/>
                    <w:autoSpaceDN/>
                    <w:bidi w:val="0"/>
                    <w:spacing w:before="0" w:after="0" w:line="240" w:lineRule="atLeast"/>
                    <w:ind w:right="0"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1848" w:type="dxa"/>
                  <w:noWrap w:val="0"/>
                  <w:vAlign w:val="center"/>
                </w:tcPr>
                <w:p w14:paraId="457B64A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pacing w:val="2"/>
                      <w:kern w:val="2"/>
                      <w:sz w:val="21"/>
                      <w:szCs w:val="21"/>
                      <w:lang w:val="en-US" w:eastAsia="zh-CN" w:bidi="ar-SA"/>
                    </w:rPr>
                    <w:t>含油废抹布手套</w:t>
                  </w:r>
                </w:p>
              </w:tc>
              <w:tc>
                <w:tcPr>
                  <w:tcW w:w="2659" w:type="dxa"/>
                  <w:noWrap w:val="0"/>
                  <w:vAlign w:val="center"/>
                </w:tcPr>
                <w:p w14:paraId="16F91FB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lang w:val="en-US" w:eastAsia="zh-CN"/>
                    </w:rPr>
                    <w:t>0.01</w:t>
                  </w:r>
                  <w:r>
                    <w:rPr>
                      <w:rFonts w:hint="eastAsia" w:cs="Times New Roman"/>
                      <w:color w:val="auto"/>
                      <w:sz w:val="21"/>
                      <w:szCs w:val="21"/>
                      <w:lang w:val="en-US" w:eastAsia="zh-CN"/>
                    </w:rPr>
                    <w:t>3</w:t>
                  </w:r>
                </w:p>
              </w:tc>
            </w:tr>
          </w:tbl>
          <w:p w14:paraId="07118008">
            <w:pPr>
              <w:keepNext w:val="0"/>
              <w:keepLines w:val="0"/>
              <w:pageBreakBefore w:val="0"/>
              <w:widowControl w:val="0"/>
              <w:kinsoku/>
              <w:wordWrap/>
              <w:overflowPunct/>
              <w:topLinePunct w:val="0"/>
              <w:bidi w:val="0"/>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4.7.3风险事故情形分析</w:t>
            </w:r>
          </w:p>
          <w:p w14:paraId="6BC097E4">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color w:val="auto"/>
                <w:sz w:val="24"/>
                <w:szCs w:val="24"/>
                <w:highlight w:val="none"/>
                <w:lang w:val="en-US" w:eastAsia="zh-CN"/>
              </w:rPr>
              <w:t>公司一旦发生火灾、爆</w:t>
            </w:r>
            <w:r>
              <w:rPr>
                <w:rFonts w:hint="default" w:ascii="Times New Roman" w:hAnsi="Times New Roman" w:eastAsia="宋体" w:cs="Times New Roman"/>
                <w:color w:val="auto"/>
                <w:sz w:val="24"/>
                <w:szCs w:val="24"/>
                <w:highlight w:val="none"/>
                <w:u w:val="none"/>
                <w:lang w:val="en-US" w:eastAsia="zh-CN"/>
              </w:rPr>
              <w:t>炸事故，</w:t>
            </w:r>
            <w:r>
              <w:rPr>
                <w:rFonts w:hint="eastAsia" w:ascii="Times New Roman" w:hAnsi="Times New Roman" w:eastAsia="宋体" w:cs="Times New Roman"/>
                <w:color w:val="auto"/>
                <w:sz w:val="24"/>
                <w:szCs w:val="24"/>
                <w:highlight w:val="none"/>
                <w:u w:val="none"/>
                <w:lang w:val="en-US" w:eastAsia="zh-CN"/>
              </w:rPr>
              <w:t>机油、废机油</w:t>
            </w:r>
            <w:r>
              <w:rPr>
                <w:rFonts w:hint="default" w:ascii="Times New Roman" w:hAnsi="Times New Roman" w:eastAsia="宋体" w:cs="Times New Roman"/>
                <w:color w:val="auto"/>
                <w:sz w:val="24"/>
                <w:szCs w:val="24"/>
                <w:highlight w:val="none"/>
                <w:u w:val="none"/>
                <w:lang w:val="en-US" w:eastAsia="zh-CN"/>
              </w:rPr>
              <w:t>等不完全燃烧时产生的CO、氮氧化物、颗粒物等伴生/次生污染物对周围大气环境造成影响，污染大气环境。火灾、爆炸事故中，若厂区地面、管道或事故应急池防渗措施出现裂隙，将导致事故废水下渗对地下水环境造成影响。消防废水经过雨水管网进入附近水体，对地表水环境造成影响。</w:t>
            </w:r>
          </w:p>
          <w:p w14:paraId="5E188A5C">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表4-</w:t>
            </w:r>
            <w:r>
              <w:rPr>
                <w:rFonts w:hint="eastAsia" w:cs="Times New Roman"/>
                <w:b/>
                <w:bCs/>
                <w:color w:val="auto"/>
                <w:sz w:val="21"/>
                <w:szCs w:val="21"/>
                <w:highlight w:val="none"/>
                <w:lang w:val="en-US" w:eastAsia="zh-CN"/>
              </w:rPr>
              <w:t xml:space="preserve">26 </w:t>
            </w:r>
            <w:r>
              <w:rPr>
                <w:rFonts w:hint="default" w:ascii="Times New Roman" w:hAnsi="Times New Roman" w:eastAsia="宋体" w:cs="Times New Roman"/>
                <w:b/>
                <w:bCs/>
                <w:color w:val="auto"/>
                <w:sz w:val="21"/>
                <w:szCs w:val="21"/>
                <w:highlight w:val="none"/>
                <w:lang w:val="en-US" w:eastAsia="zh-CN"/>
              </w:rPr>
              <w:t>代表性风险事故情形一览表</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1965"/>
              <w:gridCol w:w="1698"/>
              <w:gridCol w:w="1224"/>
              <w:gridCol w:w="1669"/>
            </w:tblGrid>
            <w:tr w14:paraId="3B3E8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pct"/>
                  <w:noWrap w:val="0"/>
                  <w:vAlign w:val="center"/>
                </w:tcPr>
                <w:p w14:paraId="62E3BF8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事故类型</w:t>
                  </w:r>
                </w:p>
              </w:tc>
              <w:tc>
                <w:tcPr>
                  <w:tcW w:w="1196" w:type="pct"/>
                  <w:noWrap w:val="0"/>
                  <w:vAlign w:val="center"/>
                </w:tcPr>
                <w:p w14:paraId="3C12833A">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代表性事故情形</w:t>
                  </w:r>
                </w:p>
              </w:tc>
              <w:tc>
                <w:tcPr>
                  <w:tcW w:w="1034" w:type="pct"/>
                  <w:noWrap w:val="0"/>
                  <w:vAlign w:val="center"/>
                </w:tcPr>
                <w:p w14:paraId="0BF1D07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风险物质</w:t>
                  </w:r>
                </w:p>
              </w:tc>
              <w:tc>
                <w:tcPr>
                  <w:tcW w:w="745" w:type="pct"/>
                  <w:noWrap w:val="0"/>
                  <w:vAlign w:val="center"/>
                </w:tcPr>
                <w:p w14:paraId="5D2901E6">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可扩散途径</w:t>
                  </w:r>
                </w:p>
              </w:tc>
              <w:tc>
                <w:tcPr>
                  <w:tcW w:w="1016" w:type="pct"/>
                  <w:noWrap w:val="0"/>
                  <w:vAlign w:val="center"/>
                </w:tcPr>
                <w:p w14:paraId="7371808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受影响的水系/敏感保护目标</w:t>
                  </w:r>
                </w:p>
              </w:tc>
            </w:tr>
            <w:tr w14:paraId="02CDB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pct"/>
                  <w:noWrap w:val="0"/>
                  <w:vAlign w:val="center"/>
                </w:tcPr>
                <w:p w14:paraId="0FB84D17">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泄漏</w:t>
                  </w:r>
                </w:p>
              </w:tc>
              <w:tc>
                <w:tcPr>
                  <w:tcW w:w="1196" w:type="pct"/>
                  <w:noWrap w:val="0"/>
                  <w:vAlign w:val="center"/>
                </w:tcPr>
                <w:p w14:paraId="23E6E29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切削液</w:t>
                  </w:r>
                  <w:r>
                    <w:rPr>
                      <w:rFonts w:hint="default"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清洗剂</w:t>
                  </w:r>
                  <w:r>
                    <w:rPr>
                      <w:rFonts w:hint="default"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机油</w:t>
                  </w:r>
                  <w:r>
                    <w:rPr>
                      <w:rFonts w:hint="default" w:ascii="Times New Roman" w:hAnsi="Times New Roman" w:eastAsia="宋体" w:cs="Times New Roman"/>
                      <w:color w:val="auto"/>
                      <w:sz w:val="21"/>
                      <w:szCs w:val="21"/>
                      <w:highlight w:val="none"/>
                      <w:vertAlign w:val="baseline"/>
                      <w:lang w:val="en-US" w:eastAsia="zh-CN"/>
                    </w:rPr>
                    <w:t>等液态物质泄漏</w:t>
                  </w:r>
                </w:p>
              </w:tc>
              <w:tc>
                <w:tcPr>
                  <w:tcW w:w="1034" w:type="pct"/>
                  <w:noWrap w:val="0"/>
                  <w:vAlign w:val="center"/>
                </w:tcPr>
                <w:p w14:paraId="6A0B8455">
                  <w:pPr>
                    <w:keepNext w:val="0"/>
                    <w:keepLines w:val="0"/>
                    <w:pageBreakBefore w:val="0"/>
                    <w:widowControl w:val="0"/>
                    <w:kinsoku/>
                    <w:wordWrap/>
                    <w:overflowPunct/>
                    <w:topLinePunct w:val="0"/>
                    <w:autoSpaceDE/>
                    <w:autoSpaceDN/>
                    <w:bidi w:val="0"/>
                    <w:spacing w:line="240" w:lineRule="auto"/>
                    <w:jc w:val="center"/>
                    <w:textAlignment w:val="auto"/>
                    <w:rPr>
                      <w:rFonts w:hint="eastAsia" w:ascii="Times New Roman" w:hAnsi="Times New Roman" w:eastAsia="宋体" w:cs="Times New Roman"/>
                      <w:color w:val="auto"/>
                      <w:sz w:val="21"/>
                      <w:szCs w:val="21"/>
                      <w:highlight w:val="none"/>
                      <w:vertAlign w:val="baseline"/>
                      <w:lang w:val="en-US" w:eastAsia="zh-CN"/>
                    </w:rPr>
                  </w:pPr>
                  <w:r>
                    <w:rPr>
                      <w:rFonts w:hint="eastAsia" w:cs="Times New Roman"/>
                      <w:color w:val="auto"/>
                      <w:sz w:val="21"/>
                      <w:szCs w:val="21"/>
                      <w:highlight w:val="none"/>
                      <w:vertAlign w:val="baseline"/>
                      <w:lang w:val="en-US" w:eastAsia="zh-CN"/>
                    </w:rPr>
                    <w:t>切削液</w:t>
                  </w:r>
                  <w:r>
                    <w:rPr>
                      <w:rFonts w:hint="default"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清洗剂</w:t>
                  </w:r>
                  <w:r>
                    <w:rPr>
                      <w:rFonts w:hint="default" w:ascii="Times New Roman" w:hAnsi="Times New Roman" w:eastAsia="宋体" w:cs="Times New Roman"/>
                      <w:color w:val="auto"/>
                      <w:sz w:val="21"/>
                      <w:szCs w:val="21"/>
                      <w:highlight w:val="none"/>
                      <w:vertAlign w:val="baseline"/>
                      <w:lang w:val="en-US" w:eastAsia="zh-CN"/>
                    </w:rPr>
                    <w:t>、</w:t>
                  </w:r>
                  <w:r>
                    <w:rPr>
                      <w:rFonts w:hint="eastAsia" w:ascii="Times New Roman" w:hAnsi="Times New Roman" w:eastAsia="宋体" w:cs="Times New Roman"/>
                      <w:color w:val="auto"/>
                      <w:sz w:val="21"/>
                      <w:szCs w:val="21"/>
                      <w:highlight w:val="none"/>
                      <w:vertAlign w:val="baseline"/>
                      <w:lang w:val="en-US" w:eastAsia="zh-CN"/>
                    </w:rPr>
                    <w:t>机油等</w:t>
                  </w:r>
                </w:p>
              </w:tc>
              <w:tc>
                <w:tcPr>
                  <w:tcW w:w="745" w:type="pct"/>
                  <w:vMerge w:val="restart"/>
                  <w:noWrap w:val="0"/>
                  <w:vAlign w:val="center"/>
                </w:tcPr>
                <w:p w14:paraId="21E3E744">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蒸发、大气沉降、地表漫流、垂直入渗、雨水管网径流</w:t>
                  </w:r>
                  <w:r>
                    <w:rPr>
                      <w:rFonts w:hint="default" w:ascii="Times New Roman" w:hAnsi="Times New Roman" w:eastAsia="宋体" w:cs="Times New Roman"/>
                      <w:color w:val="auto"/>
                      <w:sz w:val="21"/>
                      <w:szCs w:val="21"/>
                      <w:highlight w:val="none"/>
                      <w:lang w:val="en-US" w:eastAsia="zh-CN"/>
                    </w:rPr>
                    <w:t>等</w:t>
                  </w:r>
                </w:p>
              </w:tc>
              <w:tc>
                <w:tcPr>
                  <w:tcW w:w="1016" w:type="pct"/>
                  <w:noWrap w:val="0"/>
                  <w:vAlign w:val="center"/>
                </w:tcPr>
                <w:p w14:paraId="55AA581B">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vertAlign w:val="baseline"/>
                      <w:lang w:val="en-US" w:eastAsia="zh-CN"/>
                    </w:rPr>
                  </w:pPr>
                  <w:r>
                    <w:rPr>
                      <w:rFonts w:hint="eastAsia" w:ascii="Times New Roman" w:hAnsi="Times New Roman" w:eastAsia="宋体" w:cs="Times New Roman"/>
                      <w:color w:val="auto"/>
                      <w:sz w:val="21"/>
                      <w:szCs w:val="21"/>
                      <w:lang w:val="en-US" w:eastAsia="zh-CN"/>
                    </w:rPr>
                    <w:t>水北村</w:t>
                  </w:r>
                  <w:r>
                    <w:rPr>
                      <w:rFonts w:hint="default" w:ascii="Times New Roman" w:hAnsi="Times New Roman" w:eastAsia="宋体" w:cs="Times New Roman"/>
                      <w:color w:val="auto"/>
                      <w:sz w:val="21"/>
                      <w:szCs w:val="21"/>
                      <w:highlight w:val="none"/>
                      <w:vertAlign w:val="baseline"/>
                      <w:lang w:val="en-US" w:eastAsia="zh-CN"/>
                    </w:rPr>
                    <w:t>等</w:t>
                  </w:r>
                </w:p>
              </w:tc>
            </w:tr>
            <w:tr w14:paraId="157F9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pct"/>
                  <w:noWrap w:val="0"/>
                  <w:vAlign w:val="center"/>
                </w:tcPr>
                <w:p w14:paraId="5AAFAE9B">
                  <w:pPr>
                    <w:keepNext w:val="0"/>
                    <w:keepLines w:val="0"/>
                    <w:pageBreakBefore w:val="0"/>
                    <w:widowControl w:val="0"/>
                    <w:kinsoku/>
                    <w:wordWrap/>
                    <w:overflowPunct/>
                    <w:topLinePunct w:val="0"/>
                    <w:autoSpaceDE/>
                    <w:autoSpaceDN/>
                    <w:bidi w:val="0"/>
                    <w:spacing w:line="240" w:lineRule="auto"/>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泄漏，火灾、爆炸产生的伴生、次生污染物</w:t>
                  </w:r>
                </w:p>
              </w:tc>
              <w:tc>
                <w:tcPr>
                  <w:tcW w:w="1196" w:type="pct"/>
                  <w:noWrap w:val="0"/>
                  <w:vAlign w:val="center"/>
                </w:tcPr>
                <w:p w14:paraId="22EDA6B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火灾、爆炸产生的消防废水、污染雨水进入雨水管网污染周边水域</w:t>
                  </w:r>
                </w:p>
              </w:tc>
              <w:tc>
                <w:tcPr>
                  <w:tcW w:w="1034" w:type="pct"/>
                  <w:noWrap w:val="0"/>
                  <w:vAlign w:val="center"/>
                </w:tcPr>
                <w:p w14:paraId="1A50DCB4">
                  <w:pPr>
                    <w:keepNext w:val="0"/>
                    <w:keepLines w:val="0"/>
                    <w:pageBreakBefore w:val="0"/>
                    <w:widowControl/>
                    <w:suppressLineNumbers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lang w:val="en-US" w:eastAsia="zh-CN" w:bidi="ar"/>
                    </w:rPr>
                    <w:t>泄漏、火灾、爆炸产生的废液、消防废水，污染雨水等</w:t>
                  </w:r>
                </w:p>
              </w:tc>
              <w:tc>
                <w:tcPr>
                  <w:tcW w:w="745" w:type="pct"/>
                  <w:vMerge w:val="continue"/>
                  <w:noWrap w:val="0"/>
                  <w:vAlign w:val="center"/>
                </w:tcPr>
                <w:p w14:paraId="5E6B2162">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p>
              </w:tc>
              <w:tc>
                <w:tcPr>
                  <w:tcW w:w="1016" w:type="pct"/>
                  <w:noWrap w:val="0"/>
                  <w:vAlign w:val="center"/>
                </w:tcPr>
                <w:p w14:paraId="1FE7D2F0">
                  <w:pPr>
                    <w:pStyle w:val="14"/>
                    <w:keepNext w:val="0"/>
                    <w:keepLines w:val="0"/>
                    <w:pageBreakBefore w:val="0"/>
                    <w:tabs>
                      <w:tab w:val="left" w:pos="3456"/>
                    </w:tabs>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eastAsia" w:ascii="Times New Roman" w:hAnsi="Times New Roman" w:eastAsia="宋体" w:cs="Times New Roman"/>
                      <w:b w:val="0"/>
                      <w:bCs/>
                      <w:color w:val="auto"/>
                      <w:sz w:val="21"/>
                      <w:szCs w:val="21"/>
                      <w:highlight w:val="none"/>
                      <w:lang w:val="en-US" w:eastAsia="zh-CN"/>
                    </w:rPr>
                    <w:t>通济河</w:t>
                  </w:r>
                  <w:r>
                    <w:rPr>
                      <w:rFonts w:hint="default" w:ascii="Times New Roman" w:hAnsi="Times New Roman" w:eastAsia="宋体" w:cs="Times New Roman"/>
                      <w:b w:val="0"/>
                      <w:bCs/>
                      <w:color w:val="auto"/>
                      <w:sz w:val="21"/>
                      <w:szCs w:val="21"/>
                      <w:highlight w:val="none"/>
                      <w:lang w:val="en-US" w:eastAsia="zh-CN"/>
                    </w:rPr>
                    <w:t>等附近水体、土壤、地下水</w:t>
                  </w:r>
                </w:p>
              </w:tc>
            </w:tr>
            <w:tr w14:paraId="3B5CB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06" w:type="pct"/>
                  <w:noWrap w:val="0"/>
                  <w:vAlign w:val="center"/>
                </w:tcPr>
                <w:p w14:paraId="192922BF">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其他事故</w:t>
                  </w:r>
                </w:p>
              </w:tc>
              <w:tc>
                <w:tcPr>
                  <w:tcW w:w="1196" w:type="pct"/>
                  <w:noWrap w:val="0"/>
                  <w:vAlign w:val="center"/>
                </w:tcPr>
                <w:p w14:paraId="49F36D5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1034" w:type="pct"/>
                  <w:noWrap w:val="0"/>
                  <w:vAlign w:val="center"/>
                </w:tcPr>
                <w:p w14:paraId="3FD9C6FC">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745" w:type="pct"/>
                  <w:noWrap w:val="0"/>
                  <w:vAlign w:val="center"/>
                </w:tcPr>
                <w:p w14:paraId="1786DD90">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color w:val="auto"/>
                      <w:sz w:val="21"/>
                      <w:szCs w:val="21"/>
                      <w:highlight w:val="none"/>
                      <w:vertAlign w:val="baseline"/>
                      <w:lang w:val="en-US" w:eastAsia="zh-CN"/>
                    </w:rPr>
                    <w:t>/</w:t>
                  </w:r>
                </w:p>
              </w:tc>
              <w:tc>
                <w:tcPr>
                  <w:tcW w:w="1016" w:type="pct"/>
                  <w:noWrap w:val="0"/>
                  <w:vAlign w:val="center"/>
                </w:tcPr>
                <w:p w14:paraId="0F19A319">
                  <w:pPr>
                    <w:pStyle w:val="14"/>
                    <w:keepNext w:val="0"/>
                    <w:keepLines w:val="0"/>
                    <w:pageBreakBefore w:val="0"/>
                    <w:tabs>
                      <w:tab w:val="left" w:pos="3456"/>
                    </w:tabs>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val="0"/>
                      <w:bCs/>
                      <w:color w:val="auto"/>
                      <w:kern w:val="2"/>
                      <w:sz w:val="21"/>
                      <w:szCs w:val="21"/>
                      <w:highlight w:val="none"/>
                      <w:lang w:val="en-US" w:eastAsia="zh-CN" w:bidi="ar-SA"/>
                    </w:rPr>
                  </w:pPr>
                  <w:r>
                    <w:rPr>
                      <w:rFonts w:hint="default" w:ascii="Times New Roman" w:hAnsi="Times New Roman" w:eastAsia="宋体" w:cs="Times New Roman"/>
                      <w:b w:val="0"/>
                      <w:bCs/>
                      <w:color w:val="auto"/>
                      <w:kern w:val="2"/>
                      <w:sz w:val="21"/>
                      <w:szCs w:val="21"/>
                      <w:highlight w:val="none"/>
                      <w:lang w:val="en-US" w:eastAsia="zh-CN" w:bidi="ar-SA"/>
                    </w:rPr>
                    <w:t>/</w:t>
                  </w:r>
                </w:p>
              </w:tc>
            </w:tr>
          </w:tbl>
          <w:p w14:paraId="61D7BBA2">
            <w:pPr>
              <w:keepNext w:val="0"/>
              <w:keepLines w:val="0"/>
              <w:pageBreakBefore w:val="0"/>
              <w:widowControl w:val="0"/>
              <w:kinsoku/>
              <w:wordWrap/>
              <w:overflowPunct/>
              <w:topLinePunct w:val="0"/>
              <w:bidi w:val="0"/>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4.7.4环境影响途径</w:t>
            </w:r>
          </w:p>
          <w:p w14:paraId="054D35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①泄漏影响</w:t>
            </w:r>
          </w:p>
          <w:p w14:paraId="1CD0B0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企业</w:t>
            </w:r>
            <w:r>
              <w:rPr>
                <w:rFonts w:hint="default" w:ascii="Times New Roman" w:hAnsi="Times New Roman" w:eastAsia="宋体" w:cs="Times New Roman"/>
                <w:color w:val="auto"/>
                <w:sz w:val="24"/>
                <w:szCs w:val="24"/>
                <w:highlight w:val="none"/>
                <w:lang w:val="en-US" w:eastAsia="zh-CN"/>
              </w:rPr>
              <w:t>原料库</w:t>
            </w:r>
            <w:r>
              <w:rPr>
                <w:rFonts w:hint="default" w:ascii="Times New Roman" w:hAnsi="Times New Roman" w:eastAsia="宋体" w:cs="Times New Roman"/>
                <w:color w:val="auto"/>
                <w:sz w:val="24"/>
                <w:szCs w:val="24"/>
                <w:highlight w:val="none"/>
              </w:rPr>
              <w:t>危险</w:t>
            </w:r>
            <w:r>
              <w:rPr>
                <w:rFonts w:hint="default" w:ascii="Times New Roman" w:hAnsi="Times New Roman" w:eastAsia="宋体" w:cs="Times New Roman"/>
                <w:color w:val="auto"/>
                <w:sz w:val="24"/>
                <w:szCs w:val="24"/>
                <w:highlight w:val="none"/>
                <w:shd w:val="clear" w:color="auto" w:fill="auto"/>
              </w:rPr>
              <w:t>废物</w:t>
            </w:r>
            <w:r>
              <w:rPr>
                <w:rFonts w:hint="default" w:ascii="Times New Roman" w:hAnsi="Times New Roman" w:eastAsia="宋体" w:cs="Times New Roman"/>
                <w:color w:val="auto"/>
                <w:sz w:val="24"/>
                <w:szCs w:val="24"/>
                <w:highlight w:val="none"/>
              </w:rPr>
              <w:t>贮存</w:t>
            </w:r>
            <w:r>
              <w:rPr>
                <w:rFonts w:hint="default" w:ascii="Times New Roman" w:hAnsi="Times New Roman" w:eastAsia="宋体" w:cs="Times New Roman"/>
                <w:color w:val="auto"/>
                <w:sz w:val="24"/>
                <w:szCs w:val="24"/>
                <w:highlight w:val="none"/>
                <w:shd w:val="clear" w:color="auto" w:fill="auto"/>
              </w:rPr>
              <w:t>库</w:t>
            </w:r>
            <w:r>
              <w:rPr>
                <w:rFonts w:hint="default" w:ascii="Times New Roman" w:hAnsi="Times New Roman" w:eastAsia="宋体" w:cs="Times New Roman"/>
                <w:color w:val="auto"/>
                <w:sz w:val="24"/>
                <w:szCs w:val="24"/>
                <w:highlight w:val="none"/>
                <w:shd w:val="clear" w:color="auto" w:fill="auto"/>
                <w:lang w:eastAsia="zh-CN"/>
              </w:rPr>
              <w:t>、</w:t>
            </w:r>
            <w:r>
              <w:rPr>
                <w:rFonts w:hint="default" w:ascii="Times New Roman" w:hAnsi="Times New Roman" w:eastAsia="宋体" w:cs="Times New Roman"/>
                <w:color w:val="auto"/>
                <w:sz w:val="24"/>
                <w:szCs w:val="24"/>
                <w:highlight w:val="none"/>
                <w:shd w:val="clear" w:color="auto" w:fill="auto"/>
                <w:lang w:val="en-US" w:eastAsia="zh-CN"/>
              </w:rPr>
              <w:t>车</w:t>
            </w:r>
            <w:r>
              <w:rPr>
                <w:rFonts w:hint="default" w:ascii="Times New Roman" w:hAnsi="Times New Roman" w:eastAsia="宋体" w:cs="Times New Roman"/>
                <w:color w:val="auto"/>
                <w:sz w:val="24"/>
                <w:szCs w:val="24"/>
                <w:highlight w:val="none"/>
                <w:lang w:val="en-US" w:eastAsia="zh-CN"/>
              </w:rPr>
              <w:t>间液态物料如</w:t>
            </w:r>
            <w:r>
              <w:rPr>
                <w:rFonts w:hint="eastAsia" w:cs="Times New Roman"/>
                <w:color w:val="auto"/>
                <w:sz w:val="24"/>
                <w:szCs w:val="24"/>
                <w:highlight w:val="none"/>
                <w:lang w:val="en-US" w:eastAsia="zh-CN"/>
              </w:rPr>
              <w:t>切削液</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清洗剂</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机油</w:t>
            </w:r>
            <w:r>
              <w:rPr>
                <w:rFonts w:hint="default" w:ascii="Times New Roman" w:hAnsi="Times New Roman" w:eastAsia="宋体" w:cs="Times New Roman"/>
                <w:color w:val="auto"/>
                <w:sz w:val="24"/>
                <w:szCs w:val="24"/>
                <w:highlight w:val="none"/>
                <w:lang w:val="en-US" w:eastAsia="zh-CN"/>
              </w:rPr>
              <w:t>等</w:t>
            </w:r>
            <w:r>
              <w:rPr>
                <w:rFonts w:hint="eastAsia" w:ascii="Times New Roman" w:hAnsi="Times New Roman" w:eastAsia="宋体" w:cs="Times New Roman"/>
                <w:color w:val="auto"/>
                <w:sz w:val="24"/>
                <w:szCs w:val="24"/>
                <w:highlight w:val="none"/>
                <w:lang w:val="en-US" w:eastAsia="zh-CN"/>
              </w:rPr>
              <w:t>发生</w:t>
            </w:r>
            <w:r>
              <w:rPr>
                <w:rFonts w:hint="default" w:ascii="Times New Roman" w:hAnsi="Times New Roman" w:eastAsia="宋体" w:cs="Times New Roman"/>
                <w:color w:val="auto"/>
                <w:sz w:val="24"/>
                <w:szCs w:val="24"/>
                <w:highlight w:val="none"/>
                <w:lang w:val="en-US" w:eastAsia="zh-CN"/>
              </w:rPr>
              <w:t>泄漏</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若收集不及时，可能通过地表漫流等途径进入周边环境，污染地下水、土壤、地表水体等</w:t>
            </w:r>
            <w:r>
              <w:rPr>
                <w:rFonts w:hint="default" w:ascii="Times New Roman" w:hAnsi="Times New Roman" w:eastAsia="宋体" w:cs="Times New Roman"/>
                <w:color w:val="auto"/>
                <w:sz w:val="24"/>
                <w:szCs w:val="24"/>
                <w:highlight w:val="none"/>
              </w:rPr>
              <w:t>。</w:t>
            </w:r>
          </w:p>
          <w:p w14:paraId="3A5713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②火灾、爆炸伴生/次生污染物影响</w:t>
            </w:r>
          </w:p>
          <w:p w14:paraId="49BE3CC4">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企业</w:t>
            </w:r>
            <w:r>
              <w:rPr>
                <w:rFonts w:hint="eastAsia" w:cs="Times New Roman"/>
                <w:color w:val="auto"/>
                <w:sz w:val="24"/>
                <w:szCs w:val="24"/>
                <w:highlight w:val="none"/>
                <w:lang w:val="en-US" w:eastAsia="zh-CN"/>
              </w:rPr>
              <w:t>仓库</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u w:val="none"/>
              </w:rPr>
              <w:t>危险</w:t>
            </w:r>
            <w:r>
              <w:rPr>
                <w:rFonts w:hint="default" w:ascii="Times New Roman" w:hAnsi="Times New Roman" w:eastAsia="宋体" w:cs="Times New Roman"/>
                <w:color w:val="auto"/>
                <w:sz w:val="24"/>
                <w:szCs w:val="24"/>
                <w:highlight w:val="none"/>
                <w:u w:val="none"/>
                <w:shd w:val="clear" w:color="auto" w:fill="auto"/>
              </w:rPr>
              <w:t>废物</w:t>
            </w:r>
            <w:r>
              <w:rPr>
                <w:rFonts w:hint="default" w:ascii="Times New Roman" w:hAnsi="Times New Roman" w:eastAsia="宋体" w:cs="Times New Roman"/>
                <w:color w:val="auto"/>
                <w:sz w:val="24"/>
                <w:szCs w:val="24"/>
                <w:highlight w:val="none"/>
                <w:u w:val="none"/>
              </w:rPr>
              <w:t>贮存</w:t>
            </w:r>
            <w:r>
              <w:rPr>
                <w:rFonts w:hint="default" w:ascii="Times New Roman" w:hAnsi="Times New Roman" w:eastAsia="宋体" w:cs="Times New Roman"/>
                <w:color w:val="auto"/>
                <w:sz w:val="24"/>
                <w:szCs w:val="24"/>
                <w:highlight w:val="none"/>
                <w:u w:val="none"/>
                <w:shd w:val="clear" w:color="auto" w:fill="auto"/>
              </w:rPr>
              <w:t>库</w:t>
            </w:r>
            <w:r>
              <w:rPr>
                <w:rFonts w:hint="default" w:ascii="Times New Roman" w:hAnsi="Times New Roman" w:eastAsia="宋体" w:cs="Times New Roman"/>
                <w:color w:val="auto"/>
                <w:sz w:val="24"/>
                <w:szCs w:val="24"/>
                <w:highlight w:val="none"/>
                <w:u w:val="none"/>
              </w:rPr>
              <w:t>等</w:t>
            </w:r>
            <w:r>
              <w:rPr>
                <w:rFonts w:hint="eastAsia" w:ascii="Times New Roman" w:hAnsi="Times New Roman" w:eastAsia="宋体" w:cs="Times New Roman"/>
                <w:color w:val="auto"/>
                <w:sz w:val="24"/>
                <w:szCs w:val="24"/>
                <w:highlight w:val="none"/>
                <w:u w:val="none"/>
                <w:lang w:val="en-US" w:eastAsia="zh-CN"/>
              </w:rPr>
              <w:t>区域</w:t>
            </w:r>
            <w:r>
              <w:rPr>
                <w:rFonts w:hint="default" w:ascii="Times New Roman" w:hAnsi="Times New Roman" w:eastAsia="宋体" w:cs="Times New Roman"/>
                <w:color w:val="auto"/>
                <w:sz w:val="24"/>
                <w:szCs w:val="24"/>
                <w:highlight w:val="none"/>
                <w:u w:val="none"/>
              </w:rPr>
              <w:t>一旦遇到高温或明火发生火灾或爆炸事故等伴生/次生污染物</w:t>
            </w:r>
            <w:r>
              <w:rPr>
                <w:rFonts w:hint="default" w:ascii="Times New Roman" w:hAnsi="Times New Roman" w:eastAsia="宋体" w:cs="Times New Roman"/>
                <w:color w:val="auto"/>
                <w:sz w:val="24"/>
                <w:szCs w:val="24"/>
                <w:highlight w:val="none"/>
                <w:u w:val="none"/>
                <w:shd w:val="clear" w:color="auto" w:fill="auto"/>
              </w:rPr>
              <w:t>CO、</w:t>
            </w:r>
            <w:r>
              <w:rPr>
                <w:rFonts w:hint="default" w:ascii="Times New Roman" w:hAnsi="Times New Roman" w:eastAsia="宋体" w:cs="Times New Roman"/>
                <w:color w:val="auto"/>
                <w:sz w:val="24"/>
                <w:szCs w:val="24"/>
                <w:highlight w:val="none"/>
                <w:u w:val="none"/>
              </w:rPr>
              <w:t>氮氧化物</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颗粒物等扩散</w:t>
            </w:r>
            <w:r>
              <w:rPr>
                <w:rFonts w:hint="default" w:ascii="Times New Roman" w:hAnsi="Times New Roman" w:eastAsia="宋体" w:cs="Times New Roman"/>
                <w:color w:val="auto"/>
                <w:sz w:val="24"/>
                <w:szCs w:val="24"/>
                <w:highlight w:val="none"/>
                <w:u w:val="none"/>
              </w:rPr>
              <w:t>对周围大气环境造成污染。同时上述物质发生火灾</w:t>
            </w:r>
            <w:r>
              <w:rPr>
                <w:rFonts w:hint="default" w:ascii="Times New Roman" w:hAnsi="Times New Roman" w:eastAsia="宋体" w:cs="Times New Roman"/>
                <w:color w:val="auto"/>
                <w:sz w:val="24"/>
                <w:szCs w:val="24"/>
                <w:highlight w:val="none"/>
                <w:u w:val="none"/>
                <w:lang w:eastAsia="zh-CN"/>
              </w:rPr>
              <w:t>、</w:t>
            </w:r>
            <w:r>
              <w:rPr>
                <w:rFonts w:hint="default" w:ascii="Times New Roman" w:hAnsi="Times New Roman" w:eastAsia="宋体" w:cs="Times New Roman"/>
                <w:color w:val="auto"/>
                <w:sz w:val="24"/>
                <w:szCs w:val="24"/>
                <w:highlight w:val="none"/>
                <w:u w:val="none"/>
                <w:lang w:val="en-US" w:eastAsia="zh-CN"/>
              </w:rPr>
              <w:t>爆炸</w:t>
            </w:r>
            <w:r>
              <w:rPr>
                <w:rFonts w:hint="default" w:ascii="Times New Roman" w:hAnsi="Times New Roman" w:eastAsia="宋体" w:cs="Times New Roman"/>
                <w:color w:val="auto"/>
                <w:sz w:val="24"/>
                <w:szCs w:val="24"/>
                <w:highlight w:val="none"/>
                <w:u w:val="none"/>
              </w:rPr>
              <w:t>事故时产生</w:t>
            </w:r>
            <w:r>
              <w:rPr>
                <w:rFonts w:hint="default" w:ascii="Times New Roman" w:hAnsi="Times New Roman" w:eastAsia="宋体" w:cs="Times New Roman"/>
                <w:color w:val="auto"/>
                <w:sz w:val="24"/>
                <w:szCs w:val="24"/>
                <w:highlight w:val="none"/>
              </w:rPr>
              <w:t>的消防废液</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污染雨水</w:t>
            </w:r>
            <w:r>
              <w:rPr>
                <w:rFonts w:hint="default" w:ascii="Times New Roman" w:hAnsi="Times New Roman" w:eastAsia="宋体" w:cs="Times New Roman"/>
                <w:color w:val="auto"/>
                <w:sz w:val="24"/>
                <w:szCs w:val="24"/>
                <w:highlight w:val="none"/>
              </w:rPr>
              <w:t>若处置不当，有可能污染附近地表水、土壤及地下水环境。</w:t>
            </w:r>
          </w:p>
          <w:p w14:paraId="0BD16B42">
            <w:pPr>
              <w:keepNext w:val="0"/>
              <w:keepLines w:val="0"/>
              <w:pageBreakBefore w:val="0"/>
              <w:widowControl w:val="0"/>
              <w:kinsoku/>
              <w:wordWrap/>
              <w:overflowPunct/>
              <w:topLinePunct w:val="0"/>
              <w:bidi w:val="0"/>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4.7.</w:t>
            </w:r>
            <w:r>
              <w:rPr>
                <w:rFonts w:hint="eastAsia"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环境风险防范措施</w:t>
            </w:r>
          </w:p>
          <w:p w14:paraId="1E2CF988">
            <w:pPr>
              <w:keepNext w:val="0"/>
              <w:keepLines w:val="0"/>
              <w:pageBreakBefore w:val="0"/>
              <w:widowControl w:val="0"/>
              <w:kinsoku/>
              <w:wordWrap/>
              <w:overflowPunct/>
              <w:topLinePunct w:val="0"/>
              <w:bidi w:val="0"/>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4.7.5.1环境风险防范措施及应急要求</w:t>
            </w:r>
          </w:p>
          <w:p w14:paraId="6C9CDB19">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①对所有建筑物的防火要求，包括材料的选用、布置、构造、疏散等均按《建筑设计防火规范》、《建筑内部装修设计的防火规范》、《建筑灭火器配置设计规范》等要求进行设计与施工。</w:t>
            </w:r>
          </w:p>
          <w:p w14:paraId="24B08978">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②企业应建立严格的消防管理制度，在厂区内设置灭火器材，如手提式或推车式仓库设置干粉灭火器。</w:t>
            </w:r>
          </w:p>
          <w:p w14:paraId="27C3EFE5">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③厂房室外设置消火栓，厂房四周的消火栓间距应符合要求，车间及仓库设置室内消火栓。</w:t>
            </w:r>
          </w:p>
          <w:p w14:paraId="494B700C">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④厂区雨水排放口须设置截留阀，确保事故后消防水截留在厂区内，不对厂区外部地表水造成污染。</w:t>
            </w:r>
          </w:p>
          <w:p w14:paraId="4693E201">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 5 \* GB3 \* MERGEFORMAT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highlight w:val="none"/>
              </w:rPr>
              <w:t>⑤</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车间、危废库应配备通风设施。</w:t>
            </w:r>
          </w:p>
          <w:p w14:paraId="12D95054">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fldChar w:fldCharType="begin"/>
            </w:r>
            <w:r>
              <w:rPr>
                <w:rFonts w:hint="default" w:ascii="Times New Roman" w:hAnsi="Times New Roman" w:eastAsia="宋体" w:cs="Times New Roman"/>
                <w:color w:val="auto"/>
                <w:sz w:val="24"/>
                <w:szCs w:val="24"/>
                <w:highlight w:val="none"/>
                <w:lang w:val="en-US" w:eastAsia="zh-CN"/>
              </w:rPr>
              <w:instrText xml:space="preserve"> = 6 \* GB3 \* MERGEFORMAT </w:instrText>
            </w:r>
            <w:r>
              <w:rPr>
                <w:rFonts w:hint="default" w:ascii="Times New Roman" w:hAnsi="Times New Roman" w:eastAsia="宋体" w:cs="Times New Roman"/>
                <w:color w:val="auto"/>
                <w:sz w:val="24"/>
                <w:szCs w:val="24"/>
                <w:highlight w:val="none"/>
                <w:lang w:val="en-US" w:eastAsia="zh-CN"/>
              </w:rPr>
              <w:fldChar w:fldCharType="separate"/>
            </w:r>
            <w:r>
              <w:rPr>
                <w:rFonts w:hint="default" w:ascii="Times New Roman" w:hAnsi="Times New Roman" w:eastAsia="宋体" w:cs="Times New Roman"/>
                <w:color w:val="auto"/>
                <w:highlight w:val="none"/>
              </w:rPr>
              <w:t>⑥</w:t>
            </w:r>
            <w:r>
              <w:rPr>
                <w:rFonts w:hint="default" w:ascii="Times New Roman" w:hAnsi="Times New Roman" w:eastAsia="宋体" w:cs="Times New Roman"/>
                <w:color w:val="auto"/>
                <w:sz w:val="24"/>
                <w:szCs w:val="24"/>
                <w:highlight w:val="none"/>
                <w:lang w:val="en-US" w:eastAsia="zh-CN"/>
              </w:rPr>
              <w:fldChar w:fldCharType="end"/>
            </w:r>
            <w:r>
              <w:rPr>
                <w:rFonts w:hint="default" w:ascii="Times New Roman" w:hAnsi="Times New Roman" w:eastAsia="宋体" w:cs="Times New Roman"/>
                <w:color w:val="auto"/>
                <w:sz w:val="24"/>
                <w:szCs w:val="24"/>
                <w:highlight w:val="none"/>
                <w:lang w:val="en-US" w:eastAsia="zh-CN"/>
              </w:rPr>
              <w:t>应急物资包括不限于耐化学防护手套、框架式防护眼镜、自给式呼吸器、安全鞋、化学防化服、吸收材料（如黄砂、锯屑、通用绑带等）</w:t>
            </w:r>
          </w:p>
          <w:p w14:paraId="0DC8AFB8">
            <w:pPr>
              <w:keepNext w:val="0"/>
              <w:keepLines w:val="0"/>
              <w:pageBreakBefore w:val="0"/>
              <w:widowControl w:val="0"/>
              <w:kinsoku/>
              <w:wordWrap/>
              <w:overflowPunct/>
              <w:topLinePunct w:val="0"/>
              <w:bidi w:val="0"/>
              <w:spacing w:line="360" w:lineRule="auto"/>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4.7.5.2风险防控措施</w:t>
            </w:r>
          </w:p>
          <w:p w14:paraId="4D314FFB">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一级防控措施是防止可能产生的轻微环境污染风险；二级预防措施是防止可能产生的较大环境污染风险；三级防控措施是防止可能产生的重大环境污染风险。</w:t>
            </w:r>
          </w:p>
          <w:p w14:paraId="1C052E12">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a)一级防控措施 </w:t>
            </w:r>
          </w:p>
          <w:p w14:paraId="1C13F107">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一级防控措施设置在生产车间、危废库、</w:t>
            </w:r>
            <w:r>
              <w:rPr>
                <w:rFonts w:hint="eastAsia" w:cs="Times New Roman"/>
                <w:color w:val="auto"/>
                <w:sz w:val="24"/>
                <w:szCs w:val="24"/>
                <w:highlight w:val="none"/>
                <w:lang w:val="en-US" w:eastAsia="zh-CN"/>
              </w:rPr>
              <w:t>仓库</w:t>
            </w:r>
            <w:r>
              <w:rPr>
                <w:rFonts w:hint="default" w:ascii="Times New Roman" w:hAnsi="Times New Roman" w:eastAsia="宋体" w:cs="Times New Roman"/>
                <w:color w:val="auto"/>
                <w:sz w:val="24"/>
                <w:szCs w:val="24"/>
                <w:highlight w:val="none"/>
                <w:lang w:val="en-US" w:eastAsia="zh-CN"/>
              </w:rPr>
              <w:t>等，构筑生产过程中环境安全的第一层防控网，使泄漏物料转移到容器或隋性吸附物料中，将泄漏物料控制在上述区域内部，防止污染雨水和轻微事故泄漏造成的环境污染。</w:t>
            </w:r>
          </w:p>
          <w:p w14:paraId="6E8AB165">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b)二级防控措施 </w:t>
            </w:r>
          </w:p>
          <w:p w14:paraId="20249005">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当企业发生火灾、爆炸事故，需采用灭火器、消防栓灭火，同时外部结合水冷却控制火情，该过程产生消防尾水，厂区雨水排放口需设置切断阀，并配置事故应急池进行收集，确保泄漏物料、事故消防水、污染雨水截留在厂区内，不对厂区外部地表水等造成污染。</w:t>
            </w:r>
          </w:p>
          <w:p w14:paraId="4CA05615">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事故应急池容积根据《水体污染防控紧急措施设计</w:t>
            </w:r>
            <w:r>
              <w:rPr>
                <w:rFonts w:hint="default" w:ascii="Times New Roman" w:hAnsi="Times New Roman" w:eastAsia="宋体" w:cs="Times New Roman"/>
                <w:b w:val="0"/>
                <w:bCs/>
                <w:color w:val="auto"/>
                <w:kern w:val="2"/>
                <w:sz w:val="24"/>
                <w:szCs w:val="24"/>
                <w:highlight w:val="none"/>
                <w:shd w:val="clear" w:color="auto" w:fill="auto"/>
                <w:lang w:val="en-US" w:eastAsia="zh-CN" w:bidi="ar-SA"/>
              </w:rPr>
              <w:t>导</w:t>
            </w:r>
            <w:r>
              <w:rPr>
                <w:rFonts w:hint="default" w:ascii="Times New Roman" w:hAnsi="Times New Roman" w:eastAsia="宋体" w:cs="Times New Roman"/>
                <w:b w:val="0"/>
                <w:bCs/>
                <w:color w:val="auto"/>
                <w:kern w:val="2"/>
                <w:sz w:val="24"/>
                <w:szCs w:val="24"/>
                <w:highlight w:val="none"/>
                <w:lang w:val="en-US" w:eastAsia="zh-CN" w:bidi="ar-SA"/>
              </w:rPr>
              <w:t>则》，应设置能够储存事故排水的储存设施，储存设施包括事故池、事故罐、防火堤内或围堰内区域等。</w:t>
            </w:r>
          </w:p>
          <w:p w14:paraId="487EA87E">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事故储存设施总有效容积按下式计算：</w:t>
            </w:r>
          </w:p>
          <w:p w14:paraId="5A9EC8C2">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事故池容量V总=（V</w:t>
            </w:r>
            <w:r>
              <w:rPr>
                <w:rFonts w:hint="default" w:ascii="Times New Roman" w:hAnsi="Times New Roman" w:eastAsia="宋体" w:cs="Times New Roman"/>
                <w:b w:val="0"/>
                <w:bCs/>
                <w:color w:val="auto"/>
                <w:kern w:val="2"/>
                <w:sz w:val="24"/>
                <w:szCs w:val="24"/>
                <w:vertAlign w:val="subscript"/>
                <w:lang w:val="en-US" w:eastAsia="zh-CN" w:bidi="ar-SA"/>
              </w:rPr>
              <w:t>1</w:t>
            </w:r>
            <w:r>
              <w:rPr>
                <w:rFonts w:hint="default" w:ascii="Times New Roman" w:hAnsi="Times New Roman" w:eastAsia="宋体" w:cs="Times New Roman"/>
                <w:b w:val="0"/>
                <w:bCs/>
                <w:color w:val="auto"/>
                <w:kern w:val="2"/>
                <w:sz w:val="24"/>
                <w:szCs w:val="24"/>
                <w:lang w:val="en-US" w:eastAsia="zh-CN" w:bidi="ar-SA"/>
              </w:rPr>
              <w:t>+V</w:t>
            </w:r>
            <w:r>
              <w:rPr>
                <w:rFonts w:hint="default" w:ascii="Times New Roman" w:hAnsi="Times New Roman" w:eastAsia="宋体" w:cs="Times New Roman"/>
                <w:b w:val="0"/>
                <w:bCs/>
                <w:color w:val="auto"/>
                <w:kern w:val="2"/>
                <w:sz w:val="24"/>
                <w:szCs w:val="24"/>
                <w:vertAlign w:val="subscript"/>
                <w:lang w:val="en-US" w:eastAsia="zh-CN" w:bidi="ar-SA"/>
              </w:rPr>
              <w:t>2</w:t>
            </w:r>
            <w:r>
              <w:rPr>
                <w:rFonts w:hint="default" w:ascii="Times New Roman" w:hAnsi="Times New Roman" w:eastAsia="宋体" w:cs="Times New Roman"/>
                <w:b w:val="0"/>
                <w:bCs/>
                <w:color w:val="auto"/>
                <w:kern w:val="2"/>
                <w:sz w:val="24"/>
                <w:szCs w:val="24"/>
                <w:lang w:val="en-US" w:eastAsia="zh-CN" w:bidi="ar-SA"/>
              </w:rPr>
              <w:t>-V</w:t>
            </w:r>
            <w:r>
              <w:rPr>
                <w:rFonts w:hint="default" w:ascii="Times New Roman" w:hAnsi="Times New Roman" w:eastAsia="宋体" w:cs="Times New Roman"/>
                <w:b w:val="0"/>
                <w:bCs/>
                <w:color w:val="auto"/>
                <w:kern w:val="2"/>
                <w:sz w:val="24"/>
                <w:szCs w:val="24"/>
                <w:vertAlign w:val="subscript"/>
                <w:lang w:val="en-US" w:eastAsia="zh-CN" w:bidi="ar-SA"/>
              </w:rPr>
              <w:t>3</w:t>
            </w:r>
            <w:r>
              <w:rPr>
                <w:rFonts w:hint="default" w:ascii="Times New Roman" w:hAnsi="Times New Roman" w:eastAsia="宋体" w:cs="Times New Roman"/>
                <w:b w:val="0"/>
                <w:bCs/>
                <w:color w:val="auto"/>
                <w:kern w:val="2"/>
                <w:sz w:val="24"/>
                <w:szCs w:val="24"/>
                <w:lang w:val="en-US" w:eastAsia="zh-CN" w:bidi="ar-SA"/>
              </w:rPr>
              <w:t>）</w:t>
            </w:r>
            <w:r>
              <w:rPr>
                <w:rFonts w:hint="default" w:ascii="Times New Roman" w:hAnsi="Times New Roman" w:eastAsia="宋体" w:cs="Times New Roman"/>
                <w:b w:val="0"/>
                <w:bCs/>
                <w:color w:val="auto"/>
                <w:kern w:val="2"/>
                <w:sz w:val="24"/>
                <w:szCs w:val="24"/>
                <w:vertAlign w:val="subscript"/>
                <w:lang w:val="en-US" w:eastAsia="zh-CN" w:bidi="ar-SA"/>
              </w:rPr>
              <w:t>max</w:t>
            </w:r>
            <w:r>
              <w:rPr>
                <w:rFonts w:hint="default" w:ascii="Times New Roman" w:hAnsi="Times New Roman" w:eastAsia="宋体" w:cs="Times New Roman"/>
                <w:b w:val="0"/>
                <w:bCs/>
                <w:color w:val="auto"/>
                <w:kern w:val="2"/>
                <w:sz w:val="24"/>
                <w:szCs w:val="24"/>
                <w:lang w:val="en-US" w:eastAsia="zh-CN" w:bidi="ar-SA"/>
              </w:rPr>
              <w:t>+V</w:t>
            </w:r>
            <w:r>
              <w:rPr>
                <w:rFonts w:hint="default" w:ascii="Times New Roman" w:hAnsi="Times New Roman" w:eastAsia="宋体" w:cs="Times New Roman"/>
                <w:b w:val="0"/>
                <w:bCs/>
                <w:color w:val="auto"/>
                <w:kern w:val="2"/>
                <w:sz w:val="24"/>
                <w:szCs w:val="24"/>
                <w:vertAlign w:val="subscript"/>
                <w:lang w:val="en-US" w:eastAsia="zh-CN" w:bidi="ar-SA"/>
              </w:rPr>
              <w:t>4</w:t>
            </w:r>
            <w:r>
              <w:rPr>
                <w:rFonts w:hint="default" w:ascii="Times New Roman" w:hAnsi="Times New Roman" w:eastAsia="宋体" w:cs="Times New Roman"/>
                <w:b w:val="0"/>
                <w:bCs/>
                <w:color w:val="auto"/>
                <w:kern w:val="2"/>
                <w:sz w:val="24"/>
                <w:szCs w:val="24"/>
                <w:lang w:val="en-US" w:eastAsia="zh-CN" w:bidi="ar-SA"/>
              </w:rPr>
              <w:t>+V</w:t>
            </w:r>
            <w:r>
              <w:rPr>
                <w:rFonts w:hint="default" w:ascii="Times New Roman" w:hAnsi="Times New Roman" w:eastAsia="宋体" w:cs="Times New Roman"/>
                <w:b w:val="0"/>
                <w:bCs/>
                <w:color w:val="auto"/>
                <w:kern w:val="2"/>
                <w:sz w:val="24"/>
                <w:szCs w:val="24"/>
                <w:vertAlign w:val="subscript"/>
                <w:lang w:val="en-US" w:eastAsia="zh-CN" w:bidi="ar-SA"/>
              </w:rPr>
              <w:t>5</w:t>
            </w:r>
          </w:p>
          <w:p w14:paraId="3C6FBF0F">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注：（V</w:t>
            </w:r>
            <w:r>
              <w:rPr>
                <w:rFonts w:hint="default" w:ascii="Times New Roman" w:hAnsi="Times New Roman" w:eastAsia="宋体" w:cs="Times New Roman"/>
                <w:b w:val="0"/>
                <w:bCs/>
                <w:color w:val="auto"/>
                <w:kern w:val="2"/>
                <w:sz w:val="24"/>
                <w:szCs w:val="24"/>
                <w:vertAlign w:val="subscript"/>
                <w:lang w:val="en-US" w:eastAsia="zh-CN" w:bidi="ar-SA"/>
              </w:rPr>
              <w:t>1</w:t>
            </w:r>
            <w:r>
              <w:rPr>
                <w:rFonts w:hint="default" w:ascii="Times New Roman" w:hAnsi="Times New Roman" w:eastAsia="宋体" w:cs="Times New Roman"/>
                <w:b w:val="0"/>
                <w:bCs/>
                <w:color w:val="auto"/>
                <w:kern w:val="2"/>
                <w:sz w:val="24"/>
                <w:szCs w:val="24"/>
                <w:lang w:val="en-US" w:eastAsia="zh-CN" w:bidi="ar-SA"/>
              </w:rPr>
              <w:t>+V</w:t>
            </w:r>
            <w:r>
              <w:rPr>
                <w:rFonts w:hint="default" w:ascii="Times New Roman" w:hAnsi="Times New Roman" w:eastAsia="宋体" w:cs="Times New Roman"/>
                <w:b w:val="0"/>
                <w:bCs/>
                <w:color w:val="auto"/>
                <w:kern w:val="2"/>
                <w:sz w:val="24"/>
                <w:szCs w:val="24"/>
                <w:vertAlign w:val="subscript"/>
                <w:lang w:val="en-US" w:eastAsia="zh-CN" w:bidi="ar-SA"/>
              </w:rPr>
              <w:t>2</w:t>
            </w:r>
            <w:r>
              <w:rPr>
                <w:rFonts w:hint="default" w:ascii="Times New Roman" w:hAnsi="Times New Roman" w:eastAsia="宋体" w:cs="Times New Roman"/>
                <w:b w:val="0"/>
                <w:bCs/>
                <w:color w:val="auto"/>
                <w:kern w:val="2"/>
                <w:sz w:val="24"/>
                <w:szCs w:val="24"/>
                <w:lang w:val="en-US" w:eastAsia="zh-CN" w:bidi="ar-SA"/>
              </w:rPr>
              <w:t>-V</w:t>
            </w:r>
            <w:r>
              <w:rPr>
                <w:rFonts w:hint="default" w:ascii="Times New Roman" w:hAnsi="Times New Roman" w:eastAsia="宋体" w:cs="Times New Roman"/>
                <w:b w:val="0"/>
                <w:bCs/>
                <w:color w:val="auto"/>
                <w:kern w:val="2"/>
                <w:sz w:val="24"/>
                <w:szCs w:val="24"/>
                <w:vertAlign w:val="subscript"/>
                <w:lang w:val="en-US" w:eastAsia="zh-CN" w:bidi="ar-SA"/>
              </w:rPr>
              <w:t>3</w:t>
            </w:r>
            <w:r>
              <w:rPr>
                <w:rFonts w:hint="default" w:ascii="Times New Roman" w:hAnsi="Times New Roman" w:eastAsia="宋体" w:cs="Times New Roman"/>
                <w:b w:val="0"/>
                <w:bCs/>
                <w:color w:val="auto"/>
                <w:kern w:val="2"/>
                <w:sz w:val="24"/>
                <w:szCs w:val="24"/>
                <w:lang w:val="en-US" w:eastAsia="zh-CN" w:bidi="ar-SA"/>
              </w:rPr>
              <w:t>）max是指对收集系统范围内不同</w:t>
            </w:r>
            <w:r>
              <w:rPr>
                <w:rFonts w:hint="default" w:ascii="Times New Roman" w:hAnsi="Times New Roman" w:eastAsia="宋体" w:cs="Times New Roman"/>
                <w:b w:val="0"/>
                <w:bCs/>
                <w:color w:val="auto"/>
                <w:kern w:val="2"/>
                <w:sz w:val="24"/>
                <w:szCs w:val="24"/>
                <w:shd w:val="clear" w:fill="auto"/>
                <w:lang w:val="en-US" w:eastAsia="zh-CN" w:bidi="ar-SA"/>
              </w:rPr>
              <w:t>罐</w:t>
            </w:r>
            <w:r>
              <w:rPr>
                <w:rFonts w:hint="default" w:ascii="Times New Roman" w:hAnsi="Times New Roman" w:eastAsia="宋体" w:cs="Times New Roman"/>
                <w:b w:val="0"/>
                <w:bCs/>
                <w:color w:val="auto"/>
                <w:kern w:val="2"/>
                <w:sz w:val="24"/>
                <w:szCs w:val="24"/>
                <w:lang w:val="en-US" w:eastAsia="zh-CN" w:bidi="ar-SA"/>
              </w:rPr>
              <w:t>组或装置分别计算V</w:t>
            </w:r>
            <w:r>
              <w:rPr>
                <w:rFonts w:hint="default" w:ascii="Times New Roman" w:hAnsi="Times New Roman" w:eastAsia="宋体" w:cs="Times New Roman"/>
                <w:b w:val="0"/>
                <w:bCs/>
                <w:color w:val="auto"/>
                <w:kern w:val="2"/>
                <w:sz w:val="24"/>
                <w:szCs w:val="24"/>
                <w:vertAlign w:val="subscript"/>
                <w:lang w:val="en-US" w:eastAsia="zh-CN" w:bidi="ar-SA"/>
              </w:rPr>
              <w:t>1</w:t>
            </w:r>
            <w:r>
              <w:rPr>
                <w:rFonts w:hint="default" w:ascii="Times New Roman" w:hAnsi="Times New Roman" w:eastAsia="宋体" w:cs="Times New Roman"/>
                <w:b w:val="0"/>
                <w:bCs/>
                <w:color w:val="auto"/>
                <w:kern w:val="2"/>
                <w:sz w:val="24"/>
                <w:szCs w:val="24"/>
                <w:lang w:val="en-US" w:eastAsia="zh-CN" w:bidi="ar-SA"/>
              </w:rPr>
              <w:t>+V</w:t>
            </w:r>
            <w:r>
              <w:rPr>
                <w:rFonts w:hint="default" w:ascii="Times New Roman" w:hAnsi="Times New Roman" w:eastAsia="宋体" w:cs="Times New Roman"/>
                <w:b w:val="0"/>
                <w:bCs/>
                <w:color w:val="auto"/>
                <w:kern w:val="2"/>
                <w:sz w:val="24"/>
                <w:szCs w:val="24"/>
                <w:vertAlign w:val="subscript"/>
                <w:lang w:val="en-US" w:eastAsia="zh-CN" w:bidi="ar-SA"/>
              </w:rPr>
              <w:t>2</w:t>
            </w:r>
            <w:r>
              <w:rPr>
                <w:rFonts w:hint="default" w:ascii="Times New Roman" w:hAnsi="Times New Roman" w:eastAsia="宋体" w:cs="Times New Roman"/>
                <w:b w:val="0"/>
                <w:bCs/>
                <w:color w:val="auto"/>
                <w:kern w:val="2"/>
                <w:sz w:val="24"/>
                <w:szCs w:val="24"/>
                <w:lang w:val="en-US" w:eastAsia="zh-CN" w:bidi="ar-SA"/>
              </w:rPr>
              <w:t>-V</w:t>
            </w:r>
            <w:r>
              <w:rPr>
                <w:rFonts w:hint="default" w:ascii="Times New Roman" w:hAnsi="Times New Roman" w:eastAsia="宋体" w:cs="Times New Roman"/>
                <w:b w:val="0"/>
                <w:bCs/>
                <w:color w:val="auto"/>
                <w:kern w:val="2"/>
                <w:sz w:val="24"/>
                <w:szCs w:val="24"/>
                <w:vertAlign w:val="subscript"/>
                <w:lang w:val="en-US" w:eastAsia="zh-CN" w:bidi="ar-SA"/>
              </w:rPr>
              <w:t>3</w:t>
            </w:r>
            <w:r>
              <w:rPr>
                <w:rFonts w:hint="default" w:ascii="Times New Roman" w:hAnsi="Times New Roman" w:eastAsia="宋体" w:cs="Times New Roman"/>
                <w:b w:val="0"/>
                <w:bCs/>
                <w:color w:val="auto"/>
                <w:kern w:val="2"/>
                <w:sz w:val="24"/>
                <w:szCs w:val="24"/>
                <w:lang w:val="en-US" w:eastAsia="zh-CN" w:bidi="ar-SA"/>
              </w:rPr>
              <w:t>，取其中</w:t>
            </w:r>
            <w:r>
              <w:rPr>
                <w:rFonts w:hint="default" w:ascii="Times New Roman" w:hAnsi="Times New Roman" w:eastAsia="宋体" w:cs="Times New Roman"/>
                <w:b w:val="0"/>
                <w:bCs/>
                <w:color w:val="auto"/>
                <w:kern w:val="2"/>
                <w:sz w:val="24"/>
                <w:szCs w:val="24"/>
                <w:shd w:val="clear" w:fill="auto"/>
                <w:lang w:val="en-US" w:eastAsia="zh-CN" w:bidi="ar-SA"/>
              </w:rPr>
              <w:t>最大</w:t>
            </w:r>
            <w:r>
              <w:rPr>
                <w:rFonts w:hint="default" w:ascii="Times New Roman" w:hAnsi="Times New Roman" w:eastAsia="宋体" w:cs="Times New Roman"/>
                <w:b w:val="0"/>
                <w:bCs/>
                <w:color w:val="auto"/>
                <w:kern w:val="2"/>
                <w:sz w:val="24"/>
                <w:szCs w:val="24"/>
                <w:lang w:val="en-US" w:eastAsia="zh-CN" w:bidi="ar-SA"/>
              </w:rPr>
              <w:t>值。</w:t>
            </w:r>
          </w:p>
          <w:p w14:paraId="70E1BE81">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V</w:t>
            </w:r>
            <w:r>
              <w:rPr>
                <w:rFonts w:hint="default" w:ascii="Times New Roman" w:hAnsi="Times New Roman" w:eastAsia="宋体" w:cs="Times New Roman"/>
                <w:b w:val="0"/>
                <w:bCs/>
                <w:color w:val="auto"/>
                <w:kern w:val="2"/>
                <w:sz w:val="24"/>
                <w:szCs w:val="24"/>
                <w:vertAlign w:val="subscript"/>
                <w:lang w:val="en-US" w:eastAsia="zh-CN" w:bidi="ar-SA"/>
              </w:rPr>
              <w:t>1</w:t>
            </w:r>
            <w:r>
              <w:rPr>
                <w:rFonts w:hint="default" w:ascii="Times New Roman" w:hAnsi="Times New Roman" w:eastAsia="宋体" w:cs="Times New Roman"/>
                <w:b w:val="0"/>
                <w:bCs/>
                <w:color w:val="auto"/>
                <w:kern w:val="2"/>
                <w:sz w:val="24"/>
                <w:szCs w:val="24"/>
                <w:lang w:val="en-US" w:eastAsia="zh-CN" w:bidi="ar-SA"/>
              </w:rPr>
              <w:t>：事故一个罐或一个装置物料；V</w:t>
            </w:r>
            <w:r>
              <w:rPr>
                <w:rFonts w:hint="default" w:ascii="Times New Roman" w:hAnsi="Times New Roman" w:eastAsia="宋体" w:cs="Times New Roman"/>
                <w:b w:val="0"/>
                <w:bCs/>
                <w:color w:val="auto"/>
                <w:kern w:val="2"/>
                <w:sz w:val="24"/>
                <w:szCs w:val="24"/>
                <w:vertAlign w:val="subscript"/>
                <w:lang w:val="en-US" w:eastAsia="zh-CN" w:bidi="ar-SA"/>
              </w:rPr>
              <w:t>2</w:t>
            </w:r>
            <w:r>
              <w:rPr>
                <w:rFonts w:hint="default" w:ascii="Times New Roman" w:hAnsi="Times New Roman" w:eastAsia="宋体" w:cs="Times New Roman"/>
                <w:b w:val="0"/>
                <w:bCs/>
                <w:color w:val="auto"/>
                <w:kern w:val="2"/>
                <w:sz w:val="24"/>
                <w:szCs w:val="24"/>
                <w:lang w:val="en-US" w:eastAsia="zh-CN" w:bidi="ar-SA"/>
              </w:rPr>
              <w:t>：事故的储罐或消防水量；V</w:t>
            </w:r>
            <w:r>
              <w:rPr>
                <w:rFonts w:hint="default" w:ascii="Times New Roman" w:hAnsi="Times New Roman" w:eastAsia="宋体" w:cs="Times New Roman"/>
                <w:b w:val="0"/>
                <w:bCs/>
                <w:color w:val="auto"/>
                <w:kern w:val="2"/>
                <w:sz w:val="24"/>
                <w:szCs w:val="24"/>
                <w:vertAlign w:val="subscript"/>
                <w:lang w:val="en-US" w:eastAsia="zh-CN" w:bidi="ar-SA"/>
              </w:rPr>
              <w:t>3</w:t>
            </w:r>
            <w:r>
              <w:rPr>
                <w:rFonts w:hint="default" w:ascii="Times New Roman" w:hAnsi="Times New Roman" w:eastAsia="宋体" w:cs="Times New Roman"/>
                <w:b w:val="0"/>
                <w:bCs/>
                <w:color w:val="auto"/>
                <w:kern w:val="2"/>
                <w:sz w:val="24"/>
                <w:szCs w:val="24"/>
                <w:lang w:val="en-US" w:eastAsia="zh-CN" w:bidi="ar-SA"/>
              </w:rPr>
              <w:t>：事故时可以</w:t>
            </w:r>
            <w:r>
              <w:rPr>
                <w:rFonts w:hint="default" w:ascii="Times New Roman" w:hAnsi="Times New Roman" w:eastAsia="宋体" w:cs="Times New Roman"/>
                <w:b w:val="0"/>
                <w:bCs/>
                <w:color w:val="auto"/>
                <w:kern w:val="2"/>
                <w:sz w:val="24"/>
                <w:szCs w:val="24"/>
                <w:shd w:val="clear" w:fill="auto"/>
                <w:lang w:val="en-US" w:eastAsia="zh-CN" w:bidi="ar-SA"/>
              </w:rPr>
              <w:t>转</w:t>
            </w:r>
            <w:r>
              <w:rPr>
                <w:rFonts w:hint="default" w:ascii="Times New Roman" w:hAnsi="Times New Roman" w:eastAsia="宋体" w:cs="Times New Roman"/>
                <w:b w:val="0"/>
                <w:bCs/>
                <w:color w:val="auto"/>
                <w:kern w:val="2"/>
                <w:sz w:val="24"/>
                <w:szCs w:val="24"/>
                <w:lang w:val="en-US" w:eastAsia="zh-CN" w:bidi="ar-SA"/>
              </w:rPr>
              <w:t>输到其他储存或处理设施的物料量；V</w:t>
            </w:r>
            <w:r>
              <w:rPr>
                <w:rFonts w:hint="default" w:ascii="Times New Roman" w:hAnsi="Times New Roman" w:eastAsia="宋体" w:cs="Times New Roman"/>
                <w:b w:val="0"/>
                <w:bCs/>
                <w:color w:val="auto"/>
                <w:kern w:val="2"/>
                <w:sz w:val="24"/>
                <w:szCs w:val="24"/>
                <w:vertAlign w:val="subscript"/>
                <w:lang w:val="en-US" w:eastAsia="zh-CN" w:bidi="ar-SA"/>
              </w:rPr>
              <w:t>4</w:t>
            </w:r>
            <w:r>
              <w:rPr>
                <w:rFonts w:hint="default" w:ascii="Times New Roman" w:hAnsi="Times New Roman" w:eastAsia="宋体" w:cs="Times New Roman"/>
                <w:b w:val="0"/>
                <w:bCs/>
                <w:color w:val="auto"/>
                <w:kern w:val="2"/>
                <w:sz w:val="24"/>
                <w:szCs w:val="24"/>
                <w:lang w:val="en-US" w:eastAsia="zh-CN" w:bidi="ar-SA"/>
              </w:rPr>
              <w:t>：发生事故时必须进入该收集系统的生产废水量；V</w:t>
            </w:r>
            <w:r>
              <w:rPr>
                <w:rFonts w:hint="default" w:ascii="Times New Roman" w:hAnsi="Times New Roman" w:eastAsia="宋体" w:cs="Times New Roman"/>
                <w:b w:val="0"/>
                <w:bCs/>
                <w:color w:val="auto"/>
                <w:kern w:val="2"/>
                <w:sz w:val="24"/>
                <w:szCs w:val="24"/>
                <w:vertAlign w:val="subscript"/>
                <w:lang w:val="en-US" w:eastAsia="zh-CN" w:bidi="ar-SA"/>
              </w:rPr>
              <w:t>5</w:t>
            </w:r>
            <w:r>
              <w:rPr>
                <w:rFonts w:hint="default" w:ascii="Times New Roman" w:hAnsi="Times New Roman" w:eastAsia="宋体" w:cs="Times New Roman"/>
                <w:b w:val="0"/>
                <w:bCs/>
                <w:color w:val="auto"/>
                <w:kern w:val="2"/>
                <w:sz w:val="24"/>
                <w:szCs w:val="24"/>
                <w:lang w:val="en-US" w:eastAsia="zh-CN" w:bidi="ar-SA"/>
              </w:rPr>
              <w:t>：发生事故时可能进入该收集系统的降雨量。</w:t>
            </w:r>
          </w:p>
          <w:p w14:paraId="7DF9BE15">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eastAsia="宋体" w:cs="Times New Roman"/>
                <w:b w:val="0"/>
                <w:bCs/>
                <w:color w:val="auto"/>
                <w:kern w:val="2"/>
                <w:sz w:val="24"/>
                <w:szCs w:val="24"/>
                <w:lang w:val="en-US" w:eastAsia="zh-CN" w:bidi="ar-SA"/>
              </w:rPr>
              <w:t>事故池设置计算如下：</w:t>
            </w:r>
          </w:p>
          <w:p w14:paraId="64069FC5">
            <w:pPr>
              <w:keepNext w:val="0"/>
              <w:keepLines w:val="0"/>
              <w:pageBreakBefore w:val="0"/>
              <w:widowControl w:val="0"/>
              <w:kinsoku/>
              <w:wordWrap/>
              <w:overflowPunct/>
              <w:topLinePunct w:val="0"/>
              <w:bidi w:val="0"/>
              <w:adjustRightInd w:val="0"/>
              <w:snapToGrid w:val="0"/>
              <w:spacing w:line="360" w:lineRule="auto"/>
              <w:ind w:left="0" w:firstLine="520" w:firstLineChars="200"/>
              <w:textAlignment w:val="auto"/>
              <w:rPr>
                <w:rFonts w:hint="default" w:ascii="Times New Roman" w:hAnsi="Times New Roman" w:cs="Times New Roman"/>
                <w:color w:val="auto"/>
                <w:spacing w:val="10"/>
                <w:sz w:val="24"/>
                <w:szCs w:val="24"/>
              </w:rPr>
            </w:pPr>
            <w:r>
              <w:rPr>
                <w:rFonts w:hint="default" w:ascii="Times New Roman" w:hAnsi="Times New Roman" w:cs="Times New Roman"/>
                <w:color w:val="auto"/>
                <w:spacing w:val="10"/>
                <w:sz w:val="24"/>
                <w:szCs w:val="24"/>
              </w:rPr>
              <w:t>V</w:t>
            </w:r>
            <w:r>
              <w:rPr>
                <w:rFonts w:hint="default" w:ascii="Times New Roman" w:hAnsi="Times New Roman" w:cs="Times New Roman"/>
                <w:color w:val="auto"/>
                <w:spacing w:val="10"/>
                <w:sz w:val="24"/>
                <w:szCs w:val="24"/>
                <w:vertAlign w:val="subscript"/>
              </w:rPr>
              <w:t>1</w:t>
            </w:r>
            <w:r>
              <w:rPr>
                <w:rFonts w:hint="default" w:ascii="Times New Roman" w:hAnsi="Times New Roman" w:cs="Times New Roman"/>
                <w:color w:val="auto"/>
                <w:sz w:val="24"/>
                <w:szCs w:val="24"/>
              </w:rPr>
              <w:t>：</w:t>
            </w:r>
            <w:r>
              <w:rPr>
                <w:rFonts w:hint="default" w:ascii="Times New Roman" w:hAnsi="Times New Roman" w:eastAsia="宋体" w:cs="Times New Roman"/>
                <w:b w:val="0"/>
                <w:bCs/>
                <w:color w:val="auto"/>
                <w:kern w:val="2"/>
                <w:sz w:val="24"/>
                <w:szCs w:val="24"/>
                <w:shd w:val="clear" w:fill="auto"/>
                <w:lang w:val="en-US" w:eastAsia="zh-CN" w:bidi="ar-SA"/>
              </w:rPr>
              <w:t>最大</w:t>
            </w:r>
            <w:r>
              <w:rPr>
                <w:rFonts w:hint="default" w:ascii="Times New Roman" w:hAnsi="Times New Roman" w:eastAsia="宋体" w:cs="Times New Roman"/>
                <w:b w:val="0"/>
                <w:bCs/>
                <w:color w:val="auto"/>
                <w:kern w:val="2"/>
                <w:sz w:val="24"/>
                <w:szCs w:val="24"/>
                <w:lang w:val="en-US" w:eastAsia="zh-CN" w:bidi="ar-SA"/>
              </w:rPr>
              <w:t>液态装置为</w:t>
            </w:r>
            <w:r>
              <w:rPr>
                <w:rFonts w:hint="eastAsia" w:cs="Times New Roman"/>
                <w:b w:val="0"/>
                <w:bCs/>
                <w:color w:val="auto"/>
                <w:kern w:val="2"/>
                <w:sz w:val="24"/>
                <w:szCs w:val="24"/>
                <w:lang w:val="en-US" w:eastAsia="zh-CN" w:bidi="ar-SA"/>
              </w:rPr>
              <w:t>清洗机中</w:t>
            </w:r>
            <w:r>
              <w:rPr>
                <w:rFonts w:hint="default" w:ascii="Times New Roman" w:hAnsi="Times New Roman" w:eastAsia="宋体" w:cs="Times New Roman"/>
                <w:color w:val="auto"/>
                <w:sz w:val="24"/>
                <w:szCs w:val="24"/>
                <w:lang w:val="en-US" w:eastAsia="zh-CN"/>
              </w:rPr>
              <w:t>清洗</w:t>
            </w:r>
            <w:r>
              <w:rPr>
                <w:rFonts w:hint="eastAsia" w:ascii="Times New Roman" w:hAnsi="Times New Roman" w:eastAsia="宋体" w:cs="Times New Roman"/>
                <w:color w:val="auto"/>
                <w:sz w:val="24"/>
                <w:szCs w:val="24"/>
                <w:lang w:val="en-US" w:eastAsia="zh-CN"/>
              </w:rPr>
              <w:t>槽</w:t>
            </w:r>
            <w:r>
              <w:rPr>
                <w:rFonts w:hint="default" w:ascii="Times New Roman" w:hAnsi="Times New Roman" w:eastAsia="宋体" w:cs="Times New Roman"/>
                <w:b w:val="0"/>
                <w:bCs/>
                <w:color w:val="auto"/>
                <w:kern w:val="2"/>
                <w:sz w:val="24"/>
                <w:szCs w:val="24"/>
                <w:lang w:val="en-US" w:eastAsia="zh-CN" w:bidi="ar-SA"/>
              </w:rPr>
              <w:t>，</w:t>
            </w:r>
            <w:r>
              <w:rPr>
                <w:rFonts w:hint="default" w:ascii="Times New Roman" w:hAnsi="Times New Roman" w:eastAsia="宋体" w:cs="Times New Roman"/>
                <w:color w:val="auto"/>
                <w:sz w:val="24"/>
                <w:szCs w:val="24"/>
                <w:lang w:val="en-US" w:eastAsia="zh-CN"/>
              </w:rPr>
              <w:t>清洗</w:t>
            </w:r>
            <w:r>
              <w:rPr>
                <w:rFonts w:hint="eastAsia" w:ascii="Times New Roman" w:hAnsi="Times New Roman" w:cs="Times New Roman"/>
                <w:color w:val="auto"/>
                <w:sz w:val="24"/>
                <w:szCs w:val="24"/>
                <w:lang w:val="en-US" w:eastAsia="zh-CN"/>
              </w:rPr>
              <w:t>水有效</w:t>
            </w:r>
            <w:r>
              <w:rPr>
                <w:rFonts w:hint="eastAsia" w:ascii="Times New Roman" w:hAnsi="Times New Roman" w:eastAsia="宋体" w:cs="Times New Roman"/>
                <w:b w:val="0"/>
                <w:bCs/>
                <w:color w:val="auto"/>
                <w:kern w:val="2"/>
                <w:sz w:val="24"/>
                <w:szCs w:val="24"/>
                <w:lang w:val="en-US" w:eastAsia="zh-CN" w:bidi="ar-SA"/>
              </w:rPr>
              <w:t>容量</w:t>
            </w:r>
            <w:r>
              <w:rPr>
                <w:rFonts w:hint="default" w:ascii="Times New Roman" w:hAnsi="Times New Roman" w:eastAsia="宋体" w:cs="Times New Roman"/>
                <w:b w:val="0"/>
                <w:bCs/>
                <w:color w:val="auto"/>
                <w:kern w:val="2"/>
                <w:sz w:val="24"/>
                <w:szCs w:val="24"/>
                <w:lang w:val="en-US" w:eastAsia="zh-CN" w:bidi="ar-SA"/>
              </w:rPr>
              <w:t>约</w:t>
            </w:r>
            <w:r>
              <w:rPr>
                <w:rFonts w:hint="eastAsia" w:cs="Times New Roman"/>
                <w:b w:val="0"/>
                <w:bCs/>
                <w:color w:val="auto"/>
                <w:kern w:val="2"/>
                <w:sz w:val="24"/>
                <w:szCs w:val="24"/>
                <w:lang w:val="en-US" w:eastAsia="zh-CN" w:bidi="ar-SA"/>
              </w:rPr>
              <w:t>0.45</w:t>
            </w:r>
            <w:r>
              <w:rPr>
                <w:rFonts w:hint="default" w:ascii="Times New Roman" w:hAnsi="Times New Roman" w:eastAsia="宋体" w:cs="Times New Roman"/>
                <w:b w:val="0"/>
                <w:bCs/>
                <w:color w:val="auto"/>
                <w:kern w:val="2"/>
                <w:sz w:val="24"/>
                <w:szCs w:val="24"/>
                <w:lang w:val="en-US" w:eastAsia="zh-CN" w:bidi="ar-SA"/>
              </w:rPr>
              <w:t>m</w:t>
            </w:r>
            <w:r>
              <w:rPr>
                <w:rFonts w:hint="default" w:ascii="Times New Roman" w:hAnsi="Times New Roman" w:eastAsia="宋体" w:cs="Times New Roman"/>
                <w:b w:val="0"/>
                <w:bCs/>
                <w:color w:val="auto"/>
                <w:kern w:val="2"/>
                <w:sz w:val="24"/>
                <w:szCs w:val="24"/>
                <w:vertAlign w:val="superscript"/>
                <w:lang w:val="en-US" w:eastAsia="zh-CN" w:bidi="ar-SA"/>
              </w:rPr>
              <w:t>3</w:t>
            </w:r>
            <w:r>
              <w:rPr>
                <w:rFonts w:hint="default" w:ascii="Times New Roman" w:hAnsi="Times New Roman" w:eastAsia="宋体" w:cs="Times New Roman"/>
                <w:b w:val="0"/>
                <w:bCs/>
                <w:color w:val="auto"/>
                <w:kern w:val="2"/>
                <w:sz w:val="24"/>
                <w:szCs w:val="24"/>
                <w:lang w:val="en-US" w:eastAsia="zh-CN" w:bidi="ar-SA"/>
              </w:rPr>
              <w:t>，则V</w:t>
            </w:r>
            <w:r>
              <w:rPr>
                <w:rFonts w:hint="default" w:ascii="Times New Roman" w:hAnsi="Times New Roman" w:eastAsia="宋体" w:cs="Times New Roman"/>
                <w:b w:val="0"/>
                <w:bCs/>
                <w:color w:val="auto"/>
                <w:kern w:val="2"/>
                <w:sz w:val="24"/>
                <w:szCs w:val="24"/>
                <w:vertAlign w:val="subscript"/>
                <w:lang w:val="en-US" w:eastAsia="zh-CN" w:bidi="ar-SA"/>
              </w:rPr>
              <w:t>1</w:t>
            </w:r>
            <w:r>
              <w:rPr>
                <w:rFonts w:hint="default" w:ascii="Times New Roman" w:hAnsi="Times New Roman" w:eastAsia="宋体" w:cs="Times New Roman"/>
                <w:b w:val="0"/>
                <w:bCs/>
                <w:color w:val="auto"/>
                <w:kern w:val="2"/>
                <w:sz w:val="24"/>
                <w:szCs w:val="24"/>
                <w:lang w:val="en-US" w:eastAsia="zh-CN" w:bidi="ar-SA"/>
              </w:rPr>
              <w:t>约为</w:t>
            </w:r>
            <w:r>
              <w:rPr>
                <w:rFonts w:hint="eastAsia" w:cs="Times New Roman"/>
                <w:b w:val="0"/>
                <w:bCs/>
                <w:color w:val="auto"/>
                <w:kern w:val="2"/>
                <w:sz w:val="24"/>
                <w:szCs w:val="24"/>
                <w:lang w:val="en-US" w:eastAsia="zh-CN" w:bidi="ar-SA"/>
              </w:rPr>
              <w:t>0.45</w:t>
            </w:r>
            <w:r>
              <w:rPr>
                <w:rFonts w:hint="default" w:ascii="Times New Roman" w:hAnsi="Times New Roman" w:eastAsia="宋体" w:cs="Times New Roman"/>
                <w:b w:val="0"/>
                <w:bCs/>
                <w:color w:val="auto"/>
                <w:kern w:val="2"/>
                <w:sz w:val="24"/>
                <w:szCs w:val="24"/>
                <w:lang w:val="en-US" w:eastAsia="zh-CN" w:bidi="ar-SA"/>
              </w:rPr>
              <w:t>m</w:t>
            </w:r>
            <w:r>
              <w:rPr>
                <w:rFonts w:hint="default" w:ascii="Times New Roman" w:hAnsi="Times New Roman" w:eastAsia="宋体" w:cs="Times New Roman"/>
                <w:b w:val="0"/>
                <w:bCs/>
                <w:color w:val="auto"/>
                <w:kern w:val="2"/>
                <w:sz w:val="24"/>
                <w:szCs w:val="24"/>
                <w:vertAlign w:val="superscript"/>
                <w:lang w:val="en-US" w:eastAsia="zh-CN" w:bidi="ar-SA"/>
              </w:rPr>
              <w:t>3</w:t>
            </w:r>
            <w:r>
              <w:rPr>
                <w:rFonts w:hint="default" w:ascii="Times New Roman" w:hAnsi="Times New Roman" w:cs="Times New Roman"/>
                <w:color w:val="auto"/>
                <w:spacing w:val="10"/>
                <w:sz w:val="24"/>
                <w:szCs w:val="24"/>
              </w:rPr>
              <w:t>。</w:t>
            </w:r>
          </w:p>
          <w:p w14:paraId="15E262B2">
            <w:pPr>
              <w:keepNext w:val="0"/>
              <w:keepLines w:val="0"/>
              <w:pageBreakBefore w:val="0"/>
              <w:widowControl w:val="0"/>
              <w:kinsoku/>
              <w:wordWrap/>
              <w:overflowPunct/>
              <w:topLinePunct w:val="0"/>
              <w:bidi w:val="0"/>
              <w:adjustRightInd w:val="0"/>
              <w:snapToGrid w:val="0"/>
              <w:spacing w:line="360" w:lineRule="auto"/>
              <w:ind w:left="0" w:firstLine="480" w:firstLineChars="200"/>
              <w:textAlignment w:val="auto"/>
              <w:rPr>
                <w:rFonts w:hint="default" w:ascii="Times New Roman" w:hAnsi="Times New Roman" w:cs="Times New Roman"/>
                <w:color w:val="auto"/>
                <w:spacing w:val="10"/>
                <w:sz w:val="24"/>
                <w:szCs w:val="24"/>
              </w:rPr>
            </w:pP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2</w:t>
            </w:r>
            <w:r>
              <w:rPr>
                <w:rFonts w:hint="default" w:ascii="Times New Roman" w:hAnsi="Times New Roman" w:cs="Times New Roman"/>
                <w:color w:val="auto"/>
                <w:sz w:val="24"/>
                <w:szCs w:val="24"/>
              </w:rPr>
              <w:t>：</w:t>
            </w:r>
            <w:r>
              <w:rPr>
                <w:rFonts w:hint="default" w:ascii="Times New Roman" w:hAnsi="Times New Roman" w:cs="Times New Roman"/>
                <w:color w:val="auto"/>
                <w:spacing w:val="10"/>
                <w:sz w:val="24"/>
                <w:szCs w:val="24"/>
              </w:rPr>
              <w:t>根据《建筑设计防火规范》(GB50016-2014)（2018年修订），在进行城镇、居住区、企事业单位规划和建筑设计时，必须同时设计消防给水系统，消防用水可由给水管网、天然水源或消防水池供给。</w:t>
            </w:r>
            <w:r>
              <w:rPr>
                <w:rFonts w:hint="default" w:ascii="Times New Roman" w:hAnsi="Times New Roman" w:eastAsia="宋体" w:cs="Times New Roman"/>
                <w:b w:val="0"/>
                <w:bCs/>
                <w:color w:val="auto"/>
                <w:kern w:val="2"/>
                <w:sz w:val="24"/>
                <w:szCs w:val="24"/>
                <w:lang w:val="en-US" w:eastAsia="zh-CN" w:bidi="ar-SA"/>
              </w:rPr>
              <w:t>火灾持续时间取</w:t>
            </w:r>
            <w:r>
              <w:rPr>
                <w:rFonts w:hint="eastAsia" w:ascii="Times New Roman" w:hAnsi="Times New Roman" w:eastAsia="宋体" w:cs="Times New Roman"/>
                <w:b w:val="0"/>
                <w:bCs/>
                <w:color w:val="auto"/>
                <w:kern w:val="2"/>
                <w:sz w:val="24"/>
                <w:szCs w:val="24"/>
                <w:lang w:val="en-US" w:eastAsia="zh-CN" w:bidi="ar-SA"/>
              </w:rPr>
              <w:t>2</w:t>
            </w:r>
            <w:r>
              <w:rPr>
                <w:rFonts w:hint="default" w:ascii="Times New Roman" w:hAnsi="Times New Roman" w:eastAsia="宋体" w:cs="Times New Roman"/>
                <w:b w:val="0"/>
                <w:bCs/>
                <w:color w:val="auto"/>
                <w:kern w:val="2"/>
                <w:sz w:val="24"/>
                <w:szCs w:val="24"/>
                <w:lang w:val="en-US" w:eastAsia="zh-CN" w:bidi="ar-SA"/>
              </w:rPr>
              <w:t>h，消防用水取</w:t>
            </w:r>
            <w:r>
              <w:rPr>
                <w:rFonts w:hint="eastAsia" w:cs="Times New Roman"/>
                <w:b w:val="0"/>
                <w:bCs/>
                <w:color w:val="auto"/>
                <w:kern w:val="2"/>
                <w:sz w:val="24"/>
                <w:szCs w:val="24"/>
                <w:lang w:val="en-US" w:eastAsia="zh-CN" w:bidi="ar-SA"/>
              </w:rPr>
              <w:t>10</w:t>
            </w:r>
            <w:r>
              <w:rPr>
                <w:rFonts w:hint="default" w:ascii="Times New Roman" w:hAnsi="Times New Roman" w:eastAsia="宋体" w:cs="Times New Roman"/>
                <w:b w:val="0"/>
                <w:bCs/>
                <w:color w:val="auto"/>
                <w:kern w:val="2"/>
                <w:sz w:val="24"/>
                <w:szCs w:val="24"/>
                <w:lang w:val="en-US" w:eastAsia="zh-CN" w:bidi="ar-SA"/>
              </w:rPr>
              <w:t>L/s</w:t>
            </w:r>
            <w:r>
              <w:rPr>
                <w:rFonts w:hint="eastAsia" w:ascii="Times New Roman" w:hAnsi="Times New Roman" w:eastAsia="宋体" w:cs="Times New Roman"/>
                <w:b w:val="0"/>
                <w:bCs/>
                <w:color w:val="auto"/>
                <w:kern w:val="2"/>
                <w:sz w:val="24"/>
                <w:szCs w:val="24"/>
                <w:lang w:val="en-US" w:eastAsia="zh-CN" w:bidi="ar-SA"/>
              </w:rPr>
              <w:t>。</w:t>
            </w:r>
            <w:r>
              <w:rPr>
                <w:rFonts w:hint="default" w:ascii="Times New Roman" w:hAnsi="Times New Roman" w:cs="Times New Roman"/>
                <w:color w:val="auto"/>
                <w:spacing w:val="10"/>
                <w:sz w:val="24"/>
                <w:szCs w:val="24"/>
              </w:rPr>
              <w:t>则发生一次火灾时厂房室外消防用水量为：</w:t>
            </w:r>
            <w:r>
              <w:rPr>
                <w:rFonts w:hint="eastAsia" w:cs="Times New Roman"/>
                <w:color w:val="auto"/>
                <w:spacing w:val="10"/>
                <w:sz w:val="24"/>
                <w:szCs w:val="24"/>
                <w:lang w:val="en-US" w:eastAsia="zh-CN"/>
              </w:rPr>
              <w:t>10</w:t>
            </w:r>
            <w:r>
              <w:rPr>
                <w:rFonts w:hint="default" w:ascii="Times New Roman" w:hAnsi="Times New Roman" w:cs="Times New Roman"/>
                <w:color w:val="auto"/>
                <w:spacing w:val="10"/>
                <w:sz w:val="24"/>
                <w:szCs w:val="24"/>
              </w:rPr>
              <w:t>×3600×10</w:t>
            </w:r>
            <w:r>
              <w:rPr>
                <w:rFonts w:hint="default" w:ascii="Times New Roman" w:hAnsi="Times New Roman" w:cs="Times New Roman"/>
                <w:color w:val="auto"/>
                <w:spacing w:val="10"/>
                <w:sz w:val="24"/>
                <w:szCs w:val="24"/>
                <w:vertAlign w:val="superscript"/>
              </w:rPr>
              <w:t>-3</w:t>
            </w:r>
            <w:r>
              <w:rPr>
                <w:rFonts w:hint="default" w:ascii="Times New Roman" w:hAnsi="Times New Roman" w:cs="Times New Roman"/>
                <w:color w:val="auto"/>
                <w:spacing w:val="10"/>
                <w:sz w:val="24"/>
                <w:szCs w:val="24"/>
              </w:rPr>
              <w:t>×2=</w:t>
            </w:r>
            <w:r>
              <w:rPr>
                <w:rFonts w:hint="eastAsia" w:cs="Times New Roman"/>
                <w:color w:val="auto"/>
                <w:spacing w:val="10"/>
                <w:sz w:val="24"/>
                <w:szCs w:val="24"/>
                <w:lang w:val="en-US" w:eastAsia="zh-CN"/>
              </w:rPr>
              <w:t>72</w:t>
            </w:r>
            <w:r>
              <w:rPr>
                <w:rFonts w:hint="default" w:ascii="Times New Roman" w:hAnsi="Times New Roman" w:cs="Times New Roman"/>
                <w:color w:val="auto"/>
                <w:spacing w:val="10"/>
                <w:sz w:val="24"/>
                <w:szCs w:val="24"/>
              </w:rPr>
              <w:t>m</w:t>
            </w:r>
            <w:r>
              <w:rPr>
                <w:rFonts w:hint="default" w:ascii="Times New Roman" w:hAnsi="Times New Roman" w:cs="Times New Roman"/>
                <w:color w:val="auto"/>
                <w:spacing w:val="10"/>
                <w:sz w:val="24"/>
                <w:szCs w:val="24"/>
                <w:vertAlign w:val="superscript"/>
              </w:rPr>
              <w:t>3</w:t>
            </w:r>
          </w:p>
          <w:p w14:paraId="4A1BA2B2">
            <w:pPr>
              <w:keepNext w:val="0"/>
              <w:keepLines w:val="0"/>
              <w:pageBreakBefore w:val="0"/>
              <w:widowControl w:val="0"/>
              <w:kinsoku/>
              <w:wordWrap/>
              <w:overflowPunct/>
              <w:topLinePunct w:val="0"/>
              <w:autoSpaceDE/>
              <w:autoSpaceDN/>
              <w:bidi w:val="0"/>
              <w:adjustRightInd w:val="0"/>
              <w:snapToGrid w:val="0"/>
              <w:spacing w:line="360" w:lineRule="auto"/>
              <w:ind w:lef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3</w:t>
            </w:r>
            <w:r>
              <w:rPr>
                <w:rFonts w:hint="default" w:ascii="Times New Roman" w:hAnsi="Times New Roman" w:cs="Times New Roman"/>
                <w:color w:val="auto"/>
                <w:sz w:val="24"/>
                <w:szCs w:val="24"/>
              </w:rPr>
              <w:t>：</w:t>
            </w:r>
            <w:r>
              <w:rPr>
                <w:rFonts w:hint="default" w:ascii="Times New Roman" w:hAnsi="Times New Roman" w:eastAsia="宋体" w:cs="Times New Roman"/>
                <w:color w:val="auto"/>
                <w:sz w:val="24"/>
                <w:szCs w:val="24"/>
              </w:rPr>
              <w:t>公司所在厂区雨水管网总长度约为</w:t>
            </w:r>
            <w:r>
              <w:rPr>
                <w:rFonts w:hint="eastAsia" w:cs="Times New Roman"/>
                <w:color w:val="auto"/>
                <w:sz w:val="24"/>
                <w:szCs w:val="24"/>
                <w:lang w:val="en-US" w:eastAsia="zh-CN"/>
              </w:rPr>
              <w:t>7</w:t>
            </w:r>
            <w:r>
              <w:rPr>
                <w:rFonts w:hint="default" w:ascii="Times New Roman" w:hAnsi="Times New Roman" w:eastAsia="宋体" w:cs="Times New Roman"/>
                <w:color w:val="auto"/>
                <w:sz w:val="24"/>
                <w:szCs w:val="24"/>
              </w:rPr>
              <w:t>00m，</w:t>
            </w:r>
            <w:r>
              <w:rPr>
                <w:rFonts w:hint="default" w:ascii="Times New Roman" w:hAnsi="Times New Roman" w:eastAsia="宋体" w:cs="Times New Roman"/>
                <w:color w:val="auto"/>
                <w:sz w:val="24"/>
                <w:szCs w:val="24"/>
                <w:lang w:val="en-US" w:eastAsia="zh-CN"/>
              </w:rPr>
              <w:t>其中</w:t>
            </w:r>
            <w:r>
              <w:rPr>
                <w:rFonts w:hint="default" w:ascii="Times New Roman" w:hAnsi="Times New Roman" w:eastAsia="宋体" w:cs="Times New Roman"/>
                <w:color w:val="auto"/>
                <w:sz w:val="24"/>
                <w:szCs w:val="24"/>
              </w:rPr>
              <w:t>管内径为0.</w:t>
            </w:r>
            <w:r>
              <w:rPr>
                <w:rFonts w:hint="eastAsia" w:ascii="Times New Roman" w:hAnsi="Times New Roman" w:eastAsia="宋体" w:cs="Times New Roman"/>
                <w:color w:val="auto"/>
                <w:sz w:val="24"/>
                <w:szCs w:val="24"/>
                <w:lang w:val="en-US" w:eastAsia="zh-CN"/>
              </w:rPr>
              <w:t>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lang w:val="en-US" w:eastAsia="zh-CN"/>
              </w:rPr>
              <w:t>的管网约</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00m，</w:t>
            </w:r>
            <w:r>
              <w:rPr>
                <w:rFonts w:hint="default" w:ascii="Times New Roman" w:hAnsi="Times New Roman" w:eastAsia="宋体" w:cs="Times New Roman"/>
                <w:color w:val="auto"/>
                <w:sz w:val="24"/>
                <w:szCs w:val="24"/>
              </w:rPr>
              <w:t>管内径为0.</w:t>
            </w:r>
            <w:r>
              <w:rPr>
                <w:rFonts w:hint="eastAsia" w:ascii="Times New Roman" w:hAnsi="Times New Roman" w:eastAsia="宋体" w:cs="Times New Roman"/>
                <w:color w:val="auto"/>
                <w:sz w:val="24"/>
                <w:szCs w:val="24"/>
                <w:lang w:val="en-US" w:eastAsia="zh-CN"/>
              </w:rPr>
              <w:t>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lang w:val="en-US" w:eastAsia="zh-CN"/>
              </w:rPr>
              <w:t>的管网约</w:t>
            </w:r>
            <w:r>
              <w:rPr>
                <w:rFonts w:hint="eastAsia" w:cs="Times New Roman"/>
                <w:color w:val="auto"/>
                <w:sz w:val="24"/>
                <w:szCs w:val="24"/>
                <w:lang w:val="en-US" w:eastAsia="zh-CN"/>
              </w:rPr>
              <w:t>10</w:t>
            </w:r>
            <w:r>
              <w:rPr>
                <w:rFonts w:hint="default" w:ascii="Times New Roman" w:hAnsi="Times New Roman" w:eastAsia="宋体" w:cs="Times New Roman"/>
                <w:color w:val="auto"/>
                <w:sz w:val="24"/>
                <w:szCs w:val="24"/>
                <w:lang w:val="en-US" w:eastAsia="zh-CN"/>
              </w:rPr>
              <w:t>0m，</w:t>
            </w:r>
            <w:r>
              <w:rPr>
                <w:rFonts w:hint="default" w:ascii="Times New Roman" w:hAnsi="Times New Roman" w:eastAsia="宋体" w:cs="Times New Roman"/>
                <w:color w:val="auto"/>
                <w:sz w:val="24"/>
                <w:szCs w:val="24"/>
              </w:rPr>
              <w:t>则雨水管网总容积约为</w:t>
            </w:r>
            <w:r>
              <w:rPr>
                <w:rFonts w:hint="eastAsia" w:cs="Times New Roman"/>
                <w:color w:val="auto"/>
                <w:sz w:val="24"/>
                <w:szCs w:val="24"/>
                <w:lang w:val="en-US" w:eastAsia="zh-CN"/>
              </w:rPr>
              <w:t>94</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，事故时可容纳消防尾水量为</w:t>
            </w:r>
            <w:r>
              <w:rPr>
                <w:rFonts w:hint="eastAsia" w:cs="Times New Roman"/>
                <w:color w:val="auto"/>
                <w:sz w:val="24"/>
                <w:szCs w:val="24"/>
                <w:lang w:val="en-US" w:eastAsia="zh-CN"/>
              </w:rPr>
              <w:t>65.8</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（以雨水管网总容积的</w:t>
            </w:r>
            <w:r>
              <w:rPr>
                <w:rFonts w:hint="eastAsia" w:ascii="Times New Roman" w:hAnsi="Times New Roman" w:eastAsia="宋体" w:cs="Times New Roman"/>
                <w:color w:val="auto"/>
                <w:sz w:val="24"/>
                <w:szCs w:val="24"/>
                <w:lang w:val="en-US" w:eastAsia="zh-CN"/>
              </w:rPr>
              <w:t>7</w:t>
            </w:r>
            <w:r>
              <w:rPr>
                <w:rFonts w:hint="default" w:ascii="Times New Roman" w:hAnsi="Times New Roman" w:eastAsia="宋体" w:cs="Times New Roman"/>
                <w:color w:val="auto"/>
                <w:sz w:val="24"/>
                <w:szCs w:val="24"/>
              </w:rPr>
              <w:t>0%计）</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则V</w:t>
            </w:r>
            <w:r>
              <w:rPr>
                <w:rFonts w:hint="default" w:ascii="Times New Roman" w:hAnsi="Times New Roman" w:eastAsia="宋体" w:cs="Times New Roman"/>
                <w:color w:val="auto"/>
                <w:sz w:val="24"/>
                <w:szCs w:val="24"/>
                <w:vertAlign w:val="subscript"/>
              </w:rPr>
              <w:t>3</w:t>
            </w:r>
            <w:r>
              <w:rPr>
                <w:rFonts w:hint="default" w:ascii="Times New Roman" w:hAnsi="Times New Roman" w:eastAsia="宋体" w:cs="Times New Roman"/>
                <w:color w:val="auto"/>
                <w:sz w:val="24"/>
                <w:szCs w:val="24"/>
              </w:rPr>
              <w:t>＝</w:t>
            </w:r>
            <w:r>
              <w:rPr>
                <w:rFonts w:hint="eastAsia" w:cs="Times New Roman"/>
                <w:color w:val="auto"/>
                <w:sz w:val="24"/>
                <w:szCs w:val="24"/>
                <w:lang w:val="en-US" w:eastAsia="zh-CN"/>
              </w:rPr>
              <w:t>65.8</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3</w:t>
            </w:r>
            <w:r>
              <w:rPr>
                <w:rFonts w:hint="default" w:ascii="Times New Roman" w:hAnsi="Times New Roman" w:eastAsia="宋体" w:cs="Times New Roman"/>
                <w:color w:val="auto"/>
                <w:sz w:val="24"/>
                <w:szCs w:val="24"/>
              </w:rPr>
              <w:t xml:space="preserve">；  </w:t>
            </w:r>
          </w:p>
          <w:p w14:paraId="6BA1E10E">
            <w:pPr>
              <w:keepNext w:val="0"/>
              <w:keepLines w:val="0"/>
              <w:pageBreakBefore w:val="0"/>
              <w:widowControl w:val="0"/>
              <w:kinsoku/>
              <w:wordWrap/>
              <w:overflowPunct/>
              <w:topLinePunct w:val="0"/>
              <w:bidi w:val="0"/>
              <w:adjustRightInd w:val="0"/>
              <w:snapToGrid w:val="0"/>
              <w:spacing w:line="360" w:lineRule="auto"/>
              <w:ind w:lef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4</w:t>
            </w:r>
            <w:r>
              <w:rPr>
                <w:rFonts w:hint="default" w:ascii="Times New Roman" w:hAnsi="Times New Roman" w:cs="Times New Roman"/>
                <w:color w:val="auto"/>
                <w:sz w:val="24"/>
                <w:szCs w:val="24"/>
              </w:rPr>
              <w:t>：发生事故时无生产废水量进入该系统，取0m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14:paraId="59D0127F">
            <w:pPr>
              <w:keepNext w:val="0"/>
              <w:keepLines w:val="0"/>
              <w:pageBreakBefore w:val="0"/>
              <w:widowControl w:val="0"/>
              <w:kinsoku/>
              <w:wordWrap/>
              <w:overflowPunct/>
              <w:topLinePunct w:val="0"/>
              <w:bidi w:val="0"/>
              <w:adjustRightInd w:val="0"/>
              <w:snapToGrid w:val="0"/>
              <w:spacing w:line="360" w:lineRule="auto"/>
              <w:ind w:lef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rPr>
              <w:t>：发生事故时可能进入该收集系统的降雨量，发生事故时可能进入该收集系统的降雨量，V</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rPr>
              <w:t>=10qF；</w:t>
            </w:r>
          </w:p>
          <w:p w14:paraId="4CA71F88">
            <w:pPr>
              <w:keepNext w:val="0"/>
              <w:keepLines w:val="0"/>
              <w:pageBreakBefore w:val="0"/>
              <w:widowControl w:val="0"/>
              <w:kinsoku/>
              <w:wordWrap/>
              <w:overflowPunct/>
              <w:topLinePunct w:val="0"/>
              <w:bidi w:val="0"/>
              <w:adjustRightInd w:val="0"/>
              <w:snapToGrid w:val="0"/>
              <w:spacing w:line="360" w:lineRule="auto"/>
              <w:ind w:lef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q：降雨强度，mm；按平均日降雨量；</w:t>
            </w:r>
          </w:p>
          <w:p w14:paraId="5563DA79">
            <w:pPr>
              <w:keepNext w:val="0"/>
              <w:keepLines w:val="0"/>
              <w:pageBreakBefore w:val="0"/>
              <w:widowControl w:val="0"/>
              <w:kinsoku/>
              <w:wordWrap/>
              <w:overflowPunct/>
              <w:topLinePunct w:val="0"/>
              <w:bidi w:val="0"/>
              <w:adjustRightInd w:val="0"/>
              <w:snapToGrid w:val="0"/>
              <w:spacing w:line="360" w:lineRule="auto"/>
              <w:ind w:lef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q=q</w:t>
            </w:r>
            <w:r>
              <w:rPr>
                <w:rFonts w:hint="default" w:ascii="Times New Roman" w:hAnsi="Times New Roman" w:cs="Times New Roman"/>
                <w:color w:val="auto"/>
                <w:sz w:val="24"/>
                <w:szCs w:val="24"/>
                <w:vertAlign w:val="subscript"/>
              </w:rPr>
              <w:t>a</w:t>
            </w:r>
            <w:r>
              <w:rPr>
                <w:rFonts w:hint="default" w:ascii="Times New Roman" w:hAnsi="Times New Roman" w:cs="Times New Roman"/>
                <w:color w:val="auto"/>
                <w:sz w:val="24"/>
                <w:szCs w:val="24"/>
              </w:rPr>
              <w:t>/n</w:t>
            </w:r>
          </w:p>
          <w:p w14:paraId="46073E98">
            <w:pPr>
              <w:keepNext w:val="0"/>
              <w:keepLines w:val="0"/>
              <w:pageBreakBefore w:val="0"/>
              <w:widowControl w:val="0"/>
              <w:kinsoku/>
              <w:wordWrap/>
              <w:overflowPunct/>
              <w:topLinePunct w:val="0"/>
              <w:bidi w:val="0"/>
              <w:adjustRightInd w:val="0"/>
              <w:snapToGrid w:val="0"/>
              <w:spacing w:line="360" w:lineRule="auto"/>
              <w:ind w:lef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q</w:t>
            </w:r>
            <w:r>
              <w:rPr>
                <w:rFonts w:hint="default" w:ascii="Times New Roman" w:hAnsi="Times New Roman" w:cs="Times New Roman"/>
                <w:color w:val="auto"/>
                <w:sz w:val="24"/>
                <w:szCs w:val="24"/>
                <w:vertAlign w:val="subscript"/>
              </w:rPr>
              <w:t>a</w:t>
            </w:r>
            <w:r>
              <w:rPr>
                <w:rFonts w:hint="default" w:ascii="Times New Roman" w:hAnsi="Times New Roman" w:cs="Times New Roman"/>
                <w:color w:val="auto"/>
                <w:sz w:val="24"/>
                <w:szCs w:val="24"/>
              </w:rPr>
              <w:t>：年平均降雨量，取1074mm；</w:t>
            </w:r>
          </w:p>
          <w:p w14:paraId="76BD3F84">
            <w:pPr>
              <w:keepNext w:val="0"/>
              <w:keepLines w:val="0"/>
              <w:pageBreakBefore w:val="0"/>
              <w:widowControl w:val="0"/>
              <w:kinsoku/>
              <w:wordWrap/>
              <w:overflowPunct/>
              <w:topLinePunct w:val="0"/>
              <w:bidi w:val="0"/>
              <w:adjustRightInd w:val="0"/>
              <w:snapToGrid w:val="0"/>
              <w:spacing w:line="360" w:lineRule="auto"/>
              <w:ind w:lef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n：年平均降雨日数，取126天；</w:t>
            </w:r>
          </w:p>
          <w:p w14:paraId="18789D63">
            <w:pPr>
              <w:keepNext w:val="0"/>
              <w:keepLines w:val="0"/>
              <w:pageBreakBefore w:val="0"/>
              <w:widowControl w:val="0"/>
              <w:kinsoku/>
              <w:wordWrap/>
              <w:overflowPunct/>
              <w:topLinePunct w:val="0"/>
              <w:bidi w:val="0"/>
              <w:adjustRightInd w:val="0"/>
              <w:snapToGrid w:val="0"/>
              <w:spacing w:line="360" w:lineRule="auto"/>
              <w:ind w:lef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F：必须进入事故废水收集系统的雨水汇水面积ha，</w:t>
            </w:r>
            <w:r>
              <w:rPr>
                <w:rFonts w:hint="default" w:ascii="Times New Roman" w:hAnsi="Times New Roman" w:cs="Times New Roman"/>
                <w:color w:val="auto"/>
                <w:sz w:val="24"/>
                <w:szCs w:val="24"/>
                <w:lang w:eastAsia="zh-CN"/>
              </w:rPr>
              <w:t>项目</w:t>
            </w:r>
            <w:r>
              <w:rPr>
                <w:rFonts w:hint="eastAsia" w:cs="Times New Roman"/>
                <w:color w:val="auto"/>
                <w:sz w:val="24"/>
                <w:szCs w:val="24"/>
                <w:lang w:val="en-US" w:eastAsia="zh-CN"/>
              </w:rPr>
              <w:t>所在厂区</w:t>
            </w:r>
            <w:r>
              <w:rPr>
                <w:rFonts w:hint="default" w:ascii="Times New Roman" w:hAnsi="Times New Roman" w:cs="Times New Roman"/>
                <w:color w:val="auto"/>
                <w:sz w:val="24"/>
                <w:szCs w:val="24"/>
              </w:rPr>
              <w:t>汇水面积</w:t>
            </w:r>
            <w:r>
              <w:rPr>
                <w:rFonts w:hint="eastAsia" w:cs="Times New Roman"/>
                <w:color w:val="auto"/>
                <w:sz w:val="24"/>
                <w:szCs w:val="24"/>
                <w:lang w:val="en-US" w:eastAsia="zh-CN"/>
              </w:rPr>
              <w:t>约6000m</w:t>
            </w:r>
            <w:r>
              <w:rPr>
                <w:rFonts w:hint="eastAsia"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，故取</w:t>
            </w:r>
            <w:r>
              <w:rPr>
                <w:rFonts w:hint="eastAsia" w:cs="Times New Roman"/>
                <w:color w:val="auto"/>
                <w:sz w:val="24"/>
                <w:szCs w:val="24"/>
                <w:lang w:val="en-US" w:eastAsia="zh-CN"/>
              </w:rPr>
              <w:t>0.6</w:t>
            </w:r>
            <w:r>
              <w:rPr>
                <w:rFonts w:hint="default" w:ascii="Times New Roman" w:hAnsi="Times New Roman" w:cs="Times New Roman"/>
                <w:color w:val="auto"/>
                <w:sz w:val="24"/>
                <w:szCs w:val="24"/>
              </w:rPr>
              <w:t>ha；</w:t>
            </w:r>
          </w:p>
          <w:p w14:paraId="27948F72">
            <w:pPr>
              <w:keepNext w:val="0"/>
              <w:keepLines w:val="0"/>
              <w:pageBreakBefore w:val="0"/>
              <w:widowControl w:val="0"/>
              <w:kinsoku/>
              <w:wordWrap/>
              <w:overflowPunct/>
              <w:topLinePunct w:val="0"/>
              <w:bidi w:val="0"/>
              <w:adjustRightInd w:val="0"/>
              <w:snapToGrid w:val="0"/>
              <w:spacing w:line="360" w:lineRule="auto"/>
              <w:ind w:lef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由此计算V</w:t>
            </w:r>
            <w:r>
              <w:rPr>
                <w:rFonts w:hint="default" w:ascii="Times New Roman" w:hAnsi="Times New Roman" w:cs="Times New Roman"/>
                <w:color w:val="auto"/>
                <w:sz w:val="24"/>
                <w:szCs w:val="24"/>
                <w:vertAlign w:val="subscript"/>
              </w:rPr>
              <w:t>5</w:t>
            </w:r>
            <w:r>
              <w:rPr>
                <w:rFonts w:hint="default" w:ascii="Times New Roman" w:hAnsi="Times New Roman" w:cs="Times New Roman"/>
                <w:color w:val="auto"/>
                <w:sz w:val="24"/>
                <w:szCs w:val="24"/>
              </w:rPr>
              <w:t>为</w:t>
            </w:r>
            <w:r>
              <w:rPr>
                <w:rFonts w:hint="eastAsia" w:cs="Times New Roman"/>
                <w:color w:val="auto"/>
                <w:sz w:val="24"/>
                <w:szCs w:val="24"/>
                <w:lang w:val="en-US" w:eastAsia="zh-CN"/>
              </w:rPr>
              <w:t>51.1</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14:paraId="5AD03D1D">
            <w:pPr>
              <w:pStyle w:val="6"/>
              <w:keepNext w:val="0"/>
              <w:keepLines w:val="0"/>
              <w:pageBreakBefore w:val="0"/>
              <w:widowControl w:val="0"/>
              <w:kinsoku/>
              <w:wordWrap/>
              <w:overflowPunct/>
              <w:topLinePunct w:val="0"/>
              <w:bidi w:val="0"/>
              <w:adjustRightInd w:val="0"/>
              <w:spacing w:before="0" w:after="0" w:line="360" w:lineRule="auto"/>
              <w:ind w:left="0" w:right="0" w:firstLine="480" w:firstLineChars="200"/>
              <w:textAlignment w:val="auto"/>
              <w:rPr>
                <w:rFonts w:hint="default" w:ascii="Times New Roman" w:hAnsi="Times New Roman" w:cs="Times New Roman"/>
                <w:b/>
                <w:color w:val="auto"/>
                <w:sz w:val="24"/>
                <w:szCs w:val="24"/>
              </w:rPr>
            </w:pPr>
            <w:r>
              <w:rPr>
                <w:rFonts w:hint="default" w:ascii="Times New Roman" w:hAnsi="Times New Roman" w:cs="Times New Roman"/>
                <w:color w:val="auto"/>
                <w:sz w:val="24"/>
                <w:szCs w:val="24"/>
              </w:rPr>
              <w:t>V</w:t>
            </w:r>
            <w:r>
              <w:rPr>
                <w:rFonts w:hint="default" w:ascii="Times New Roman" w:hAnsi="Times New Roman" w:cs="Times New Roman"/>
                <w:color w:val="auto"/>
                <w:sz w:val="24"/>
                <w:szCs w:val="24"/>
                <w:vertAlign w:val="subscript"/>
              </w:rPr>
              <w:t>a</w:t>
            </w:r>
            <w:r>
              <w:rPr>
                <w:rFonts w:hint="default" w:ascii="Times New Roman" w:hAnsi="Times New Roman" w:cs="Times New Roman"/>
                <w:color w:val="auto"/>
                <w:sz w:val="24"/>
                <w:szCs w:val="24"/>
              </w:rPr>
              <w:t>=</w:t>
            </w:r>
            <w:r>
              <w:rPr>
                <w:rFonts w:hint="eastAsia" w:cs="Times New Roman"/>
                <w:color w:val="auto"/>
                <w:sz w:val="24"/>
                <w:szCs w:val="24"/>
                <w:lang w:val="en-US" w:eastAsia="zh-CN"/>
              </w:rPr>
              <w:t>0.45</w:t>
            </w:r>
            <w:r>
              <w:rPr>
                <w:rFonts w:hint="default" w:ascii="Times New Roman" w:hAnsi="Times New Roman" w:cs="Times New Roman"/>
                <w:color w:val="auto"/>
                <w:sz w:val="24"/>
                <w:szCs w:val="24"/>
              </w:rPr>
              <w:t>+</w:t>
            </w:r>
            <w:r>
              <w:rPr>
                <w:rFonts w:hint="eastAsia" w:cs="Times New Roman"/>
                <w:color w:val="auto"/>
                <w:sz w:val="24"/>
                <w:szCs w:val="24"/>
                <w:lang w:val="en-US" w:eastAsia="zh-CN"/>
              </w:rPr>
              <w:t>72</w:t>
            </w:r>
            <w:r>
              <w:rPr>
                <w:rFonts w:hint="default" w:ascii="Times New Roman" w:hAnsi="Times New Roman" w:cs="Times New Roman"/>
                <w:color w:val="auto"/>
                <w:sz w:val="24"/>
                <w:szCs w:val="24"/>
              </w:rPr>
              <w:t>-</w:t>
            </w:r>
            <w:r>
              <w:rPr>
                <w:rFonts w:hint="eastAsia" w:cs="Times New Roman"/>
                <w:color w:val="auto"/>
                <w:sz w:val="24"/>
                <w:szCs w:val="24"/>
                <w:lang w:val="en-US" w:eastAsia="zh-CN"/>
              </w:rPr>
              <w:t>65.8</w:t>
            </w:r>
            <w:r>
              <w:rPr>
                <w:rFonts w:hint="default" w:ascii="Times New Roman" w:hAnsi="Times New Roman" w:cs="Times New Roman"/>
                <w:color w:val="auto"/>
                <w:sz w:val="24"/>
                <w:szCs w:val="24"/>
              </w:rPr>
              <w:t>+0+</w:t>
            </w:r>
            <w:r>
              <w:rPr>
                <w:rFonts w:hint="eastAsia" w:cs="Times New Roman"/>
                <w:color w:val="auto"/>
                <w:sz w:val="24"/>
                <w:szCs w:val="24"/>
                <w:lang w:val="en-US" w:eastAsia="zh-CN"/>
              </w:rPr>
              <w:t>51.1</w:t>
            </w:r>
            <w:r>
              <w:rPr>
                <w:rFonts w:hint="default" w:ascii="Times New Roman" w:hAnsi="Times New Roman" w:cs="Times New Roman"/>
                <w:color w:val="auto"/>
                <w:sz w:val="24"/>
                <w:szCs w:val="24"/>
              </w:rPr>
              <w:t>=</w:t>
            </w:r>
            <w:r>
              <w:rPr>
                <w:rFonts w:hint="eastAsia" w:cs="Times New Roman"/>
                <w:color w:val="auto"/>
                <w:sz w:val="24"/>
                <w:szCs w:val="24"/>
                <w:lang w:val="en-US" w:eastAsia="zh-CN"/>
              </w:rPr>
              <w:t>57.75</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3</w:t>
            </w:r>
          </w:p>
          <w:p w14:paraId="6D22E7BB">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left="0" w:firstLine="480" w:firstLineChars="200"/>
              <w:textAlignment w:val="auto"/>
              <w:rPr>
                <w:rFonts w:hint="default" w:ascii="Times New Roman" w:hAnsi="Times New Roman" w:eastAsia="宋体" w:cs="Times New Roman"/>
                <w:b w:val="0"/>
                <w:bCs/>
                <w:color w:val="auto"/>
                <w:kern w:val="2"/>
                <w:sz w:val="24"/>
                <w:szCs w:val="24"/>
                <w:lang w:val="en-US" w:eastAsia="zh-CN" w:bidi="ar-SA"/>
              </w:rPr>
            </w:pPr>
            <w:r>
              <w:rPr>
                <w:rFonts w:hint="default" w:ascii="Times New Roman" w:hAnsi="Times New Roman" w:cs="Times New Roman"/>
                <w:b w:val="0"/>
                <w:bCs/>
                <w:color w:val="auto"/>
                <w:sz w:val="24"/>
                <w:szCs w:val="24"/>
                <w:lang w:val="en-US" w:eastAsia="zh-CN"/>
              </w:rPr>
              <w:t>根据计算，</w:t>
            </w:r>
            <w:r>
              <w:rPr>
                <w:rFonts w:hint="default" w:ascii="Times New Roman" w:hAnsi="Times New Roman" w:cs="Times New Roman"/>
                <w:b w:val="0"/>
                <w:bCs/>
                <w:color w:val="auto"/>
                <w:sz w:val="24"/>
                <w:szCs w:val="24"/>
              </w:rPr>
              <w:t>公司需新建一座容积约</w:t>
            </w:r>
            <w:r>
              <w:rPr>
                <w:rFonts w:hint="eastAsia" w:ascii="Times New Roman" w:hAnsi="Times New Roman" w:cs="Times New Roman"/>
                <w:b w:val="0"/>
                <w:bCs/>
                <w:color w:val="auto"/>
                <w:sz w:val="24"/>
                <w:szCs w:val="24"/>
                <w:lang w:val="en-US" w:eastAsia="zh-CN"/>
              </w:rPr>
              <w:t>60</w:t>
            </w:r>
            <w:r>
              <w:rPr>
                <w:rFonts w:hint="default" w:ascii="Times New Roman" w:hAnsi="Times New Roman" w:cs="Times New Roman"/>
                <w:b w:val="0"/>
                <w:bCs/>
                <w:color w:val="auto"/>
                <w:sz w:val="24"/>
                <w:szCs w:val="24"/>
              </w:rPr>
              <w:t>m</w:t>
            </w:r>
            <w:r>
              <w:rPr>
                <w:rFonts w:hint="default" w:ascii="Times New Roman" w:hAnsi="Times New Roman" w:cs="Times New Roman"/>
                <w:b w:val="0"/>
                <w:bCs/>
                <w:color w:val="auto"/>
                <w:sz w:val="24"/>
                <w:szCs w:val="24"/>
                <w:vertAlign w:val="superscript"/>
              </w:rPr>
              <w:t>3</w:t>
            </w:r>
            <w:r>
              <w:rPr>
                <w:rFonts w:hint="default" w:ascii="Times New Roman" w:hAnsi="Times New Roman" w:cs="Times New Roman"/>
                <w:b w:val="0"/>
                <w:bCs/>
                <w:color w:val="auto"/>
                <w:sz w:val="24"/>
                <w:szCs w:val="24"/>
              </w:rPr>
              <w:t>事故应急池，同时</w:t>
            </w:r>
            <w:r>
              <w:rPr>
                <w:rFonts w:hint="eastAsia" w:ascii="Times New Roman" w:hAnsi="Times New Roman" w:cs="Times New Roman"/>
                <w:b w:val="0"/>
                <w:bCs/>
                <w:color w:val="auto"/>
                <w:sz w:val="24"/>
                <w:szCs w:val="24"/>
                <w:lang w:val="en-US" w:eastAsia="zh-CN"/>
              </w:rPr>
              <w:t>出租方</w:t>
            </w:r>
            <w:r>
              <w:rPr>
                <w:rFonts w:hint="default" w:ascii="Times New Roman" w:hAnsi="Times New Roman" w:cs="Times New Roman"/>
                <w:b w:val="0"/>
                <w:bCs/>
                <w:color w:val="auto"/>
                <w:sz w:val="24"/>
                <w:szCs w:val="24"/>
                <w:lang w:eastAsia="zh-CN"/>
              </w:rPr>
              <w:t>厂区</w:t>
            </w:r>
            <w:r>
              <w:rPr>
                <w:rFonts w:hint="default" w:ascii="Times New Roman" w:hAnsi="Times New Roman" w:cs="Times New Roman"/>
                <w:b w:val="0"/>
                <w:bCs/>
                <w:color w:val="auto"/>
                <w:sz w:val="24"/>
                <w:szCs w:val="24"/>
              </w:rPr>
              <w:t>雨水排放口</w:t>
            </w:r>
            <w:r>
              <w:rPr>
                <w:rFonts w:hint="default" w:ascii="Times New Roman" w:hAnsi="Times New Roman" w:cs="Times New Roman"/>
                <w:b w:val="0"/>
                <w:bCs/>
                <w:color w:val="auto"/>
                <w:sz w:val="24"/>
                <w:szCs w:val="24"/>
                <w:lang w:val="en-US" w:eastAsia="zh-CN"/>
              </w:rPr>
              <w:t>已</w:t>
            </w:r>
            <w:r>
              <w:rPr>
                <w:rFonts w:hint="default" w:ascii="Times New Roman" w:hAnsi="Times New Roman" w:cs="Times New Roman"/>
                <w:b w:val="0"/>
                <w:bCs/>
                <w:color w:val="auto"/>
                <w:sz w:val="24"/>
                <w:szCs w:val="24"/>
              </w:rPr>
              <w:t>安装截流阀，</w:t>
            </w:r>
            <w:r>
              <w:rPr>
                <w:rFonts w:hint="default" w:ascii="Times New Roman" w:hAnsi="Times New Roman" w:cs="Times New Roman"/>
                <w:b w:val="0"/>
                <w:bCs/>
                <w:color w:val="auto"/>
                <w:sz w:val="24"/>
                <w:szCs w:val="24"/>
                <w:lang w:eastAsia="zh-CN"/>
              </w:rPr>
              <w:t>可</w:t>
            </w:r>
            <w:r>
              <w:rPr>
                <w:rFonts w:hint="default" w:ascii="Times New Roman" w:hAnsi="Times New Roman" w:cs="Times New Roman"/>
                <w:b w:val="0"/>
                <w:bCs/>
                <w:color w:val="auto"/>
                <w:sz w:val="24"/>
                <w:szCs w:val="24"/>
              </w:rPr>
              <w:t>确保事故时的消防废水、泄漏废液能进入该水池储存，不排入外环境</w:t>
            </w:r>
            <w:r>
              <w:rPr>
                <w:rFonts w:hint="default" w:ascii="Times New Roman" w:hAnsi="Times New Roman" w:eastAsia="宋体" w:cs="Times New Roman"/>
                <w:b w:val="0"/>
                <w:bCs/>
                <w:color w:val="auto"/>
                <w:kern w:val="2"/>
                <w:sz w:val="24"/>
                <w:szCs w:val="24"/>
                <w:lang w:val="en-US" w:eastAsia="zh-CN" w:bidi="ar-SA"/>
              </w:rPr>
              <w:t>。</w:t>
            </w:r>
          </w:p>
          <w:p w14:paraId="799EC158">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c)三级防控措施</w:t>
            </w:r>
          </w:p>
          <w:p w14:paraId="0C94CCB9">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若未及时收集，消防废水或泄漏物料通过雨水管网流到厂外，立即关闭内部雨水排放口阀门，同时上报企业应急管理机构，迅速向上级管理部门报告并请求外部增援。</w:t>
            </w:r>
          </w:p>
          <w:p w14:paraId="0F128992">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企业应急管理机构接通知后第一时间携应急物资赶赴现场进行应急处置，同时寻求园区及外部互助单位援助，使用堵漏工具对厂区雨水排放口进行封堵，构筑围堤、造坑导流、挖坑收容，避免事故废水进入市政雨水管网；就地投加药剂处置，降低危险性；启动应急设施，收集事故废水，利用厂区及周边企业事故应急池、槽车或专用收集池等进行暂存。若事故废水不慎进入河流，相关管理部门应立即启动园区/区域环境风险防控措施：关闭关联河道闸阀；视情况在污染区上、下游使用拦污索或筑坝拦截污染物，阻隔污染物进一步扩散至附近水体；投加活性炭等吸附材料，就地投加药剂处置，或将污染水抽至安全地方处置。同时根据泄漏液特性进行泄漏液收集、开展河水上下游的水质监测。</w:t>
            </w:r>
          </w:p>
          <w:p w14:paraId="30C6A05D">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三级防控体系能确保事故状态下的泄漏物料、消防废水等全部处于受控状态，实现对事故废水源头、过程和终端的预防和控制，使环境风险可控，降低对厂区外界环境造成的影响。</w:t>
            </w:r>
          </w:p>
          <w:p w14:paraId="65199F8E">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⑤强化管理：设置安全生产管理机构或配备专职安全生产管理人员；建立健全各岗位安全生产责任制、安全操作规程及其他各项规章制度，并严格遵守、执行；定期或不定期对从业人员进行专业技术培训、安全教育培训等。</w:t>
            </w:r>
          </w:p>
          <w:p w14:paraId="1E368D58">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⑥加强对设备的维修管理，保持车间通风；强化安全、消防和环保管理，建立管理机构，</w:t>
            </w:r>
            <w:r>
              <w:rPr>
                <w:rFonts w:hint="eastAsia" w:cs="Times New Roman"/>
                <w:color w:val="auto"/>
                <w:sz w:val="24"/>
                <w:szCs w:val="24"/>
                <w:highlight w:val="none"/>
                <w:lang w:val="en-US" w:eastAsia="zh-CN"/>
              </w:rPr>
              <w:t>制定</w:t>
            </w:r>
            <w:r>
              <w:rPr>
                <w:rFonts w:hint="default" w:ascii="Times New Roman" w:hAnsi="Times New Roman" w:eastAsia="宋体" w:cs="Times New Roman"/>
                <w:color w:val="auto"/>
                <w:sz w:val="24"/>
                <w:szCs w:val="24"/>
                <w:highlight w:val="none"/>
                <w:lang w:val="en-US" w:eastAsia="zh-CN"/>
              </w:rPr>
              <w:t>各项管理制度，加强日常监督检查。</w:t>
            </w:r>
          </w:p>
          <w:p w14:paraId="62E0143F">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⑦加强环保、安全、消防和管理，建立健全环保、安全、消防各项制度，确保本项目正常运行管理和风险防范措施符合环保、安全和消防等行业法律、法规、技术规范的要求。</w:t>
            </w:r>
          </w:p>
          <w:p w14:paraId="67B51330">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⑧</w:t>
            </w:r>
            <w:r>
              <w:rPr>
                <w:rFonts w:hint="eastAsia" w:cs="Times New Roman"/>
                <w:color w:val="auto"/>
                <w:sz w:val="24"/>
                <w:szCs w:val="24"/>
                <w:highlight w:val="none"/>
                <w:lang w:val="en-US" w:eastAsia="zh-CN"/>
              </w:rPr>
              <w:t>危废仓库</w:t>
            </w:r>
            <w:r>
              <w:rPr>
                <w:rFonts w:hint="default" w:ascii="Times New Roman" w:hAnsi="Times New Roman" w:eastAsia="宋体" w:cs="Times New Roman"/>
                <w:color w:val="auto"/>
                <w:sz w:val="24"/>
                <w:szCs w:val="24"/>
                <w:highlight w:val="none"/>
                <w:lang w:val="en-US" w:eastAsia="zh-CN"/>
              </w:rPr>
              <w:t>风险防范措施：危险废物分类存放到危废仓库，做好进出库管理，及时登记，账物相符，并做好贮存场所和危废包装的标识工作。危废贮存库可满足“防风、防晒、防雨、防漏、防渗、防腐”等要求；地面与裙脚要用坚固、防渗的材料建造，建筑材料必须与危险废物相容。通道、出入口和通向消防设施的道路保持畅通，同时应配置合格的消防器材，并确保其处于完好状态。</w:t>
            </w:r>
          </w:p>
          <w:p w14:paraId="4FEE74AC">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⑨生产车间风险防范措施：设置一定数量的灭火器、消防栓及黄砂等应急物资；设有视频监控。</w:t>
            </w:r>
          </w:p>
          <w:p w14:paraId="0B8B1241">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 xml:space="preserve">2、应急响应流程 </w:t>
            </w:r>
          </w:p>
          <w:p w14:paraId="71EC87FE">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对可能发生的事故，制订应急计划，使各部门在事故发生后能有步骤、有秩序地采取各项应急措施，并与当地政府的应急预案衔接，统一采取救援行动。</w:t>
            </w:r>
          </w:p>
          <w:p w14:paraId="5E7FAA9E">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①事故发生后，应根据具体情况采取应急措施，切断泄漏源，防止事故扩大，同时通知中央控制室，根据事故类型启动相应的应急预案；</w:t>
            </w:r>
          </w:p>
          <w:p w14:paraId="4A54286B">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②发生重大事故，当事故较大，超出企业应急处置能力并达到园区应急响应级别时，启动园区应急预案，企业需要配合完成应急救援工作；若事件超出园区应急处置能力并达到上级应急响应级别时，由园区上报上级部门并视情况启动相应应急预案。</w:t>
            </w:r>
          </w:p>
          <w:p w14:paraId="442E0316">
            <w:pPr>
              <w:keepNext w:val="0"/>
              <w:keepLines w:val="0"/>
              <w:pageBreakBefore w:val="0"/>
              <w:widowControl w:val="0"/>
              <w:kinsoku/>
              <w:wordWrap/>
              <w:overflowPunct/>
              <w:topLinePunct w:val="0"/>
              <w:bidi w:val="0"/>
              <w:spacing w:line="360" w:lineRule="auto"/>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4.7.</w:t>
            </w:r>
            <w:r>
              <w:rPr>
                <w:rFonts w:hint="eastAsia" w:ascii="Times New Roman" w:hAnsi="Times New Roman" w:eastAsia="宋体" w:cs="Times New Roman"/>
                <w:b w:val="0"/>
                <w:bCs w:val="0"/>
                <w:color w:val="auto"/>
                <w:sz w:val="24"/>
                <w:szCs w:val="24"/>
                <w:highlight w:val="none"/>
                <w:lang w:val="en-US" w:eastAsia="zh-CN"/>
              </w:rPr>
              <w:t>6</w:t>
            </w:r>
            <w:r>
              <w:rPr>
                <w:rFonts w:hint="default" w:ascii="Times New Roman" w:hAnsi="Times New Roman" w:eastAsia="宋体" w:cs="Times New Roman"/>
                <w:b w:val="0"/>
                <w:bCs w:val="0"/>
                <w:color w:val="auto"/>
                <w:sz w:val="24"/>
                <w:szCs w:val="24"/>
                <w:highlight w:val="none"/>
                <w:lang w:val="en-US" w:eastAsia="zh-CN"/>
              </w:rPr>
              <w:t>应急措施</w:t>
            </w:r>
          </w:p>
          <w:p w14:paraId="793599D3">
            <w:pPr>
              <w:keepNext w:val="0"/>
              <w:keepLines w:val="0"/>
              <w:pageBreakBefore w:val="0"/>
              <w:widowControl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 xml:space="preserve">对可能发生的事故，制订应急计划，使各部门在事故发生后能有步骤、有秩序地采取各项应急措施，并与当地政府的应急预案衔接，统一采取救援行动。 </w:t>
            </w:r>
          </w:p>
          <w:p w14:paraId="113272C7">
            <w:pPr>
              <w:keepNext w:val="0"/>
              <w:keepLines w:val="0"/>
              <w:pageBreakBefore w:val="0"/>
              <w:widowControl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①事故发生后，应根据具体情况采取应急措施，切断泄漏源，防止事故扩大，同时通知中央控制室，根据事故类型启动相应的应急预案；</w:t>
            </w:r>
          </w:p>
          <w:p w14:paraId="7853AD4B">
            <w:pPr>
              <w:keepNext w:val="0"/>
              <w:keepLines w:val="0"/>
              <w:pageBreakBefore w:val="0"/>
              <w:widowControl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②发生重大事故，当事故较大，超出企业应急处置能力并达到园区应急响应级别时，启动园区应急预案，企业需要配合完成应急救援工作；若事件超出园区应急处置能力并达到上级应急响应级别时，由园区上报上级部门并视情况启动相应应急预案。</w:t>
            </w:r>
          </w:p>
          <w:p w14:paraId="31BE3BCC">
            <w:pPr>
              <w:keepNext w:val="0"/>
              <w:keepLines w:val="0"/>
              <w:pageBreakBefore w:val="0"/>
              <w:widowControl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建设按照“预防为主、自救自主、统一指挥、分工负责”的原则，设置应急救援处置体系。</w:t>
            </w:r>
          </w:p>
          <w:p w14:paraId="03BF837D">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本项目投产前须按照《企业事业单位突发环境事件应急预案备案管理办法（试行）》（环发〔2015〕4号）以及《江苏省突发环境事件应急预案编制</w:t>
            </w:r>
            <w:r>
              <w:rPr>
                <w:rFonts w:hint="default" w:ascii="Times New Roman" w:hAnsi="Times New Roman" w:eastAsia="宋体" w:cs="Times New Roman"/>
                <w:b w:val="0"/>
                <w:bCs/>
                <w:color w:val="auto"/>
                <w:kern w:val="2"/>
                <w:sz w:val="24"/>
                <w:szCs w:val="24"/>
                <w:highlight w:val="none"/>
                <w:shd w:val="clear" w:color="auto" w:fill="auto"/>
                <w:lang w:val="en-US" w:eastAsia="zh-CN" w:bidi="ar-SA"/>
              </w:rPr>
              <w:t>导</w:t>
            </w:r>
            <w:r>
              <w:rPr>
                <w:rFonts w:hint="default" w:ascii="Times New Roman" w:hAnsi="Times New Roman" w:eastAsia="宋体" w:cs="Times New Roman"/>
                <w:b w:val="0"/>
                <w:bCs/>
                <w:color w:val="auto"/>
                <w:kern w:val="2"/>
                <w:sz w:val="24"/>
                <w:szCs w:val="24"/>
                <w:highlight w:val="none"/>
                <w:lang w:val="en-US" w:eastAsia="zh-CN" w:bidi="ar-SA"/>
              </w:rPr>
              <w:t>则（企业事业单位版）》等要求编制突发环境事件应急预案，预案应明确适用范围、环境事件分类与分级、组织机构与职责、监控和预警、应急响应、应急保障、善后处理、应急管理与演练等内容；明确企业、园区/区域、地方政府环境风险应急体系，企业突发环境应急预案应体现分级响应、区域联动原则，与地方政府突发环境事件应急预案相衔接，明确分级响应程序。</w:t>
            </w:r>
          </w:p>
          <w:p w14:paraId="696DCA89">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定期组织学习事故应急预案和演练，根据演习情况结合实际对预案进行适当修改。应急队伍要进行专业培训，并要有培训记录和档案。</w:t>
            </w:r>
          </w:p>
          <w:p w14:paraId="209F6550">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加强各应急救援专业队伍的建设，配有相应器材并确保设备性能完好。一旦风险事故发生，立即启动应急预案，应急指挥系统就位，保证通讯畅通，深入现场，迅速准确报警和通知相关部门，请求应急救援，</w:t>
            </w:r>
            <w:r>
              <w:rPr>
                <w:rFonts w:hint="default" w:ascii="Times New Roman" w:hAnsi="Times New Roman" w:eastAsia="宋体" w:cs="Times New Roman"/>
                <w:b w:val="0"/>
                <w:bCs/>
                <w:color w:val="auto"/>
                <w:kern w:val="2"/>
                <w:sz w:val="24"/>
                <w:szCs w:val="24"/>
                <w:highlight w:val="none"/>
                <w:shd w:val="clear" w:color="auto" w:fill="auto"/>
                <w:lang w:val="en-US" w:eastAsia="zh-CN" w:bidi="ar-SA"/>
              </w:rPr>
              <w:t>防止</w:t>
            </w:r>
            <w:r>
              <w:rPr>
                <w:rFonts w:hint="default" w:ascii="Times New Roman" w:hAnsi="Times New Roman" w:eastAsia="宋体" w:cs="Times New Roman"/>
                <w:b w:val="0"/>
                <w:bCs/>
                <w:color w:val="auto"/>
                <w:kern w:val="2"/>
                <w:sz w:val="24"/>
                <w:szCs w:val="24"/>
                <w:highlight w:val="none"/>
                <w:lang w:val="en-US" w:eastAsia="zh-CN" w:bidi="ar-SA"/>
              </w:rPr>
              <w:t>事故扩大，迅速遏制泄漏物进入外环境。</w:t>
            </w:r>
          </w:p>
          <w:p w14:paraId="76076556">
            <w:pPr>
              <w:keepNext w:val="0"/>
              <w:keepLines w:val="0"/>
              <w:pageBreakBefore w:val="0"/>
              <w:widowControl w:val="0"/>
              <w:kinsoku/>
              <w:wordWrap/>
              <w:overflowPunct/>
              <w:topLinePunct w:val="0"/>
              <w:bidi w:val="0"/>
              <w:spacing w:line="360" w:lineRule="auto"/>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4.7.</w:t>
            </w:r>
            <w:r>
              <w:rPr>
                <w:rFonts w:hint="eastAsia" w:ascii="Times New Roman" w:hAnsi="Times New Roman" w:eastAsia="宋体" w:cs="Times New Roman"/>
                <w:b w:val="0"/>
                <w:bCs w:val="0"/>
                <w:color w:val="auto"/>
                <w:sz w:val="24"/>
                <w:szCs w:val="24"/>
                <w:highlight w:val="none"/>
                <w:lang w:val="en-US" w:eastAsia="zh-CN"/>
              </w:rPr>
              <w:t>7</w:t>
            </w:r>
            <w:r>
              <w:rPr>
                <w:rFonts w:hint="default" w:ascii="Times New Roman" w:hAnsi="Times New Roman" w:eastAsia="宋体" w:cs="Times New Roman"/>
                <w:b w:val="0"/>
                <w:bCs w:val="0"/>
                <w:color w:val="auto"/>
                <w:sz w:val="24"/>
                <w:szCs w:val="24"/>
                <w:highlight w:val="none"/>
                <w:lang w:val="en-US" w:eastAsia="zh-CN"/>
              </w:rPr>
              <w:t>环境应急管理</w:t>
            </w:r>
          </w:p>
          <w:p w14:paraId="3775EAB5">
            <w:pPr>
              <w:keepNext w:val="0"/>
              <w:keepLines w:val="0"/>
              <w:pageBreakBefore w:val="0"/>
              <w:widowControl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根据《中华人民共和国环境保护法》（2014 年修订）中“第四十七条：企业事业单位应当按照国家有关规定制定突发环境事件应急预案，报环境保护主管部门和有关部门备案”、《中华人民共和国固体废物污染环境防治法》（2020 年修订）中“第 85 条：产生、收集、贮存、运输、利用、处置危险废物的单位，应当依法制定意外事故的防范措施和应急预案，并向所在地生态环境主管部门和其他负有固体废物污染环境防治监督管理职责的部门备案”。因此，企业需</w:t>
            </w:r>
            <w:r>
              <w:rPr>
                <w:rFonts w:hint="eastAsia" w:ascii="Times New Roman" w:hAnsi="Times New Roman" w:eastAsia="宋体" w:cs="Times New Roman"/>
                <w:b w:val="0"/>
                <w:bCs w:val="0"/>
                <w:color w:val="auto"/>
                <w:sz w:val="24"/>
                <w:szCs w:val="24"/>
                <w:highlight w:val="none"/>
                <w:lang w:val="en-US" w:eastAsia="zh-CN"/>
              </w:rPr>
              <w:t>编制</w:t>
            </w:r>
            <w:r>
              <w:rPr>
                <w:rFonts w:hint="default" w:ascii="Times New Roman" w:hAnsi="Times New Roman" w:eastAsia="宋体" w:cs="Times New Roman"/>
                <w:b w:val="0"/>
                <w:bCs w:val="0"/>
                <w:color w:val="auto"/>
                <w:sz w:val="24"/>
                <w:szCs w:val="24"/>
                <w:highlight w:val="none"/>
                <w:lang w:val="en-US" w:eastAsia="zh-CN"/>
              </w:rPr>
              <w:t>企业事业单位突发环境事件应急预案并提交环保部门备案。</w:t>
            </w:r>
          </w:p>
          <w:p w14:paraId="51EDA070">
            <w:pPr>
              <w:keepNext w:val="0"/>
              <w:keepLines w:val="0"/>
              <w:pageBreakBefore w:val="0"/>
              <w:widowControl w:val="0"/>
              <w:kinsoku/>
              <w:wordWrap/>
              <w:overflowPunct/>
              <w:topLinePunct w:val="0"/>
              <w:bidi w:val="0"/>
              <w:spacing w:line="360" w:lineRule="auto"/>
              <w:ind w:firstLine="480" w:firstLineChars="200"/>
              <w:jc w:val="left"/>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同时，需定期开展环境风险和环境应急管理宣传和培训，建立健全突发环境事件隐患排查治理制度，配套设置消火栓、灭火器、黄沙、劳保用品、收集桶、防毒面罩等应急物资，并开展污染防治设施的安全风险辨识。公司应按照国家、地方及相关部门要求编制企业突发环境事件应急预案（以下简称“预案”），预案内容应包括：应急预案</w:t>
            </w:r>
            <w:r>
              <w:rPr>
                <w:rFonts w:hint="eastAsia" w:cs="Times New Roman"/>
                <w:b w:val="0"/>
                <w:bCs w:val="0"/>
                <w:color w:val="auto"/>
                <w:sz w:val="24"/>
                <w:szCs w:val="24"/>
                <w:highlight w:val="none"/>
                <w:lang w:val="en-US" w:eastAsia="zh-CN"/>
              </w:rPr>
              <w:t>适用范围</w:t>
            </w:r>
            <w:r>
              <w:rPr>
                <w:rFonts w:hint="default" w:ascii="Times New Roman" w:hAnsi="Times New Roman" w:eastAsia="宋体" w:cs="Times New Roman"/>
                <w:b w:val="0"/>
                <w:bCs w:val="0"/>
                <w:color w:val="auto"/>
                <w:sz w:val="24"/>
                <w:szCs w:val="24"/>
                <w:highlight w:val="none"/>
                <w:lang w:val="en-US" w:eastAsia="zh-CN"/>
              </w:rPr>
              <w:t>、环境事件分类与分级、组织机构与职责、监控和预警、应急响应、应急保障、善后处置、预案管理与演练等。</w:t>
            </w:r>
          </w:p>
          <w:p w14:paraId="03A0391F">
            <w:pPr>
              <w:pStyle w:val="36"/>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val="en-US" w:eastAsia="zh-CN"/>
              </w:rPr>
              <w:t>根据《关于做好生态环境和应急管理部门联动工作的意见》（苏环办[2020]101号），建设单位是各类环境治理设施建设、运行、维护、拆除的责任主体。企业要对废气处理设施、生产及贮存场所等开展安全风险辨识管控，要健全内部污染防治设施稳定运行和管理责任制度，严格依据标准规范建设环境治理设施，确保环境治理设施安全、稳定、有效运行。</w:t>
            </w:r>
          </w:p>
          <w:p w14:paraId="5AEF6C39">
            <w:pPr>
              <w:pStyle w:val="36"/>
              <w:keepNext w:val="0"/>
              <w:keepLines w:val="0"/>
              <w:pageBreakBefore w:val="0"/>
              <w:widowControl w:val="0"/>
              <w:kinsoku/>
              <w:wordWrap/>
              <w:overflowPunct/>
              <w:topLinePunct w:val="0"/>
              <w:bidi w:val="0"/>
              <w:spacing w:line="360" w:lineRule="auto"/>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4.7.</w:t>
            </w:r>
            <w:r>
              <w:rPr>
                <w:rFonts w:hint="eastAsia" w:ascii="Times New Roman" w:hAnsi="Times New Roman" w:eastAsia="宋体" w:cs="Times New Roman"/>
                <w:color w:val="auto"/>
                <w:sz w:val="24"/>
                <w:highlight w:val="none"/>
                <w:lang w:val="en-US" w:eastAsia="zh-CN"/>
              </w:rPr>
              <w:t>8</w:t>
            </w:r>
            <w:r>
              <w:rPr>
                <w:rFonts w:hint="default" w:ascii="Times New Roman" w:hAnsi="Times New Roman" w:eastAsia="宋体" w:cs="Times New Roman"/>
                <w:color w:val="auto"/>
                <w:sz w:val="24"/>
                <w:highlight w:val="none"/>
                <w:lang w:val="en-US" w:eastAsia="zh-CN"/>
              </w:rPr>
              <w:t>突发环境事件应急预案编制要求</w:t>
            </w:r>
          </w:p>
          <w:p w14:paraId="0904B4F2">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本项目投产前须按照《企业事业单位突发环境事件应急预案备案管理办法（试行）》（环发〔2015〕4号）以及《江苏省突发环境事件应急预案编制</w:t>
            </w:r>
            <w:r>
              <w:rPr>
                <w:rFonts w:hint="default" w:ascii="Times New Roman" w:hAnsi="Times New Roman" w:eastAsia="宋体" w:cs="Times New Roman"/>
                <w:b w:val="0"/>
                <w:bCs/>
                <w:color w:val="auto"/>
                <w:kern w:val="2"/>
                <w:sz w:val="24"/>
                <w:szCs w:val="24"/>
                <w:highlight w:val="none"/>
                <w:shd w:val="clear" w:color="auto" w:fill="auto"/>
                <w:lang w:val="en-US" w:eastAsia="zh-CN" w:bidi="ar-SA"/>
              </w:rPr>
              <w:t>导</w:t>
            </w:r>
            <w:r>
              <w:rPr>
                <w:rFonts w:hint="default" w:ascii="Times New Roman" w:hAnsi="Times New Roman" w:eastAsia="宋体" w:cs="Times New Roman"/>
                <w:b w:val="0"/>
                <w:bCs/>
                <w:color w:val="auto"/>
                <w:kern w:val="2"/>
                <w:sz w:val="24"/>
                <w:szCs w:val="24"/>
                <w:highlight w:val="none"/>
                <w:lang w:val="en-US" w:eastAsia="zh-CN" w:bidi="ar-SA"/>
              </w:rPr>
              <w:t>则（企业事业单位版）》等要求编制突发环境事件应急预案，预案应明确适用范围、环境事件分类与分级、组织机构与职责、监控和预警、应急响应、应急保障、善后处理、应急管理与演练等内容；明确企业、园区/区域、地方政府环境风险应急体系，企业突发环境应急预案应体现分级响应、区域联动原则，与地方政府突发环境事件应急预案相衔接，明确分级响应程序。</w:t>
            </w:r>
          </w:p>
          <w:p w14:paraId="509B5E18">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b w:val="0"/>
                <w:bCs/>
                <w:color w:val="auto"/>
                <w:kern w:val="2"/>
                <w:sz w:val="24"/>
                <w:szCs w:val="24"/>
                <w:highlight w:val="none"/>
                <w:lang w:val="en-US" w:eastAsia="zh-CN" w:bidi="ar-SA"/>
              </w:rPr>
            </w:pPr>
            <w:r>
              <w:rPr>
                <w:rFonts w:hint="default" w:ascii="Times New Roman" w:hAnsi="Times New Roman" w:eastAsia="宋体" w:cs="Times New Roman"/>
                <w:b w:val="0"/>
                <w:bCs/>
                <w:color w:val="auto"/>
                <w:kern w:val="2"/>
                <w:sz w:val="24"/>
                <w:szCs w:val="24"/>
                <w:highlight w:val="none"/>
                <w:lang w:val="en-US" w:eastAsia="zh-CN" w:bidi="ar-SA"/>
              </w:rPr>
              <w:t>定期组织学习事故应急预案和演练，根据演习情况结合实际对预案进行适当修改。应急队伍要进行专业培训，并要有培训记录和档案。</w:t>
            </w:r>
          </w:p>
          <w:p w14:paraId="2B9AC0D7">
            <w:pPr>
              <w:pStyle w:val="25"/>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80" w:firstLineChars="200"/>
              <w:textAlignment w:val="auto"/>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b w:val="0"/>
                <w:bCs/>
                <w:color w:val="auto"/>
                <w:kern w:val="2"/>
                <w:sz w:val="24"/>
                <w:szCs w:val="24"/>
                <w:highlight w:val="none"/>
                <w:lang w:val="en-US" w:eastAsia="zh-CN" w:bidi="ar-SA"/>
              </w:rPr>
              <w:t>加强各应急救援专业队伍的建设，配有相应器材并确保设备性能完好。一旦风险事故发生，立即启动应急预案，应急指挥系统就位，保证通讯畅通，深入现场，迅速准确报警和通知相关部门，请求应急救援，</w:t>
            </w:r>
            <w:r>
              <w:rPr>
                <w:rFonts w:hint="default" w:ascii="Times New Roman" w:hAnsi="Times New Roman" w:eastAsia="宋体" w:cs="Times New Roman"/>
                <w:b w:val="0"/>
                <w:bCs/>
                <w:color w:val="auto"/>
                <w:kern w:val="2"/>
                <w:sz w:val="24"/>
                <w:szCs w:val="24"/>
                <w:highlight w:val="none"/>
                <w:shd w:val="clear" w:color="auto" w:fill="auto"/>
                <w:lang w:val="en-US" w:eastAsia="zh-CN" w:bidi="ar-SA"/>
              </w:rPr>
              <w:t>防止</w:t>
            </w:r>
            <w:r>
              <w:rPr>
                <w:rFonts w:hint="default" w:ascii="Times New Roman" w:hAnsi="Times New Roman" w:eastAsia="宋体" w:cs="Times New Roman"/>
                <w:b w:val="0"/>
                <w:bCs/>
                <w:color w:val="auto"/>
                <w:kern w:val="2"/>
                <w:sz w:val="24"/>
                <w:szCs w:val="24"/>
                <w:highlight w:val="none"/>
                <w:lang w:val="en-US" w:eastAsia="zh-CN" w:bidi="ar-SA"/>
              </w:rPr>
              <w:t>事故扩大，迅速遏制泄漏物进入外环境。</w:t>
            </w:r>
          </w:p>
          <w:p w14:paraId="646688FA">
            <w:pPr>
              <w:pStyle w:val="36"/>
              <w:rPr>
                <w:rFonts w:hint="default" w:ascii="Times New Roman" w:hAnsi="Times New Roman" w:eastAsia="宋体" w:cs="Times New Roman"/>
                <w:color w:val="auto"/>
                <w:sz w:val="22"/>
                <w:szCs w:val="22"/>
                <w:highlight w:val="none"/>
              </w:rPr>
            </w:pPr>
            <w:r>
              <w:rPr>
                <w:rFonts w:hint="default" w:ascii="Times New Roman" w:hAnsi="Times New Roman" w:eastAsia="宋体" w:cs="Times New Roman"/>
                <w:color w:val="auto"/>
                <w:sz w:val="22"/>
                <w:szCs w:val="22"/>
                <w:highlight w:val="none"/>
              </w:rPr>
              <w:t>表4-</w:t>
            </w:r>
            <w:r>
              <w:rPr>
                <w:rFonts w:hint="eastAsia" w:cs="Times New Roman"/>
                <w:color w:val="auto"/>
                <w:sz w:val="22"/>
                <w:szCs w:val="22"/>
                <w:highlight w:val="none"/>
                <w:lang w:val="en-US" w:eastAsia="zh-CN"/>
              </w:rPr>
              <w:t xml:space="preserve">27 </w:t>
            </w:r>
            <w:r>
              <w:rPr>
                <w:rFonts w:hint="default" w:ascii="Times New Roman" w:hAnsi="Times New Roman" w:eastAsia="宋体" w:cs="Times New Roman"/>
                <w:color w:val="auto"/>
                <w:sz w:val="22"/>
                <w:szCs w:val="22"/>
                <w:highlight w:val="none"/>
              </w:rPr>
              <w:t>建设项目环境风险简单分析内容表</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2"/>
              <w:gridCol w:w="1104"/>
              <w:gridCol w:w="2025"/>
              <w:gridCol w:w="1338"/>
              <w:gridCol w:w="1910"/>
            </w:tblGrid>
            <w:tr w14:paraId="640F3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pct"/>
                  <w:noWrap w:val="0"/>
                  <w:vAlign w:val="center"/>
                </w:tcPr>
                <w:p w14:paraId="233F1486">
                  <w:pPr>
                    <w:pStyle w:val="29"/>
                    <w:adjustRightInd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建设项目名称</w:t>
                  </w:r>
                </w:p>
              </w:tc>
              <w:tc>
                <w:tcPr>
                  <w:tcW w:w="3883" w:type="pct"/>
                  <w:gridSpan w:val="4"/>
                  <w:noWrap w:val="0"/>
                  <w:vAlign w:val="center"/>
                </w:tcPr>
                <w:p w14:paraId="2A401347">
                  <w:pPr>
                    <w:pStyle w:val="29"/>
                    <w:adjustRightInd w:val="0"/>
                    <w:rPr>
                      <w:rFonts w:hint="default" w:ascii="Times New Roman" w:hAnsi="Times New Roman" w:eastAsia="宋体" w:cs="Times New Roman"/>
                      <w:color w:val="auto"/>
                      <w:sz w:val="21"/>
                      <w:szCs w:val="21"/>
                      <w:highlight w:val="none"/>
                    </w:rPr>
                  </w:pPr>
                  <w:r>
                    <w:rPr>
                      <w:rFonts w:hint="eastAsia" w:cs="Times New Roman"/>
                      <w:color w:val="auto"/>
                      <w:sz w:val="21"/>
                      <w:szCs w:val="21"/>
                      <w:lang w:val="en-US" w:eastAsia="zh-CN"/>
                    </w:rPr>
                    <w:t>新建年产19万套新能源汽车电池PACK箱体零件项目</w:t>
                  </w:r>
                </w:p>
              </w:tc>
            </w:tr>
            <w:tr w14:paraId="6EE5F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pct"/>
                  <w:noWrap w:val="0"/>
                  <w:vAlign w:val="center"/>
                </w:tcPr>
                <w:p w14:paraId="48E7CCDD">
                  <w:pPr>
                    <w:pStyle w:val="29"/>
                    <w:adjustRightInd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建设地点</w:t>
                  </w:r>
                </w:p>
              </w:tc>
              <w:tc>
                <w:tcPr>
                  <w:tcW w:w="3883" w:type="pct"/>
                  <w:gridSpan w:val="4"/>
                  <w:noWrap w:val="0"/>
                  <w:vAlign w:val="center"/>
                </w:tcPr>
                <w:p w14:paraId="441F13A5">
                  <w:pPr>
                    <w:pStyle w:val="29"/>
                    <w:adjustRightInd w:val="0"/>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lang w:eastAsia="zh-CN"/>
                    </w:rPr>
                    <w:t>常州市金坛区</w:t>
                  </w:r>
                  <w:r>
                    <w:rPr>
                      <w:rFonts w:hint="eastAsia" w:cs="Times New Roman"/>
                      <w:color w:val="auto"/>
                      <w:sz w:val="21"/>
                      <w:szCs w:val="21"/>
                      <w:lang w:eastAsia="zh-CN"/>
                    </w:rPr>
                    <w:t>直溪镇工业园区直东路6号</w:t>
                  </w:r>
                </w:p>
              </w:tc>
            </w:tr>
            <w:tr w14:paraId="176B3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pct"/>
                  <w:noWrap w:val="0"/>
                  <w:vAlign w:val="center"/>
                </w:tcPr>
                <w:p w14:paraId="7FCE33FD">
                  <w:pPr>
                    <w:pStyle w:val="29"/>
                    <w:adjustRightInd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地理坐标</w:t>
                  </w:r>
                </w:p>
              </w:tc>
              <w:tc>
                <w:tcPr>
                  <w:tcW w:w="672" w:type="pct"/>
                  <w:noWrap w:val="0"/>
                  <w:vAlign w:val="center"/>
                </w:tcPr>
                <w:p w14:paraId="618FD224">
                  <w:pPr>
                    <w:pStyle w:val="29"/>
                    <w:adjustRightIn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东</w:t>
                  </w:r>
                  <w:r>
                    <w:rPr>
                      <w:rFonts w:hint="default" w:ascii="Times New Roman" w:hAnsi="Times New Roman" w:eastAsia="宋体" w:cs="Times New Roman"/>
                      <w:color w:val="auto"/>
                      <w:sz w:val="21"/>
                      <w:szCs w:val="21"/>
                      <w:highlight w:val="none"/>
                    </w:rPr>
                    <w:t>经</w:t>
                  </w:r>
                </w:p>
              </w:tc>
              <w:tc>
                <w:tcPr>
                  <w:tcW w:w="1233" w:type="pct"/>
                  <w:noWrap w:val="0"/>
                  <w:vAlign w:val="center"/>
                </w:tcPr>
                <w:p w14:paraId="3581A063">
                  <w:pPr>
                    <w:pStyle w:val="29"/>
                    <w:adjustRightIn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r>
                    <w:rPr>
                      <w:rFonts w:hint="eastAsia" w:ascii="Times New Roman" w:hAnsi="Times New Roman" w:eastAsia="宋体" w:cs="Times New Roman"/>
                      <w:color w:val="auto"/>
                      <w:sz w:val="21"/>
                      <w:szCs w:val="21"/>
                      <w:highlight w:val="none"/>
                      <w:lang w:val="en-US" w:eastAsia="zh-CN"/>
                    </w:rPr>
                    <w:t>19</w:t>
                  </w:r>
                  <w:r>
                    <w:rPr>
                      <w:rFonts w:hint="default"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val="en-US" w:eastAsia="zh-CN"/>
                    </w:rPr>
                    <w:t>27</w:t>
                  </w:r>
                  <w:r>
                    <w:rPr>
                      <w:rFonts w:hint="default" w:ascii="Times New Roman" w:hAnsi="Times New Roman" w:eastAsia="宋体" w:cs="Times New Roman"/>
                      <w:color w:val="auto"/>
                      <w:sz w:val="21"/>
                      <w:szCs w:val="21"/>
                      <w:highlight w:val="none"/>
                      <w:shd w:val="clear" w:fill="auto"/>
                    </w:rPr>
                    <w:t>'</w:t>
                  </w:r>
                  <w:r>
                    <w:rPr>
                      <w:rFonts w:hint="eastAsia" w:cs="Times New Roman"/>
                      <w:color w:val="auto"/>
                      <w:sz w:val="21"/>
                      <w:szCs w:val="21"/>
                      <w:highlight w:val="none"/>
                      <w:lang w:val="en-US" w:eastAsia="zh-CN"/>
                    </w:rPr>
                    <w:t>18.155</w:t>
                  </w:r>
                  <w:r>
                    <w:rPr>
                      <w:rFonts w:hint="default" w:ascii="Times New Roman" w:hAnsi="Times New Roman" w:eastAsia="宋体" w:cs="Times New Roman"/>
                      <w:color w:val="auto"/>
                      <w:sz w:val="21"/>
                      <w:szCs w:val="21"/>
                      <w:highlight w:val="none"/>
                      <w:shd w:val="clear" w:fill="auto"/>
                    </w:rPr>
                    <w:t>"</w:t>
                  </w:r>
                </w:p>
              </w:tc>
              <w:tc>
                <w:tcPr>
                  <w:tcW w:w="815" w:type="pct"/>
                  <w:noWrap w:val="0"/>
                  <w:vAlign w:val="center"/>
                </w:tcPr>
                <w:p w14:paraId="03FF472B">
                  <w:pPr>
                    <w:pStyle w:val="29"/>
                    <w:adjustRightIn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北</w:t>
                  </w:r>
                  <w:r>
                    <w:rPr>
                      <w:rFonts w:hint="default" w:ascii="Times New Roman" w:hAnsi="Times New Roman" w:eastAsia="宋体" w:cs="Times New Roman"/>
                      <w:color w:val="auto"/>
                      <w:sz w:val="21"/>
                      <w:szCs w:val="21"/>
                      <w:highlight w:val="none"/>
                    </w:rPr>
                    <w:t>纬</w:t>
                  </w:r>
                </w:p>
              </w:tc>
              <w:tc>
                <w:tcPr>
                  <w:tcW w:w="1162" w:type="pct"/>
                  <w:noWrap w:val="0"/>
                  <w:vAlign w:val="center"/>
                </w:tcPr>
                <w:p w14:paraId="2DF57FB8">
                  <w:pPr>
                    <w:pStyle w:val="29"/>
                    <w:adjustRightInd w:val="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u w:val="none"/>
                    </w:rPr>
                    <w:t>31°</w:t>
                  </w:r>
                  <w:r>
                    <w:rPr>
                      <w:rFonts w:hint="default" w:ascii="Times New Roman" w:hAnsi="Times New Roman" w:eastAsia="宋体" w:cs="Times New Roman"/>
                      <w:color w:val="auto"/>
                      <w:sz w:val="21"/>
                      <w:szCs w:val="21"/>
                      <w:highlight w:val="none"/>
                      <w:u w:val="none"/>
                      <w:lang w:val="en-US" w:eastAsia="zh-CN"/>
                    </w:rPr>
                    <w:t>4</w:t>
                  </w:r>
                  <w:r>
                    <w:rPr>
                      <w:rFonts w:hint="eastAsia" w:ascii="Times New Roman" w:hAnsi="Times New Roman" w:eastAsia="宋体" w:cs="Times New Roman"/>
                      <w:color w:val="auto"/>
                      <w:sz w:val="21"/>
                      <w:szCs w:val="21"/>
                      <w:highlight w:val="none"/>
                      <w:u w:val="none"/>
                      <w:lang w:val="en-US" w:eastAsia="zh-CN"/>
                    </w:rPr>
                    <w:t>7</w:t>
                  </w:r>
                  <w:r>
                    <w:rPr>
                      <w:rFonts w:hint="default" w:ascii="Times New Roman" w:hAnsi="Times New Roman" w:eastAsia="宋体" w:cs="Times New Roman"/>
                      <w:color w:val="auto"/>
                      <w:sz w:val="21"/>
                      <w:szCs w:val="21"/>
                      <w:highlight w:val="none"/>
                      <w:u w:val="none"/>
                      <w:shd w:val="clear" w:fill="auto"/>
                    </w:rPr>
                    <w:t>'</w:t>
                  </w:r>
                  <w:r>
                    <w:rPr>
                      <w:rFonts w:hint="eastAsia" w:cs="Times New Roman"/>
                      <w:color w:val="auto"/>
                      <w:sz w:val="21"/>
                      <w:szCs w:val="21"/>
                      <w:u w:val="none"/>
                      <w:lang w:val="en-US" w:eastAsia="zh-CN"/>
                    </w:rPr>
                    <w:t>16.838</w:t>
                  </w:r>
                  <w:r>
                    <w:rPr>
                      <w:rFonts w:hint="default" w:ascii="Times New Roman" w:hAnsi="Times New Roman" w:eastAsia="宋体" w:cs="Times New Roman"/>
                      <w:color w:val="auto"/>
                      <w:sz w:val="21"/>
                      <w:szCs w:val="21"/>
                      <w:highlight w:val="none"/>
                      <w:u w:val="none"/>
                      <w:shd w:val="clear" w:fill="auto"/>
                    </w:rPr>
                    <w:t>"</w:t>
                  </w:r>
                </w:p>
              </w:tc>
            </w:tr>
            <w:tr w14:paraId="0E7B2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pct"/>
                  <w:noWrap w:val="0"/>
                  <w:vAlign w:val="center"/>
                </w:tcPr>
                <w:p w14:paraId="4149CC85">
                  <w:pPr>
                    <w:pStyle w:val="29"/>
                    <w:adjustRightInd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主要危险物质及分布</w:t>
                  </w:r>
                </w:p>
              </w:tc>
              <w:tc>
                <w:tcPr>
                  <w:tcW w:w="3883" w:type="pct"/>
                  <w:gridSpan w:val="4"/>
                  <w:noWrap w:val="0"/>
                  <w:vAlign w:val="center"/>
                </w:tcPr>
                <w:p w14:paraId="3E2E2EBA">
                  <w:pPr>
                    <w:pStyle w:val="29"/>
                    <w:adjustRightInd w:val="0"/>
                    <w:ind w:firstLine="428" w:firstLineChars="20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废切削液</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清洗废液、废切削液桶</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废机油桶、废清洗剂桶</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废机油等</w:t>
                  </w:r>
                  <w:r>
                    <w:rPr>
                      <w:rFonts w:hint="default" w:ascii="Times New Roman" w:hAnsi="Times New Roman" w:eastAsia="宋体" w:cs="Times New Roman"/>
                      <w:color w:val="auto"/>
                      <w:sz w:val="21"/>
                      <w:szCs w:val="21"/>
                      <w:highlight w:val="none"/>
                      <w:lang w:val="en-US" w:eastAsia="zh-CN"/>
                    </w:rPr>
                    <w:t>危险废物</w:t>
                  </w:r>
                  <w:r>
                    <w:rPr>
                      <w:rFonts w:hint="eastAsia" w:ascii="Times New Roman" w:hAnsi="Times New Roman" w:eastAsia="宋体" w:cs="Times New Roman"/>
                      <w:color w:val="auto"/>
                      <w:sz w:val="21"/>
                      <w:szCs w:val="21"/>
                      <w:highlight w:val="none"/>
                      <w:lang w:val="en-US" w:eastAsia="zh-CN"/>
                    </w:rPr>
                    <w:t>暂</w:t>
                  </w:r>
                  <w:r>
                    <w:rPr>
                      <w:rFonts w:hint="default" w:ascii="Times New Roman" w:hAnsi="Times New Roman" w:eastAsia="宋体" w:cs="Times New Roman"/>
                      <w:color w:val="auto"/>
                      <w:sz w:val="21"/>
                      <w:szCs w:val="21"/>
                      <w:highlight w:val="none"/>
                    </w:rPr>
                    <w:t>存于危废</w:t>
                  </w:r>
                  <w:r>
                    <w:rPr>
                      <w:rFonts w:hint="eastAsia" w:ascii="Times New Roman" w:hAnsi="Times New Roman" w:eastAsia="宋体" w:cs="Times New Roman"/>
                      <w:color w:val="auto"/>
                      <w:sz w:val="21"/>
                      <w:szCs w:val="21"/>
                      <w:highlight w:val="none"/>
                      <w:lang w:val="en-US" w:eastAsia="zh-CN"/>
                    </w:rPr>
                    <w:t>仓库</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切削液、机油</w:t>
                  </w:r>
                  <w:r>
                    <w:rPr>
                      <w:rFonts w:hint="default" w:ascii="Times New Roman" w:hAnsi="Times New Roman" w:eastAsia="宋体" w:cs="Times New Roman"/>
                      <w:color w:val="auto"/>
                      <w:sz w:val="21"/>
                      <w:szCs w:val="21"/>
                      <w:highlight w:val="none"/>
                      <w:lang w:val="en-US" w:eastAsia="zh-CN"/>
                    </w:rPr>
                    <w:t>等</w:t>
                  </w:r>
                  <w:r>
                    <w:rPr>
                      <w:rFonts w:hint="eastAsia" w:ascii="Times New Roman" w:hAnsi="Times New Roman" w:eastAsia="宋体" w:cs="Times New Roman"/>
                      <w:color w:val="auto"/>
                      <w:sz w:val="21"/>
                      <w:szCs w:val="21"/>
                      <w:highlight w:val="none"/>
                      <w:lang w:val="en-US" w:eastAsia="zh-CN"/>
                    </w:rPr>
                    <w:t>暂存于厂区仓库内</w:t>
                  </w:r>
                  <w:r>
                    <w:rPr>
                      <w:rFonts w:hint="default" w:ascii="Times New Roman" w:hAnsi="Times New Roman" w:eastAsia="宋体" w:cs="Times New Roman"/>
                      <w:color w:val="auto"/>
                      <w:sz w:val="21"/>
                      <w:szCs w:val="21"/>
                      <w:highlight w:val="none"/>
                      <w:lang w:eastAsia="zh-CN"/>
                    </w:rPr>
                    <w:t>；</w:t>
                  </w:r>
                  <w:r>
                    <w:rPr>
                      <w:rFonts w:hint="eastAsia"/>
                      <w:color w:val="auto"/>
                      <w:lang w:val="en-US" w:eastAsia="zh-CN"/>
                    </w:rPr>
                    <w:t>清洗剂、</w:t>
                  </w:r>
                  <w:r>
                    <w:rPr>
                      <w:rFonts w:hint="eastAsia" w:cs="Times New Roman"/>
                      <w:color w:val="auto"/>
                      <w:kern w:val="0"/>
                      <w:sz w:val="21"/>
                      <w:szCs w:val="21"/>
                      <w:lang w:val="en-US" w:eastAsia="zh-CN"/>
                    </w:rPr>
                    <w:t>切削液、机油等</w:t>
                  </w:r>
                  <w:r>
                    <w:rPr>
                      <w:rFonts w:hint="eastAsia" w:cs="Times New Roman"/>
                      <w:color w:val="auto"/>
                      <w:sz w:val="21"/>
                      <w:szCs w:val="21"/>
                      <w:highlight w:val="none"/>
                      <w:lang w:val="en-US" w:eastAsia="zh-CN"/>
                    </w:rPr>
                    <w:t>少量</w:t>
                  </w:r>
                  <w:r>
                    <w:rPr>
                      <w:rFonts w:hint="eastAsia" w:ascii="Times New Roman" w:hAnsi="Times New Roman" w:eastAsia="宋体" w:cs="Times New Roman"/>
                      <w:color w:val="auto"/>
                      <w:sz w:val="21"/>
                      <w:szCs w:val="21"/>
                      <w:highlight w:val="none"/>
                      <w:lang w:val="en-US" w:eastAsia="zh-CN"/>
                    </w:rPr>
                    <w:t>暂存于厂区</w:t>
                  </w:r>
                  <w:r>
                    <w:rPr>
                      <w:rFonts w:hint="eastAsia" w:cs="Times New Roman"/>
                      <w:color w:val="auto"/>
                      <w:sz w:val="21"/>
                      <w:szCs w:val="21"/>
                      <w:highlight w:val="none"/>
                      <w:lang w:val="en-US" w:eastAsia="zh-CN"/>
                    </w:rPr>
                    <w:t>车间</w:t>
                  </w:r>
                  <w:r>
                    <w:rPr>
                      <w:rFonts w:hint="eastAsia" w:ascii="Times New Roman" w:hAnsi="Times New Roman" w:eastAsia="宋体" w:cs="Times New Roman"/>
                      <w:color w:val="auto"/>
                      <w:sz w:val="21"/>
                      <w:szCs w:val="21"/>
                      <w:highlight w:val="none"/>
                      <w:lang w:val="en-US" w:eastAsia="zh-CN"/>
                    </w:rPr>
                    <w:t>内</w:t>
                  </w:r>
                </w:p>
              </w:tc>
            </w:tr>
            <w:tr w14:paraId="0727E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pct"/>
                  <w:noWrap w:val="0"/>
                  <w:vAlign w:val="center"/>
                </w:tcPr>
                <w:p w14:paraId="4FDE4CD7">
                  <w:pPr>
                    <w:pStyle w:val="29"/>
                    <w:adjustRightInd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环境影响途径及危害后果（大气、地表水、地下水等）</w:t>
                  </w:r>
                </w:p>
              </w:tc>
              <w:tc>
                <w:tcPr>
                  <w:tcW w:w="3883" w:type="pct"/>
                  <w:gridSpan w:val="4"/>
                  <w:noWrap w:val="0"/>
                  <w:vAlign w:val="center"/>
                </w:tcPr>
                <w:p w14:paraId="16F97293">
                  <w:pPr>
                    <w:pStyle w:val="29"/>
                    <w:adjustRightInd w:val="0"/>
                    <w:ind w:firstLine="428" w:firstLineChars="200"/>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切削液、机油</w:t>
                  </w:r>
                  <w:r>
                    <w:rPr>
                      <w:rFonts w:hint="eastAsia" w:ascii="Times New Roman" w:hAnsi="Times New Roman" w:eastAsia="宋体" w:cs="Times New Roman"/>
                      <w:color w:val="auto"/>
                      <w:sz w:val="21"/>
                      <w:szCs w:val="21"/>
                      <w:lang w:val="en-US" w:eastAsia="zh-CN"/>
                    </w:rPr>
                    <w:t>等液态物料在</w:t>
                  </w:r>
                  <w:r>
                    <w:rPr>
                      <w:rFonts w:hint="eastAsia" w:ascii="Times New Roman" w:hAnsi="Times New Roman" w:eastAsia="宋体" w:cs="Times New Roman"/>
                      <w:color w:val="auto"/>
                      <w:sz w:val="21"/>
                      <w:szCs w:val="21"/>
                      <w:highlight w:val="none"/>
                      <w:lang w:val="en-US" w:eastAsia="zh-CN"/>
                    </w:rPr>
                    <w:t>仓库</w:t>
                  </w:r>
                  <w:r>
                    <w:rPr>
                      <w:rFonts w:hint="eastAsia" w:ascii="Times New Roman" w:hAnsi="Times New Roman" w:eastAsia="宋体" w:cs="Times New Roman"/>
                      <w:color w:val="auto"/>
                      <w:sz w:val="21"/>
                      <w:szCs w:val="21"/>
                      <w:lang w:val="en-US" w:eastAsia="zh-CN"/>
                    </w:rPr>
                    <w:t>储存过程中因操作失误或</w:t>
                  </w:r>
                  <w:r>
                    <w:rPr>
                      <w:rFonts w:hint="default" w:ascii="Times New Roman" w:hAnsi="Times New Roman" w:eastAsia="宋体" w:cs="Times New Roman"/>
                      <w:color w:val="auto"/>
                      <w:sz w:val="21"/>
                      <w:szCs w:val="21"/>
                      <w:lang w:val="en-US" w:eastAsia="zh-CN"/>
                    </w:rPr>
                    <w:t>包装破裂导致泄漏，</w:t>
                  </w:r>
                  <w:r>
                    <w:rPr>
                      <w:rFonts w:hint="eastAsia" w:ascii="Times New Roman" w:hAnsi="Times New Roman" w:eastAsia="宋体" w:cs="Times New Roman"/>
                      <w:color w:val="auto"/>
                      <w:sz w:val="21"/>
                      <w:szCs w:val="21"/>
                      <w:lang w:val="en-US" w:eastAsia="zh-CN"/>
                    </w:rPr>
                    <w:t>可能</w:t>
                  </w:r>
                  <w:r>
                    <w:rPr>
                      <w:rFonts w:hint="default" w:ascii="Times New Roman" w:hAnsi="Times New Roman" w:eastAsia="宋体" w:cs="Times New Roman"/>
                      <w:color w:val="auto"/>
                      <w:sz w:val="21"/>
                      <w:szCs w:val="21"/>
                      <w:lang w:val="en-US" w:eastAsia="zh-CN"/>
                    </w:rPr>
                    <w:t>会引发</w:t>
                  </w:r>
                  <w:r>
                    <w:rPr>
                      <w:rFonts w:hint="eastAsia" w:ascii="Times New Roman" w:hAnsi="Times New Roman" w:eastAsia="宋体" w:cs="Times New Roman"/>
                      <w:color w:val="auto"/>
                      <w:sz w:val="21"/>
                      <w:szCs w:val="21"/>
                      <w:lang w:val="en-US" w:eastAsia="zh-CN"/>
                    </w:rPr>
                    <w:t>大气、</w:t>
                  </w:r>
                  <w:r>
                    <w:rPr>
                      <w:rFonts w:hint="default" w:ascii="Times New Roman" w:hAnsi="Times New Roman" w:eastAsia="宋体" w:cs="Times New Roman"/>
                      <w:color w:val="auto"/>
                      <w:sz w:val="21"/>
                      <w:szCs w:val="21"/>
                      <w:lang w:val="en-US" w:eastAsia="zh-CN"/>
                    </w:rPr>
                    <w:t>水体、土壤环境污染事故</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清洗过程</w:t>
                  </w:r>
                  <w:r>
                    <w:rPr>
                      <w:rFonts w:hint="eastAsia" w:ascii="Times New Roman" w:hAnsi="Times New Roman" w:cs="Times New Roman"/>
                      <w:color w:val="auto"/>
                      <w:sz w:val="21"/>
                      <w:szCs w:val="21"/>
                      <w:lang w:val="en-US" w:eastAsia="zh-CN"/>
                    </w:rPr>
                    <w:t>清洗剂</w:t>
                  </w:r>
                  <w:r>
                    <w:rPr>
                      <w:rFonts w:hint="eastAsia" w:ascii="Times New Roman" w:hAnsi="Times New Roman" w:eastAsia="宋体" w:cs="Times New Roman"/>
                      <w:color w:val="auto"/>
                      <w:sz w:val="21"/>
                      <w:szCs w:val="21"/>
                      <w:lang w:val="en-US" w:eastAsia="zh-CN"/>
                    </w:rPr>
                    <w:t>等由于误操作或设备破损导致泄漏，可能</w:t>
                  </w:r>
                  <w:r>
                    <w:rPr>
                      <w:rFonts w:hint="default" w:ascii="Times New Roman" w:hAnsi="Times New Roman" w:eastAsia="宋体" w:cs="Times New Roman"/>
                      <w:color w:val="auto"/>
                      <w:sz w:val="21"/>
                      <w:szCs w:val="21"/>
                      <w:lang w:val="en-US" w:eastAsia="zh-CN"/>
                    </w:rPr>
                    <w:t>会引发水体、土壤环境污染事故</w:t>
                  </w:r>
                  <w:r>
                    <w:rPr>
                      <w:rFonts w:hint="eastAsia" w:ascii="Times New Roman" w:hAnsi="Times New Roman" w:eastAsia="宋体" w:cs="Times New Roman"/>
                      <w:color w:val="auto"/>
                      <w:sz w:val="21"/>
                      <w:szCs w:val="21"/>
                      <w:lang w:val="en-US" w:eastAsia="zh-CN"/>
                    </w:rPr>
                    <w:t>；</w:t>
                  </w:r>
                </w:p>
                <w:p w14:paraId="1B111CD9">
                  <w:pPr>
                    <w:pStyle w:val="29"/>
                    <w:adjustRightInd w:val="0"/>
                    <w:ind w:firstLine="428" w:firstLineChars="200"/>
                    <w:jc w:val="both"/>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废切削液</w:t>
                  </w:r>
                  <w:r>
                    <w:rPr>
                      <w:rFonts w:hint="default"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val="en-US" w:eastAsia="zh-CN"/>
                    </w:rPr>
                    <w:t>清洗废液</w:t>
                  </w:r>
                  <w:r>
                    <w:rPr>
                      <w:rFonts w:hint="eastAsia" w:ascii="Times New Roman" w:hAnsi="Times New Roman" w:eastAsia="宋体" w:cs="Times New Roman"/>
                      <w:color w:val="auto"/>
                      <w:sz w:val="21"/>
                      <w:szCs w:val="21"/>
                      <w:lang w:val="en-US" w:eastAsia="zh-CN"/>
                    </w:rPr>
                    <w:t>等</w:t>
                  </w:r>
                  <w:r>
                    <w:rPr>
                      <w:rFonts w:hint="default" w:ascii="Times New Roman" w:hAnsi="Times New Roman" w:eastAsia="宋体" w:cs="Times New Roman"/>
                      <w:color w:val="auto"/>
                      <w:sz w:val="21"/>
                      <w:szCs w:val="21"/>
                      <w:lang w:val="en-US" w:eastAsia="zh-CN"/>
                    </w:rPr>
                    <w:t>危险废物</w:t>
                  </w:r>
                  <w:r>
                    <w:rPr>
                      <w:rFonts w:hint="eastAsia" w:ascii="Times New Roman" w:hAnsi="Times New Roman" w:eastAsia="宋体" w:cs="Times New Roman"/>
                      <w:color w:val="auto"/>
                      <w:sz w:val="21"/>
                      <w:szCs w:val="21"/>
                      <w:lang w:val="en-US" w:eastAsia="zh-CN"/>
                    </w:rPr>
                    <w:t>在危废库房贮存转运过程中因操作失误或</w:t>
                  </w:r>
                  <w:r>
                    <w:rPr>
                      <w:rFonts w:hint="default" w:ascii="Times New Roman" w:hAnsi="Times New Roman" w:eastAsia="宋体" w:cs="Times New Roman"/>
                      <w:color w:val="auto"/>
                      <w:sz w:val="21"/>
                      <w:szCs w:val="21"/>
                      <w:lang w:val="en-US" w:eastAsia="zh-CN"/>
                    </w:rPr>
                    <w:t>包装破裂导致泄漏，</w:t>
                  </w:r>
                  <w:r>
                    <w:rPr>
                      <w:rFonts w:hint="eastAsia" w:ascii="Times New Roman" w:hAnsi="Times New Roman" w:eastAsia="宋体" w:cs="Times New Roman"/>
                      <w:color w:val="auto"/>
                      <w:sz w:val="21"/>
                      <w:szCs w:val="21"/>
                      <w:lang w:val="en-US" w:eastAsia="zh-CN"/>
                    </w:rPr>
                    <w:t>可能</w:t>
                  </w:r>
                  <w:r>
                    <w:rPr>
                      <w:rFonts w:hint="default" w:ascii="Times New Roman" w:hAnsi="Times New Roman" w:eastAsia="宋体" w:cs="Times New Roman"/>
                      <w:color w:val="auto"/>
                      <w:sz w:val="21"/>
                      <w:szCs w:val="21"/>
                      <w:lang w:val="en-US" w:eastAsia="zh-CN"/>
                    </w:rPr>
                    <w:t>会引发</w:t>
                  </w:r>
                  <w:r>
                    <w:rPr>
                      <w:rFonts w:hint="eastAsia" w:ascii="Times New Roman" w:hAnsi="Times New Roman" w:eastAsia="宋体" w:cs="Times New Roman"/>
                      <w:color w:val="auto"/>
                      <w:sz w:val="21"/>
                      <w:szCs w:val="21"/>
                      <w:lang w:val="en-US" w:eastAsia="zh-CN"/>
                    </w:rPr>
                    <w:t>大气、</w:t>
                  </w:r>
                  <w:r>
                    <w:rPr>
                      <w:rFonts w:hint="default" w:ascii="Times New Roman" w:hAnsi="Times New Roman" w:eastAsia="宋体" w:cs="Times New Roman"/>
                      <w:color w:val="auto"/>
                      <w:sz w:val="21"/>
                      <w:szCs w:val="21"/>
                      <w:lang w:val="en-US" w:eastAsia="zh-CN"/>
                    </w:rPr>
                    <w:t>水体、土壤环境污染事故</w:t>
                  </w:r>
                  <w:r>
                    <w:rPr>
                      <w:rFonts w:hint="eastAsia" w:ascii="Times New Roman" w:hAnsi="Times New Roman" w:eastAsia="宋体" w:cs="Times New Roman"/>
                      <w:color w:val="auto"/>
                      <w:sz w:val="21"/>
                      <w:szCs w:val="21"/>
                      <w:lang w:val="en-US" w:eastAsia="zh-CN"/>
                    </w:rPr>
                    <w:t>；火灾事故</w:t>
                  </w:r>
                  <w:r>
                    <w:rPr>
                      <w:rFonts w:hint="default" w:ascii="Times New Roman" w:hAnsi="Times New Roman" w:eastAsia="宋体" w:cs="Times New Roman"/>
                      <w:color w:val="auto"/>
                      <w:sz w:val="21"/>
                      <w:szCs w:val="21"/>
                      <w:highlight w:val="none"/>
                    </w:rPr>
                    <w:t>伴生/次生污染物</w:t>
                  </w:r>
                  <w:r>
                    <w:rPr>
                      <w:rFonts w:hint="eastAsia" w:cs="Times New Roman"/>
                      <w:color w:val="auto"/>
                      <w:sz w:val="21"/>
                      <w:szCs w:val="21"/>
                      <w:highlight w:val="none"/>
                      <w:lang w:val="en-US" w:eastAsia="zh-CN"/>
                    </w:rPr>
                    <w:t>会</w:t>
                  </w:r>
                  <w:r>
                    <w:rPr>
                      <w:rFonts w:hint="default" w:ascii="Times New Roman" w:hAnsi="Times New Roman" w:eastAsia="宋体" w:cs="Times New Roman"/>
                      <w:color w:val="auto"/>
                      <w:sz w:val="21"/>
                      <w:szCs w:val="21"/>
                      <w:highlight w:val="none"/>
                    </w:rPr>
                    <w:t>对环境空气造成污染。</w:t>
                  </w:r>
                </w:p>
              </w:tc>
            </w:tr>
            <w:tr w14:paraId="0A0F9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6" w:type="pct"/>
                  <w:noWrap w:val="0"/>
                  <w:vAlign w:val="center"/>
                </w:tcPr>
                <w:p w14:paraId="720BA3EB">
                  <w:pPr>
                    <w:pStyle w:val="29"/>
                    <w:adjustRightInd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风险防范措施要求</w:t>
                  </w:r>
                </w:p>
              </w:tc>
              <w:tc>
                <w:tcPr>
                  <w:tcW w:w="3883" w:type="pct"/>
                  <w:gridSpan w:val="4"/>
                  <w:noWrap w:val="0"/>
                  <w:vAlign w:val="center"/>
                </w:tcPr>
                <w:p w14:paraId="25D6D0D6">
                  <w:pPr>
                    <w:pStyle w:val="29"/>
                    <w:adjustRightInd w:val="0"/>
                    <w:ind w:firstLine="428" w:firstLineChars="200"/>
                    <w:jc w:val="both"/>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建设单位需严格按照本报告及相关文件要求落实风险防范措施，对所有建筑物的防火要求，包括材料的选用、布置、构造、疏散等均按《建筑设计防火规范》、《建筑内部装修设计的防火规范》、《建筑灭火器配置设计规范》等要求进行设计与施工。</w:t>
                  </w:r>
                </w:p>
              </w:tc>
            </w:tr>
            <w:tr w14:paraId="28443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noWrap w:val="0"/>
                  <w:vAlign w:val="center"/>
                </w:tcPr>
                <w:p w14:paraId="266DF1EF">
                  <w:pPr>
                    <w:pStyle w:val="29"/>
                    <w:adjustRightInd w:val="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填表说明（列出项目相关信息及评价说明）：</w:t>
                  </w:r>
                </w:p>
                <w:p w14:paraId="14B8A9DF">
                  <w:pPr>
                    <w:pStyle w:val="29"/>
                    <w:adjustRightInd w:val="0"/>
                    <w:ind w:firstLine="428" w:firstLineChars="20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建设单位在落实本报告提出的各项风险防范措施及应急措施的前提下，风险可防控。</w:t>
                  </w:r>
                </w:p>
              </w:tc>
            </w:tr>
          </w:tbl>
          <w:p w14:paraId="4DA81DD3">
            <w:pPr>
              <w:pStyle w:val="25"/>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firstLine="480" w:firstLineChars="200"/>
              <w:textAlignment w:val="auto"/>
              <w:rPr>
                <w:rFonts w:hint="default" w:ascii="Times New Roman" w:hAnsi="Times New Roman" w:eastAsia="宋体" w:cs="Times New Roman"/>
                <w:b w:val="0"/>
                <w:bCs/>
                <w:color w:val="auto"/>
                <w:kern w:val="2"/>
                <w:sz w:val="24"/>
                <w:szCs w:val="24"/>
                <w:lang w:val="en-US" w:eastAsia="zh-CN" w:bidi="ar-SA"/>
              </w:rPr>
            </w:pPr>
          </w:p>
          <w:p w14:paraId="6A7AAA2F">
            <w:pPr>
              <w:pStyle w:val="2"/>
              <w:keepNext/>
              <w:keepLines w:val="0"/>
              <w:pageBreakBefore w:val="0"/>
              <w:widowControl w:val="0"/>
              <w:kinsoku/>
              <w:wordWrap/>
              <w:overflowPunct w:val="0"/>
              <w:topLinePunct w:val="0"/>
              <w:autoSpaceDE/>
              <w:autoSpaceDN/>
              <w:bidi w:val="0"/>
              <w:adjustRightInd w:val="0"/>
              <w:snapToGrid w:val="0"/>
              <w:spacing w:before="0" w:after="0" w:line="360" w:lineRule="auto"/>
              <w:ind w:left="0" w:firstLine="482"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lang w:val="en-US" w:eastAsia="zh-CN"/>
              </w:rPr>
              <w:t>4.8</w:t>
            </w:r>
            <w:r>
              <w:rPr>
                <w:rFonts w:hint="default" w:ascii="Times New Roman" w:hAnsi="Times New Roman" w:eastAsia="宋体" w:cs="Times New Roman"/>
                <w:b/>
                <w:bCs/>
                <w:color w:val="auto"/>
                <w:sz w:val="24"/>
                <w:szCs w:val="24"/>
              </w:rPr>
              <w:t>电磁辐射</w:t>
            </w:r>
          </w:p>
          <w:p w14:paraId="22F6E798">
            <w:pPr>
              <w:pStyle w:val="25"/>
              <w:keepNext w:val="0"/>
              <w:keepLines w:val="0"/>
              <w:pageBreakBefore w:val="0"/>
              <w:widowControl w:val="0"/>
              <w:kinsoku/>
              <w:wordWrap/>
              <w:overflowPunct/>
              <w:topLinePunct w:val="0"/>
              <w:autoSpaceDE w:val="0"/>
              <w:autoSpaceDN w:val="0"/>
              <w:bidi w:val="0"/>
              <w:adjustRightInd w:val="0"/>
              <w:snapToGrid w:val="0"/>
              <w:spacing w:line="360" w:lineRule="auto"/>
              <w:ind w:left="0" w:firstLine="480" w:firstLineChars="200"/>
              <w:textAlignment w:val="auto"/>
              <w:outlineLvl w:val="9"/>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val="0"/>
                <w:color w:val="auto"/>
                <w:sz w:val="24"/>
              </w:rPr>
              <w:t>本项目不涉及电磁辐射。</w:t>
            </w:r>
          </w:p>
        </w:tc>
      </w:tr>
    </w:tbl>
    <w:p w14:paraId="21D15220">
      <w:pPr>
        <w:pStyle w:val="25"/>
        <w:rPr>
          <w:rFonts w:hint="default" w:ascii="Times New Roman" w:hAnsi="Times New Roman" w:eastAsia="宋体" w:cs="Times New Roman"/>
          <w:color w:val="auto"/>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787EB91">
      <w:pPr>
        <w:pStyle w:val="16"/>
        <w:keepNext w:val="0"/>
        <w:keepLines w:val="0"/>
        <w:pageBreakBefore w:val="0"/>
        <w:widowControl w:val="0"/>
        <w:numPr>
          <w:ilvl w:val="0"/>
          <w:numId w:val="6"/>
        </w:numPr>
        <w:kinsoku/>
        <w:wordWrap/>
        <w:overflowPunct/>
        <w:topLinePunct w:val="0"/>
        <w:autoSpaceDE/>
        <w:autoSpaceDN/>
        <w:bidi w:val="0"/>
        <w:adjustRightInd/>
        <w:snapToGrid/>
        <w:spacing w:before="0" w:after="0"/>
        <w:textAlignment w:val="auto"/>
        <w:rPr>
          <w:rFonts w:hint="default" w:ascii="Times New Roman" w:hAnsi="Times New Roman" w:eastAsia="宋体" w:cs="Times New Roman"/>
          <w:b/>
          <w:bCs/>
          <w:snapToGrid w:val="0"/>
          <w:color w:val="auto"/>
          <w:sz w:val="30"/>
          <w:szCs w:val="30"/>
          <w:highlight w:val="none"/>
        </w:rPr>
      </w:pPr>
      <w:r>
        <w:rPr>
          <w:rFonts w:hint="default" w:ascii="Times New Roman" w:hAnsi="Times New Roman" w:eastAsia="宋体" w:cs="Times New Roman"/>
          <w:b/>
          <w:bCs/>
          <w:snapToGrid w:val="0"/>
          <w:color w:val="auto"/>
          <w:sz w:val="30"/>
          <w:szCs w:val="30"/>
          <w:highlight w:val="none"/>
        </w:rPr>
        <w:t>环境保护措施监督检查清单</w:t>
      </w:r>
    </w:p>
    <w:tbl>
      <w:tblPr>
        <w:tblStyle w:val="17"/>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1" w:type="dxa"/>
          <w:bottom w:w="0" w:type="dxa"/>
          <w:right w:w="11" w:type="dxa"/>
        </w:tblCellMar>
      </w:tblPr>
      <w:tblGrid>
        <w:gridCol w:w="1405"/>
        <w:gridCol w:w="1517"/>
        <w:gridCol w:w="2055"/>
        <w:gridCol w:w="2013"/>
        <w:gridCol w:w="2133"/>
      </w:tblGrid>
      <w:tr w14:paraId="6A7E23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770" w:type="pct"/>
            <w:tcBorders>
              <w:tl2br w:val="single" w:color="auto" w:sz="4" w:space="0"/>
            </w:tcBorders>
            <w:noWrap w:val="0"/>
            <w:tcMar>
              <w:left w:w="28" w:type="dxa"/>
              <w:right w:w="28" w:type="dxa"/>
            </w:tcMar>
            <w:vAlign w:val="center"/>
          </w:tcPr>
          <w:p w14:paraId="7B5DCB63">
            <w:pPr>
              <w:keepNext w:val="0"/>
              <w:keepLines w:val="0"/>
              <w:pageBreakBefore w:val="0"/>
              <w:kinsoku/>
              <w:wordWrap/>
              <w:overflowPunct/>
              <w:topLinePunct w:val="0"/>
              <w:bidi w:val="0"/>
              <w:adjustRightInd w:val="0"/>
              <w:snapToGrid w:val="0"/>
              <w:spacing w:line="240" w:lineRule="auto"/>
              <w:ind w:right="0" w:firstLine="0" w:firstLineChars="0"/>
              <w:jc w:val="righ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内容</w:t>
            </w:r>
          </w:p>
          <w:p w14:paraId="0F20B660">
            <w:pPr>
              <w:keepNext w:val="0"/>
              <w:keepLines w:val="0"/>
              <w:pageBreakBefore w:val="0"/>
              <w:kinsoku/>
              <w:wordWrap/>
              <w:overflowPunct/>
              <w:topLinePunct w:val="0"/>
              <w:bidi w:val="0"/>
              <w:adjustRightInd w:val="0"/>
              <w:snapToGrid w:val="0"/>
              <w:spacing w:line="240" w:lineRule="auto"/>
              <w:ind w:right="0" w:firstLine="0" w:firstLineChars="0"/>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要素</w:t>
            </w:r>
          </w:p>
        </w:tc>
        <w:tc>
          <w:tcPr>
            <w:tcW w:w="831" w:type="pct"/>
            <w:noWrap w:val="0"/>
            <w:tcMar>
              <w:left w:w="28" w:type="dxa"/>
              <w:right w:w="28" w:type="dxa"/>
            </w:tcMar>
            <w:vAlign w:val="center"/>
          </w:tcPr>
          <w:p w14:paraId="19EE9A13">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排放口（编号、名称）/污染源</w:t>
            </w:r>
          </w:p>
        </w:tc>
        <w:tc>
          <w:tcPr>
            <w:tcW w:w="1126" w:type="pct"/>
            <w:noWrap w:val="0"/>
            <w:tcMar>
              <w:left w:w="28" w:type="dxa"/>
              <w:right w:w="28" w:type="dxa"/>
            </w:tcMar>
            <w:vAlign w:val="center"/>
          </w:tcPr>
          <w:p w14:paraId="459FFA2C">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污染物项目</w:t>
            </w:r>
          </w:p>
        </w:tc>
        <w:tc>
          <w:tcPr>
            <w:tcW w:w="1103" w:type="pct"/>
            <w:noWrap w:val="0"/>
            <w:tcMar>
              <w:left w:w="28" w:type="dxa"/>
              <w:right w:w="28" w:type="dxa"/>
            </w:tcMar>
            <w:vAlign w:val="center"/>
          </w:tcPr>
          <w:p w14:paraId="5C94F34A">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环境保护措施</w:t>
            </w:r>
          </w:p>
        </w:tc>
        <w:tc>
          <w:tcPr>
            <w:tcW w:w="1169" w:type="pct"/>
            <w:noWrap w:val="0"/>
            <w:tcMar>
              <w:left w:w="28" w:type="dxa"/>
              <w:right w:w="28" w:type="dxa"/>
            </w:tcMar>
            <w:vAlign w:val="center"/>
          </w:tcPr>
          <w:p w14:paraId="22BA007C">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执行标准</w:t>
            </w:r>
          </w:p>
        </w:tc>
      </w:tr>
      <w:tr w14:paraId="1DEA3C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770" w:type="pct"/>
            <w:noWrap w:val="0"/>
            <w:tcMar>
              <w:left w:w="28" w:type="dxa"/>
              <w:right w:w="28" w:type="dxa"/>
            </w:tcMar>
            <w:vAlign w:val="center"/>
          </w:tcPr>
          <w:p w14:paraId="36E34C6A">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eastAsia="zh-CN"/>
              </w:rPr>
            </w:pPr>
            <w:r>
              <w:rPr>
                <w:rFonts w:hint="default" w:ascii="Times New Roman" w:hAnsi="Times New Roman" w:eastAsia="宋体" w:cs="Times New Roman"/>
                <w:b w:val="0"/>
                <w:bCs w:val="0"/>
                <w:color w:val="auto"/>
                <w:sz w:val="21"/>
                <w:szCs w:val="21"/>
                <w:highlight w:val="none"/>
              </w:rPr>
              <w:t>大气环境</w:t>
            </w:r>
          </w:p>
        </w:tc>
        <w:tc>
          <w:tcPr>
            <w:tcW w:w="831" w:type="pct"/>
            <w:noWrap w:val="0"/>
            <w:tcMar>
              <w:left w:w="28" w:type="dxa"/>
              <w:right w:w="28" w:type="dxa"/>
            </w:tcMar>
            <w:vAlign w:val="center"/>
          </w:tcPr>
          <w:p w14:paraId="518D7109">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车间无组织</w:t>
            </w:r>
          </w:p>
        </w:tc>
        <w:tc>
          <w:tcPr>
            <w:tcW w:w="1126" w:type="pct"/>
            <w:noWrap w:val="0"/>
            <w:tcMar>
              <w:left w:w="28" w:type="dxa"/>
              <w:right w:w="28" w:type="dxa"/>
            </w:tcMar>
            <w:vAlign w:val="center"/>
          </w:tcPr>
          <w:p w14:paraId="50CC9C56">
            <w:pPr>
              <w:keepNext w:val="0"/>
              <w:keepLines w:val="0"/>
              <w:pageBreakBefore w:val="0"/>
              <w:kinsoku/>
              <w:wordWrap/>
              <w:overflowPunct/>
              <w:topLinePunct w:val="0"/>
              <w:bidi w:val="0"/>
              <w:adjustRightInd w:val="0"/>
              <w:snapToGrid w:val="0"/>
              <w:spacing w:line="240" w:lineRule="auto"/>
              <w:ind w:right="0" w:rightChars="0" w:firstLine="0" w:firstLineChars="0"/>
              <w:jc w:val="center"/>
              <w:textAlignment w:val="auto"/>
              <w:rPr>
                <w:rFonts w:hint="eastAsia" w:ascii="Times New Roman" w:hAnsi="Times New Roman" w:eastAsia="宋体" w:cs="Times New Roman"/>
                <w:b w:val="0"/>
                <w:bCs w:val="0"/>
                <w:color w:val="auto"/>
                <w:sz w:val="21"/>
                <w:szCs w:val="21"/>
                <w:highlight w:val="none"/>
                <w:lang w:eastAsia="zh-CN"/>
              </w:rPr>
            </w:pPr>
            <w:r>
              <w:rPr>
                <w:rFonts w:hint="eastAsia" w:ascii="Times New Roman" w:hAnsi="Times New Roman" w:eastAsia="宋体" w:cs="Times New Roman"/>
                <w:color w:val="auto"/>
                <w:lang w:val="en-US" w:eastAsia="zh-CN"/>
              </w:rPr>
              <w:t>氨、硫化氢、臭气浓度</w:t>
            </w:r>
          </w:p>
        </w:tc>
        <w:tc>
          <w:tcPr>
            <w:tcW w:w="1103" w:type="pct"/>
            <w:noWrap w:val="0"/>
            <w:tcMar>
              <w:left w:w="28" w:type="dxa"/>
              <w:right w:w="28" w:type="dxa"/>
            </w:tcMar>
            <w:vAlign w:val="center"/>
          </w:tcPr>
          <w:p w14:paraId="1210C4F5">
            <w:pPr>
              <w:keepNext w:val="0"/>
              <w:keepLines w:val="0"/>
              <w:pageBreakBefore w:val="0"/>
              <w:kinsoku/>
              <w:wordWrap/>
              <w:overflowPunct/>
              <w:topLinePunct w:val="0"/>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1169" w:type="pct"/>
            <w:noWrap w:val="0"/>
            <w:tcMar>
              <w:left w:w="28" w:type="dxa"/>
              <w:right w:w="28" w:type="dxa"/>
            </w:tcMar>
            <w:vAlign w:val="center"/>
          </w:tcPr>
          <w:p w14:paraId="1FE026D9">
            <w:pPr>
              <w:keepNext w:val="0"/>
              <w:keepLines w:val="0"/>
              <w:pageBreakBefore w:val="0"/>
              <w:kinsoku/>
              <w:wordWrap/>
              <w:overflowPunct/>
              <w:topLinePunct w:val="0"/>
              <w:bidi w:val="0"/>
              <w:adjustRightInd w:val="0"/>
              <w:snapToGrid w:val="0"/>
              <w:spacing w:line="240" w:lineRule="auto"/>
              <w:ind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lang w:val="en-US" w:eastAsia="zh-CN"/>
              </w:rPr>
              <w:t>《恶臭污染物排放标准》（GB14554-93）</w:t>
            </w:r>
          </w:p>
        </w:tc>
      </w:tr>
      <w:tr w14:paraId="5D0C29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770" w:type="pct"/>
            <w:vMerge w:val="restart"/>
            <w:noWrap w:val="0"/>
            <w:tcMar>
              <w:left w:w="28" w:type="dxa"/>
              <w:right w:w="28" w:type="dxa"/>
            </w:tcMar>
            <w:vAlign w:val="center"/>
          </w:tcPr>
          <w:p w14:paraId="0DF35902">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地表水环境</w:t>
            </w:r>
          </w:p>
        </w:tc>
        <w:tc>
          <w:tcPr>
            <w:tcW w:w="831" w:type="pct"/>
            <w:noWrap w:val="0"/>
            <w:tcMar>
              <w:left w:w="28" w:type="dxa"/>
              <w:right w:w="28" w:type="dxa"/>
            </w:tcMar>
            <w:vAlign w:val="center"/>
          </w:tcPr>
          <w:p w14:paraId="46B5A9F7">
            <w:pPr>
              <w:pStyle w:val="25"/>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生活污水</w:t>
            </w:r>
          </w:p>
          <w:p w14:paraId="2CC04687">
            <w:pPr>
              <w:pStyle w:val="25"/>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DW-001</w:t>
            </w:r>
          </w:p>
        </w:tc>
        <w:tc>
          <w:tcPr>
            <w:tcW w:w="1126" w:type="pct"/>
            <w:noWrap w:val="0"/>
            <w:tcMar>
              <w:left w:w="28" w:type="dxa"/>
              <w:right w:w="28" w:type="dxa"/>
            </w:tcMar>
            <w:vAlign w:val="center"/>
          </w:tcPr>
          <w:p w14:paraId="65DDC689">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color w:val="auto"/>
                <w:szCs w:val="21"/>
              </w:rPr>
              <w:t>COD、SS、NH</w:t>
            </w:r>
            <w:r>
              <w:rPr>
                <w:color w:val="auto"/>
                <w:szCs w:val="21"/>
                <w:vertAlign w:val="subscript"/>
              </w:rPr>
              <w:t>3</w:t>
            </w:r>
            <w:r>
              <w:rPr>
                <w:color w:val="auto"/>
                <w:szCs w:val="21"/>
              </w:rPr>
              <w:t>-N、TN、TP</w:t>
            </w:r>
          </w:p>
        </w:tc>
        <w:tc>
          <w:tcPr>
            <w:tcW w:w="1103" w:type="pct"/>
            <w:noWrap w:val="0"/>
            <w:tcMar>
              <w:left w:w="28" w:type="dxa"/>
              <w:right w:w="28" w:type="dxa"/>
            </w:tcMar>
            <w:vAlign w:val="center"/>
          </w:tcPr>
          <w:p w14:paraId="36E57BF8">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经</w:t>
            </w:r>
            <w:r>
              <w:rPr>
                <w:rFonts w:hint="eastAsia" w:cs="Times New Roman"/>
                <w:b w:val="0"/>
                <w:bCs w:val="0"/>
                <w:color w:val="auto"/>
                <w:sz w:val="21"/>
                <w:szCs w:val="21"/>
                <w:highlight w:val="none"/>
                <w:lang w:val="en-US" w:eastAsia="zh-CN"/>
              </w:rPr>
              <w:t>厂区污水管网接入</w:t>
            </w:r>
            <w:r>
              <w:rPr>
                <w:rFonts w:hint="default" w:ascii="Times New Roman" w:hAnsi="Times New Roman" w:eastAsia="宋体" w:cs="Times New Roman"/>
                <w:b w:val="0"/>
                <w:bCs w:val="0"/>
                <w:color w:val="auto"/>
                <w:sz w:val="21"/>
                <w:szCs w:val="21"/>
                <w:highlight w:val="none"/>
                <w:lang w:val="en-US" w:eastAsia="zh-CN"/>
              </w:rPr>
              <w:t>市政污水管网至常州</w:t>
            </w:r>
            <w:r>
              <w:rPr>
                <w:rFonts w:hint="eastAsia" w:cs="Times New Roman"/>
                <w:b w:val="0"/>
                <w:bCs w:val="0"/>
                <w:color w:val="auto"/>
                <w:sz w:val="21"/>
                <w:szCs w:val="21"/>
                <w:highlight w:val="none"/>
                <w:lang w:val="en-US" w:eastAsia="zh-CN"/>
              </w:rPr>
              <w:t>金坛溪城污水处理有限公司</w:t>
            </w:r>
            <w:r>
              <w:rPr>
                <w:rFonts w:hint="default" w:ascii="Times New Roman" w:hAnsi="Times New Roman" w:eastAsia="宋体" w:cs="Times New Roman"/>
                <w:b w:val="0"/>
                <w:bCs w:val="0"/>
                <w:color w:val="auto"/>
                <w:sz w:val="21"/>
                <w:szCs w:val="21"/>
                <w:highlight w:val="none"/>
                <w:lang w:val="en-US" w:eastAsia="zh-CN"/>
              </w:rPr>
              <w:t>处理</w:t>
            </w:r>
          </w:p>
        </w:tc>
        <w:tc>
          <w:tcPr>
            <w:tcW w:w="1169" w:type="pct"/>
            <w:noWrap w:val="0"/>
            <w:tcMar>
              <w:left w:w="28" w:type="dxa"/>
              <w:right w:w="28" w:type="dxa"/>
            </w:tcMar>
            <w:vAlign w:val="center"/>
          </w:tcPr>
          <w:p w14:paraId="4A393ED4">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《常州</w:t>
            </w:r>
            <w:r>
              <w:rPr>
                <w:rFonts w:hint="eastAsia" w:ascii="Times New Roman" w:hAnsi="Times New Roman" w:eastAsia="宋体" w:cs="Times New Roman"/>
                <w:b w:val="0"/>
                <w:bCs w:val="0"/>
                <w:color w:val="auto"/>
                <w:sz w:val="21"/>
                <w:szCs w:val="21"/>
                <w:highlight w:val="none"/>
                <w:lang w:val="en-US" w:eastAsia="zh-CN"/>
              </w:rPr>
              <w:t>金坛溪城污水</w:t>
            </w:r>
            <w:r>
              <w:rPr>
                <w:rFonts w:hint="eastAsia" w:cs="Times New Roman"/>
                <w:b w:val="0"/>
                <w:bCs w:val="0"/>
                <w:color w:val="auto"/>
                <w:sz w:val="21"/>
                <w:szCs w:val="21"/>
                <w:highlight w:val="none"/>
                <w:lang w:val="en-US" w:eastAsia="zh-CN"/>
              </w:rPr>
              <w:t>处理有限公司</w:t>
            </w:r>
            <w:r>
              <w:rPr>
                <w:rFonts w:hint="eastAsia" w:ascii="Times New Roman" w:hAnsi="Times New Roman" w:eastAsia="宋体" w:cs="Times New Roman"/>
                <w:b w:val="0"/>
                <w:bCs w:val="0"/>
                <w:color w:val="auto"/>
                <w:sz w:val="21"/>
                <w:szCs w:val="21"/>
                <w:highlight w:val="none"/>
                <w:lang w:val="en-US" w:eastAsia="zh-CN"/>
              </w:rPr>
              <w:t>污水</w:t>
            </w:r>
            <w:r>
              <w:rPr>
                <w:rFonts w:hint="default" w:ascii="Times New Roman" w:hAnsi="Times New Roman" w:eastAsia="宋体" w:cs="Times New Roman"/>
                <w:b w:val="0"/>
                <w:bCs w:val="0"/>
                <w:color w:val="auto"/>
                <w:sz w:val="21"/>
                <w:szCs w:val="21"/>
                <w:highlight w:val="none"/>
                <w:lang w:val="en-US" w:eastAsia="zh-CN"/>
              </w:rPr>
              <w:t>接管</w:t>
            </w:r>
            <w:r>
              <w:rPr>
                <w:rFonts w:hint="eastAsia" w:ascii="Times New Roman" w:hAnsi="Times New Roman" w:eastAsia="宋体" w:cs="Times New Roman"/>
                <w:b w:val="0"/>
                <w:bCs w:val="0"/>
                <w:color w:val="auto"/>
                <w:sz w:val="21"/>
                <w:szCs w:val="21"/>
                <w:highlight w:val="none"/>
                <w:lang w:val="en-US" w:eastAsia="zh-CN"/>
              </w:rPr>
              <w:t>水质要求</w:t>
            </w:r>
            <w:r>
              <w:rPr>
                <w:rFonts w:hint="default" w:ascii="Times New Roman" w:hAnsi="Times New Roman" w:eastAsia="宋体" w:cs="Times New Roman"/>
                <w:b w:val="0"/>
                <w:bCs w:val="0"/>
                <w:color w:val="auto"/>
                <w:sz w:val="21"/>
                <w:szCs w:val="21"/>
                <w:highlight w:val="none"/>
                <w:lang w:val="en-US" w:eastAsia="zh-CN"/>
              </w:rPr>
              <w:t>》</w:t>
            </w:r>
          </w:p>
        </w:tc>
      </w:tr>
      <w:tr w14:paraId="5133A7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770" w:type="pct"/>
            <w:vMerge w:val="continue"/>
            <w:noWrap w:val="0"/>
            <w:tcMar>
              <w:left w:w="28" w:type="dxa"/>
              <w:right w:w="28" w:type="dxa"/>
            </w:tcMar>
            <w:vAlign w:val="center"/>
          </w:tcPr>
          <w:p w14:paraId="7DE605A8">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p>
        </w:tc>
        <w:tc>
          <w:tcPr>
            <w:tcW w:w="831" w:type="pct"/>
            <w:noWrap w:val="0"/>
            <w:tcMar>
              <w:left w:w="28" w:type="dxa"/>
              <w:right w:w="28" w:type="dxa"/>
            </w:tcMar>
            <w:vAlign w:val="center"/>
          </w:tcPr>
          <w:p w14:paraId="331E6095">
            <w:pPr>
              <w:pStyle w:val="25"/>
              <w:keepNext w:val="0"/>
              <w:keepLines w:val="0"/>
              <w:pageBreakBefore w:val="0"/>
              <w:widowControl w:val="0"/>
              <w:kinsoku/>
              <w:wordWrap/>
              <w:overflowPunct/>
              <w:topLinePunct w:val="0"/>
              <w:autoSpaceDE w:val="0"/>
              <w:autoSpaceDN w:val="0"/>
              <w:bidi w:val="0"/>
              <w:adjustRightInd w:val="0"/>
              <w:snapToGrid/>
              <w:spacing w:line="240" w:lineRule="auto"/>
              <w:ind w:right="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cs="Times New Roman"/>
                <w:b w:val="0"/>
                <w:bCs w:val="0"/>
                <w:color w:val="auto"/>
                <w:sz w:val="21"/>
                <w:szCs w:val="21"/>
                <w:highlight w:val="none"/>
                <w:lang w:val="en-US" w:eastAsia="zh-CN"/>
              </w:rPr>
              <w:t>综合污水</w:t>
            </w:r>
          </w:p>
        </w:tc>
        <w:tc>
          <w:tcPr>
            <w:tcW w:w="1126" w:type="pct"/>
            <w:noWrap w:val="0"/>
            <w:tcMar>
              <w:left w:w="28" w:type="dxa"/>
              <w:right w:w="28" w:type="dxa"/>
            </w:tcMar>
            <w:vAlign w:val="center"/>
          </w:tcPr>
          <w:p w14:paraId="6EFCE377">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eastAsia="宋体"/>
                <w:color w:val="auto"/>
                <w:sz w:val="21"/>
                <w:szCs w:val="21"/>
                <w:lang w:val="en-US" w:eastAsia="zh-CN"/>
              </w:rPr>
            </w:pPr>
            <w:r>
              <w:rPr>
                <w:color w:val="auto"/>
                <w:sz w:val="21"/>
                <w:szCs w:val="21"/>
              </w:rPr>
              <w:t>COD、SS、</w:t>
            </w:r>
            <w:r>
              <w:rPr>
                <w:rFonts w:hint="eastAsia"/>
                <w:color w:val="auto"/>
                <w:sz w:val="21"/>
                <w:szCs w:val="21"/>
                <w:lang w:val="en-US" w:eastAsia="zh-CN"/>
              </w:rPr>
              <w:t>石油类</w:t>
            </w:r>
          </w:p>
        </w:tc>
        <w:tc>
          <w:tcPr>
            <w:tcW w:w="1103" w:type="pct"/>
            <w:noWrap w:val="0"/>
            <w:tcMar>
              <w:left w:w="28" w:type="dxa"/>
              <w:right w:w="28" w:type="dxa"/>
            </w:tcMar>
            <w:vAlign w:val="center"/>
          </w:tcPr>
          <w:p w14:paraId="2BF34D3F">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cs="Times New Roman"/>
                <w:b w:val="0"/>
                <w:bCs w:val="0"/>
                <w:color w:val="auto"/>
                <w:sz w:val="21"/>
                <w:szCs w:val="21"/>
                <w:highlight w:val="none"/>
                <w:lang w:val="en-US" w:eastAsia="zh-CN"/>
              </w:rPr>
              <w:t>经污水站处理后回用</w:t>
            </w:r>
          </w:p>
        </w:tc>
        <w:tc>
          <w:tcPr>
            <w:tcW w:w="1169" w:type="pct"/>
            <w:noWrap w:val="0"/>
            <w:tcMar>
              <w:left w:w="28" w:type="dxa"/>
              <w:right w:w="28" w:type="dxa"/>
            </w:tcMar>
            <w:vAlign w:val="center"/>
          </w:tcPr>
          <w:p w14:paraId="79BCF85C">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eastAsia" w:ascii="Times New Roman" w:hAnsi="Times New Roman" w:eastAsia="宋体" w:cs="Times New Roman"/>
                <w:color w:val="auto"/>
                <w:kern w:val="2"/>
                <w:sz w:val="21"/>
                <w:szCs w:val="21"/>
                <w:lang w:val="en-US" w:eastAsia="zh-CN" w:bidi="ar-SA"/>
              </w:rPr>
              <w:t>《城市污水再生利用 工业用水水质》（</w:t>
            </w:r>
            <w:r>
              <w:rPr>
                <w:rFonts w:hint="eastAsia" w:cs="Times New Roman"/>
                <w:color w:val="auto"/>
                <w:kern w:val="2"/>
                <w:sz w:val="21"/>
                <w:szCs w:val="21"/>
                <w:lang w:val="en-US" w:eastAsia="zh-CN" w:bidi="ar-SA"/>
              </w:rPr>
              <w:t>GB/T 19923-2024</w:t>
            </w:r>
            <w:r>
              <w:rPr>
                <w:rFonts w:hint="eastAsia" w:ascii="Times New Roman" w:hAnsi="Times New Roman" w:eastAsia="宋体" w:cs="Times New Roman"/>
                <w:color w:val="auto"/>
                <w:kern w:val="2"/>
                <w:sz w:val="21"/>
                <w:szCs w:val="21"/>
                <w:lang w:val="en-US" w:eastAsia="zh-CN" w:bidi="ar-SA"/>
              </w:rPr>
              <w:t>）洗涤用水要求</w:t>
            </w:r>
          </w:p>
        </w:tc>
      </w:tr>
      <w:tr w14:paraId="0A7D46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770" w:type="pct"/>
            <w:noWrap w:val="0"/>
            <w:tcMar>
              <w:left w:w="28" w:type="dxa"/>
              <w:right w:w="28" w:type="dxa"/>
            </w:tcMar>
            <w:vAlign w:val="center"/>
          </w:tcPr>
          <w:p w14:paraId="4061DC97">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声环境</w:t>
            </w:r>
          </w:p>
        </w:tc>
        <w:tc>
          <w:tcPr>
            <w:tcW w:w="831" w:type="pct"/>
            <w:noWrap w:val="0"/>
            <w:tcMar>
              <w:left w:w="28" w:type="dxa"/>
              <w:right w:w="28" w:type="dxa"/>
            </w:tcMar>
            <w:vAlign w:val="center"/>
          </w:tcPr>
          <w:p w14:paraId="45AB6C6A">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shd w:val="clear" w:fill="auto"/>
              </w:rPr>
              <w:t>厂</w:t>
            </w:r>
            <w:r>
              <w:rPr>
                <w:rFonts w:hint="default" w:ascii="Times New Roman" w:hAnsi="Times New Roman" w:eastAsia="宋体" w:cs="Times New Roman"/>
                <w:b w:val="0"/>
                <w:bCs w:val="0"/>
                <w:color w:val="auto"/>
                <w:sz w:val="21"/>
                <w:szCs w:val="21"/>
                <w:highlight w:val="none"/>
              </w:rPr>
              <w:t>界外1m</w:t>
            </w:r>
          </w:p>
        </w:tc>
        <w:tc>
          <w:tcPr>
            <w:tcW w:w="1126" w:type="pct"/>
            <w:noWrap w:val="0"/>
            <w:tcMar>
              <w:left w:w="28" w:type="dxa"/>
              <w:right w:w="28" w:type="dxa"/>
            </w:tcMar>
            <w:vAlign w:val="center"/>
          </w:tcPr>
          <w:p w14:paraId="0266528E">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工业噪声</w:t>
            </w:r>
          </w:p>
        </w:tc>
        <w:tc>
          <w:tcPr>
            <w:tcW w:w="1103" w:type="pct"/>
            <w:noWrap w:val="0"/>
            <w:tcMar>
              <w:left w:w="28" w:type="dxa"/>
              <w:right w:w="28" w:type="dxa"/>
            </w:tcMar>
            <w:vAlign w:val="center"/>
          </w:tcPr>
          <w:p w14:paraId="1F63A767">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合理布局、隔声降噪处理、建筑隔声等措施</w:t>
            </w:r>
          </w:p>
        </w:tc>
        <w:tc>
          <w:tcPr>
            <w:tcW w:w="1169" w:type="pct"/>
            <w:noWrap w:val="0"/>
            <w:tcMar>
              <w:left w:w="28" w:type="dxa"/>
              <w:right w:w="28" w:type="dxa"/>
            </w:tcMar>
            <w:vAlign w:val="center"/>
          </w:tcPr>
          <w:p w14:paraId="5178F879">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《工业企业厂界环境噪声排放标准》（GB12348－2008）中</w:t>
            </w:r>
            <w:r>
              <w:rPr>
                <w:rFonts w:hint="default" w:ascii="Times New Roman" w:hAnsi="Times New Roman" w:eastAsia="宋体" w:cs="Times New Roman"/>
                <w:b w:val="0"/>
                <w:bCs w:val="0"/>
                <w:color w:val="auto"/>
                <w:sz w:val="21"/>
                <w:szCs w:val="21"/>
                <w:highlight w:val="none"/>
                <w:lang w:val="en-US" w:eastAsia="zh-CN"/>
              </w:rPr>
              <w:t>3</w:t>
            </w:r>
            <w:r>
              <w:rPr>
                <w:rFonts w:hint="default" w:ascii="Times New Roman" w:hAnsi="Times New Roman" w:eastAsia="宋体" w:cs="Times New Roman"/>
                <w:b w:val="0"/>
                <w:bCs w:val="0"/>
                <w:color w:val="auto"/>
                <w:sz w:val="21"/>
                <w:szCs w:val="21"/>
                <w:highlight w:val="none"/>
              </w:rPr>
              <w:t>类标准</w:t>
            </w:r>
          </w:p>
        </w:tc>
      </w:tr>
      <w:tr w14:paraId="50DEFFB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770" w:type="pct"/>
            <w:noWrap w:val="0"/>
            <w:tcMar>
              <w:left w:w="28" w:type="dxa"/>
              <w:right w:w="28" w:type="dxa"/>
            </w:tcMar>
            <w:vAlign w:val="center"/>
          </w:tcPr>
          <w:p w14:paraId="4522B9DC">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电磁辐射</w:t>
            </w:r>
          </w:p>
        </w:tc>
        <w:tc>
          <w:tcPr>
            <w:tcW w:w="831" w:type="pct"/>
            <w:noWrap w:val="0"/>
            <w:tcMar>
              <w:left w:w="28" w:type="dxa"/>
              <w:right w:w="28" w:type="dxa"/>
            </w:tcMar>
            <w:vAlign w:val="center"/>
          </w:tcPr>
          <w:p w14:paraId="0EDBA8F1">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1126" w:type="pct"/>
            <w:noWrap w:val="0"/>
            <w:tcMar>
              <w:left w:w="28" w:type="dxa"/>
              <w:right w:w="28" w:type="dxa"/>
            </w:tcMar>
            <w:vAlign w:val="center"/>
          </w:tcPr>
          <w:p w14:paraId="71771870">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1103" w:type="pct"/>
            <w:noWrap w:val="0"/>
            <w:tcMar>
              <w:left w:w="28" w:type="dxa"/>
              <w:right w:w="28" w:type="dxa"/>
            </w:tcMar>
            <w:vAlign w:val="center"/>
          </w:tcPr>
          <w:p w14:paraId="6239ADE1">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c>
          <w:tcPr>
            <w:tcW w:w="1169" w:type="pct"/>
            <w:noWrap w:val="0"/>
            <w:tcMar>
              <w:left w:w="28" w:type="dxa"/>
              <w:right w:w="28" w:type="dxa"/>
            </w:tcMar>
            <w:vAlign w:val="center"/>
          </w:tcPr>
          <w:p w14:paraId="1CF4D16F">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w:t>
            </w:r>
          </w:p>
        </w:tc>
      </w:tr>
      <w:tr w14:paraId="38669F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770" w:type="pct"/>
            <w:noWrap w:val="0"/>
            <w:tcMar>
              <w:left w:w="28" w:type="dxa"/>
              <w:right w:w="28" w:type="dxa"/>
            </w:tcMar>
            <w:vAlign w:val="center"/>
          </w:tcPr>
          <w:p w14:paraId="7617B8FF">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固体</w:t>
            </w:r>
            <w:r>
              <w:rPr>
                <w:rFonts w:hint="default" w:ascii="Times New Roman" w:hAnsi="Times New Roman" w:eastAsia="宋体" w:cs="Times New Roman"/>
                <w:b w:val="0"/>
                <w:bCs w:val="0"/>
                <w:color w:val="auto"/>
                <w:sz w:val="21"/>
                <w:szCs w:val="21"/>
                <w:highlight w:val="none"/>
                <w:shd w:val="clear" w:fill="auto"/>
              </w:rPr>
              <w:t>废物</w:t>
            </w:r>
          </w:p>
        </w:tc>
        <w:tc>
          <w:tcPr>
            <w:tcW w:w="4229" w:type="pct"/>
            <w:gridSpan w:val="4"/>
            <w:noWrap w:val="0"/>
            <w:tcMar>
              <w:left w:w="28" w:type="dxa"/>
              <w:right w:w="28" w:type="dxa"/>
            </w:tcMar>
            <w:vAlign w:val="center"/>
          </w:tcPr>
          <w:p w14:paraId="611D3288">
            <w:pPr>
              <w:keepNext w:val="0"/>
              <w:keepLines w:val="0"/>
              <w:pageBreakBefore w:val="0"/>
              <w:kinsoku/>
              <w:wordWrap/>
              <w:overflowPunct/>
              <w:topLinePunct w:val="0"/>
              <w:bidi w:val="0"/>
              <w:adjustRightInd w:val="0"/>
              <w:snapToGrid w:val="0"/>
              <w:spacing w:line="240" w:lineRule="auto"/>
              <w:ind w:right="0" w:firstLine="0" w:firstLineChars="0"/>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一般工业固体</w:t>
            </w:r>
            <w:r>
              <w:rPr>
                <w:rFonts w:hint="default" w:ascii="Times New Roman" w:hAnsi="Times New Roman" w:eastAsia="宋体" w:cs="Times New Roman"/>
                <w:b w:val="0"/>
                <w:bCs w:val="0"/>
                <w:color w:val="auto"/>
                <w:sz w:val="21"/>
                <w:szCs w:val="21"/>
                <w:highlight w:val="none"/>
                <w:shd w:val="clear" w:fill="auto"/>
              </w:rPr>
              <w:t>废物</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lang w:val="en-US" w:eastAsia="zh-CN"/>
              </w:rPr>
              <w:t>边角料、</w:t>
            </w:r>
            <w:r>
              <w:rPr>
                <w:rFonts w:hint="eastAsia" w:cs="Times New Roman"/>
                <w:b w:val="0"/>
                <w:bCs w:val="0"/>
                <w:color w:val="auto"/>
                <w:sz w:val="21"/>
                <w:szCs w:val="21"/>
                <w:highlight w:val="none"/>
                <w:lang w:val="en-US" w:eastAsia="zh-CN"/>
              </w:rPr>
              <w:t>次品</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集中收集后外售综合利用；生活</w:t>
            </w:r>
            <w:r>
              <w:rPr>
                <w:rFonts w:hint="default" w:ascii="Times New Roman" w:hAnsi="Times New Roman" w:eastAsia="宋体" w:cs="Times New Roman"/>
                <w:b w:val="0"/>
                <w:bCs w:val="0"/>
                <w:color w:val="auto"/>
                <w:sz w:val="21"/>
                <w:szCs w:val="21"/>
                <w:highlight w:val="none"/>
                <w:shd w:val="clear" w:fill="auto"/>
              </w:rPr>
              <w:t>垃圾</w:t>
            </w:r>
            <w:r>
              <w:rPr>
                <w:rFonts w:hint="default" w:ascii="Times New Roman" w:hAnsi="Times New Roman" w:eastAsia="宋体" w:cs="Times New Roman"/>
                <w:b w:val="0"/>
                <w:bCs w:val="0"/>
                <w:color w:val="auto"/>
                <w:sz w:val="21"/>
                <w:szCs w:val="21"/>
                <w:highlight w:val="none"/>
              </w:rPr>
              <w:t>集中收集后由环卫部门统一清运；危险</w:t>
            </w:r>
            <w:r>
              <w:rPr>
                <w:rFonts w:hint="default" w:ascii="Times New Roman" w:hAnsi="Times New Roman" w:eastAsia="宋体" w:cs="Times New Roman"/>
                <w:b w:val="0"/>
                <w:bCs w:val="0"/>
                <w:color w:val="auto"/>
                <w:sz w:val="21"/>
                <w:szCs w:val="21"/>
                <w:highlight w:val="none"/>
                <w:shd w:val="clear" w:fill="auto"/>
              </w:rPr>
              <w:t>废物</w:t>
            </w:r>
            <w:r>
              <w:rPr>
                <w:rFonts w:hint="default" w:ascii="Times New Roman" w:hAnsi="Times New Roman" w:eastAsia="宋体" w:cs="Times New Roman"/>
                <w:b w:val="0"/>
                <w:bCs w:val="0"/>
                <w:color w:val="auto"/>
                <w:sz w:val="21"/>
                <w:szCs w:val="21"/>
                <w:highlight w:val="none"/>
                <w:lang w:eastAsia="zh-CN"/>
              </w:rPr>
              <w:t>（</w:t>
            </w:r>
            <w:r>
              <w:rPr>
                <w:rFonts w:hint="eastAsia" w:ascii="Times New Roman" w:hAnsi="Times New Roman" w:eastAsia="宋体" w:cs="Times New Roman"/>
                <w:color w:val="auto"/>
                <w:sz w:val="21"/>
                <w:szCs w:val="21"/>
                <w:lang w:val="en-US" w:eastAsia="zh-CN"/>
              </w:rPr>
              <w:t>污泥</w:t>
            </w:r>
            <w:r>
              <w:rPr>
                <w:rFonts w:hint="eastAsia" w:ascii="Times New Roman" w:hAnsi="Times New Roman" w:eastAsia="宋体" w:cs="Times New Roman"/>
                <w:b w:val="0"/>
                <w:bCs w:val="0"/>
                <w:color w:val="auto"/>
                <w:sz w:val="21"/>
                <w:szCs w:val="21"/>
                <w:highlight w:val="none"/>
                <w:lang w:val="en-US" w:eastAsia="zh-CN"/>
              </w:rPr>
              <w:t>、废过滤介质</w:t>
            </w:r>
            <w:r>
              <w:rPr>
                <w:rFonts w:hint="eastAsia" w:cs="Times New Roman"/>
                <w:b w:val="0"/>
                <w:bCs w:val="0"/>
                <w:color w:val="auto"/>
                <w:sz w:val="21"/>
                <w:szCs w:val="21"/>
                <w:highlight w:val="none"/>
                <w:lang w:val="en-US" w:eastAsia="zh-CN"/>
              </w:rPr>
              <w:t>、</w:t>
            </w:r>
            <w:r>
              <w:rPr>
                <w:rFonts w:hint="eastAsia" w:cs="Times New Roman"/>
                <w:color w:val="auto"/>
                <w:spacing w:val="2"/>
                <w:kern w:val="2"/>
                <w:sz w:val="21"/>
                <w:szCs w:val="21"/>
                <w:lang w:val="en-US" w:eastAsia="zh-CN" w:bidi="ar-SA"/>
              </w:rPr>
              <w:t>含切削液铝屑</w:t>
            </w:r>
            <w:r>
              <w:rPr>
                <w:rFonts w:hint="eastAsia" w:ascii="Times New Roman" w:hAnsi="Times New Roman" w:eastAsia="宋体" w:cs="Times New Roman"/>
                <w:color w:val="auto"/>
                <w:spacing w:val="2"/>
                <w:kern w:val="2"/>
                <w:sz w:val="21"/>
                <w:szCs w:val="21"/>
                <w:lang w:val="en-US" w:eastAsia="zh-CN" w:bidi="ar-SA"/>
              </w:rPr>
              <w:t>、</w:t>
            </w:r>
            <w:r>
              <w:rPr>
                <w:rFonts w:hint="eastAsia" w:ascii="Times New Roman" w:hAnsi="Times New Roman" w:eastAsia="宋体" w:cs="Times New Roman"/>
                <w:b w:val="0"/>
                <w:bCs w:val="0"/>
                <w:color w:val="auto"/>
                <w:sz w:val="21"/>
                <w:szCs w:val="21"/>
                <w:highlight w:val="none"/>
                <w:lang w:val="en-US" w:eastAsia="zh-CN"/>
              </w:rPr>
              <w:t>废机油、</w:t>
            </w:r>
            <w:r>
              <w:rPr>
                <w:rFonts w:hint="eastAsia" w:ascii="Times New Roman" w:hAnsi="Times New Roman" w:eastAsia="宋体" w:cs="Times New Roman"/>
                <w:color w:val="auto"/>
                <w:spacing w:val="2"/>
                <w:kern w:val="2"/>
                <w:sz w:val="21"/>
                <w:szCs w:val="21"/>
                <w:lang w:val="en-US" w:eastAsia="zh-CN" w:bidi="ar-SA"/>
              </w:rPr>
              <w:t>废切削液</w:t>
            </w:r>
            <w:r>
              <w:rPr>
                <w:rFonts w:hint="eastAsia" w:cs="Times New Roman"/>
                <w:b w:val="0"/>
                <w:bCs w:val="0"/>
                <w:color w:val="auto"/>
                <w:sz w:val="21"/>
                <w:szCs w:val="21"/>
                <w:highlight w:val="none"/>
                <w:lang w:val="en-US" w:eastAsia="zh-CN"/>
              </w:rPr>
              <w:t>、</w:t>
            </w:r>
            <w:r>
              <w:rPr>
                <w:rFonts w:hint="eastAsia" w:ascii="Times New Roman" w:hAnsi="Times New Roman" w:eastAsia="宋体" w:cs="Times New Roman"/>
                <w:color w:val="auto"/>
                <w:spacing w:val="2"/>
                <w:kern w:val="2"/>
                <w:sz w:val="21"/>
                <w:szCs w:val="21"/>
                <w:lang w:val="en-US" w:eastAsia="zh-CN" w:bidi="ar-SA"/>
              </w:rPr>
              <w:t>清洗废液、</w:t>
            </w:r>
            <w:r>
              <w:rPr>
                <w:rFonts w:hint="eastAsia" w:cs="Times New Roman"/>
                <w:color w:val="auto"/>
                <w:spacing w:val="2"/>
                <w:kern w:val="2"/>
                <w:sz w:val="21"/>
                <w:szCs w:val="21"/>
                <w:lang w:val="en-US" w:eastAsia="zh-CN" w:bidi="ar-SA"/>
              </w:rPr>
              <w:t>废切削液桶</w:t>
            </w:r>
            <w:r>
              <w:rPr>
                <w:rFonts w:hint="eastAsia" w:ascii="Times New Roman" w:hAnsi="Times New Roman" w:eastAsia="宋体" w:cs="Times New Roman"/>
                <w:color w:val="auto"/>
                <w:spacing w:val="2"/>
                <w:kern w:val="2"/>
                <w:sz w:val="21"/>
                <w:szCs w:val="21"/>
                <w:lang w:val="en-US" w:eastAsia="zh-CN" w:bidi="ar-SA"/>
              </w:rPr>
              <w:t>、</w:t>
            </w:r>
            <w:r>
              <w:rPr>
                <w:rFonts w:hint="eastAsia" w:cs="Times New Roman"/>
                <w:color w:val="auto"/>
                <w:spacing w:val="2"/>
                <w:kern w:val="2"/>
                <w:sz w:val="21"/>
                <w:szCs w:val="21"/>
                <w:lang w:val="en-US" w:eastAsia="zh-CN" w:bidi="ar-SA"/>
              </w:rPr>
              <w:t>废机油桶、</w:t>
            </w:r>
            <w:r>
              <w:rPr>
                <w:rFonts w:hint="eastAsia" w:cs="Times New Roman"/>
                <w:b w:val="0"/>
                <w:bCs w:val="0"/>
                <w:color w:val="auto"/>
                <w:sz w:val="21"/>
                <w:szCs w:val="21"/>
                <w:highlight w:val="none"/>
                <w:lang w:val="en-US" w:eastAsia="zh-CN"/>
              </w:rPr>
              <w:t>废清洗剂桶、含油废抹布手套</w:t>
            </w:r>
            <w:r>
              <w:rPr>
                <w:rFonts w:hint="eastAsia" w:ascii="Times New Roman" w:hAnsi="Times New Roman" w:eastAsia="宋体" w:cs="Times New Roman"/>
                <w:b w:val="0"/>
                <w:bCs w:val="0"/>
                <w:color w:val="auto"/>
                <w:sz w:val="21"/>
                <w:szCs w:val="21"/>
                <w:highlight w:val="none"/>
                <w:lang w:val="en-US" w:eastAsia="zh-CN"/>
              </w:rPr>
              <w:t>等</w:t>
            </w:r>
            <w:r>
              <w:rPr>
                <w:rFonts w:hint="default" w:ascii="Times New Roman" w:hAnsi="Times New Roman" w:eastAsia="宋体" w:cs="Times New Roman"/>
                <w:b w:val="0"/>
                <w:bCs w:val="0"/>
                <w:color w:val="auto"/>
                <w:sz w:val="21"/>
                <w:szCs w:val="21"/>
                <w:highlight w:val="none"/>
                <w:lang w:eastAsia="zh-CN"/>
              </w:rPr>
              <w:t>）</w:t>
            </w:r>
            <w:r>
              <w:rPr>
                <w:rFonts w:hint="default" w:ascii="Times New Roman" w:hAnsi="Times New Roman" w:eastAsia="宋体" w:cs="Times New Roman"/>
                <w:b w:val="0"/>
                <w:bCs w:val="0"/>
                <w:color w:val="auto"/>
                <w:sz w:val="21"/>
                <w:szCs w:val="21"/>
                <w:highlight w:val="none"/>
              </w:rPr>
              <w:t>收集暂存</w:t>
            </w:r>
            <w:r>
              <w:rPr>
                <w:rFonts w:hint="eastAsia" w:cs="Times New Roman"/>
                <w:b w:val="0"/>
                <w:bCs w:val="0"/>
                <w:color w:val="auto"/>
                <w:sz w:val="21"/>
                <w:szCs w:val="21"/>
                <w:highlight w:val="none"/>
                <w:lang w:eastAsia="zh-CN"/>
              </w:rPr>
              <w:t>危废仓库</w:t>
            </w:r>
            <w:r>
              <w:rPr>
                <w:rFonts w:hint="default" w:ascii="Times New Roman" w:hAnsi="Times New Roman" w:eastAsia="宋体" w:cs="Times New Roman"/>
                <w:b w:val="0"/>
                <w:bCs w:val="0"/>
                <w:color w:val="auto"/>
                <w:sz w:val="21"/>
                <w:szCs w:val="21"/>
                <w:highlight w:val="none"/>
              </w:rPr>
              <w:t>，定期交由有资质单位处理。</w:t>
            </w:r>
            <w:r>
              <w:rPr>
                <w:rFonts w:hint="eastAsia" w:cs="Times New Roman"/>
                <w:b w:val="0"/>
                <w:bCs w:val="0"/>
                <w:color w:val="auto"/>
                <w:sz w:val="21"/>
                <w:szCs w:val="21"/>
                <w:highlight w:val="none"/>
                <w:lang w:val="en-US" w:eastAsia="zh-CN"/>
              </w:rPr>
              <w:t>固废</w:t>
            </w:r>
            <w:r>
              <w:rPr>
                <w:rFonts w:hint="default" w:ascii="Times New Roman" w:hAnsi="Times New Roman" w:eastAsia="宋体" w:cs="Times New Roman"/>
                <w:b w:val="0"/>
                <w:bCs w:val="0"/>
                <w:color w:val="auto"/>
                <w:sz w:val="21"/>
                <w:szCs w:val="21"/>
                <w:highlight w:val="none"/>
              </w:rPr>
              <w:t>处置率</w:t>
            </w:r>
            <w:r>
              <w:rPr>
                <w:rFonts w:hint="default" w:ascii="Times New Roman" w:hAnsi="Times New Roman" w:eastAsia="宋体" w:cs="Times New Roman"/>
                <w:b w:val="0"/>
                <w:bCs w:val="0"/>
                <w:color w:val="auto"/>
                <w:sz w:val="21"/>
                <w:szCs w:val="21"/>
                <w:highlight w:val="none"/>
                <w:shd w:val="clear" w:fill="auto"/>
              </w:rPr>
              <w:t>100%</w:t>
            </w:r>
            <w:r>
              <w:rPr>
                <w:rFonts w:hint="default" w:ascii="Times New Roman" w:hAnsi="Times New Roman" w:eastAsia="宋体" w:cs="Times New Roman"/>
                <w:b w:val="0"/>
                <w:bCs w:val="0"/>
                <w:color w:val="auto"/>
                <w:sz w:val="21"/>
                <w:szCs w:val="21"/>
                <w:highlight w:val="none"/>
              </w:rPr>
              <w:t>，零排放。</w:t>
            </w:r>
          </w:p>
        </w:tc>
      </w:tr>
      <w:tr w14:paraId="35F12B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770" w:type="pct"/>
            <w:noWrap w:val="0"/>
            <w:tcMar>
              <w:left w:w="28" w:type="dxa"/>
              <w:right w:w="28" w:type="dxa"/>
            </w:tcMar>
            <w:vAlign w:val="center"/>
          </w:tcPr>
          <w:p w14:paraId="2DE443AA">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土壤及地下水</w:t>
            </w:r>
          </w:p>
          <w:p w14:paraId="687E4B6B">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污染</w:t>
            </w:r>
            <w:r>
              <w:rPr>
                <w:rFonts w:hint="default" w:ascii="Times New Roman" w:hAnsi="Times New Roman" w:eastAsia="宋体" w:cs="Times New Roman"/>
                <w:b w:val="0"/>
                <w:bCs w:val="0"/>
                <w:color w:val="auto"/>
                <w:sz w:val="21"/>
                <w:szCs w:val="21"/>
                <w:highlight w:val="none"/>
                <w:shd w:val="clear" w:fill="auto"/>
              </w:rPr>
              <w:t>防治</w:t>
            </w:r>
            <w:r>
              <w:rPr>
                <w:rFonts w:hint="default" w:ascii="Times New Roman" w:hAnsi="Times New Roman" w:eastAsia="宋体" w:cs="Times New Roman"/>
                <w:b w:val="0"/>
                <w:bCs w:val="0"/>
                <w:color w:val="auto"/>
                <w:sz w:val="21"/>
                <w:szCs w:val="21"/>
                <w:highlight w:val="none"/>
              </w:rPr>
              <w:t>措施</w:t>
            </w:r>
          </w:p>
        </w:tc>
        <w:tc>
          <w:tcPr>
            <w:tcW w:w="4229" w:type="pct"/>
            <w:gridSpan w:val="4"/>
            <w:noWrap w:val="0"/>
            <w:tcMar>
              <w:left w:w="28" w:type="dxa"/>
              <w:right w:w="28" w:type="dxa"/>
            </w:tcMar>
            <w:vAlign w:val="center"/>
          </w:tcPr>
          <w:p w14:paraId="28B6672C">
            <w:pPr>
              <w:keepNext w:val="0"/>
              <w:keepLines w:val="0"/>
              <w:pageBreakBefore w:val="0"/>
              <w:kinsoku/>
              <w:wordWrap/>
              <w:overflowPunct/>
              <w:topLinePunct w:val="0"/>
              <w:bidi w:val="0"/>
              <w:adjustRightInd w:val="0"/>
              <w:snapToGrid w:val="0"/>
              <w:spacing w:line="240" w:lineRule="auto"/>
              <w:ind w:right="0" w:firstLine="0" w:firstLineChars="0"/>
              <w:jc w:val="left"/>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（1）源头上控制对地下水的污染：实施清洁生产和循环经济，减少污染物的排放量。从设计、管理各种工艺设备和物料运输线路上，预防和减少污染物的跑冒滴漏；合理布局，减少污染物泄漏途径。（2）</w:t>
            </w:r>
            <w:r>
              <w:rPr>
                <w:rFonts w:hint="eastAsia" w:cs="Times New Roman"/>
                <w:b w:val="0"/>
                <w:bCs w:val="0"/>
                <w:color w:val="auto"/>
                <w:sz w:val="21"/>
                <w:szCs w:val="21"/>
                <w:highlight w:val="none"/>
                <w:lang w:eastAsia="zh-CN"/>
              </w:rPr>
              <w:t>危废仓库</w:t>
            </w:r>
            <w:r>
              <w:rPr>
                <w:rFonts w:hint="default" w:ascii="Times New Roman" w:hAnsi="Times New Roman" w:eastAsia="宋体" w:cs="Times New Roman"/>
                <w:b w:val="0"/>
                <w:bCs w:val="0"/>
                <w:color w:val="auto"/>
                <w:sz w:val="21"/>
                <w:szCs w:val="21"/>
                <w:highlight w:val="none"/>
              </w:rPr>
              <w:t>车间等采取相应的防渗防漏措施，以及采取分区防控措施；生产过程严格控制，定期对管道、设备等进行检修，预防</w:t>
            </w:r>
            <w:r>
              <w:rPr>
                <w:rFonts w:hint="default" w:ascii="Times New Roman" w:hAnsi="Times New Roman" w:eastAsia="宋体" w:cs="Times New Roman"/>
                <w:b w:val="0"/>
                <w:bCs w:val="0"/>
                <w:color w:val="auto"/>
                <w:sz w:val="21"/>
                <w:szCs w:val="21"/>
                <w:highlight w:val="none"/>
                <w:shd w:val="clear" w:fill="auto"/>
              </w:rPr>
              <w:t>跑</w:t>
            </w:r>
            <w:r>
              <w:rPr>
                <w:rFonts w:hint="default" w:ascii="Times New Roman" w:hAnsi="Times New Roman" w:eastAsia="宋体" w:cs="Times New Roman"/>
                <w:b w:val="0"/>
                <w:bCs w:val="0"/>
                <w:color w:val="auto"/>
                <w:sz w:val="21"/>
                <w:szCs w:val="21"/>
                <w:highlight w:val="none"/>
              </w:rPr>
              <w:t>、冒、滴、漏现象发生。（3）</w:t>
            </w:r>
            <w:r>
              <w:rPr>
                <w:rFonts w:hint="eastAsia" w:cs="Times New Roman"/>
                <w:b w:val="0"/>
                <w:bCs w:val="0"/>
                <w:color w:val="auto"/>
                <w:sz w:val="21"/>
                <w:szCs w:val="21"/>
                <w:highlight w:val="none"/>
                <w:lang w:val="en-US" w:eastAsia="zh-CN"/>
              </w:rPr>
              <w:t>漂洗废水</w:t>
            </w:r>
            <w:r>
              <w:rPr>
                <w:rFonts w:hint="default" w:ascii="Times New Roman" w:hAnsi="Times New Roman" w:eastAsia="宋体" w:cs="Times New Roman"/>
                <w:b w:val="0"/>
                <w:bCs w:val="0"/>
                <w:color w:val="auto"/>
                <w:sz w:val="21"/>
                <w:szCs w:val="21"/>
                <w:highlight w:val="none"/>
              </w:rPr>
              <w:t>设专用防渗管沟，管沟上设活动观察顶盖，以便出现渗漏问题及时发现解决；完善</w:t>
            </w:r>
            <w:r>
              <w:rPr>
                <w:rFonts w:hint="default" w:ascii="Times New Roman" w:hAnsi="Times New Roman" w:eastAsia="宋体" w:cs="Times New Roman"/>
                <w:b w:val="0"/>
                <w:bCs w:val="0"/>
                <w:color w:val="auto"/>
                <w:sz w:val="21"/>
                <w:szCs w:val="21"/>
                <w:highlight w:val="none"/>
                <w:shd w:val="clear" w:fill="auto"/>
              </w:rPr>
              <w:t>雨</w:t>
            </w:r>
            <w:r>
              <w:rPr>
                <w:rFonts w:hint="default" w:ascii="Times New Roman" w:hAnsi="Times New Roman" w:eastAsia="宋体" w:cs="Times New Roman"/>
                <w:b w:val="0"/>
                <w:bCs w:val="0"/>
                <w:color w:val="auto"/>
                <w:sz w:val="21"/>
                <w:szCs w:val="21"/>
                <w:highlight w:val="none"/>
              </w:rPr>
              <w:t>污管网系统，保证污水能够顺畅排入市政污水管网；</w:t>
            </w:r>
            <w:r>
              <w:rPr>
                <w:rFonts w:hint="eastAsia" w:cs="Times New Roman"/>
                <w:b w:val="0"/>
                <w:bCs w:val="0"/>
                <w:color w:val="auto"/>
                <w:sz w:val="21"/>
                <w:szCs w:val="21"/>
                <w:highlight w:val="none"/>
                <w:lang w:val="en-US" w:eastAsia="zh-CN"/>
              </w:rPr>
              <w:t>污水</w:t>
            </w:r>
            <w:r>
              <w:rPr>
                <w:rFonts w:hint="default" w:ascii="Times New Roman" w:hAnsi="Times New Roman" w:eastAsia="宋体" w:cs="Times New Roman"/>
                <w:b w:val="0"/>
                <w:bCs w:val="0"/>
                <w:color w:val="auto"/>
                <w:sz w:val="21"/>
                <w:szCs w:val="21"/>
                <w:highlight w:val="none"/>
              </w:rPr>
              <w:t>处理设施设置防渗、防腐衬层。</w:t>
            </w:r>
            <w:r>
              <w:rPr>
                <w:rFonts w:hint="default" w:ascii="Times New Roman" w:hAnsi="Times New Roman" w:eastAsia="宋体" w:cs="Times New Roman"/>
                <w:b w:val="0"/>
                <w:bCs w:val="0"/>
                <w:color w:val="auto"/>
                <w:kern w:val="2"/>
                <w:sz w:val="21"/>
                <w:szCs w:val="21"/>
                <w:highlight w:val="none"/>
              </w:rPr>
              <w:t>（4）分区防控措施。</w:t>
            </w:r>
          </w:p>
        </w:tc>
      </w:tr>
      <w:tr w14:paraId="0127B2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770" w:type="pct"/>
            <w:noWrap w:val="0"/>
            <w:tcMar>
              <w:left w:w="28" w:type="dxa"/>
              <w:right w:w="28" w:type="dxa"/>
            </w:tcMar>
            <w:vAlign w:val="center"/>
          </w:tcPr>
          <w:p w14:paraId="51347432">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生态保护措施</w:t>
            </w:r>
          </w:p>
        </w:tc>
        <w:tc>
          <w:tcPr>
            <w:tcW w:w="4229" w:type="pct"/>
            <w:gridSpan w:val="4"/>
            <w:noWrap w:val="0"/>
            <w:tcMar>
              <w:left w:w="28" w:type="dxa"/>
              <w:right w:w="28" w:type="dxa"/>
            </w:tcMar>
            <w:vAlign w:val="center"/>
          </w:tcPr>
          <w:p w14:paraId="0E6D2B16">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shd w:val="clear" w:fill="auto"/>
              </w:rPr>
              <w:t>无</w:t>
            </w:r>
          </w:p>
        </w:tc>
      </w:tr>
      <w:tr w14:paraId="561886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770" w:type="pct"/>
            <w:noWrap w:val="0"/>
            <w:tcMar>
              <w:left w:w="28" w:type="dxa"/>
              <w:right w:w="28" w:type="dxa"/>
            </w:tcMar>
            <w:vAlign w:val="center"/>
          </w:tcPr>
          <w:p w14:paraId="15431DCF">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环境风险</w:t>
            </w:r>
          </w:p>
          <w:p w14:paraId="59CFE210">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防范措施</w:t>
            </w:r>
          </w:p>
        </w:tc>
        <w:tc>
          <w:tcPr>
            <w:tcW w:w="4229" w:type="pct"/>
            <w:gridSpan w:val="4"/>
            <w:noWrap w:val="0"/>
            <w:tcMar>
              <w:left w:w="28" w:type="dxa"/>
              <w:right w:w="28" w:type="dxa"/>
            </w:tcMar>
            <w:vAlign w:val="center"/>
          </w:tcPr>
          <w:p w14:paraId="3B60F301">
            <w:pPr>
              <w:keepNext w:val="0"/>
              <w:keepLines w:val="0"/>
              <w:pageBreakBefore w:val="0"/>
              <w:kinsoku/>
              <w:wordWrap/>
              <w:overflowPunct/>
              <w:topLinePunct w:val="0"/>
              <w:bidi w:val="0"/>
              <w:adjustRightInd w:val="0"/>
              <w:snapToGrid w:val="0"/>
              <w:spacing w:line="240" w:lineRule="auto"/>
              <w:ind w:right="0" w:firstLine="0" w:firstLineChars="0"/>
              <w:jc w:val="left"/>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color w:val="auto"/>
                <w:sz w:val="21"/>
                <w:szCs w:val="21"/>
                <w:highlight w:val="none"/>
              </w:rPr>
              <w:t>危险</w:t>
            </w:r>
            <w:r>
              <w:rPr>
                <w:rFonts w:hint="default" w:ascii="Times New Roman" w:hAnsi="Times New Roman" w:eastAsia="宋体" w:cs="Times New Roman"/>
                <w:color w:val="auto"/>
                <w:sz w:val="21"/>
                <w:szCs w:val="21"/>
                <w:highlight w:val="none"/>
                <w:shd w:val="clear" w:fill="auto"/>
              </w:rPr>
              <w:t>废物</w:t>
            </w:r>
            <w:r>
              <w:rPr>
                <w:rFonts w:hint="default" w:ascii="Times New Roman" w:hAnsi="Times New Roman" w:eastAsia="宋体" w:cs="Times New Roman"/>
                <w:color w:val="auto"/>
                <w:sz w:val="21"/>
                <w:szCs w:val="21"/>
                <w:highlight w:val="none"/>
              </w:rPr>
              <w:t>（库）暂存场应防风、防晒、防雨、防漏、防渗、防腐以及其他环境污染</w:t>
            </w:r>
            <w:r>
              <w:rPr>
                <w:rFonts w:hint="default" w:ascii="Times New Roman" w:hAnsi="Times New Roman" w:eastAsia="宋体" w:cs="Times New Roman"/>
                <w:color w:val="auto"/>
                <w:sz w:val="21"/>
                <w:szCs w:val="21"/>
                <w:highlight w:val="none"/>
                <w:shd w:val="clear" w:fill="auto"/>
              </w:rPr>
              <w:t>防治</w:t>
            </w:r>
            <w:r>
              <w:rPr>
                <w:rFonts w:hint="default" w:ascii="Times New Roman" w:hAnsi="Times New Roman" w:eastAsia="宋体" w:cs="Times New Roman"/>
                <w:color w:val="auto"/>
                <w:sz w:val="21"/>
                <w:szCs w:val="21"/>
                <w:highlight w:val="none"/>
              </w:rPr>
              <w:t>措施，不应露天堆放危险</w:t>
            </w:r>
            <w:r>
              <w:rPr>
                <w:rFonts w:hint="default" w:ascii="Times New Roman" w:hAnsi="Times New Roman" w:eastAsia="宋体" w:cs="Times New Roman"/>
                <w:color w:val="auto"/>
                <w:sz w:val="21"/>
                <w:szCs w:val="21"/>
                <w:highlight w:val="none"/>
                <w:shd w:val="clear" w:fill="auto"/>
              </w:rPr>
              <w:t>废物</w:t>
            </w:r>
            <w:r>
              <w:rPr>
                <w:rFonts w:hint="default" w:ascii="Times New Roman" w:hAnsi="Times New Roman" w:eastAsia="宋体" w:cs="Times New Roman"/>
                <w:color w:val="auto"/>
                <w:sz w:val="21"/>
                <w:szCs w:val="21"/>
                <w:highlight w:val="none"/>
              </w:rPr>
              <w:t>；危险</w:t>
            </w:r>
            <w:r>
              <w:rPr>
                <w:rFonts w:hint="default" w:ascii="Times New Roman" w:hAnsi="Times New Roman" w:eastAsia="宋体" w:cs="Times New Roman"/>
                <w:color w:val="auto"/>
                <w:sz w:val="21"/>
                <w:szCs w:val="21"/>
                <w:highlight w:val="none"/>
                <w:shd w:val="clear" w:fill="auto"/>
              </w:rPr>
              <w:t>废物</w:t>
            </w:r>
            <w:r>
              <w:rPr>
                <w:rFonts w:hint="default" w:ascii="Times New Roman" w:hAnsi="Times New Roman" w:eastAsia="宋体" w:cs="Times New Roman"/>
                <w:color w:val="auto"/>
                <w:sz w:val="21"/>
                <w:szCs w:val="21"/>
                <w:highlight w:val="none"/>
              </w:rPr>
              <w:t>密闭保存，加强巡视，及时处置。加强现场管理，消除</w:t>
            </w:r>
            <w:r>
              <w:rPr>
                <w:rFonts w:hint="default" w:ascii="Times New Roman" w:hAnsi="Times New Roman" w:eastAsia="宋体" w:cs="Times New Roman"/>
                <w:color w:val="auto"/>
                <w:sz w:val="21"/>
                <w:szCs w:val="21"/>
                <w:highlight w:val="none"/>
                <w:shd w:val="clear" w:fill="auto"/>
              </w:rPr>
              <w:t>跑</w:t>
            </w:r>
            <w:r>
              <w:rPr>
                <w:rFonts w:hint="default" w:ascii="Times New Roman" w:hAnsi="Times New Roman" w:eastAsia="宋体" w:cs="Times New Roman"/>
                <w:color w:val="auto"/>
                <w:sz w:val="21"/>
                <w:szCs w:val="21"/>
                <w:highlight w:val="none"/>
              </w:rPr>
              <w:t>、冒、滴、漏；</w:t>
            </w:r>
            <w:r>
              <w:rPr>
                <w:rFonts w:hint="eastAsia" w:cs="Times New Roman"/>
                <w:color w:val="auto"/>
                <w:sz w:val="21"/>
                <w:szCs w:val="21"/>
                <w:highlight w:val="none"/>
                <w:lang w:val="en-US" w:eastAsia="zh-CN"/>
              </w:rPr>
              <w:t>机油、切削液</w:t>
            </w:r>
            <w:r>
              <w:rPr>
                <w:rFonts w:hint="default" w:ascii="Times New Roman" w:hAnsi="Times New Roman" w:eastAsia="宋体" w:cs="Times New Roman"/>
                <w:color w:val="auto"/>
                <w:sz w:val="21"/>
                <w:szCs w:val="21"/>
                <w:highlight w:val="none"/>
                <w:lang w:val="en-US" w:eastAsia="zh-CN"/>
              </w:rPr>
              <w:t>等尽量减少存储量，放置在通风处；</w:t>
            </w:r>
            <w:r>
              <w:rPr>
                <w:rFonts w:hint="default" w:ascii="Times New Roman" w:hAnsi="Times New Roman" w:eastAsia="宋体" w:cs="Times New Roman"/>
                <w:color w:val="auto"/>
                <w:sz w:val="21"/>
                <w:szCs w:val="21"/>
                <w:highlight w:val="none"/>
              </w:rPr>
              <w:t>建立健全安全规程及</w:t>
            </w:r>
            <w:r>
              <w:rPr>
                <w:rFonts w:hint="default" w:ascii="Times New Roman" w:hAnsi="Times New Roman" w:eastAsia="宋体" w:cs="Times New Roman"/>
                <w:color w:val="auto"/>
                <w:sz w:val="21"/>
                <w:szCs w:val="21"/>
                <w:highlight w:val="none"/>
                <w:shd w:val="clear" w:fill="auto"/>
              </w:rPr>
              <w:t>值勤</w:t>
            </w:r>
            <w:r>
              <w:rPr>
                <w:rFonts w:hint="default" w:ascii="Times New Roman" w:hAnsi="Times New Roman" w:eastAsia="宋体" w:cs="Times New Roman"/>
                <w:color w:val="auto"/>
                <w:sz w:val="21"/>
                <w:szCs w:val="21"/>
                <w:highlight w:val="none"/>
              </w:rPr>
              <w:t>制度，设置通信、报警装置，确保其处于完好状态，设置专人定期检查原辅料区及危险</w:t>
            </w:r>
            <w:r>
              <w:rPr>
                <w:rFonts w:hint="default" w:ascii="Times New Roman" w:hAnsi="Times New Roman" w:eastAsia="宋体" w:cs="Times New Roman"/>
                <w:color w:val="auto"/>
                <w:sz w:val="21"/>
                <w:szCs w:val="21"/>
                <w:highlight w:val="none"/>
                <w:shd w:val="clear" w:fill="auto"/>
              </w:rPr>
              <w:t>废物</w:t>
            </w:r>
            <w:r>
              <w:rPr>
                <w:rFonts w:hint="default" w:ascii="Times New Roman" w:hAnsi="Times New Roman" w:eastAsia="宋体" w:cs="Times New Roman"/>
                <w:color w:val="auto"/>
                <w:sz w:val="21"/>
                <w:szCs w:val="21"/>
                <w:highlight w:val="none"/>
              </w:rPr>
              <w:t>暂存场的暂存情况；定期检查厂内各风险防范措施的完善情况，</w:t>
            </w:r>
            <w:r>
              <w:rPr>
                <w:rFonts w:hint="default" w:ascii="Times New Roman" w:hAnsi="Times New Roman" w:eastAsia="宋体" w:cs="Times New Roman"/>
                <w:color w:val="auto"/>
                <w:sz w:val="21"/>
                <w:szCs w:val="21"/>
                <w:highlight w:val="none"/>
                <w:shd w:val="clear" w:fill="auto"/>
              </w:rPr>
              <w:t>设置</w:t>
            </w:r>
            <w:r>
              <w:rPr>
                <w:rFonts w:hint="default" w:ascii="Times New Roman" w:hAnsi="Times New Roman" w:eastAsia="宋体" w:cs="Times New Roman"/>
                <w:color w:val="auto"/>
                <w:sz w:val="21"/>
                <w:szCs w:val="21"/>
                <w:highlight w:val="none"/>
              </w:rPr>
              <w:t>应急物资，建立健全应急防范机制</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远离火源、热源处</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尽量减少存储量</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厂区按要求分区防控，做好地面</w:t>
            </w:r>
            <w:r>
              <w:rPr>
                <w:rFonts w:hint="default" w:ascii="Times New Roman" w:hAnsi="Times New Roman" w:eastAsia="宋体" w:cs="Times New Roman"/>
                <w:color w:val="auto"/>
                <w:sz w:val="21"/>
                <w:szCs w:val="21"/>
                <w:highlight w:val="none"/>
                <w:shd w:val="clear" w:fill="auto"/>
                <w:lang w:val="en-US" w:eastAsia="zh-CN"/>
              </w:rPr>
              <w:t>防渗</w:t>
            </w:r>
            <w:r>
              <w:rPr>
                <w:rFonts w:hint="default" w:ascii="Times New Roman" w:hAnsi="Times New Roman" w:eastAsia="宋体" w:cs="Times New Roman"/>
                <w:color w:val="auto"/>
                <w:sz w:val="21"/>
                <w:szCs w:val="21"/>
                <w:highlight w:val="none"/>
                <w:lang w:val="en-US" w:eastAsia="zh-CN"/>
              </w:rPr>
              <w:t>，并定期检查维护；</w:t>
            </w:r>
            <w:r>
              <w:rPr>
                <w:rFonts w:hint="eastAsia" w:cs="Times New Roman"/>
                <w:color w:val="auto"/>
                <w:sz w:val="21"/>
                <w:szCs w:val="21"/>
                <w:highlight w:val="none"/>
                <w:lang w:val="en-US" w:eastAsia="zh-CN"/>
              </w:rPr>
              <w:t>新建</w:t>
            </w:r>
            <w:r>
              <w:rPr>
                <w:rFonts w:hint="default" w:ascii="Times New Roman" w:hAnsi="Times New Roman" w:eastAsia="宋体" w:cs="Times New Roman"/>
                <w:color w:val="auto"/>
                <w:sz w:val="21"/>
                <w:szCs w:val="21"/>
                <w:highlight w:val="none"/>
                <w:lang w:val="en-US" w:eastAsia="zh-CN"/>
              </w:rPr>
              <w:t>应急事故</w:t>
            </w:r>
            <w:r>
              <w:rPr>
                <w:rFonts w:hint="default" w:ascii="Times New Roman" w:hAnsi="Times New Roman" w:eastAsia="宋体" w:cs="Times New Roman"/>
                <w:color w:val="auto"/>
                <w:sz w:val="21"/>
                <w:szCs w:val="21"/>
                <w:highlight w:val="none"/>
                <w:shd w:val="clear" w:fill="auto"/>
                <w:lang w:val="en-US" w:eastAsia="zh-CN"/>
              </w:rPr>
              <w:t>池</w:t>
            </w:r>
            <w:r>
              <w:rPr>
                <w:rFonts w:hint="default" w:ascii="Times New Roman" w:hAnsi="Times New Roman" w:eastAsia="宋体" w:cs="Times New Roman"/>
                <w:color w:val="auto"/>
                <w:sz w:val="21"/>
                <w:szCs w:val="21"/>
                <w:highlight w:val="none"/>
                <w:lang w:val="en-US" w:eastAsia="zh-CN"/>
              </w:rPr>
              <w:t>。</w:t>
            </w:r>
          </w:p>
        </w:tc>
      </w:tr>
      <w:tr w14:paraId="0E3D46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1" w:type="dxa"/>
            <w:bottom w:w="0" w:type="dxa"/>
            <w:right w:w="11" w:type="dxa"/>
          </w:tblCellMar>
        </w:tblPrEx>
        <w:trPr>
          <w:trHeight w:val="340" w:hRule="atLeast"/>
        </w:trPr>
        <w:tc>
          <w:tcPr>
            <w:tcW w:w="770" w:type="pct"/>
            <w:noWrap w:val="0"/>
            <w:tcMar>
              <w:left w:w="28" w:type="dxa"/>
              <w:right w:w="28" w:type="dxa"/>
            </w:tcMar>
            <w:vAlign w:val="center"/>
          </w:tcPr>
          <w:p w14:paraId="6F4E9EFF">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其他环境</w:t>
            </w:r>
          </w:p>
          <w:p w14:paraId="7647779E">
            <w:pPr>
              <w:keepNext w:val="0"/>
              <w:keepLines w:val="0"/>
              <w:pageBreakBefore w:val="0"/>
              <w:kinsoku/>
              <w:wordWrap/>
              <w:overflowPunct/>
              <w:topLinePunct w:val="0"/>
              <w:bidi w:val="0"/>
              <w:adjustRightInd w:val="0"/>
              <w:snapToGrid w:val="0"/>
              <w:spacing w:line="240" w:lineRule="auto"/>
              <w:ind w:right="0" w:firstLine="0" w:firstLineChars="0"/>
              <w:jc w:val="center"/>
              <w:textAlignment w:val="auto"/>
              <w:rPr>
                <w:rFonts w:hint="default" w:ascii="Times New Roman" w:hAnsi="Times New Roman" w:eastAsia="宋体" w:cs="Times New Roman"/>
                <w:b w:val="0"/>
                <w:bCs w:val="0"/>
                <w:color w:val="auto"/>
                <w:sz w:val="21"/>
                <w:szCs w:val="21"/>
                <w:highlight w:val="none"/>
              </w:rPr>
            </w:pPr>
            <w:r>
              <w:rPr>
                <w:rFonts w:hint="default" w:ascii="Times New Roman" w:hAnsi="Times New Roman" w:eastAsia="宋体" w:cs="Times New Roman"/>
                <w:b w:val="0"/>
                <w:bCs w:val="0"/>
                <w:color w:val="auto"/>
                <w:sz w:val="21"/>
                <w:szCs w:val="21"/>
                <w:highlight w:val="none"/>
              </w:rPr>
              <w:t>管理要求</w:t>
            </w:r>
          </w:p>
        </w:tc>
        <w:tc>
          <w:tcPr>
            <w:tcW w:w="4229" w:type="pct"/>
            <w:gridSpan w:val="4"/>
            <w:noWrap w:val="0"/>
            <w:tcMar>
              <w:left w:w="28" w:type="dxa"/>
              <w:right w:w="28" w:type="dxa"/>
            </w:tcMar>
            <w:vAlign w:val="center"/>
          </w:tcPr>
          <w:p w14:paraId="4587E8C4">
            <w:pPr>
              <w:pStyle w:val="28"/>
              <w:keepNext w:val="0"/>
              <w:keepLines w:val="0"/>
              <w:pageBreakBefore w:val="0"/>
              <w:kinsoku/>
              <w:wordWrap/>
              <w:overflowPunct/>
              <w:topLinePunct w:val="0"/>
              <w:bidi w:val="0"/>
              <w:spacing w:line="240" w:lineRule="auto"/>
              <w:ind w:right="0" w:firstLine="0" w:firstLineChars="0"/>
              <w:jc w:val="left"/>
              <w:textAlignment w:val="auto"/>
              <w:rPr>
                <w:rFonts w:hint="default" w:ascii="Times New Roman" w:hAnsi="Times New Roman" w:eastAsia="宋体" w:cs="Times New Roman"/>
                <w:b w:val="0"/>
                <w:bCs w:val="0"/>
                <w:color w:val="auto"/>
                <w:kern w:val="0"/>
                <w:sz w:val="21"/>
                <w:szCs w:val="21"/>
                <w:highlight w:val="none"/>
                <w:lang w:eastAsia="zh-CN"/>
              </w:rPr>
            </w:pPr>
            <w:r>
              <w:rPr>
                <w:rFonts w:hint="default" w:ascii="Times New Roman" w:hAnsi="Times New Roman" w:eastAsia="宋体" w:cs="Times New Roman"/>
                <w:b w:val="0"/>
                <w:bCs w:val="0"/>
                <w:color w:val="auto"/>
                <w:kern w:val="0"/>
                <w:sz w:val="21"/>
                <w:szCs w:val="21"/>
                <w:highlight w:val="none"/>
              </w:rPr>
              <w:t>项目的环保设施必须与主体工程同时设计、同时施工、同时</w:t>
            </w:r>
            <w:r>
              <w:rPr>
                <w:rFonts w:hint="default" w:ascii="Times New Roman" w:hAnsi="Times New Roman" w:eastAsia="宋体" w:cs="Times New Roman"/>
                <w:b w:val="0"/>
                <w:bCs w:val="0"/>
                <w:color w:val="auto"/>
                <w:kern w:val="0"/>
                <w:sz w:val="21"/>
                <w:szCs w:val="21"/>
                <w:highlight w:val="none"/>
                <w:lang w:val="en-US" w:eastAsia="zh-CN"/>
              </w:rPr>
              <w:t>投入使用</w:t>
            </w:r>
            <w:r>
              <w:rPr>
                <w:rFonts w:hint="default" w:ascii="Times New Roman" w:hAnsi="Times New Roman" w:eastAsia="宋体" w:cs="Times New Roman"/>
                <w:b w:val="0"/>
                <w:bCs w:val="0"/>
                <w:color w:val="auto"/>
                <w:kern w:val="0"/>
                <w:sz w:val="21"/>
                <w:szCs w:val="21"/>
                <w:highlight w:val="none"/>
              </w:rPr>
              <w:t>。项目竣工后，须按排污许可相关规定办理排污许可手续，并组织项目竣工环境保护验收，完成后方可投入</w:t>
            </w:r>
            <w:r>
              <w:rPr>
                <w:rFonts w:hint="default" w:ascii="Times New Roman" w:hAnsi="Times New Roman" w:eastAsia="宋体" w:cs="Times New Roman"/>
                <w:b w:val="0"/>
                <w:bCs w:val="0"/>
                <w:color w:val="auto"/>
                <w:kern w:val="0"/>
                <w:sz w:val="21"/>
                <w:szCs w:val="21"/>
                <w:highlight w:val="none"/>
                <w:lang w:val="en-US" w:eastAsia="zh-CN"/>
              </w:rPr>
              <w:t>正式</w:t>
            </w:r>
            <w:r>
              <w:rPr>
                <w:rFonts w:hint="default" w:ascii="Times New Roman" w:hAnsi="Times New Roman" w:eastAsia="宋体" w:cs="Times New Roman"/>
                <w:b w:val="0"/>
                <w:bCs w:val="0"/>
                <w:color w:val="auto"/>
                <w:kern w:val="0"/>
                <w:sz w:val="21"/>
                <w:szCs w:val="21"/>
                <w:highlight w:val="none"/>
              </w:rPr>
              <w:t>生产。建设单位应对本项目环境治理设施开展安全风险辨识及安全生产“三同时”工作</w:t>
            </w:r>
            <w:r>
              <w:rPr>
                <w:rFonts w:hint="default" w:ascii="Times New Roman" w:hAnsi="Times New Roman" w:eastAsia="宋体" w:cs="Times New Roman"/>
                <w:b w:val="0"/>
                <w:bCs w:val="0"/>
                <w:color w:val="auto"/>
                <w:kern w:val="0"/>
                <w:sz w:val="21"/>
                <w:szCs w:val="21"/>
                <w:highlight w:val="none"/>
                <w:lang w:eastAsia="zh-CN"/>
              </w:rPr>
              <w:t>。</w:t>
            </w:r>
          </w:p>
        </w:tc>
      </w:tr>
    </w:tbl>
    <w:p w14:paraId="494DF640">
      <w:pPr>
        <w:pStyle w:val="25"/>
        <w:rPr>
          <w:rFonts w:hint="default" w:ascii="Times New Roman" w:hAnsi="Times New Roman" w:eastAsia="宋体" w:cs="Times New Roman"/>
          <w:color w:val="auto"/>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F26DD8A">
      <w:pPr>
        <w:pStyle w:val="15"/>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outlineLvl w:val="0"/>
        <w:rPr>
          <w:rFonts w:hint="default" w:ascii="Times New Roman" w:hAnsi="Times New Roman" w:eastAsia="宋体" w:cs="Times New Roman"/>
          <w:b/>
          <w:bCs/>
          <w:snapToGrid w:val="0"/>
          <w:color w:val="auto"/>
          <w:sz w:val="28"/>
          <w:szCs w:val="28"/>
        </w:rPr>
      </w:pPr>
      <w:r>
        <w:rPr>
          <w:rFonts w:hint="default" w:ascii="Times New Roman" w:hAnsi="Times New Roman" w:eastAsia="宋体" w:cs="Times New Roman"/>
          <w:b/>
          <w:bCs/>
          <w:snapToGrid w:val="0"/>
          <w:color w:val="auto"/>
          <w:sz w:val="28"/>
          <w:szCs w:val="28"/>
        </w:rPr>
        <w:t>六、结论</w:t>
      </w:r>
    </w:p>
    <w:tbl>
      <w:tblPr>
        <w:tblStyle w:val="17"/>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19EAEB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42" w:hRule="atLeast"/>
          <w:jc w:val="center"/>
        </w:trPr>
        <w:tc>
          <w:tcPr>
            <w:tcW w:w="5000" w:type="pct"/>
            <w:noWrap w:val="0"/>
            <w:vAlign w:val="top"/>
          </w:tcPr>
          <w:p w14:paraId="298D0C1C">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rPr>
              <w:t>项目符合《建设项目环境保护管理条例》（2017修订版）的相关要求，基本符合</w:t>
            </w:r>
            <w:r>
              <w:rPr>
                <w:rFonts w:hint="default" w:ascii="Times New Roman" w:hAnsi="Times New Roman" w:eastAsia="宋体" w:cs="Times New Roman"/>
                <w:color w:val="auto"/>
                <w:sz w:val="24"/>
                <w:shd w:val="clear" w:fill="auto"/>
              </w:rPr>
              <w:t>国家</w:t>
            </w:r>
            <w:r>
              <w:rPr>
                <w:rFonts w:hint="default" w:ascii="Times New Roman" w:hAnsi="Times New Roman" w:eastAsia="宋体" w:cs="Times New Roman"/>
                <w:color w:val="auto"/>
                <w:sz w:val="24"/>
              </w:rPr>
              <w:t>及地方有关产业政策；项目基本符合城市总体规划及用地规划要求，选址较合理；本项目采取各项污染</w:t>
            </w:r>
            <w:r>
              <w:rPr>
                <w:rFonts w:hint="default" w:ascii="Times New Roman" w:hAnsi="Times New Roman" w:eastAsia="宋体" w:cs="Times New Roman"/>
                <w:color w:val="auto"/>
                <w:sz w:val="24"/>
                <w:highlight w:val="none"/>
                <w:shd w:val="clear" w:fill="auto"/>
              </w:rPr>
              <w:t>防治</w:t>
            </w:r>
            <w:r>
              <w:rPr>
                <w:rFonts w:hint="default" w:ascii="Times New Roman" w:hAnsi="Times New Roman" w:eastAsia="宋体" w:cs="Times New Roman"/>
                <w:color w:val="auto"/>
                <w:sz w:val="24"/>
              </w:rPr>
              <w:t>措施后污染物实现达标排放，所在地的现有环境功能不下降；本项目建成后排放的各类污染物可以在</w:t>
            </w:r>
            <w:r>
              <w:rPr>
                <w:rFonts w:hint="eastAsia" w:cs="Times New Roman"/>
                <w:color w:val="auto"/>
                <w:sz w:val="24"/>
                <w:lang w:val="en-US" w:eastAsia="zh-CN"/>
              </w:rPr>
              <w:t>金坛区</w:t>
            </w:r>
            <w:r>
              <w:rPr>
                <w:rFonts w:hint="default" w:ascii="Times New Roman" w:hAnsi="Times New Roman" w:eastAsia="宋体" w:cs="Times New Roman"/>
                <w:color w:val="auto"/>
                <w:sz w:val="24"/>
              </w:rPr>
              <w:t>平衡；在做好各项风险防范及应急措施的前提下本项目的环境风险在可接受水平内。落实本报告</w:t>
            </w:r>
            <w:r>
              <w:rPr>
                <w:rFonts w:hint="default" w:ascii="Times New Roman" w:hAnsi="Times New Roman" w:eastAsia="宋体" w:cs="Times New Roman"/>
                <w:color w:val="auto"/>
                <w:sz w:val="24"/>
                <w:shd w:val="clear" w:fill="auto"/>
              </w:rPr>
              <w:t>表</w:t>
            </w:r>
            <w:r>
              <w:rPr>
                <w:rFonts w:hint="default" w:ascii="Times New Roman" w:hAnsi="Times New Roman" w:eastAsia="宋体" w:cs="Times New Roman"/>
                <w:color w:val="auto"/>
                <w:sz w:val="24"/>
              </w:rPr>
              <w:t>提出的各项环保措施要求、严格执行环保“三同时”</w:t>
            </w:r>
            <w:r>
              <w:rPr>
                <w:rFonts w:hint="default" w:ascii="Times New Roman" w:hAnsi="Times New Roman" w:eastAsia="宋体" w:cs="Times New Roman"/>
                <w:color w:val="auto"/>
                <w:sz w:val="24"/>
                <w:lang w:eastAsia="zh-CN"/>
              </w:rPr>
              <w:t>。</w:t>
            </w:r>
          </w:p>
          <w:p w14:paraId="480F8108">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从</w:t>
            </w:r>
            <w:r>
              <w:rPr>
                <w:rFonts w:hint="default" w:ascii="Times New Roman" w:hAnsi="Times New Roman" w:eastAsia="宋体" w:cs="Times New Roman"/>
                <w:color w:val="auto"/>
                <w:sz w:val="24"/>
                <w:lang w:val="en-US" w:eastAsia="zh-CN"/>
              </w:rPr>
              <w:t>环境保护角度分析</w:t>
            </w:r>
            <w:r>
              <w:rPr>
                <w:rFonts w:hint="default" w:ascii="Times New Roman" w:hAnsi="Times New Roman" w:eastAsia="宋体" w:cs="Times New Roman"/>
                <w:color w:val="auto"/>
                <w:sz w:val="24"/>
              </w:rPr>
              <w:t>，本项目建设具有环境可行性。</w:t>
            </w:r>
          </w:p>
          <w:p w14:paraId="5656D45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rPr>
            </w:pPr>
          </w:p>
          <w:p w14:paraId="3228A5E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rPr>
            </w:pPr>
          </w:p>
          <w:p w14:paraId="16F6974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rPr>
            </w:pPr>
          </w:p>
          <w:p w14:paraId="02D9098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rPr>
            </w:pPr>
          </w:p>
        </w:tc>
      </w:tr>
    </w:tbl>
    <w:p w14:paraId="07A407FA">
      <w:pPr>
        <w:pStyle w:val="25"/>
        <w:rPr>
          <w:rFonts w:hint="default" w:ascii="Times New Roman" w:hAnsi="Times New Roman" w:eastAsia="宋体" w:cs="Times New Roman"/>
          <w:color w:val="auto"/>
        </w:rPr>
        <w:sectPr>
          <w:pgSz w:w="11906" w:h="16838"/>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C6FBAED">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textAlignment w:val="auto"/>
        <w:outlineLvl w:val="0"/>
        <w:rPr>
          <w:rFonts w:hint="default" w:ascii="Times New Roman" w:hAnsi="Times New Roman" w:eastAsia="宋体" w:cs="Times New Roman"/>
          <w:snapToGrid w:val="0"/>
          <w:color w:val="auto"/>
          <w:sz w:val="24"/>
          <w:szCs w:val="24"/>
        </w:rPr>
      </w:pPr>
      <w:r>
        <w:rPr>
          <w:rFonts w:hint="default" w:ascii="Times New Roman" w:hAnsi="Times New Roman" w:eastAsia="宋体" w:cs="Times New Roman"/>
          <w:snapToGrid w:val="0"/>
          <w:color w:val="auto"/>
          <w:sz w:val="24"/>
          <w:szCs w:val="24"/>
        </w:rPr>
        <w:t>附表</w:t>
      </w:r>
    </w:p>
    <w:p w14:paraId="014A2731">
      <w:pPr>
        <w:pStyle w:val="1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宋体" w:cs="Times New Roman"/>
          <w:snapToGrid w:val="0"/>
          <w:color w:val="auto"/>
          <w:sz w:val="38"/>
          <w:szCs w:val="38"/>
        </w:rPr>
      </w:pPr>
      <w:r>
        <w:rPr>
          <w:rFonts w:hint="default" w:ascii="Times New Roman" w:hAnsi="Times New Roman" w:eastAsia="宋体" w:cs="Times New Roman"/>
          <w:snapToGrid w:val="0"/>
          <w:color w:val="auto"/>
          <w:sz w:val="24"/>
          <w:szCs w:val="24"/>
        </w:rPr>
        <w:t>建设项目污染物排放量汇总表</w:t>
      </w:r>
      <w:r>
        <w:rPr>
          <w:rFonts w:hint="default" w:ascii="Times New Roman" w:hAnsi="Times New Roman" w:eastAsia="宋体" w:cs="Times New Roman"/>
          <w:bCs w:val="0"/>
          <w:snapToGrid w:val="0"/>
          <w:color w:val="auto"/>
          <w:sz w:val="21"/>
          <w:szCs w:val="21"/>
        </w:rPr>
        <w:t>（</w:t>
      </w:r>
      <w:r>
        <w:rPr>
          <w:rFonts w:hint="default" w:ascii="Times New Roman" w:hAnsi="Times New Roman" w:eastAsia="宋体" w:cs="Times New Roman"/>
          <w:bCs w:val="0"/>
          <w:snapToGrid w:val="0"/>
          <w:color w:val="auto"/>
          <w:sz w:val="24"/>
          <w:szCs w:val="24"/>
        </w:rPr>
        <w:t>单位t/a）</w:t>
      </w:r>
    </w:p>
    <w:tbl>
      <w:tblPr>
        <w:tblStyle w:val="17"/>
        <w:tblW w:w="14026"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70"/>
        <w:gridCol w:w="1026"/>
        <w:gridCol w:w="2124"/>
        <w:gridCol w:w="1407"/>
        <w:gridCol w:w="1228"/>
        <w:gridCol w:w="1348"/>
        <w:gridCol w:w="1657"/>
        <w:gridCol w:w="1477"/>
        <w:gridCol w:w="1516"/>
        <w:gridCol w:w="1273"/>
      </w:tblGrid>
      <w:tr w14:paraId="54A0B4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tcBorders>
              <w:tl2br w:val="single" w:color="auto" w:sz="4" w:space="0"/>
            </w:tcBorders>
            <w:noWrap w:val="0"/>
            <w:tcMar>
              <w:left w:w="28" w:type="dxa"/>
              <w:right w:w="28" w:type="dxa"/>
            </w:tcMar>
            <w:vAlign w:val="center"/>
          </w:tcPr>
          <w:p w14:paraId="4B84ED20">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项目</w:t>
            </w:r>
          </w:p>
          <w:p w14:paraId="5000ECF4">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分类</w:t>
            </w:r>
          </w:p>
        </w:tc>
        <w:tc>
          <w:tcPr>
            <w:tcW w:w="3150" w:type="dxa"/>
            <w:gridSpan w:val="2"/>
            <w:noWrap w:val="0"/>
            <w:tcMar>
              <w:left w:w="28" w:type="dxa"/>
              <w:right w:w="28" w:type="dxa"/>
            </w:tcMar>
            <w:vAlign w:val="center"/>
          </w:tcPr>
          <w:p w14:paraId="7C471D3D">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污染物名称</w:t>
            </w:r>
          </w:p>
        </w:tc>
        <w:tc>
          <w:tcPr>
            <w:tcW w:w="1407" w:type="dxa"/>
            <w:noWrap w:val="0"/>
            <w:tcMar>
              <w:left w:w="28" w:type="dxa"/>
              <w:right w:w="28" w:type="dxa"/>
            </w:tcMar>
            <w:vAlign w:val="center"/>
          </w:tcPr>
          <w:p w14:paraId="1D6A9414">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现有工程</w:t>
            </w:r>
          </w:p>
          <w:p w14:paraId="1F260B02">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排放量（固体</w:t>
            </w:r>
            <w:r>
              <w:rPr>
                <w:rFonts w:hint="default" w:ascii="Times New Roman" w:hAnsi="Times New Roman" w:eastAsia="宋体" w:cs="Times New Roman"/>
                <w:snapToGrid w:val="0"/>
                <w:color w:val="auto"/>
                <w:spacing w:val="-6"/>
                <w:kern w:val="21"/>
                <w:sz w:val="21"/>
                <w:szCs w:val="21"/>
                <w:shd w:val="clear" w:fill="auto"/>
              </w:rPr>
              <w:t>废物</w:t>
            </w:r>
            <w:r>
              <w:rPr>
                <w:rFonts w:hint="default" w:ascii="Times New Roman" w:hAnsi="Times New Roman" w:eastAsia="宋体" w:cs="Times New Roman"/>
                <w:snapToGrid w:val="0"/>
                <w:color w:val="auto"/>
                <w:spacing w:val="-6"/>
                <w:kern w:val="21"/>
                <w:sz w:val="21"/>
                <w:szCs w:val="21"/>
              </w:rPr>
              <w:t>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1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①</w:t>
            </w:r>
            <w:r>
              <w:rPr>
                <w:rFonts w:hint="default" w:ascii="Times New Roman" w:hAnsi="Times New Roman" w:eastAsia="宋体" w:cs="Times New Roman"/>
                <w:snapToGrid w:val="0"/>
                <w:color w:val="auto"/>
                <w:spacing w:val="-6"/>
                <w:kern w:val="21"/>
                <w:sz w:val="21"/>
                <w:szCs w:val="21"/>
              </w:rPr>
              <w:fldChar w:fldCharType="end"/>
            </w:r>
          </w:p>
        </w:tc>
        <w:tc>
          <w:tcPr>
            <w:tcW w:w="1228" w:type="dxa"/>
            <w:noWrap w:val="0"/>
            <w:tcMar>
              <w:left w:w="28" w:type="dxa"/>
              <w:right w:w="28" w:type="dxa"/>
            </w:tcMar>
            <w:vAlign w:val="center"/>
          </w:tcPr>
          <w:p w14:paraId="73F69B70">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现有工程</w:t>
            </w:r>
          </w:p>
          <w:p w14:paraId="3D1913D7">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许可排放量</w:t>
            </w:r>
          </w:p>
          <w:p w14:paraId="246B8991">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2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snapToGrid w:val="0"/>
                <w:color w:val="auto"/>
                <w:spacing w:val="-6"/>
                <w:kern w:val="21"/>
                <w:sz w:val="21"/>
                <w:szCs w:val="21"/>
              </w:rPr>
              <w:t>②</w:t>
            </w:r>
            <w:r>
              <w:rPr>
                <w:rFonts w:hint="default" w:ascii="Times New Roman" w:hAnsi="Times New Roman" w:eastAsia="宋体" w:cs="Times New Roman"/>
                <w:snapToGrid w:val="0"/>
                <w:color w:val="auto"/>
                <w:spacing w:val="-6"/>
                <w:kern w:val="21"/>
                <w:sz w:val="21"/>
                <w:szCs w:val="21"/>
              </w:rPr>
              <w:fldChar w:fldCharType="end"/>
            </w:r>
          </w:p>
        </w:tc>
        <w:tc>
          <w:tcPr>
            <w:tcW w:w="1348" w:type="dxa"/>
            <w:noWrap w:val="0"/>
            <w:tcMar>
              <w:left w:w="28" w:type="dxa"/>
              <w:right w:w="28" w:type="dxa"/>
            </w:tcMar>
            <w:vAlign w:val="center"/>
          </w:tcPr>
          <w:p w14:paraId="6968ABA8">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在建工程</w:t>
            </w:r>
          </w:p>
          <w:p w14:paraId="00CAAFAA">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排放量（固体</w:t>
            </w:r>
            <w:r>
              <w:rPr>
                <w:rFonts w:hint="default" w:ascii="Times New Roman" w:hAnsi="Times New Roman" w:eastAsia="宋体" w:cs="Times New Roman"/>
                <w:snapToGrid w:val="0"/>
                <w:color w:val="auto"/>
                <w:spacing w:val="-6"/>
                <w:kern w:val="21"/>
                <w:sz w:val="21"/>
                <w:szCs w:val="21"/>
                <w:shd w:val="clear" w:fill="auto"/>
              </w:rPr>
              <w:t>废物</w:t>
            </w:r>
            <w:r>
              <w:rPr>
                <w:rFonts w:hint="default" w:ascii="Times New Roman" w:hAnsi="Times New Roman" w:eastAsia="宋体" w:cs="Times New Roman"/>
                <w:snapToGrid w:val="0"/>
                <w:color w:val="auto"/>
                <w:spacing w:val="-6"/>
                <w:kern w:val="21"/>
                <w:sz w:val="21"/>
                <w:szCs w:val="21"/>
              </w:rPr>
              <w:t>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3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③</w:t>
            </w:r>
            <w:r>
              <w:rPr>
                <w:rFonts w:hint="default" w:ascii="Times New Roman" w:hAnsi="Times New Roman" w:eastAsia="宋体" w:cs="Times New Roman"/>
                <w:snapToGrid w:val="0"/>
                <w:color w:val="auto"/>
                <w:spacing w:val="-6"/>
                <w:kern w:val="21"/>
                <w:sz w:val="21"/>
                <w:szCs w:val="21"/>
              </w:rPr>
              <w:fldChar w:fldCharType="end"/>
            </w:r>
          </w:p>
        </w:tc>
        <w:tc>
          <w:tcPr>
            <w:tcW w:w="1657" w:type="dxa"/>
            <w:noWrap w:val="0"/>
            <w:tcMar>
              <w:left w:w="28" w:type="dxa"/>
              <w:right w:w="28" w:type="dxa"/>
            </w:tcMar>
            <w:vAlign w:val="center"/>
          </w:tcPr>
          <w:p w14:paraId="7C635299">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本项目</w:t>
            </w:r>
          </w:p>
          <w:p w14:paraId="7D6379D5">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排放量（固体</w:t>
            </w:r>
            <w:r>
              <w:rPr>
                <w:rFonts w:hint="default" w:ascii="Times New Roman" w:hAnsi="Times New Roman" w:eastAsia="宋体" w:cs="Times New Roman"/>
                <w:snapToGrid w:val="0"/>
                <w:color w:val="auto"/>
                <w:spacing w:val="-6"/>
                <w:kern w:val="21"/>
                <w:sz w:val="21"/>
                <w:szCs w:val="21"/>
                <w:shd w:val="clear" w:fill="auto"/>
              </w:rPr>
              <w:t>废物</w:t>
            </w:r>
            <w:r>
              <w:rPr>
                <w:rFonts w:hint="default" w:ascii="Times New Roman" w:hAnsi="Times New Roman" w:eastAsia="宋体" w:cs="Times New Roman"/>
                <w:snapToGrid w:val="0"/>
                <w:color w:val="auto"/>
                <w:spacing w:val="-6"/>
                <w:kern w:val="21"/>
                <w:sz w:val="21"/>
                <w:szCs w:val="21"/>
              </w:rPr>
              <w:t>产生量）</w:t>
            </w: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4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④</w:t>
            </w:r>
            <w:r>
              <w:rPr>
                <w:rFonts w:hint="default" w:ascii="Times New Roman" w:hAnsi="Times New Roman" w:eastAsia="宋体" w:cs="Times New Roman"/>
                <w:snapToGrid w:val="0"/>
                <w:color w:val="auto"/>
                <w:spacing w:val="-6"/>
                <w:kern w:val="21"/>
                <w:sz w:val="21"/>
                <w:szCs w:val="21"/>
              </w:rPr>
              <w:fldChar w:fldCharType="end"/>
            </w:r>
          </w:p>
        </w:tc>
        <w:tc>
          <w:tcPr>
            <w:tcW w:w="1477" w:type="dxa"/>
            <w:noWrap w:val="0"/>
            <w:tcMar>
              <w:left w:w="28" w:type="dxa"/>
              <w:right w:w="28" w:type="dxa"/>
            </w:tcMar>
            <w:vAlign w:val="center"/>
          </w:tcPr>
          <w:p w14:paraId="5975B528">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以新带老削减量</w:t>
            </w:r>
          </w:p>
          <w:p w14:paraId="1D9F1D93">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（新建项目不</w:t>
            </w:r>
            <w:r>
              <w:rPr>
                <w:rFonts w:hint="default" w:ascii="Times New Roman" w:hAnsi="Times New Roman" w:eastAsia="宋体" w:cs="Times New Roman"/>
                <w:snapToGrid w:val="0"/>
                <w:color w:val="auto"/>
                <w:spacing w:val="-16"/>
                <w:kern w:val="21"/>
                <w:sz w:val="21"/>
                <w:szCs w:val="21"/>
                <w:shd w:val="clear" w:fill="auto"/>
              </w:rPr>
              <w:t>填</w:t>
            </w:r>
            <w:r>
              <w:rPr>
                <w:rFonts w:hint="default" w:ascii="Times New Roman" w:hAnsi="Times New Roman" w:eastAsia="宋体" w:cs="Times New Roman"/>
                <w:snapToGrid w:val="0"/>
                <w:color w:val="auto"/>
                <w:spacing w:val="-16"/>
                <w:kern w:val="21"/>
                <w:sz w:val="21"/>
                <w:szCs w:val="21"/>
              </w:rPr>
              <w:t>）</w:t>
            </w:r>
            <w:r>
              <w:rPr>
                <w:rFonts w:hint="default" w:ascii="Times New Roman" w:hAnsi="Times New Roman" w:eastAsia="宋体" w:cs="Times New Roman"/>
                <w:snapToGrid w:val="0"/>
                <w:color w:val="auto"/>
                <w:spacing w:val="-16"/>
                <w:kern w:val="21"/>
                <w:sz w:val="21"/>
                <w:szCs w:val="21"/>
              </w:rPr>
              <w:fldChar w:fldCharType="begin"/>
            </w:r>
            <w:r>
              <w:rPr>
                <w:rFonts w:hint="default" w:ascii="Times New Roman" w:hAnsi="Times New Roman" w:eastAsia="宋体" w:cs="Times New Roman"/>
                <w:snapToGrid w:val="0"/>
                <w:color w:val="auto"/>
                <w:spacing w:val="-16"/>
                <w:kern w:val="21"/>
                <w:sz w:val="21"/>
                <w:szCs w:val="21"/>
              </w:rPr>
              <w:instrText xml:space="preserve"> = 5 \* GB3 \* MERGEFORMAT </w:instrText>
            </w:r>
            <w:r>
              <w:rPr>
                <w:rFonts w:hint="default" w:ascii="Times New Roman" w:hAnsi="Times New Roman" w:eastAsia="宋体" w:cs="Times New Roman"/>
                <w:snapToGrid w:val="0"/>
                <w:color w:val="auto"/>
                <w:spacing w:val="-16"/>
                <w:kern w:val="21"/>
                <w:sz w:val="21"/>
                <w:szCs w:val="21"/>
              </w:rPr>
              <w:fldChar w:fldCharType="separate"/>
            </w:r>
            <w:r>
              <w:rPr>
                <w:rFonts w:hint="default" w:ascii="Times New Roman" w:hAnsi="Times New Roman" w:eastAsia="宋体" w:cs="Times New Roman"/>
                <w:color w:val="auto"/>
                <w:kern w:val="2"/>
                <w:sz w:val="21"/>
                <w:szCs w:val="21"/>
              </w:rPr>
              <w:t>⑤</w:t>
            </w:r>
            <w:r>
              <w:rPr>
                <w:rFonts w:hint="default" w:ascii="Times New Roman" w:hAnsi="Times New Roman" w:eastAsia="宋体" w:cs="Times New Roman"/>
                <w:snapToGrid w:val="0"/>
                <w:color w:val="auto"/>
                <w:spacing w:val="-16"/>
                <w:kern w:val="21"/>
                <w:sz w:val="21"/>
                <w:szCs w:val="21"/>
              </w:rPr>
              <w:fldChar w:fldCharType="end"/>
            </w:r>
          </w:p>
        </w:tc>
        <w:tc>
          <w:tcPr>
            <w:tcW w:w="1516" w:type="dxa"/>
            <w:noWrap w:val="0"/>
            <w:tcMar>
              <w:left w:w="28" w:type="dxa"/>
              <w:right w:w="28" w:type="dxa"/>
            </w:tcMar>
            <w:vAlign w:val="center"/>
          </w:tcPr>
          <w:p w14:paraId="03704E99">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本项目建成后</w:t>
            </w:r>
          </w:p>
          <w:p w14:paraId="3283DCD3">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spacing w:val="-16"/>
                <w:kern w:val="21"/>
                <w:sz w:val="21"/>
                <w:szCs w:val="21"/>
              </w:rPr>
            </w:pPr>
            <w:r>
              <w:rPr>
                <w:rFonts w:hint="default" w:ascii="Times New Roman" w:hAnsi="Times New Roman" w:eastAsia="宋体" w:cs="Times New Roman"/>
                <w:snapToGrid w:val="0"/>
                <w:color w:val="auto"/>
                <w:spacing w:val="-16"/>
                <w:kern w:val="21"/>
                <w:sz w:val="21"/>
                <w:szCs w:val="21"/>
              </w:rPr>
              <w:t>全厂排放量（固体</w:t>
            </w:r>
            <w:r>
              <w:rPr>
                <w:rFonts w:hint="default" w:ascii="Times New Roman" w:hAnsi="Times New Roman" w:eastAsia="宋体" w:cs="Times New Roman"/>
                <w:snapToGrid w:val="0"/>
                <w:color w:val="auto"/>
                <w:spacing w:val="-16"/>
                <w:kern w:val="21"/>
                <w:sz w:val="21"/>
                <w:szCs w:val="21"/>
                <w:shd w:val="clear" w:fill="auto"/>
              </w:rPr>
              <w:t>废物</w:t>
            </w:r>
            <w:r>
              <w:rPr>
                <w:rFonts w:hint="default" w:ascii="Times New Roman" w:hAnsi="Times New Roman" w:eastAsia="宋体" w:cs="Times New Roman"/>
                <w:snapToGrid w:val="0"/>
                <w:color w:val="auto"/>
                <w:spacing w:val="-16"/>
                <w:kern w:val="21"/>
                <w:sz w:val="21"/>
                <w:szCs w:val="21"/>
              </w:rPr>
              <w:t>产生量）</w:t>
            </w:r>
            <w:r>
              <w:rPr>
                <w:rFonts w:hint="default" w:ascii="Times New Roman" w:hAnsi="Times New Roman" w:eastAsia="宋体" w:cs="Times New Roman"/>
                <w:snapToGrid w:val="0"/>
                <w:color w:val="auto"/>
                <w:spacing w:val="-16"/>
                <w:kern w:val="21"/>
                <w:sz w:val="21"/>
                <w:szCs w:val="21"/>
              </w:rPr>
              <w:fldChar w:fldCharType="begin"/>
            </w:r>
            <w:r>
              <w:rPr>
                <w:rFonts w:hint="default" w:ascii="Times New Roman" w:hAnsi="Times New Roman" w:eastAsia="宋体" w:cs="Times New Roman"/>
                <w:snapToGrid w:val="0"/>
                <w:color w:val="auto"/>
                <w:spacing w:val="-16"/>
                <w:kern w:val="21"/>
                <w:sz w:val="21"/>
                <w:szCs w:val="21"/>
              </w:rPr>
              <w:instrText xml:space="preserve"> = 6 \* GB3 \* MERGEFORMAT </w:instrText>
            </w:r>
            <w:r>
              <w:rPr>
                <w:rFonts w:hint="default" w:ascii="Times New Roman" w:hAnsi="Times New Roman" w:eastAsia="宋体" w:cs="Times New Roman"/>
                <w:snapToGrid w:val="0"/>
                <w:color w:val="auto"/>
                <w:spacing w:val="-16"/>
                <w:kern w:val="21"/>
                <w:sz w:val="21"/>
                <w:szCs w:val="21"/>
              </w:rPr>
              <w:fldChar w:fldCharType="separate"/>
            </w:r>
            <w:r>
              <w:rPr>
                <w:rFonts w:hint="default" w:ascii="Times New Roman" w:hAnsi="Times New Roman" w:eastAsia="宋体" w:cs="Times New Roman"/>
                <w:color w:val="auto"/>
                <w:kern w:val="2"/>
                <w:sz w:val="21"/>
                <w:szCs w:val="21"/>
              </w:rPr>
              <w:t>⑥</w:t>
            </w:r>
            <w:r>
              <w:rPr>
                <w:rFonts w:hint="default" w:ascii="Times New Roman" w:hAnsi="Times New Roman" w:eastAsia="宋体" w:cs="Times New Roman"/>
                <w:snapToGrid w:val="0"/>
                <w:color w:val="auto"/>
                <w:spacing w:val="-16"/>
                <w:kern w:val="21"/>
                <w:sz w:val="21"/>
                <w:szCs w:val="21"/>
              </w:rPr>
              <w:fldChar w:fldCharType="end"/>
            </w:r>
          </w:p>
        </w:tc>
        <w:tc>
          <w:tcPr>
            <w:tcW w:w="1273" w:type="dxa"/>
            <w:noWrap w:val="0"/>
            <w:tcMar>
              <w:left w:w="28" w:type="dxa"/>
              <w:right w:w="28" w:type="dxa"/>
            </w:tcMar>
            <w:vAlign w:val="center"/>
          </w:tcPr>
          <w:p w14:paraId="32D9EAE6">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t>变化量</w:t>
            </w:r>
          </w:p>
          <w:p w14:paraId="707BD204">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spacing w:val="-6"/>
                <w:kern w:val="21"/>
                <w:sz w:val="21"/>
                <w:szCs w:val="21"/>
              </w:rPr>
            </w:pPr>
            <w:r>
              <w:rPr>
                <w:rFonts w:hint="default" w:ascii="Times New Roman" w:hAnsi="Times New Roman" w:eastAsia="宋体" w:cs="Times New Roman"/>
                <w:snapToGrid w:val="0"/>
                <w:color w:val="auto"/>
                <w:spacing w:val="-6"/>
                <w:kern w:val="21"/>
                <w:sz w:val="21"/>
                <w:szCs w:val="21"/>
              </w:rPr>
              <w:fldChar w:fldCharType="begin"/>
            </w:r>
            <w:r>
              <w:rPr>
                <w:rFonts w:hint="default" w:ascii="Times New Roman" w:hAnsi="Times New Roman" w:eastAsia="宋体" w:cs="Times New Roman"/>
                <w:snapToGrid w:val="0"/>
                <w:color w:val="auto"/>
                <w:spacing w:val="-6"/>
                <w:kern w:val="21"/>
                <w:sz w:val="21"/>
                <w:szCs w:val="21"/>
              </w:rPr>
              <w:instrText xml:space="preserve"> = 7 \* GB3 \* MERGEFORMAT </w:instrText>
            </w:r>
            <w:r>
              <w:rPr>
                <w:rFonts w:hint="default" w:ascii="Times New Roman" w:hAnsi="Times New Roman" w:eastAsia="宋体" w:cs="Times New Roman"/>
                <w:snapToGrid w:val="0"/>
                <w:color w:val="auto"/>
                <w:spacing w:val="-6"/>
                <w:kern w:val="21"/>
                <w:sz w:val="21"/>
                <w:szCs w:val="21"/>
              </w:rPr>
              <w:fldChar w:fldCharType="separate"/>
            </w:r>
            <w:r>
              <w:rPr>
                <w:rFonts w:hint="default" w:ascii="Times New Roman" w:hAnsi="Times New Roman" w:eastAsia="宋体" w:cs="Times New Roman"/>
                <w:color w:val="auto"/>
                <w:kern w:val="2"/>
                <w:sz w:val="21"/>
                <w:szCs w:val="21"/>
              </w:rPr>
              <w:t>⑦</w:t>
            </w:r>
            <w:r>
              <w:rPr>
                <w:rFonts w:hint="default" w:ascii="Times New Roman" w:hAnsi="Times New Roman" w:eastAsia="宋体" w:cs="Times New Roman"/>
                <w:snapToGrid w:val="0"/>
                <w:color w:val="auto"/>
                <w:spacing w:val="-6"/>
                <w:kern w:val="21"/>
                <w:sz w:val="21"/>
                <w:szCs w:val="21"/>
              </w:rPr>
              <w:fldChar w:fldCharType="end"/>
            </w:r>
          </w:p>
        </w:tc>
      </w:tr>
      <w:tr w14:paraId="3C87ED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noWrap w:val="0"/>
            <w:tcMar>
              <w:left w:w="28" w:type="dxa"/>
              <w:right w:w="28" w:type="dxa"/>
            </w:tcMar>
            <w:vAlign w:val="center"/>
          </w:tcPr>
          <w:p w14:paraId="34F0000C">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废气</w:t>
            </w:r>
          </w:p>
        </w:tc>
        <w:tc>
          <w:tcPr>
            <w:tcW w:w="3150" w:type="dxa"/>
            <w:gridSpan w:val="2"/>
            <w:noWrap w:val="0"/>
            <w:tcMar>
              <w:left w:w="28" w:type="dxa"/>
              <w:right w:w="28" w:type="dxa"/>
            </w:tcMar>
            <w:vAlign w:val="center"/>
          </w:tcPr>
          <w:p w14:paraId="64A19EF4">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407" w:type="dxa"/>
            <w:noWrap w:val="0"/>
            <w:tcMar>
              <w:left w:w="28" w:type="dxa"/>
              <w:right w:w="28" w:type="dxa"/>
            </w:tcMar>
            <w:vAlign w:val="center"/>
          </w:tcPr>
          <w:p w14:paraId="2D5F0270">
            <w:pPr>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228" w:type="dxa"/>
            <w:noWrap w:val="0"/>
            <w:tcMar>
              <w:left w:w="28" w:type="dxa"/>
              <w:right w:w="28" w:type="dxa"/>
            </w:tcMar>
            <w:vAlign w:val="center"/>
          </w:tcPr>
          <w:p w14:paraId="5485128A">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348" w:type="dxa"/>
            <w:noWrap w:val="0"/>
            <w:tcMar>
              <w:left w:w="28" w:type="dxa"/>
              <w:right w:w="28" w:type="dxa"/>
            </w:tcMar>
            <w:vAlign w:val="center"/>
          </w:tcPr>
          <w:p w14:paraId="7956071E">
            <w:pPr>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657" w:type="dxa"/>
            <w:noWrap w:val="0"/>
            <w:tcMar>
              <w:left w:w="28" w:type="dxa"/>
              <w:right w:w="28" w:type="dxa"/>
            </w:tcMar>
            <w:vAlign w:val="center"/>
          </w:tcPr>
          <w:p w14:paraId="0652DCAC">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477" w:type="dxa"/>
            <w:noWrap w:val="0"/>
            <w:tcMar>
              <w:left w:w="28" w:type="dxa"/>
              <w:right w:w="28" w:type="dxa"/>
            </w:tcMar>
            <w:vAlign w:val="center"/>
          </w:tcPr>
          <w:p w14:paraId="12512B42">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516" w:type="dxa"/>
            <w:noWrap w:val="0"/>
            <w:tcMar>
              <w:left w:w="28" w:type="dxa"/>
              <w:right w:w="28" w:type="dxa"/>
            </w:tcMar>
            <w:vAlign w:val="center"/>
          </w:tcPr>
          <w:p w14:paraId="5B323E10">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bCs/>
                <w:color w:val="auto"/>
                <w:spacing w:val="-10"/>
                <w:sz w:val="21"/>
                <w:szCs w:val="21"/>
                <w:highlight w:val="none"/>
                <w:vertAlign w:val="baseline"/>
                <w:lang w:val="en-US" w:eastAsia="zh-CN"/>
              </w:rPr>
            </w:pPr>
            <w:r>
              <w:rPr>
                <w:rFonts w:hint="eastAsia" w:ascii="Times New Roman" w:hAnsi="Times New Roman" w:eastAsia="宋体" w:cs="Times New Roman"/>
                <w:snapToGrid w:val="0"/>
                <w:color w:val="auto"/>
                <w:kern w:val="21"/>
                <w:sz w:val="21"/>
                <w:szCs w:val="21"/>
                <w:lang w:val="en-US" w:eastAsia="zh-CN"/>
              </w:rPr>
              <w:t>/</w:t>
            </w:r>
          </w:p>
        </w:tc>
        <w:tc>
          <w:tcPr>
            <w:tcW w:w="1273" w:type="dxa"/>
            <w:noWrap w:val="0"/>
            <w:tcMar>
              <w:left w:w="28" w:type="dxa"/>
              <w:right w:w="28" w:type="dxa"/>
            </w:tcMar>
            <w:vAlign w:val="center"/>
          </w:tcPr>
          <w:p w14:paraId="276AFAF7">
            <w:pPr>
              <w:keepNext w:val="0"/>
              <w:keepLines w:val="0"/>
              <w:pageBreakBefore w:val="0"/>
              <w:widowControl w:val="0"/>
              <w:numPr>
                <w:ilvl w:val="0"/>
                <w:numId w:val="0"/>
              </w:numPr>
              <w:kinsoku/>
              <w:wordWrap/>
              <w:overflowPunct/>
              <w:topLinePunct w:val="0"/>
              <w:autoSpaceDE/>
              <w:autoSpaceDN/>
              <w:bidi w:val="0"/>
              <w:adjustRightInd w:val="0"/>
              <w:snapToGrid w:val="0"/>
              <w:ind w:left="0" w:leftChars="0"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lang w:val="en-US" w:eastAsia="zh-CN"/>
              </w:rPr>
              <w:t>/</w:t>
            </w:r>
          </w:p>
        </w:tc>
      </w:tr>
      <w:tr w14:paraId="1218D1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restart"/>
            <w:noWrap w:val="0"/>
            <w:tcMar>
              <w:left w:w="28" w:type="dxa"/>
              <w:right w:w="28" w:type="dxa"/>
            </w:tcMar>
            <w:vAlign w:val="center"/>
          </w:tcPr>
          <w:p w14:paraId="2B791CD5">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废水</w:t>
            </w:r>
          </w:p>
        </w:tc>
        <w:tc>
          <w:tcPr>
            <w:tcW w:w="1026" w:type="dxa"/>
            <w:vMerge w:val="restart"/>
            <w:noWrap w:val="0"/>
            <w:tcMar>
              <w:left w:w="28" w:type="dxa"/>
              <w:right w:w="28" w:type="dxa"/>
            </w:tcMar>
            <w:vAlign w:val="center"/>
          </w:tcPr>
          <w:p w14:paraId="10AA0082">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生活污水</w:t>
            </w:r>
          </w:p>
        </w:tc>
        <w:tc>
          <w:tcPr>
            <w:tcW w:w="2124" w:type="dxa"/>
            <w:noWrap w:val="0"/>
            <w:tcMar>
              <w:left w:w="28" w:type="dxa"/>
              <w:right w:w="28" w:type="dxa"/>
            </w:tcMar>
            <w:vAlign w:val="center"/>
          </w:tcPr>
          <w:p w14:paraId="48C5E7D9">
            <w:pPr>
              <w:keepNext w:val="0"/>
              <w:keepLines w:val="0"/>
              <w:pageBreakBefore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snapToGrid w:val="0"/>
                <w:color w:val="auto"/>
                <w:kern w:val="21"/>
                <w:sz w:val="21"/>
                <w:szCs w:val="21"/>
                <w:lang w:val="en-US"/>
              </w:rPr>
            </w:pPr>
            <w:r>
              <w:rPr>
                <w:rFonts w:hint="eastAsia" w:cs="Times New Roman"/>
                <w:color w:val="auto"/>
                <w:kern w:val="0"/>
                <w:sz w:val="21"/>
                <w:szCs w:val="21"/>
                <w:lang w:val="en-US" w:eastAsia="zh-CN"/>
              </w:rPr>
              <w:t>废水量</w:t>
            </w:r>
          </w:p>
        </w:tc>
        <w:tc>
          <w:tcPr>
            <w:tcW w:w="1407" w:type="dxa"/>
            <w:noWrap w:val="0"/>
            <w:tcMar>
              <w:left w:w="28" w:type="dxa"/>
              <w:right w:w="28" w:type="dxa"/>
            </w:tcMar>
            <w:vAlign w:val="center"/>
          </w:tcPr>
          <w:p w14:paraId="59D00604">
            <w:pPr>
              <w:jc w:val="center"/>
              <w:rPr>
                <w:rFonts w:hint="default" w:ascii="Times New Roman" w:hAnsi="Times New Roman" w:eastAsia="宋体" w:cs="Times New Roman"/>
                <w:snapToGrid w:val="0"/>
                <w:color w:val="auto"/>
                <w:kern w:val="21"/>
                <w:sz w:val="21"/>
                <w:szCs w:val="21"/>
              </w:rPr>
            </w:pPr>
            <w:r>
              <w:rPr>
                <w:rFonts w:hint="eastAsia" w:cs="Times New Roman"/>
                <w:color w:val="auto"/>
                <w:kern w:val="0"/>
                <w:sz w:val="21"/>
                <w:szCs w:val="21"/>
                <w:lang w:val="en-US" w:eastAsia="zh-CN"/>
              </w:rPr>
              <w:t>0</w:t>
            </w:r>
          </w:p>
        </w:tc>
        <w:tc>
          <w:tcPr>
            <w:tcW w:w="1228" w:type="dxa"/>
            <w:noWrap w:val="0"/>
            <w:tcMar>
              <w:left w:w="28" w:type="dxa"/>
              <w:right w:w="28" w:type="dxa"/>
            </w:tcMar>
            <w:vAlign w:val="center"/>
          </w:tcPr>
          <w:p w14:paraId="60497F51">
            <w:pPr>
              <w:jc w:val="center"/>
              <w:rPr>
                <w:rFonts w:hint="default" w:ascii="Times New Roman" w:hAnsi="Times New Roman" w:eastAsia="宋体" w:cs="Times New Roman"/>
                <w:snapToGrid w:val="0"/>
                <w:color w:val="auto"/>
                <w:kern w:val="21"/>
                <w:sz w:val="21"/>
                <w:szCs w:val="21"/>
              </w:rPr>
            </w:pPr>
            <w:r>
              <w:rPr>
                <w:rFonts w:hint="eastAsia" w:cs="Times New Roman"/>
                <w:color w:val="auto"/>
                <w:kern w:val="0"/>
                <w:sz w:val="21"/>
                <w:szCs w:val="21"/>
                <w:lang w:val="en-US" w:eastAsia="zh-CN"/>
              </w:rPr>
              <w:t>0</w:t>
            </w:r>
          </w:p>
        </w:tc>
        <w:tc>
          <w:tcPr>
            <w:tcW w:w="1348" w:type="dxa"/>
            <w:noWrap w:val="0"/>
            <w:tcMar>
              <w:left w:w="28" w:type="dxa"/>
              <w:right w:w="28" w:type="dxa"/>
            </w:tcMar>
            <w:vAlign w:val="center"/>
          </w:tcPr>
          <w:p w14:paraId="1E1567E0">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eastAsia" w:cs="Times New Roman"/>
                <w:color w:val="auto"/>
                <w:kern w:val="0"/>
                <w:sz w:val="21"/>
                <w:szCs w:val="21"/>
                <w:lang w:val="en-US" w:eastAsia="zh-CN"/>
              </w:rPr>
              <w:t>0</w:t>
            </w:r>
          </w:p>
        </w:tc>
        <w:tc>
          <w:tcPr>
            <w:tcW w:w="1657" w:type="dxa"/>
            <w:noWrap w:val="0"/>
            <w:tcMar>
              <w:left w:w="28" w:type="dxa"/>
              <w:right w:w="28" w:type="dxa"/>
            </w:tcMar>
            <w:vAlign w:val="center"/>
          </w:tcPr>
          <w:p w14:paraId="3291ED3A">
            <w:pPr>
              <w:pStyle w:val="37"/>
              <w:spacing w:beforeLines="0" w:afterLines="0" w:line="240" w:lineRule="auto"/>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bCs/>
                <w:color w:val="auto"/>
                <w:sz w:val="21"/>
                <w:szCs w:val="21"/>
                <w:lang w:val="en-US" w:eastAsia="zh-CN"/>
              </w:rPr>
              <w:t>480</w:t>
            </w:r>
          </w:p>
        </w:tc>
        <w:tc>
          <w:tcPr>
            <w:tcW w:w="1477" w:type="dxa"/>
            <w:noWrap w:val="0"/>
            <w:tcMar>
              <w:left w:w="28" w:type="dxa"/>
              <w:right w:w="28" w:type="dxa"/>
            </w:tcMar>
            <w:vAlign w:val="center"/>
          </w:tcPr>
          <w:p w14:paraId="7279DEA9">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highlight w:val="none"/>
                <w:lang w:val="en-US" w:eastAsia="zh-CN"/>
              </w:rPr>
              <w:t>0</w:t>
            </w:r>
          </w:p>
        </w:tc>
        <w:tc>
          <w:tcPr>
            <w:tcW w:w="1516" w:type="dxa"/>
            <w:noWrap w:val="0"/>
            <w:tcMar>
              <w:left w:w="28" w:type="dxa"/>
              <w:right w:w="28" w:type="dxa"/>
            </w:tcMar>
            <w:vAlign w:val="center"/>
          </w:tcPr>
          <w:p w14:paraId="46F628F1">
            <w:pPr>
              <w:pStyle w:val="37"/>
              <w:spacing w:beforeLines="0" w:afterLines="0" w:line="240" w:lineRule="auto"/>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bCs/>
                <w:color w:val="auto"/>
                <w:sz w:val="21"/>
                <w:szCs w:val="21"/>
                <w:lang w:val="en-US" w:eastAsia="zh-CN"/>
              </w:rPr>
              <w:t>480</w:t>
            </w:r>
          </w:p>
        </w:tc>
        <w:tc>
          <w:tcPr>
            <w:tcW w:w="1273" w:type="dxa"/>
            <w:noWrap w:val="0"/>
            <w:tcMar>
              <w:left w:w="28" w:type="dxa"/>
              <w:right w:w="28" w:type="dxa"/>
            </w:tcMar>
            <w:vAlign w:val="center"/>
          </w:tcPr>
          <w:p w14:paraId="4C92F8AE">
            <w:pPr>
              <w:pStyle w:val="37"/>
              <w:spacing w:beforeLines="0" w:afterLines="0" w:line="240" w:lineRule="auto"/>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highlight w:val="none"/>
                <w:lang w:val="en-US" w:eastAsia="zh-CN"/>
              </w:rPr>
              <w:t>+</w:t>
            </w:r>
            <w:r>
              <w:rPr>
                <w:rFonts w:hint="eastAsia" w:ascii="Times New Roman" w:hAnsi="Times New Roman" w:eastAsia="宋体" w:cs="Times New Roman"/>
                <w:bCs/>
                <w:color w:val="auto"/>
                <w:sz w:val="21"/>
                <w:szCs w:val="21"/>
                <w:lang w:val="en-US" w:eastAsia="zh-CN"/>
              </w:rPr>
              <w:t>480</w:t>
            </w:r>
          </w:p>
        </w:tc>
      </w:tr>
      <w:tr w14:paraId="6A43AB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1524F62D">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1026" w:type="dxa"/>
            <w:vMerge w:val="continue"/>
            <w:noWrap w:val="0"/>
            <w:tcMar>
              <w:left w:w="28" w:type="dxa"/>
              <w:right w:w="28" w:type="dxa"/>
            </w:tcMar>
            <w:vAlign w:val="center"/>
          </w:tcPr>
          <w:p w14:paraId="3A1E05A9">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2124" w:type="dxa"/>
            <w:noWrap w:val="0"/>
            <w:tcMar>
              <w:left w:w="28" w:type="dxa"/>
              <w:right w:w="28" w:type="dxa"/>
            </w:tcMar>
            <w:vAlign w:val="center"/>
          </w:tcPr>
          <w:p w14:paraId="59445493">
            <w:pPr>
              <w:pStyle w:val="29"/>
              <w:ind w:firstLine="0" w:firstLineChars="0"/>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b w:val="0"/>
                <w:bCs/>
                <w:color w:val="auto"/>
                <w:szCs w:val="21"/>
              </w:rPr>
              <w:t>COD</w:t>
            </w:r>
          </w:p>
        </w:tc>
        <w:tc>
          <w:tcPr>
            <w:tcW w:w="1407" w:type="dxa"/>
            <w:noWrap w:val="0"/>
            <w:tcMar>
              <w:left w:w="28" w:type="dxa"/>
              <w:right w:w="28" w:type="dxa"/>
            </w:tcMar>
            <w:vAlign w:val="center"/>
          </w:tcPr>
          <w:p w14:paraId="367CAA3E">
            <w:pPr>
              <w:jc w:val="center"/>
              <w:rPr>
                <w:rFonts w:hint="default" w:ascii="Times New Roman" w:hAnsi="Times New Roman" w:eastAsia="宋体" w:cs="Times New Roman"/>
                <w:snapToGrid w:val="0"/>
                <w:color w:val="auto"/>
                <w:kern w:val="21"/>
                <w:sz w:val="21"/>
                <w:szCs w:val="21"/>
              </w:rPr>
            </w:pPr>
            <w:r>
              <w:rPr>
                <w:rFonts w:hint="eastAsia" w:cs="Times New Roman"/>
                <w:color w:val="auto"/>
                <w:kern w:val="0"/>
                <w:sz w:val="21"/>
                <w:szCs w:val="21"/>
                <w:lang w:val="en-US" w:eastAsia="zh-CN"/>
              </w:rPr>
              <w:t>0</w:t>
            </w:r>
          </w:p>
        </w:tc>
        <w:tc>
          <w:tcPr>
            <w:tcW w:w="1228" w:type="dxa"/>
            <w:noWrap w:val="0"/>
            <w:tcMar>
              <w:left w:w="28" w:type="dxa"/>
              <w:right w:w="28" w:type="dxa"/>
            </w:tcMar>
            <w:vAlign w:val="center"/>
          </w:tcPr>
          <w:p w14:paraId="140D0EBE">
            <w:pPr>
              <w:jc w:val="center"/>
              <w:rPr>
                <w:rFonts w:hint="default" w:ascii="Times New Roman" w:hAnsi="Times New Roman" w:eastAsia="宋体" w:cs="Times New Roman"/>
                <w:snapToGrid w:val="0"/>
                <w:color w:val="auto"/>
                <w:kern w:val="21"/>
                <w:sz w:val="21"/>
                <w:szCs w:val="21"/>
              </w:rPr>
            </w:pPr>
            <w:r>
              <w:rPr>
                <w:rFonts w:hint="eastAsia" w:cs="Times New Roman"/>
                <w:color w:val="auto"/>
                <w:kern w:val="0"/>
                <w:sz w:val="21"/>
                <w:szCs w:val="21"/>
                <w:lang w:val="en-US" w:eastAsia="zh-CN"/>
              </w:rPr>
              <w:t>0</w:t>
            </w:r>
          </w:p>
        </w:tc>
        <w:tc>
          <w:tcPr>
            <w:tcW w:w="1348" w:type="dxa"/>
            <w:noWrap w:val="0"/>
            <w:tcMar>
              <w:left w:w="28" w:type="dxa"/>
              <w:right w:w="28" w:type="dxa"/>
            </w:tcMar>
            <w:vAlign w:val="center"/>
          </w:tcPr>
          <w:p w14:paraId="48434FB3">
            <w:pPr>
              <w:jc w:val="center"/>
              <w:rPr>
                <w:rFonts w:hint="default" w:ascii="Times New Roman" w:hAnsi="Times New Roman" w:eastAsia="宋体" w:cs="Times New Roman"/>
                <w:snapToGrid w:val="0"/>
                <w:color w:val="auto"/>
                <w:kern w:val="21"/>
                <w:sz w:val="21"/>
                <w:szCs w:val="21"/>
              </w:rPr>
            </w:pPr>
            <w:r>
              <w:rPr>
                <w:rFonts w:hint="eastAsia" w:cs="Times New Roman"/>
                <w:color w:val="auto"/>
                <w:kern w:val="0"/>
                <w:sz w:val="21"/>
                <w:szCs w:val="21"/>
                <w:lang w:val="en-US" w:eastAsia="zh-CN"/>
              </w:rPr>
              <w:t>0</w:t>
            </w:r>
          </w:p>
        </w:tc>
        <w:tc>
          <w:tcPr>
            <w:tcW w:w="1657" w:type="dxa"/>
            <w:noWrap w:val="0"/>
            <w:tcMar>
              <w:left w:w="28" w:type="dxa"/>
              <w:right w:w="28" w:type="dxa"/>
            </w:tcMar>
            <w:vAlign w:val="center"/>
          </w:tcPr>
          <w:p w14:paraId="48D39679">
            <w:pPr>
              <w:widowControl/>
              <w:jc w:val="center"/>
              <w:textAlignment w:val="center"/>
              <w:rPr>
                <w:rFonts w:hint="default" w:ascii="Times New Roman" w:hAnsi="Times New Roman" w:eastAsia="宋体" w:cs="Times New Roman"/>
                <w:snapToGrid w:val="0"/>
                <w:color w:val="auto"/>
                <w:kern w:val="21"/>
                <w:sz w:val="21"/>
                <w:szCs w:val="21"/>
              </w:rPr>
            </w:pPr>
            <w:r>
              <w:rPr>
                <w:rFonts w:hint="eastAsia" w:cs="Times New Roman"/>
                <w:b w:val="0"/>
                <w:bCs/>
                <w:color w:val="auto"/>
                <w:kern w:val="0"/>
                <w:sz w:val="21"/>
                <w:szCs w:val="21"/>
                <w:lang w:val="en-US" w:eastAsia="zh-CN" w:bidi="ar"/>
              </w:rPr>
              <w:t>0.144</w:t>
            </w:r>
          </w:p>
        </w:tc>
        <w:tc>
          <w:tcPr>
            <w:tcW w:w="1477" w:type="dxa"/>
            <w:noWrap w:val="0"/>
            <w:tcMar>
              <w:left w:w="28" w:type="dxa"/>
              <w:right w:w="28" w:type="dxa"/>
            </w:tcMar>
            <w:vAlign w:val="center"/>
          </w:tcPr>
          <w:p w14:paraId="7128C821">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highlight w:val="none"/>
                <w:lang w:val="en-US" w:eastAsia="zh-CN"/>
              </w:rPr>
              <w:t>0</w:t>
            </w:r>
          </w:p>
        </w:tc>
        <w:tc>
          <w:tcPr>
            <w:tcW w:w="1516" w:type="dxa"/>
            <w:noWrap w:val="0"/>
            <w:tcMar>
              <w:left w:w="28" w:type="dxa"/>
              <w:right w:w="28" w:type="dxa"/>
            </w:tcMar>
            <w:vAlign w:val="center"/>
          </w:tcPr>
          <w:p w14:paraId="7F6E5CBD">
            <w:pPr>
              <w:widowControl/>
              <w:jc w:val="center"/>
              <w:textAlignment w:val="center"/>
              <w:rPr>
                <w:rFonts w:hint="default" w:ascii="Times New Roman" w:hAnsi="Times New Roman" w:eastAsia="宋体" w:cs="Times New Roman"/>
                <w:snapToGrid w:val="0"/>
                <w:color w:val="auto"/>
                <w:kern w:val="21"/>
                <w:sz w:val="21"/>
                <w:szCs w:val="21"/>
                <w:lang w:val="en-US" w:eastAsia="zh-CN"/>
              </w:rPr>
            </w:pPr>
            <w:r>
              <w:rPr>
                <w:rFonts w:hint="eastAsia" w:cs="Times New Roman"/>
                <w:b w:val="0"/>
                <w:bCs/>
                <w:color w:val="auto"/>
                <w:kern w:val="0"/>
                <w:sz w:val="21"/>
                <w:szCs w:val="21"/>
                <w:lang w:val="en-US" w:eastAsia="zh-CN" w:bidi="ar"/>
              </w:rPr>
              <w:t>0.144</w:t>
            </w:r>
          </w:p>
        </w:tc>
        <w:tc>
          <w:tcPr>
            <w:tcW w:w="1273" w:type="dxa"/>
            <w:noWrap w:val="0"/>
            <w:tcMar>
              <w:left w:w="28" w:type="dxa"/>
              <w:right w:w="28" w:type="dxa"/>
            </w:tcMar>
            <w:vAlign w:val="center"/>
          </w:tcPr>
          <w:p w14:paraId="100EB072">
            <w:pPr>
              <w:widowControl/>
              <w:jc w:val="center"/>
              <w:textAlignment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highlight w:val="none"/>
                <w:lang w:val="en-US" w:eastAsia="zh-CN"/>
              </w:rPr>
              <w:t>+</w:t>
            </w:r>
            <w:r>
              <w:rPr>
                <w:rFonts w:hint="eastAsia" w:cs="Times New Roman"/>
                <w:b w:val="0"/>
                <w:bCs/>
                <w:color w:val="auto"/>
                <w:kern w:val="0"/>
                <w:sz w:val="21"/>
                <w:szCs w:val="21"/>
                <w:lang w:val="en-US" w:eastAsia="zh-CN" w:bidi="ar"/>
              </w:rPr>
              <w:t>0.144</w:t>
            </w:r>
          </w:p>
        </w:tc>
      </w:tr>
      <w:tr w14:paraId="143D00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660C9B17">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1026" w:type="dxa"/>
            <w:vMerge w:val="continue"/>
            <w:noWrap w:val="0"/>
            <w:tcMar>
              <w:left w:w="28" w:type="dxa"/>
              <w:right w:w="28" w:type="dxa"/>
            </w:tcMar>
            <w:vAlign w:val="center"/>
          </w:tcPr>
          <w:p w14:paraId="199352C2">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2124" w:type="dxa"/>
            <w:noWrap w:val="0"/>
            <w:tcMar>
              <w:left w:w="28" w:type="dxa"/>
              <w:right w:w="28" w:type="dxa"/>
            </w:tcMar>
            <w:vAlign w:val="center"/>
          </w:tcPr>
          <w:p w14:paraId="70BD2EAD">
            <w:pPr>
              <w:pStyle w:val="29"/>
              <w:ind w:firstLine="0" w:firstLineChars="0"/>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b w:val="0"/>
                <w:bCs/>
                <w:color w:val="auto"/>
                <w:szCs w:val="21"/>
              </w:rPr>
              <w:t>SS</w:t>
            </w:r>
          </w:p>
        </w:tc>
        <w:tc>
          <w:tcPr>
            <w:tcW w:w="1407" w:type="dxa"/>
            <w:noWrap w:val="0"/>
            <w:tcMar>
              <w:left w:w="28" w:type="dxa"/>
              <w:right w:w="28" w:type="dxa"/>
            </w:tcMar>
            <w:vAlign w:val="center"/>
          </w:tcPr>
          <w:p w14:paraId="763EE4F7">
            <w:pPr>
              <w:jc w:val="center"/>
              <w:rPr>
                <w:rFonts w:hint="default" w:ascii="Times New Roman" w:hAnsi="Times New Roman" w:eastAsia="宋体" w:cs="Times New Roman"/>
                <w:snapToGrid w:val="0"/>
                <w:color w:val="auto"/>
                <w:kern w:val="21"/>
                <w:sz w:val="21"/>
                <w:szCs w:val="21"/>
              </w:rPr>
            </w:pPr>
            <w:r>
              <w:rPr>
                <w:rFonts w:hint="eastAsia" w:cs="Times New Roman"/>
                <w:color w:val="auto"/>
                <w:kern w:val="0"/>
                <w:sz w:val="21"/>
                <w:szCs w:val="21"/>
                <w:lang w:val="en-US" w:eastAsia="zh-CN"/>
              </w:rPr>
              <w:t>0</w:t>
            </w:r>
          </w:p>
        </w:tc>
        <w:tc>
          <w:tcPr>
            <w:tcW w:w="1228" w:type="dxa"/>
            <w:noWrap w:val="0"/>
            <w:tcMar>
              <w:left w:w="28" w:type="dxa"/>
              <w:right w:w="28" w:type="dxa"/>
            </w:tcMar>
            <w:vAlign w:val="center"/>
          </w:tcPr>
          <w:p w14:paraId="3179BA92">
            <w:pPr>
              <w:jc w:val="center"/>
              <w:rPr>
                <w:rFonts w:hint="default" w:ascii="Times New Roman" w:hAnsi="Times New Roman" w:eastAsia="宋体" w:cs="Times New Roman"/>
                <w:snapToGrid w:val="0"/>
                <w:color w:val="auto"/>
                <w:kern w:val="21"/>
                <w:sz w:val="21"/>
                <w:szCs w:val="21"/>
              </w:rPr>
            </w:pPr>
            <w:r>
              <w:rPr>
                <w:rFonts w:hint="eastAsia" w:cs="Times New Roman"/>
                <w:color w:val="auto"/>
                <w:kern w:val="0"/>
                <w:sz w:val="21"/>
                <w:szCs w:val="21"/>
                <w:lang w:val="en-US" w:eastAsia="zh-CN"/>
              </w:rPr>
              <w:t>0</w:t>
            </w:r>
          </w:p>
        </w:tc>
        <w:tc>
          <w:tcPr>
            <w:tcW w:w="1348" w:type="dxa"/>
            <w:noWrap w:val="0"/>
            <w:tcMar>
              <w:left w:w="28" w:type="dxa"/>
              <w:right w:w="28" w:type="dxa"/>
            </w:tcMar>
            <w:vAlign w:val="center"/>
          </w:tcPr>
          <w:p w14:paraId="7AD3F0BB">
            <w:pPr>
              <w:jc w:val="center"/>
              <w:rPr>
                <w:rFonts w:hint="default" w:ascii="Times New Roman" w:hAnsi="Times New Roman" w:eastAsia="宋体" w:cs="Times New Roman"/>
                <w:snapToGrid w:val="0"/>
                <w:color w:val="auto"/>
                <w:kern w:val="21"/>
                <w:sz w:val="21"/>
                <w:szCs w:val="21"/>
              </w:rPr>
            </w:pPr>
            <w:r>
              <w:rPr>
                <w:rFonts w:hint="eastAsia" w:cs="Times New Roman"/>
                <w:color w:val="auto"/>
                <w:kern w:val="0"/>
                <w:sz w:val="21"/>
                <w:szCs w:val="21"/>
                <w:lang w:val="en-US" w:eastAsia="zh-CN"/>
              </w:rPr>
              <w:t>0</w:t>
            </w:r>
          </w:p>
        </w:tc>
        <w:tc>
          <w:tcPr>
            <w:tcW w:w="1657" w:type="dxa"/>
            <w:noWrap w:val="0"/>
            <w:tcMar>
              <w:left w:w="28" w:type="dxa"/>
              <w:right w:w="28" w:type="dxa"/>
            </w:tcMar>
            <w:vAlign w:val="center"/>
          </w:tcPr>
          <w:p w14:paraId="2A7C9C07">
            <w:pPr>
              <w:widowControl/>
              <w:jc w:val="center"/>
              <w:textAlignment w:val="center"/>
              <w:rPr>
                <w:rFonts w:hint="default" w:ascii="Times New Roman" w:hAnsi="Times New Roman" w:eastAsia="宋体" w:cs="Times New Roman"/>
                <w:snapToGrid w:val="0"/>
                <w:color w:val="auto"/>
                <w:kern w:val="21"/>
                <w:sz w:val="21"/>
                <w:szCs w:val="21"/>
              </w:rPr>
            </w:pPr>
            <w:r>
              <w:rPr>
                <w:rFonts w:hint="eastAsia" w:cs="Times New Roman"/>
                <w:b w:val="0"/>
                <w:bCs/>
                <w:color w:val="auto"/>
                <w:kern w:val="0"/>
                <w:sz w:val="21"/>
                <w:szCs w:val="21"/>
                <w:lang w:val="en-US" w:eastAsia="zh-CN" w:bidi="ar"/>
              </w:rPr>
              <w:t>0.096</w:t>
            </w:r>
          </w:p>
        </w:tc>
        <w:tc>
          <w:tcPr>
            <w:tcW w:w="1477" w:type="dxa"/>
            <w:noWrap w:val="0"/>
            <w:tcMar>
              <w:left w:w="28" w:type="dxa"/>
              <w:right w:w="28" w:type="dxa"/>
            </w:tcMar>
            <w:vAlign w:val="center"/>
          </w:tcPr>
          <w:p w14:paraId="5A30327D">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highlight w:val="none"/>
                <w:lang w:val="en-US" w:eastAsia="zh-CN"/>
              </w:rPr>
              <w:t>0</w:t>
            </w:r>
          </w:p>
        </w:tc>
        <w:tc>
          <w:tcPr>
            <w:tcW w:w="1516" w:type="dxa"/>
            <w:noWrap w:val="0"/>
            <w:tcMar>
              <w:left w:w="28" w:type="dxa"/>
              <w:right w:w="28" w:type="dxa"/>
            </w:tcMar>
            <w:vAlign w:val="center"/>
          </w:tcPr>
          <w:p w14:paraId="50021AAC">
            <w:pPr>
              <w:widowControl/>
              <w:jc w:val="center"/>
              <w:textAlignment w:val="center"/>
              <w:rPr>
                <w:rFonts w:hint="default" w:ascii="Times New Roman" w:hAnsi="Times New Roman" w:eastAsia="宋体" w:cs="Times New Roman"/>
                <w:snapToGrid w:val="0"/>
                <w:color w:val="auto"/>
                <w:kern w:val="21"/>
                <w:sz w:val="21"/>
                <w:szCs w:val="21"/>
                <w:lang w:val="en-US" w:eastAsia="zh-CN"/>
              </w:rPr>
            </w:pPr>
            <w:r>
              <w:rPr>
                <w:rFonts w:hint="eastAsia" w:cs="Times New Roman"/>
                <w:b w:val="0"/>
                <w:bCs/>
                <w:color w:val="auto"/>
                <w:kern w:val="0"/>
                <w:sz w:val="21"/>
                <w:szCs w:val="21"/>
                <w:lang w:val="en-US" w:eastAsia="zh-CN" w:bidi="ar"/>
              </w:rPr>
              <w:t>0.096</w:t>
            </w:r>
          </w:p>
        </w:tc>
        <w:tc>
          <w:tcPr>
            <w:tcW w:w="1273" w:type="dxa"/>
            <w:noWrap w:val="0"/>
            <w:tcMar>
              <w:left w:w="28" w:type="dxa"/>
              <w:right w:w="28" w:type="dxa"/>
            </w:tcMar>
            <w:vAlign w:val="center"/>
          </w:tcPr>
          <w:p w14:paraId="36DAEEB3">
            <w:pPr>
              <w:widowControl/>
              <w:jc w:val="center"/>
              <w:textAlignment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highlight w:val="none"/>
                <w:lang w:val="en-US" w:eastAsia="zh-CN"/>
              </w:rPr>
              <w:t>+</w:t>
            </w:r>
            <w:r>
              <w:rPr>
                <w:rFonts w:hint="eastAsia" w:cs="Times New Roman"/>
                <w:b w:val="0"/>
                <w:bCs/>
                <w:color w:val="auto"/>
                <w:kern w:val="0"/>
                <w:sz w:val="21"/>
                <w:szCs w:val="21"/>
                <w:lang w:val="en-US" w:eastAsia="zh-CN" w:bidi="ar"/>
              </w:rPr>
              <w:t>0.096</w:t>
            </w:r>
          </w:p>
        </w:tc>
      </w:tr>
      <w:tr w14:paraId="5EDD70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14A661F8">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1026" w:type="dxa"/>
            <w:vMerge w:val="continue"/>
            <w:noWrap w:val="0"/>
            <w:tcMar>
              <w:left w:w="28" w:type="dxa"/>
              <w:right w:w="28" w:type="dxa"/>
            </w:tcMar>
            <w:vAlign w:val="center"/>
          </w:tcPr>
          <w:p w14:paraId="1A066197">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2124" w:type="dxa"/>
            <w:noWrap w:val="0"/>
            <w:tcMar>
              <w:left w:w="28" w:type="dxa"/>
              <w:right w:w="28" w:type="dxa"/>
            </w:tcMar>
            <w:vAlign w:val="center"/>
          </w:tcPr>
          <w:p w14:paraId="43FB369E">
            <w:pPr>
              <w:pStyle w:val="29"/>
              <w:ind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 w:val="0"/>
                <w:bCs/>
                <w:color w:val="auto"/>
                <w:szCs w:val="21"/>
              </w:rPr>
              <w:t>NH</w:t>
            </w:r>
            <w:r>
              <w:rPr>
                <w:rFonts w:hint="default" w:ascii="Times New Roman" w:hAnsi="Times New Roman" w:eastAsia="宋体" w:cs="Times New Roman"/>
                <w:b w:val="0"/>
                <w:bCs/>
                <w:color w:val="auto"/>
                <w:szCs w:val="21"/>
                <w:vertAlign w:val="subscript"/>
              </w:rPr>
              <w:t>3</w:t>
            </w:r>
            <w:r>
              <w:rPr>
                <w:rFonts w:hint="default" w:ascii="Times New Roman" w:hAnsi="Times New Roman" w:eastAsia="宋体" w:cs="Times New Roman"/>
                <w:b w:val="0"/>
                <w:bCs/>
                <w:color w:val="auto"/>
                <w:szCs w:val="21"/>
              </w:rPr>
              <w:t>-N</w:t>
            </w:r>
          </w:p>
        </w:tc>
        <w:tc>
          <w:tcPr>
            <w:tcW w:w="1407" w:type="dxa"/>
            <w:noWrap w:val="0"/>
            <w:tcMar>
              <w:left w:w="28" w:type="dxa"/>
              <w:right w:w="28" w:type="dxa"/>
            </w:tcMar>
            <w:vAlign w:val="center"/>
          </w:tcPr>
          <w:p w14:paraId="6F1E15A4">
            <w:pPr>
              <w:jc w:val="center"/>
              <w:rPr>
                <w:rFonts w:hint="default" w:ascii="Times New Roman" w:hAnsi="Times New Roman" w:eastAsia="宋体" w:cs="Times New Roman"/>
                <w:snapToGrid w:val="0"/>
                <w:color w:val="auto"/>
                <w:kern w:val="21"/>
                <w:sz w:val="21"/>
                <w:szCs w:val="21"/>
              </w:rPr>
            </w:pPr>
            <w:r>
              <w:rPr>
                <w:rFonts w:hint="eastAsia" w:cs="Times New Roman"/>
                <w:color w:val="auto"/>
                <w:kern w:val="0"/>
                <w:sz w:val="21"/>
                <w:szCs w:val="21"/>
                <w:lang w:val="en-US" w:eastAsia="zh-CN"/>
              </w:rPr>
              <w:t>0</w:t>
            </w:r>
          </w:p>
        </w:tc>
        <w:tc>
          <w:tcPr>
            <w:tcW w:w="1228" w:type="dxa"/>
            <w:noWrap w:val="0"/>
            <w:tcMar>
              <w:left w:w="28" w:type="dxa"/>
              <w:right w:w="28" w:type="dxa"/>
            </w:tcMar>
            <w:vAlign w:val="center"/>
          </w:tcPr>
          <w:p w14:paraId="174B893C">
            <w:pPr>
              <w:jc w:val="center"/>
              <w:rPr>
                <w:rFonts w:hint="default" w:ascii="Times New Roman" w:hAnsi="Times New Roman" w:eastAsia="宋体" w:cs="Times New Roman"/>
                <w:snapToGrid w:val="0"/>
                <w:color w:val="auto"/>
                <w:kern w:val="21"/>
                <w:sz w:val="21"/>
                <w:szCs w:val="21"/>
              </w:rPr>
            </w:pPr>
            <w:r>
              <w:rPr>
                <w:rFonts w:hint="eastAsia" w:cs="Times New Roman"/>
                <w:color w:val="auto"/>
                <w:kern w:val="0"/>
                <w:sz w:val="21"/>
                <w:szCs w:val="21"/>
                <w:lang w:val="en-US" w:eastAsia="zh-CN"/>
              </w:rPr>
              <w:t>0</w:t>
            </w:r>
          </w:p>
        </w:tc>
        <w:tc>
          <w:tcPr>
            <w:tcW w:w="1348" w:type="dxa"/>
            <w:noWrap w:val="0"/>
            <w:tcMar>
              <w:left w:w="28" w:type="dxa"/>
              <w:right w:w="28" w:type="dxa"/>
            </w:tcMar>
            <w:vAlign w:val="center"/>
          </w:tcPr>
          <w:p w14:paraId="77885D5B">
            <w:pPr>
              <w:jc w:val="center"/>
              <w:rPr>
                <w:rFonts w:hint="default" w:ascii="Times New Roman" w:hAnsi="Times New Roman" w:eastAsia="宋体" w:cs="Times New Roman"/>
                <w:snapToGrid w:val="0"/>
                <w:color w:val="auto"/>
                <w:kern w:val="21"/>
                <w:sz w:val="21"/>
                <w:szCs w:val="21"/>
              </w:rPr>
            </w:pPr>
            <w:r>
              <w:rPr>
                <w:rFonts w:hint="eastAsia" w:cs="Times New Roman"/>
                <w:color w:val="auto"/>
                <w:kern w:val="0"/>
                <w:sz w:val="21"/>
                <w:szCs w:val="21"/>
                <w:lang w:val="en-US" w:eastAsia="zh-CN"/>
              </w:rPr>
              <w:t>0</w:t>
            </w:r>
          </w:p>
        </w:tc>
        <w:tc>
          <w:tcPr>
            <w:tcW w:w="1657" w:type="dxa"/>
            <w:noWrap w:val="0"/>
            <w:tcMar>
              <w:left w:w="28" w:type="dxa"/>
              <w:right w:w="28" w:type="dxa"/>
            </w:tcMar>
            <w:vAlign w:val="center"/>
          </w:tcPr>
          <w:p w14:paraId="126E3D75">
            <w:pPr>
              <w:widowControl/>
              <w:jc w:val="center"/>
              <w:textAlignment w:val="center"/>
              <w:rPr>
                <w:rFonts w:hint="default" w:ascii="Times New Roman" w:hAnsi="Times New Roman" w:eastAsia="宋体" w:cs="Times New Roman"/>
                <w:snapToGrid w:val="0"/>
                <w:color w:val="auto"/>
                <w:kern w:val="21"/>
                <w:sz w:val="21"/>
                <w:szCs w:val="21"/>
              </w:rPr>
            </w:pPr>
            <w:r>
              <w:rPr>
                <w:rFonts w:hint="eastAsia" w:cs="Times New Roman"/>
                <w:b w:val="0"/>
                <w:bCs/>
                <w:color w:val="auto"/>
                <w:sz w:val="21"/>
                <w:szCs w:val="21"/>
                <w:lang w:val="en-US" w:eastAsia="zh-CN"/>
              </w:rPr>
              <w:t>0.0144</w:t>
            </w:r>
          </w:p>
        </w:tc>
        <w:tc>
          <w:tcPr>
            <w:tcW w:w="1477" w:type="dxa"/>
            <w:noWrap w:val="0"/>
            <w:tcMar>
              <w:left w:w="28" w:type="dxa"/>
              <w:right w:w="28" w:type="dxa"/>
            </w:tcMar>
            <w:vAlign w:val="center"/>
          </w:tcPr>
          <w:p w14:paraId="170D8146">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highlight w:val="none"/>
                <w:lang w:val="en-US" w:eastAsia="zh-CN"/>
              </w:rPr>
              <w:t>0</w:t>
            </w:r>
          </w:p>
        </w:tc>
        <w:tc>
          <w:tcPr>
            <w:tcW w:w="1516" w:type="dxa"/>
            <w:noWrap w:val="0"/>
            <w:tcMar>
              <w:left w:w="28" w:type="dxa"/>
              <w:right w:w="28" w:type="dxa"/>
            </w:tcMar>
            <w:vAlign w:val="center"/>
          </w:tcPr>
          <w:p w14:paraId="4A3D8A52">
            <w:pPr>
              <w:widowControl/>
              <w:jc w:val="center"/>
              <w:textAlignment w:val="center"/>
              <w:rPr>
                <w:rFonts w:hint="default" w:ascii="Times New Roman" w:hAnsi="Times New Roman" w:eastAsia="宋体" w:cs="Times New Roman"/>
                <w:snapToGrid w:val="0"/>
                <w:color w:val="auto"/>
                <w:kern w:val="21"/>
                <w:sz w:val="21"/>
                <w:szCs w:val="21"/>
                <w:lang w:val="en-US" w:eastAsia="zh-CN"/>
              </w:rPr>
            </w:pPr>
            <w:r>
              <w:rPr>
                <w:rFonts w:hint="eastAsia" w:cs="Times New Roman"/>
                <w:b w:val="0"/>
                <w:bCs/>
                <w:color w:val="auto"/>
                <w:sz w:val="21"/>
                <w:szCs w:val="21"/>
                <w:lang w:val="en-US" w:eastAsia="zh-CN"/>
              </w:rPr>
              <w:t>0.0144</w:t>
            </w:r>
          </w:p>
        </w:tc>
        <w:tc>
          <w:tcPr>
            <w:tcW w:w="1273" w:type="dxa"/>
            <w:noWrap w:val="0"/>
            <w:tcMar>
              <w:left w:w="28" w:type="dxa"/>
              <w:right w:w="28" w:type="dxa"/>
            </w:tcMar>
            <w:vAlign w:val="center"/>
          </w:tcPr>
          <w:p w14:paraId="31BB5401">
            <w:pPr>
              <w:widowControl/>
              <w:jc w:val="center"/>
              <w:textAlignment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highlight w:val="none"/>
                <w:lang w:val="en-US" w:eastAsia="zh-CN"/>
              </w:rPr>
              <w:t>+</w:t>
            </w:r>
            <w:r>
              <w:rPr>
                <w:rFonts w:hint="eastAsia" w:cs="Times New Roman"/>
                <w:b w:val="0"/>
                <w:bCs/>
                <w:color w:val="auto"/>
                <w:sz w:val="21"/>
                <w:szCs w:val="21"/>
                <w:lang w:val="en-US" w:eastAsia="zh-CN"/>
              </w:rPr>
              <w:t>0.0144</w:t>
            </w:r>
          </w:p>
        </w:tc>
      </w:tr>
      <w:tr w14:paraId="51869B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6194C3CA">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1026" w:type="dxa"/>
            <w:vMerge w:val="continue"/>
            <w:noWrap w:val="0"/>
            <w:tcMar>
              <w:left w:w="28" w:type="dxa"/>
              <w:right w:w="28" w:type="dxa"/>
            </w:tcMar>
            <w:vAlign w:val="center"/>
          </w:tcPr>
          <w:p w14:paraId="7AE20BAF">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2124" w:type="dxa"/>
            <w:noWrap w:val="0"/>
            <w:tcMar>
              <w:left w:w="28" w:type="dxa"/>
              <w:right w:w="28" w:type="dxa"/>
            </w:tcMar>
            <w:vAlign w:val="center"/>
          </w:tcPr>
          <w:p w14:paraId="28B8B892">
            <w:pPr>
              <w:pStyle w:val="29"/>
              <w:ind w:firstLine="0" w:firstLineChars="0"/>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 w:val="0"/>
                <w:bCs/>
                <w:color w:val="auto"/>
                <w:szCs w:val="21"/>
              </w:rPr>
              <w:t>TP</w:t>
            </w:r>
          </w:p>
        </w:tc>
        <w:tc>
          <w:tcPr>
            <w:tcW w:w="1407" w:type="dxa"/>
            <w:noWrap w:val="0"/>
            <w:tcMar>
              <w:left w:w="28" w:type="dxa"/>
              <w:right w:w="28" w:type="dxa"/>
            </w:tcMar>
            <w:vAlign w:val="center"/>
          </w:tcPr>
          <w:p w14:paraId="2AE82B1D">
            <w:pPr>
              <w:jc w:val="center"/>
              <w:rPr>
                <w:rFonts w:hint="default" w:ascii="Times New Roman" w:hAnsi="Times New Roman" w:eastAsia="宋体" w:cs="Times New Roman"/>
                <w:snapToGrid w:val="0"/>
                <w:color w:val="auto"/>
                <w:kern w:val="21"/>
                <w:sz w:val="21"/>
                <w:szCs w:val="21"/>
              </w:rPr>
            </w:pPr>
            <w:r>
              <w:rPr>
                <w:rFonts w:hint="eastAsia" w:cs="Times New Roman"/>
                <w:color w:val="auto"/>
                <w:kern w:val="0"/>
                <w:sz w:val="21"/>
                <w:szCs w:val="21"/>
                <w:lang w:val="en-US" w:eastAsia="zh-CN"/>
              </w:rPr>
              <w:t>0</w:t>
            </w:r>
          </w:p>
        </w:tc>
        <w:tc>
          <w:tcPr>
            <w:tcW w:w="1228" w:type="dxa"/>
            <w:noWrap w:val="0"/>
            <w:tcMar>
              <w:left w:w="28" w:type="dxa"/>
              <w:right w:w="28" w:type="dxa"/>
            </w:tcMar>
            <w:vAlign w:val="center"/>
          </w:tcPr>
          <w:p w14:paraId="6DA9EB6B">
            <w:pPr>
              <w:jc w:val="center"/>
              <w:rPr>
                <w:rFonts w:hint="default" w:ascii="Times New Roman" w:hAnsi="Times New Roman" w:eastAsia="宋体" w:cs="Times New Roman"/>
                <w:snapToGrid w:val="0"/>
                <w:color w:val="auto"/>
                <w:kern w:val="21"/>
                <w:sz w:val="21"/>
                <w:szCs w:val="21"/>
              </w:rPr>
            </w:pPr>
            <w:r>
              <w:rPr>
                <w:rFonts w:hint="eastAsia" w:cs="Times New Roman"/>
                <w:color w:val="auto"/>
                <w:kern w:val="0"/>
                <w:sz w:val="21"/>
                <w:szCs w:val="21"/>
                <w:lang w:val="en-US" w:eastAsia="zh-CN"/>
              </w:rPr>
              <w:t>0</w:t>
            </w:r>
          </w:p>
        </w:tc>
        <w:tc>
          <w:tcPr>
            <w:tcW w:w="1348" w:type="dxa"/>
            <w:noWrap w:val="0"/>
            <w:tcMar>
              <w:left w:w="28" w:type="dxa"/>
              <w:right w:w="28" w:type="dxa"/>
            </w:tcMar>
            <w:vAlign w:val="center"/>
          </w:tcPr>
          <w:p w14:paraId="18368730">
            <w:pPr>
              <w:jc w:val="center"/>
              <w:rPr>
                <w:rFonts w:hint="default" w:ascii="Times New Roman" w:hAnsi="Times New Roman" w:eastAsia="宋体" w:cs="Times New Roman"/>
                <w:snapToGrid w:val="0"/>
                <w:color w:val="auto"/>
                <w:kern w:val="21"/>
                <w:sz w:val="21"/>
                <w:szCs w:val="21"/>
              </w:rPr>
            </w:pPr>
            <w:r>
              <w:rPr>
                <w:rFonts w:hint="eastAsia" w:cs="Times New Roman"/>
                <w:color w:val="auto"/>
                <w:kern w:val="0"/>
                <w:sz w:val="21"/>
                <w:szCs w:val="21"/>
                <w:lang w:val="en-US" w:eastAsia="zh-CN"/>
              </w:rPr>
              <w:t>0</w:t>
            </w:r>
          </w:p>
        </w:tc>
        <w:tc>
          <w:tcPr>
            <w:tcW w:w="1657" w:type="dxa"/>
            <w:noWrap w:val="0"/>
            <w:tcMar>
              <w:left w:w="28" w:type="dxa"/>
              <w:right w:w="28" w:type="dxa"/>
            </w:tcMar>
            <w:vAlign w:val="center"/>
          </w:tcPr>
          <w:p w14:paraId="73ABAABD">
            <w:pPr>
              <w:widowControl/>
              <w:jc w:val="center"/>
              <w:textAlignment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 w:val="0"/>
                <w:bCs/>
                <w:color w:val="auto"/>
                <w:sz w:val="21"/>
                <w:szCs w:val="21"/>
                <w:lang w:val="en-US" w:eastAsia="zh-CN"/>
              </w:rPr>
              <w:t>0.001</w:t>
            </w:r>
            <w:r>
              <w:rPr>
                <w:rFonts w:hint="eastAsia" w:cs="Times New Roman"/>
                <w:b w:val="0"/>
                <w:bCs/>
                <w:color w:val="auto"/>
                <w:sz w:val="21"/>
                <w:szCs w:val="21"/>
                <w:lang w:val="en-US" w:eastAsia="zh-CN"/>
              </w:rPr>
              <w:t>4</w:t>
            </w:r>
          </w:p>
        </w:tc>
        <w:tc>
          <w:tcPr>
            <w:tcW w:w="1477" w:type="dxa"/>
            <w:noWrap w:val="0"/>
            <w:tcMar>
              <w:left w:w="28" w:type="dxa"/>
              <w:right w:w="28" w:type="dxa"/>
            </w:tcMar>
            <w:vAlign w:val="center"/>
          </w:tcPr>
          <w:p w14:paraId="2E179F9C">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highlight w:val="none"/>
                <w:lang w:val="en-US" w:eastAsia="zh-CN"/>
              </w:rPr>
              <w:t>0</w:t>
            </w:r>
          </w:p>
        </w:tc>
        <w:tc>
          <w:tcPr>
            <w:tcW w:w="1516" w:type="dxa"/>
            <w:noWrap w:val="0"/>
            <w:tcMar>
              <w:left w:w="28" w:type="dxa"/>
              <w:right w:w="28" w:type="dxa"/>
            </w:tcMar>
            <w:vAlign w:val="center"/>
          </w:tcPr>
          <w:p w14:paraId="4FA1F894">
            <w:pPr>
              <w:widowControl/>
              <w:jc w:val="center"/>
              <w:textAlignment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b w:val="0"/>
                <w:bCs/>
                <w:color w:val="auto"/>
                <w:sz w:val="21"/>
                <w:szCs w:val="21"/>
                <w:lang w:val="en-US" w:eastAsia="zh-CN"/>
              </w:rPr>
              <w:t>0.001</w:t>
            </w:r>
            <w:r>
              <w:rPr>
                <w:rFonts w:hint="eastAsia" w:cs="Times New Roman"/>
                <w:b w:val="0"/>
                <w:bCs/>
                <w:color w:val="auto"/>
                <w:sz w:val="21"/>
                <w:szCs w:val="21"/>
                <w:lang w:val="en-US" w:eastAsia="zh-CN"/>
              </w:rPr>
              <w:t>4</w:t>
            </w:r>
          </w:p>
        </w:tc>
        <w:tc>
          <w:tcPr>
            <w:tcW w:w="1273" w:type="dxa"/>
            <w:noWrap w:val="0"/>
            <w:tcMar>
              <w:left w:w="28" w:type="dxa"/>
              <w:right w:w="28" w:type="dxa"/>
            </w:tcMar>
            <w:vAlign w:val="center"/>
          </w:tcPr>
          <w:p w14:paraId="72455F99">
            <w:pPr>
              <w:widowControl/>
              <w:jc w:val="center"/>
              <w:textAlignment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highlight w:val="none"/>
                <w:lang w:val="en-US" w:eastAsia="zh-CN"/>
              </w:rPr>
              <w:t>+</w:t>
            </w:r>
            <w:r>
              <w:rPr>
                <w:rFonts w:hint="default" w:ascii="Times New Roman" w:hAnsi="Times New Roman" w:eastAsia="宋体" w:cs="Times New Roman"/>
                <w:b w:val="0"/>
                <w:bCs/>
                <w:color w:val="auto"/>
                <w:sz w:val="21"/>
                <w:szCs w:val="21"/>
                <w:lang w:val="en-US" w:eastAsia="zh-CN"/>
              </w:rPr>
              <w:t>0.001</w:t>
            </w:r>
            <w:r>
              <w:rPr>
                <w:rFonts w:hint="eastAsia" w:cs="Times New Roman"/>
                <w:b w:val="0"/>
                <w:bCs/>
                <w:color w:val="auto"/>
                <w:sz w:val="21"/>
                <w:szCs w:val="21"/>
                <w:lang w:val="en-US" w:eastAsia="zh-CN"/>
              </w:rPr>
              <w:t>4</w:t>
            </w:r>
          </w:p>
        </w:tc>
      </w:tr>
      <w:tr w14:paraId="102852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70" w:type="dxa"/>
            <w:vMerge w:val="continue"/>
            <w:noWrap w:val="0"/>
            <w:tcMar>
              <w:left w:w="28" w:type="dxa"/>
              <w:right w:w="28" w:type="dxa"/>
            </w:tcMar>
            <w:vAlign w:val="center"/>
          </w:tcPr>
          <w:p w14:paraId="257E49A1">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1026" w:type="dxa"/>
            <w:vMerge w:val="continue"/>
            <w:noWrap w:val="0"/>
            <w:tcMar>
              <w:left w:w="28" w:type="dxa"/>
              <w:right w:w="28" w:type="dxa"/>
            </w:tcMar>
            <w:vAlign w:val="center"/>
          </w:tcPr>
          <w:p w14:paraId="1E026E76">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2124" w:type="dxa"/>
            <w:noWrap w:val="0"/>
            <w:tcMar>
              <w:left w:w="28" w:type="dxa"/>
              <w:right w:w="28" w:type="dxa"/>
            </w:tcMar>
            <w:vAlign w:val="center"/>
          </w:tcPr>
          <w:p w14:paraId="4FBF9657">
            <w:pPr>
              <w:pStyle w:val="29"/>
              <w:ind w:firstLine="0" w:firstLineChars="0"/>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b w:val="0"/>
                <w:bCs/>
                <w:color w:val="auto"/>
                <w:szCs w:val="21"/>
              </w:rPr>
              <w:t>TN</w:t>
            </w:r>
          </w:p>
        </w:tc>
        <w:tc>
          <w:tcPr>
            <w:tcW w:w="1407" w:type="dxa"/>
            <w:noWrap w:val="0"/>
            <w:tcMar>
              <w:left w:w="28" w:type="dxa"/>
              <w:right w:w="28" w:type="dxa"/>
            </w:tcMar>
            <w:vAlign w:val="center"/>
          </w:tcPr>
          <w:p w14:paraId="7B77F211">
            <w:pPr>
              <w:adjustRightInd w:val="0"/>
              <w:snapToGrid w:val="0"/>
              <w:jc w:val="center"/>
              <w:rPr>
                <w:rFonts w:hint="default" w:ascii="Times New Roman" w:hAnsi="Times New Roman" w:eastAsia="宋体" w:cs="Times New Roman"/>
                <w:snapToGrid w:val="0"/>
                <w:color w:val="auto"/>
                <w:kern w:val="21"/>
                <w:sz w:val="21"/>
                <w:szCs w:val="21"/>
                <w:lang w:val="en-US"/>
              </w:rPr>
            </w:pPr>
            <w:r>
              <w:rPr>
                <w:rFonts w:hint="eastAsia" w:cs="Times New Roman"/>
                <w:color w:val="auto"/>
                <w:kern w:val="0"/>
                <w:sz w:val="21"/>
                <w:szCs w:val="21"/>
                <w:lang w:val="en-US" w:eastAsia="zh-CN"/>
              </w:rPr>
              <w:t>0</w:t>
            </w:r>
          </w:p>
        </w:tc>
        <w:tc>
          <w:tcPr>
            <w:tcW w:w="1228" w:type="dxa"/>
            <w:noWrap w:val="0"/>
            <w:tcMar>
              <w:left w:w="28" w:type="dxa"/>
              <w:right w:w="28" w:type="dxa"/>
            </w:tcMar>
            <w:vAlign w:val="center"/>
          </w:tcPr>
          <w:p w14:paraId="204A7BEC">
            <w:pPr>
              <w:adjustRightInd w:val="0"/>
              <w:snapToGrid w:val="0"/>
              <w:jc w:val="center"/>
              <w:rPr>
                <w:rFonts w:hint="default" w:ascii="Times New Roman" w:hAnsi="Times New Roman" w:eastAsia="宋体" w:cs="Times New Roman"/>
                <w:snapToGrid w:val="0"/>
                <w:color w:val="auto"/>
                <w:kern w:val="21"/>
                <w:sz w:val="21"/>
                <w:szCs w:val="21"/>
              </w:rPr>
            </w:pPr>
            <w:r>
              <w:rPr>
                <w:rFonts w:hint="eastAsia" w:cs="Times New Roman"/>
                <w:color w:val="auto"/>
                <w:kern w:val="0"/>
                <w:sz w:val="21"/>
                <w:szCs w:val="21"/>
                <w:lang w:val="en-US" w:eastAsia="zh-CN"/>
              </w:rPr>
              <w:t>0</w:t>
            </w:r>
          </w:p>
        </w:tc>
        <w:tc>
          <w:tcPr>
            <w:tcW w:w="1348" w:type="dxa"/>
            <w:noWrap w:val="0"/>
            <w:tcMar>
              <w:left w:w="28" w:type="dxa"/>
              <w:right w:w="28" w:type="dxa"/>
            </w:tcMar>
            <w:vAlign w:val="center"/>
          </w:tcPr>
          <w:p w14:paraId="692685FA">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lang w:val="en-US"/>
              </w:rPr>
            </w:pPr>
            <w:r>
              <w:rPr>
                <w:rFonts w:hint="eastAsia" w:cs="Times New Roman"/>
                <w:color w:val="auto"/>
                <w:kern w:val="0"/>
                <w:sz w:val="21"/>
                <w:szCs w:val="21"/>
                <w:lang w:val="en-US" w:eastAsia="zh-CN"/>
              </w:rPr>
              <w:t>0</w:t>
            </w:r>
          </w:p>
        </w:tc>
        <w:tc>
          <w:tcPr>
            <w:tcW w:w="1657" w:type="dxa"/>
            <w:noWrap w:val="0"/>
            <w:tcMar>
              <w:left w:w="28" w:type="dxa"/>
              <w:right w:w="28" w:type="dxa"/>
            </w:tcMar>
            <w:vAlign w:val="center"/>
          </w:tcPr>
          <w:p w14:paraId="483D0E77">
            <w:pPr>
              <w:widowControl/>
              <w:jc w:val="center"/>
              <w:textAlignment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b w:val="0"/>
                <w:bCs/>
                <w:color w:val="auto"/>
                <w:sz w:val="21"/>
                <w:szCs w:val="21"/>
                <w:lang w:val="en-US" w:eastAsia="zh-CN"/>
              </w:rPr>
              <w:t>0.0</w:t>
            </w:r>
            <w:r>
              <w:rPr>
                <w:rFonts w:hint="eastAsia" w:cs="Times New Roman"/>
                <w:b w:val="0"/>
                <w:bCs/>
                <w:color w:val="auto"/>
                <w:sz w:val="21"/>
                <w:szCs w:val="21"/>
                <w:lang w:val="en-US" w:eastAsia="zh-CN"/>
              </w:rPr>
              <w:t>192</w:t>
            </w:r>
          </w:p>
        </w:tc>
        <w:tc>
          <w:tcPr>
            <w:tcW w:w="1477" w:type="dxa"/>
            <w:noWrap w:val="0"/>
            <w:tcMar>
              <w:left w:w="28" w:type="dxa"/>
              <w:right w:w="28" w:type="dxa"/>
            </w:tcMar>
            <w:vAlign w:val="center"/>
          </w:tcPr>
          <w:p w14:paraId="69ED6C4B">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eastAsia" w:ascii="Times New Roman" w:hAnsi="Times New Roman" w:eastAsia="宋体" w:cs="Times New Roman"/>
                <w:snapToGrid w:val="0"/>
                <w:color w:val="auto"/>
                <w:kern w:val="21"/>
                <w:sz w:val="21"/>
                <w:szCs w:val="21"/>
                <w:highlight w:val="none"/>
                <w:lang w:val="en-US" w:eastAsia="zh-CN"/>
              </w:rPr>
              <w:t>0</w:t>
            </w:r>
          </w:p>
        </w:tc>
        <w:tc>
          <w:tcPr>
            <w:tcW w:w="1516" w:type="dxa"/>
            <w:noWrap w:val="0"/>
            <w:tcMar>
              <w:left w:w="28" w:type="dxa"/>
              <w:right w:w="28" w:type="dxa"/>
            </w:tcMar>
            <w:vAlign w:val="center"/>
          </w:tcPr>
          <w:p w14:paraId="4E321C09">
            <w:pPr>
              <w:widowControl/>
              <w:jc w:val="center"/>
              <w:textAlignment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b w:val="0"/>
                <w:bCs/>
                <w:color w:val="auto"/>
                <w:sz w:val="21"/>
                <w:szCs w:val="21"/>
                <w:lang w:val="en-US" w:eastAsia="zh-CN"/>
              </w:rPr>
              <w:t>0.0</w:t>
            </w:r>
            <w:r>
              <w:rPr>
                <w:rFonts w:hint="eastAsia" w:cs="Times New Roman"/>
                <w:b w:val="0"/>
                <w:bCs/>
                <w:color w:val="auto"/>
                <w:sz w:val="21"/>
                <w:szCs w:val="21"/>
                <w:lang w:val="en-US" w:eastAsia="zh-CN"/>
              </w:rPr>
              <w:t>192</w:t>
            </w:r>
          </w:p>
        </w:tc>
        <w:tc>
          <w:tcPr>
            <w:tcW w:w="1273" w:type="dxa"/>
            <w:noWrap w:val="0"/>
            <w:tcMar>
              <w:left w:w="28" w:type="dxa"/>
              <w:right w:w="28" w:type="dxa"/>
            </w:tcMar>
            <w:vAlign w:val="center"/>
          </w:tcPr>
          <w:p w14:paraId="14D8290A">
            <w:pPr>
              <w:widowControl/>
              <w:jc w:val="center"/>
              <w:textAlignment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highlight w:val="none"/>
                <w:lang w:val="en-US" w:eastAsia="zh-CN"/>
              </w:rPr>
              <w:t>+</w:t>
            </w:r>
            <w:r>
              <w:rPr>
                <w:rFonts w:hint="default" w:ascii="Times New Roman" w:hAnsi="Times New Roman" w:eastAsia="宋体" w:cs="Times New Roman"/>
                <w:b w:val="0"/>
                <w:bCs/>
                <w:color w:val="auto"/>
                <w:sz w:val="21"/>
                <w:szCs w:val="21"/>
                <w:lang w:val="en-US" w:eastAsia="zh-CN"/>
              </w:rPr>
              <w:t>0.0</w:t>
            </w:r>
            <w:r>
              <w:rPr>
                <w:rFonts w:hint="eastAsia" w:cs="Times New Roman"/>
                <w:b w:val="0"/>
                <w:bCs/>
                <w:color w:val="auto"/>
                <w:sz w:val="21"/>
                <w:szCs w:val="21"/>
                <w:lang w:val="en-US" w:eastAsia="zh-CN"/>
              </w:rPr>
              <w:t>192</w:t>
            </w:r>
          </w:p>
        </w:tc>
      </w:tr>
      <w:tr w14:paraId="702F0B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120" w:type="dxa"/>
            <w:gridSpan w:val="3"/>
            <w:noWrap w:val="0"/>
            <w:tcMar>
              <w:left w:w="28" w:type="dxa"/>
              <w:right w:w="28" w:type="dxa"/>
            </w:tcMar>
            <w:vAlign w:val="center"/>
          </w:tcPr>
          <w:p w14:paraId="2C9B97C4">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lang w:val="en-US" w:eastAsia="zh-CN"/>
              </w:rPr>
              <w:t>生活</w:t>
            </w:r>
            <w:r>
              <w:rPr>
                <w:rFonts w:hint="default" w:ascii="Times New Roman" w:hAnsi="Times New Roman" w:eastAsia="宋体" w:cs="Times New Roman"/>
                <w:snapToGrid w:val="0"/>
                <w:color w:val="auto"/>
                <w:kern w:val="21"/>
                <w:sz w:val="21"/>
                <w:szCs w:val="21"/>
                <w:shd w:val="clear" w:fill="auto"/>
                <w:lang w:val="en-US" w:eastAsia="zh-CN"/>
              </w:rPr>
              <w:t>垃圾</w:t>
            </w:r>
          </w:p>
        </w:tc>
        <w:tc>
          <w:tcPr>
            <w:tcW w:w="1407" w:type="dxa"/>
            <w:noWrap w:val="0"/>
            <w:tcMar>
              <w:left w:w="28" w:type="dxa"/>
              <w:right w:w="28" w:type="dxa"/>
            </w:tcMar>
            <w:vAlign w:val="center"/>
          </w:tcPr>
          <w:p w14:paraId="49F2A3C3">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lang w:val="en-US" w:eastAsia="zh-CN"/>
              </w:rPr>
            </w:pPr>
            <w:r>
              <w:rPr>
                <w:rFonts w:hint="eastAsia" w:cs="Times New Roman"/>
                <w:snapToGrid w:val="0"/>
                <w:color w:val="auto"/>
                <w:kern w:val="21"/>
                <w:sz w:val="21"/>
                <w:szCs w:val="21"/>
                <w:lang w:val="en-US" w:eastAsia="zh-CN"/>
              </w:rPr>
              <w:t>0</w:t>
            </w:r>
          </w:p>
        </w:tc>
        <w:tc>
          <w:tcPr>
            <w:tcW w:w="1228" w:type="dxa"/>
            <w:noWrap w:val="0"/>
            <w:tcMar>
              <w:left w:w="28" w:type="dxa"/>
              <w:right w:w="28" w:type="dxa"/>
            </w:tcMar>
            <w:vAlign w:val="center"/>
          </w:tcPr>
          <w:p w14:paraId="407863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348" w:type="dxa"/>
            <w:noWrap w:val="0"/>
            <w:tcMar>
              <w:left w:w="28" w:type="dxa"/>
              <w:right w:w="28" w:type="dxa"/>
            </w:tcMar>
            <w:vAlign w:val="center"/>
          </w:tcPr>
          <w:p w14:paraId="0B7470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657" w:type="dxa"/>
            <w:noWrap w:val="0"/>
            <w:tcMar>
              <w:left w:w="28" w:type="dxa"/>
              <w:right w:w="28" w:type="dxa"/>
            </w:tcMar>
            <w:vAlign w:val="center"/>
          </w:tcPr>
          <w:p w14:paraId="567D75F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z w:val="21"/>
                <w:szCs w:val="21"/>
                <w:lang w:val="en-US" w:eastAsia="zh-CN"/>
              </w:rPr>
              <w:t>3</w:t>
            </w:r>
          </w:p>
        </w:tc>
        <w:tc>
          <w:tcPr>
            <w:tcW w:w="1477" w:type="dxa"/>
            <w:noWrap w:val="0"/>
            <w:tcMar>
              <w:left w:w="28" w:type="dxa"/>
              <w:right w:w="28" w:type="dxa"/>
            </w:tcMar>
            <w:vAlign w:val="center"/>
          </w:tcPr>
          <w:p w14:paraId="76280237">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516" w:type="dxa"/>
            <w:noWrap w:val="0"/>
            <w:tcMar>
              <w:left w:w="28" w:type="dxa"/>
              <w:right w:w="28" w:type="dxa"/>
            </w:tcMar>
            <w:vAlign w:val="center"/>
          </w:tcPr>
          <w:p w14:paraId="4C5F62A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z w:val="21"/>
                <w:szCs w:val="21"/>
                <w:lang w:val="en-US" w:eastAsia="zh-CN"/>
              </w:rPr>
              <w:t>3</w:t>
            </w:r>
          </w:p>
        </w:tc>
        <w:tc>
          <w:tcPr>
            <w:tcW w:w="1273" w:type="dxa"/>
            <w:noWrap w:val="0"/>
            <w:tcMar>
              <w:left w:w="28" w:type="dxa"/>
              <w:right w:w="28" w:type="dxa"/>
            </w:tcMar>
            <w:vAlign w:val="center"/>
          </w:tcPr>
          <w:p w14:paraId="13CB67A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highlight w:val="none"/>
                <w:lang w:val="en-US" w:eastAsia="zh-CN"/>
              </w:rPr>
              <w:t>+</w:t>
            </w:r>
            <w:r>
              <w:rPr>
                <w:rFonts w:hint="eastAsia" w:cs="Times New Roman"/>
                <w:color w:val="auto"/>
                <w:sz w:val="21"/>
                <w:szCs w:val="21"/>
                <w:lang w:val="en-US" w:eastAsia="zh-CN"/>
              </w:rPr>
              <w:t>3</w:t>
            </w:r>
          </w:p>
        </w:tc>
      </w:tr>
      <w:tr w14:paraId="5380B8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restart"/>
            <w:noWrap w:val="0"/>
            <w:tcMar>
              <w:left w:w="28" w:type="dxa"/>
              <w:right w:w="28" w:type="dxa"/>
            </w:tcMar>
            <w:vAlign w:val="center"/>
          </w:tcPr>
          <w:p w14:paraId="2527B73C">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r>
              <w:rPr>
                <w:rFonts w:hint="default" w:ascii="Times New Roman" w:hAnsi="Times New Roman" w:eastAsia="宋体" w:cs="Times New Roman"/>
                <w:snapToGrid w:val="0"/>
                <w:color w:val="auto"/>
                <w:kern w:val="21"/>
                <w:sz w:val="21"/>
                <w:szCs w:val="21"/>
              </w:rPr>
              <w:t>一般工业固体</w:t>
            </w:r>
            <w:r>
              <w:rPr>
                <w:rFonts w:hint="default" w:ascii="Times New Roman" w:hAnsi="Times New Roman" w:eastAsia="宋体" w:cs="Times New Roman"/>
                <w:snapToGrid w:val="0"/>
                <w:color w:val="auto"/>
                <w:kern w:val="21"/>
                <w:sz w:val="21"/>
                <w:szCs w:val="21"/>
                <w:shd w:val="clear" w:fill="auto"/>
              </w:rPr>
              <w:t>废物</w:t>
            </w:r>
          </w:p>
        </w:tc>
        <w:tc>
          <w:tcPr>
            <w:tcW w:w="3150" w:type="dxa"/>
            <w:gridSpan w:val="2"/>
            <w:noWrap w:val="0"/>
            <w:tcMar>
              <w:left w:w="28" w:type="dxa"/>
              <w:right w:w="28" w:type="dxa"/>
            </w:tcMar>
            <w:vAlign w:val="center"/>
          </w:tcPr>
          <w:p w14:paraId="442F65F1">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color w:val="auto"/>
                <w:sz w:val="21"/>
                <w:szCs w:val="21"/>
                <w:lang w:val="en-US" w:eastAsia="zh-CN"/>
              </w:rPr>
              <w:t>边角料</w:t>
            </w:r>
          </w:p>
        </w:tc>
        <w:tc>
          <w:tcPr>
            <w:tcW w:w="1407" w:type="dxa"/>
            <w:noWrap w:val="0"/>
            <w:tcMar>
              <w:left w:w="28" w:type="dxa"/>
              <w:right w:w="28" w:type="dxa"/>
            </w:tcMar>
            <w:vAlign w:val="center"/>
          </w:tcPr>
          <w:p w14:paraId="14B01B88">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228" w:type="dxa"/>
            <w:noWrap w:val="0"/>
            <w:tcMar>
              <w:left w:w="28" w:type="dxa"/>
              <w:right w:w="28" w:type="dxa"/>
            </w:tcMar>
            <w:vAlign w:val="center"/>
          </w:tcPr>
          <w:p w14:paraId="7CB0E4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348" w:type="dxa"/>
            <w:noWrap w:val="0"/>
            <w:tcMar>
              <w:left w:w="28" w:type="dxa"/>
              <w:right w:w="28" w:type="dxa"/>
            </w:tcMar>
            <w:vAlign w:val="center"/>
          </w:tcPr>
          <w:p w14:paraId="36B2FF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657" w:type="dxa"/>
            <w:noWrap w:val="0"/>
            <w:tcMar>
              <w:left w:w="28" w:type="dxa"/>
              <w:right w:w="28" w:type="dxa"/>
            </w:tcMar>
            <w:vAlign w:val="center"/>
          </w:tcPr>
          <w:p w14:paraId="6611133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z w:val="21"/>
                <w:szCs w:val="21"/>
                <w:lang w:val="en-US" w:eastAsia="zh-CN"/>
              </w:rPr>
              <w:t>20.8</w:t>
            </w:r>
          </w:p>
        </w:tc>
        <w:tc>
          <w:tcPr>
            <w:tcW w:w="1477" w:type="dxa"/>
            <w:noWrap w:val="0"/>
            <w:tcMar>
              <w:left w:w="28" w:type="dxa"/>
              <w:right w:w="28" w:type="dxa"/>
            </w:tcMar>
            <w:vAlign w:val="center"/>
          </w:tcPr>
          <w:p w14:paraId="238727E1">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highlight w:val="none"/>
                <w:lang w:val="en-US" w:eastAsia="zh-CN"/>
              </w:rPr>
              <w:t>0</w:t>
            </w:r>
          </w:p>
        </w:tc>
        <w:tc>
          <w:tcPr>
            <w:tcW w:w="1516" w:type="dxa"/>
            <w:noWrap w:val="0"/>
            <w:tcMar>
              <w:left w:w="28" w:type="dxa"/>
              <w:right w:w="28" w:type="dxa"/>
            </w:tcMar>
            <w:vAlign w:val="center"/>
          </w:tcPr>
          <w:p w14:paraId="335FBF8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z w:val="21"/>
                <w:szCs w:val="21"/>
                <w:lang w:val="en-US" w:eastAsia="zh-CN"/>
              </w:rPr>
              <w:t>20.8</w:t>
            </w:r>
          </w:p>
        </w:tc>
        <w:tc>
          <w:tcPr>
            <w:tcW w:w="1273" w:type="dxa"/>
            <w:noWrap w:val="0"/>
            <w:tcMar>
              <w:left w:w="28" w:type="dxa"/>
              <w:right w:w="28" w:type="dxa"/>
            </w:tcMar>
            <w:vAlign w:val="center"/>
          </w:tcPr>
          <w:p w14:paraId="35CF749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highlight w:val="none"/>
                <w:lang w:val="en-US" w:eastAsia="zh-CN"/>
              </w:rPr>
              <w:t>+</w:t>
            </w:r>
            <w:r>
              <w:rPr>
                <w:rFonts w:hint="eastAsia" w:cs="Times New Roman"/>
                <w:color w:val="auto"/>
                <w:sz w:val="21"/>
                <w:szCs w:val="21"/>
                <w:lang w:val="en-US" w:eastAsia="zh-CN"/>
              </w:rPr>
              <w:t>20.8</w:t>
            </w:r>
          </w:p>
        </w:tc>
      </w:tr>
      <w:tr w14:paraId="47F7FB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19DCB3BE">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3150" w:type="dxa"/>
            <w:gridSpan w:val="2"/>
            <w:noWrap w:val="0"/>
            <w:tcMar>
              <w:left w:w="28" w:type="dxa"/>
              <w:right w:w="28" w:type="dxa"/>
            </w:tcMar>
            <w:vAlign w:val="center"/>
          </w:tcPr>
          <w:p w14:paraId="4F73C506">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color w:val="auto"/>
                <w:sz w:val="21"/>
                <w:szCs w:val="21"/>
                <w:lang w:val="en-US" w:eastAsia="zh-CN"/>
              </w:rPr>
              <w:t>次品</w:t>
            </w:r>
          </w:p>
        </w:tc>
        <w:tc>
          <w:tcPr>
            <w:tcW w:w="1407" w:type="dxa"/>
            <w:noWrap w:val="0"/>
            <w:tcMar>
              <w:left w:w="28" w:type="dxa"/>
              <w:right w:w="28" w:type="dxa"/>
            </w:tcMar>
            <w:vAlign w:val="center"/>
          </w:tcPr>
          <w:p w14:paraId="03AE1328">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228" w:type="dxa"/>
            <w:noWrap w:val="0"/>
            <w:tcMar>
              <w:left w:w="28" w:type="dxa"/>
              <w:right w:w="28" w:type="dxa"/>
            </w:tcMar>
            <w:vAlign w:val="center"/>
          </w:tcPr>
          <w:p w14:paraId="47FD74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348" w:type="dxa"/>
            <w:noWrap w:val="0"/>
            <w:tcMar>
              <w:left w:w="28" w:type="dxa"/>
              <w:right w:w="28" w:type="dxa"/>
            </w:tcMar>
            <w:vAlign w:val="center"/>
          </w:tcPr>
          <w:p w14:paraId="1E80BF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657" w:type="dxa"/>
            <w:noWrap w:val="0"/>
            <w:tcMar>
              <w:left w:w="28" w:type="dxa"/>
              <w:right w:w="28" w:type="dxa"/>
            </w:tcMar>
            <w:vAlign w:val="center"/>
          </w:tcPr>
          <w:p w14:paraId="702F16B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z w:val="21"/>
                <w:szCs w:val="21"/>
                <w:lang w:val="en-US" w:eastAsia="zh-CN"/>
              </w:rPr>
              <w:t>10.4</w:t>
            </w:r>
          </w:p>
        </w:tc>
        <w:tc>
          <w:tcPr>
            <w:tcW w:w="1477" w:type="dxa"/>
            <w:noWrap w:val="0"/>
            <w:tcMar>
              <w:left w:w="28" w:type="dxa"/>
              <w:right w:w="28" w:type="dxa"/>
            </w:tcMar>
            <w:vAlign w:val="center"/>
          </w:tcPr>
          <w:p w14:paraId="7D99EA5F">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highlight w:val="none"/>
                <w:lang w:val="en-US" w:eastAsia="zh-CN"/>
              </w:rPr>
              <w:t>0</w:t>
            </w:r>
          </w:p>
        </w:tc>
        <w:tc>
          <w:tcPr>
            <w:tcW w:w="1516" w:type="dxa"/>
            <w:noWrap w:val="0"/>
            <w:tcMar>
              <w:left w:w="28" w:type="dxa"/>
              <w:right w:w="28" w:type="dxa"/>
            </w:tcMar>
            <w:vAlign w:val="center"/>
          </w:tcPr>
          <w:p w14:paraId="0FC8B7A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z w:val="21"/>
                <w:szCs w:val="21"/>
                <w:lang w:val="en-US" w:eastAsia="zh-CN"/>
              </w:rPr>
              <w:t>10.4</w:t>
            </w:r>
          </w:p>
        </w:tc>
        <w:tc>
          <w:tcPr>
            <w:tcW w:w="1273" w:type="dxa"/>
            <w:noWrap w:val="0"/>
            <w:tcMar>
              <w:left w:w="28" w:type="dxa"/>
              <w:right w:w="28" w:type="dxa"/>
            </w:tcMar>
            <w:vAlign w:val="center"/>
          </w:tcPr>
          <w:p w14:paraId="21B8510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highlight w:val="none"/>
                <w:lang w:val="en-US" w:eastAsia="zh-CN"/>
              </w:rPr>
              <w:t>+</w:t>
            </w:r>
            <w:r>
              <w:rPr>
                <w:rFonts w:hint="eastAsia" w:cs="Times New Roman"/>
                <w:color w:val="auto"/>
                <w:sz w:val="21"/>
                <w:szCs w:val="21"/>
                <w:lang w:val="en-US" w:eastAsia="zh-CN"/>
              </w:rPr>
              <w:t>10.4</w:t>
            </w:r>
          </w:p>
        </w:tc>
      </w:tr>
      <w:tr w14:paraId="39251F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restart"/>
            <w:noWrap w:val="0"/>
            <w:tcMar>
              <w:left w:w="28" w:type="dxa"/>
              <w:right w:w="28" w:type="dxa"/>
            </w:tcMar>
            <w:vAlign w:val="center"/>
          </w:tcPr>
          <w:p w14:paraId="132A5ACB">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snapToGrid w:val="0"/>
                <w:color w:val="auto"/>
                <w:kern w:val="21"/>
                <w:sz w:val="21"/>
                <w:szCs w:val="21"/>
                <w:lang w:val="en-US" w:eastAsia="zh-CN"/>
              </w:rPr>
              <w:t>危险</w:t>
            </w:r>
            <w:r>
              <w:rPr>
                <w:rFonts w:hint="default" w:ascii="Times New Roman" w:hAnsi="Times New Roman" w:eastAsia="宋体" w:cs="Times New Roman"/>
                <w:snapToGrid w:val="0"/>
                <w:color w:val="auto"/>
                <w:kern w:val="21"/>
                <w:sz w:val="21"/>
                <w:szCs w:val="21"/>
                <w:shd w:val="clear" w:fill="auto"/>
                <w:lang w:val="en-US" w:eastAsia="zh-CN"/>
              </w:rPr>
              <w:t>废物</w:t>
            </w:r>
          </w:p>
        </w:tc>
        <w:tc>
          <w:tcPr>
            <w:tcW w:w="3150" w:type="dxa"/>
            <w:gridSpan w:val="2"/>
            <w:noWrap w:val="0"/>
            <w:tcMar>
              <w:left w:w="28" w:type="dxa"/>
              <w:right w:w="28" w:type="dxa"/>
            </w:tcMar>
            <w:vAlign w:val="center"/>
          </w:tcPr>
          <w:p w14:paraId="26E02558">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rPr>
            </w:pPr>
            <w:r>
              <w:rPr>
                <w:rFonts w:hint="eastAsia" w:ascii="Times New Roman" w:hAnsi="Times New Roman" w:eastAsia="宋体" w:cs="Times New Roman"/>
                <w:color w:val="auto"/>
                <w:sz w:val="21"/>
                <w:szCs w:val="21"/>
                <w:lang w:val="en-US" w:eastAsia="zh-CN"/>
              </w:rPr>
              <w:t>污泥</w:t>
            </w:r>
          </w:p>
        </w:tc>
        <w:tc>
          <w:tcPr>
            <w:tcW w:w="1407" w:type="dxa"/>
            <w:noWrap w:val="0"/>
            <w:tcMar>
              <w:left w:w="28" w:type="dxa"/>
              <w:right w:w="28" w:type="dxa"/>
            </w:tcMar>
            <w:vAlign w:val="center"/>
          </w:tcPr>
          <w:p w14:paraId="63588205">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228" w:type="dxa"/>
            <w:noWrap w:val="0"/>
            <w:tcMar>
              <w:left w:w="28" w:type="dxa"/>
              <w:right w:w="28" w:type="dxa"/>
            </w:tcMar>
            <w:vAlign w:val="center"/>
          </w:tcPr>
          <w:p w14:paraId="44EF335A">
            <w:pPr>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348" w:type="dxa"/>
            <w:noWrap w:val="0"/>
            <w:tcMar>
              <w:left w:w="28" w:type="dxa"/>
              <w:right w:w="28" w:type="dxa"/>
            </w:tcMar>
            <w:vAlign w:val="center"/>
          </w:tcPr>
          <w:p w14:paraId="27CD2807">
            <w:pPr>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657" w:type="dxa"/>
            <w:noWrap w:val="0"/>
            <w:tcMar>
              <w:left w:w="28" w:type="dxa"/>
              <w:right w:w="28" w:type="dxa"/>
            </w:tcMar>
            <w:vAlign w:val="center"/>
          </w:tcPr>
          <w:p w14:paraId="5555E8B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color w:val="auto"/>
                <w:sz w:val="21"/>
                <w:szCs w:val="21"/>
                <w:lang w:val="en-US" w:eastAsia="zh-CN"/>
              </w:rPr>
              <w:t>1.24</w:t>
            </w:r>
          </w:p>
        </w:tc>
        <w:tc>
          <w:tcPr>
            <w:tcW w:w="1477" w:type="dxa"/>
            <w:noWrap w:val="0"/>
            <w:tcMar>
              <w:left w:w="28" w:type="dxa"/>
              <w:right w:w="28" w:type="dxa"/>
            </w:tcMar>
            <w:vAlign w:val="center"/>
          </w:tcPr>
          <w:p w14:paraId="2A468724">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w:t>
            </w:r>
          </w:p>
        </w:tc>
        <w:tc>
          <w:tcPr>
            <w:tcW w:w="1516" w:type="dxa"/>
            <w:noWrap w:val="0"/>
            <w:tcMar>
              <w:left w:w="28" w:type="dxa"/>
              <w:right w:w="28" w:type="dxa"/>
            </w:tcMar>
            <w:vAlign w:val="center"/>
          </w:tcPr>
          <w:p w14:paraId="7E23778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color w:val="auto"/>
                <w:sz w:val="21"/>
                <w:szCs w:val="21"/>
                <w:lang w:val="en-US" w:eastAsia="zh-CN"/>
              </w:rPr>
              <w:t>1.24</w:t>
            </w:r>
          </w:p>
        </w:tc>
        <w:tc>
          <w:tcPr>
            <w:tcW w:w="1273" w:type="dxa"/>
            <w:noWrap w:val="0"/>
            <w:tcMar>
              <w:left w:w="28" w:type="dxa"/>
              <w:right w:w="28" w:type="dxa"/>
            </w:tcMar>
            <w:vAlign w:val="center"/>
          </w:tcPr>
          <w:p w14:paraId="6589C9F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cs="Times New Roman"/>
                <w:snapToGrid w:val="0"/>
                <w:color w:val="auto"/>
                <w:kern w:val="21"/>
                <w:sz w:val="21"/>
                <w:szCs w:val="21"/>
                <w:highlight w:val="none"/>
                <w:lang w:val="en-US" w:eastAsia="zh-CN"/>
              </w:rPr>
              <w:t>+</w:t>
            </w:r>
            <w:r>
              <w:rPr>
                <w:rFonts w:hint="eastAsia" w:cs="Times New Roman"/>
                <w:color w:val="auto"/>
                <w:sz w:val="21"/>
                <w:szCs w:val="21"/>
                <w:lang w:val="en-US" w:eastAsia="zh-CN"/>
              </w:rPr>
              <w:t>1.24</w:t>
            </w:r>
          </w:p>
        </w:tc>
      </w:tr>
      <w:tr w14:paraId="5F79C8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3A3A8B72">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p>
        </w:tc>
        <w:tc>
          <w:tcPr>
            <w:tcW w:w="3150" w:type="dxa"/>
            <w:gridSpan w:val="2"/>
            <w:noWrap w:val="0"/>
            <w:tcMar>
              <w:left w:w="28" w:type="dxa"/>
              <w:right w:w="28" w:type="dxa"/>
            </w:tcMar>
            <w:vAlign w:val="center"/>
          </w:tcPr>
          <w:p w14:paraId="16328D99">
            <w:pPr>
              <w:pStyle w:val="29"/>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废过滤介质</w:t>
            </w:r>
          </w:p>
        </w:tc>
        <w:tc>
          <w:tcPr>
            <w:tcW w:w="1407" w:type="dxa"/>
            <w:noWrap w:val="0"/>
            <w:tcMar>
              <w:left w:w="28" w:type="dxa"/>
              <w:right w:w="28" w:type="dxa"/>
            </w:tcMar>
            <w:vAlign w:val="center"/>
          </w:tcPr>
          <w:p w14:paraId="1328580C">
            <w:pPr>
              <w:keepNext w:val="0"/>
              <w:keepLines w:val="0"/>
              <w:widowControl/>
              <w:suppressLineNumbers w:val="0"/>
              <w:jc w:val="center"/>
              <w:textAlignment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0</w:t>
            </w:r>
          </w:p>
        </w:tc>
        <w:tc>
          <w:tcPr>
            <w:tcW w:w="1228" w:type="dxa"/>
            <w:noWrap w:val="0"/>
            <w:tcMar>
              <w:left w:w="28" w:type="dxa"/>
              <w:right w:w="28" w:type="dxa"/>
            </w:tcMar>
            <w:vAlign w:val="center"/>
          </w:tcPr>
          <w:p w14:paraId="2EA777D4">
            <w:pPr>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0</w:t>
            </w:r>
          </w:p>
        </w:tc>
        <w:tc>
          <w:tcPr>
            <w:tcW w:w="1348" w:type="dxa"/>
            <w:noWrap w:val="0"/>
            <w:tcMar>
              <w:left w:w="28" w:type="dxa"/>
              <w:right w:w="28" w:type="dxa"/>
            </w:tcMar>
            <w:vAlign w:val="center"/>
          </w:tcPr>
          <w:p w14:paraId="01B5026E">
            <w:pPr>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0</w:t>
            </w:r>
          </w:p>
        </w:tc>
        <w:tc>
          <w:tcPr>
            <w:tcW w:w="1657" w:type="dxa"/>
            <w:noWrap w:val="0"/>
            <w:tcMar>
              <w:left w:w="28" w:type="dxa"/>
              <w:right w:w="28" w:type="dxa"/>
            </w:tcMar>
            <w:vAlign w:val="center"/>
          </w:tcPr>
          <w:p w14:paraId="6861421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0.41</w:t>
            </w:r>
          </w:p>
        </w:tc>
        <w:tc>
          <w:tcPr>
            <w:tcW w:w="1477" w:type="dxa"/>
            <w:noWrap w:val="0"/>
            <w:tcMar>
              <w:left w:w="28" w:type="dxa"/>
              <w:right w:w="28" w:type="dxa"/>
            </w:tcMar>
            <w:vAlign w:val="center"/>
          </w:tcPr>
          <w:p w14:paraId="0B5C3E60">
            <w:pPr>
              <w:keepNext w:val="0"/>
              <w:keepLines w:val="0"/>
              <w:pageBreakBefore w:val="0"/>
              <w:kinsoku/>
              <w:wordWrap/>
              <w:overflowPunct/>
              <w:topLinePunct w:val="0"/>
              <w:autoSpaceDE/>
              <w:autoSpaceDN/>
              <w:bidi w:val="0"/>
              <w:spacing w:beforeLines="0" w:afterLines="0" w:line="240" w:lineRule="auto"/>
              <w:jc w:val="center"/>
              <w:rPr>
                <w:rFonts w:hint="eastAsia"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w:t>
            </w:r>
          </w:p>
        </w:tc>
        <w:tc>
          <w:tcPr>
            <w:tcW w:w="1516" w:type="dxa"/>
            <w:noWrap w:val="0"/>
            <w:tcMar>
              <w:left w:w="28" w:type="dxa"/>
              <w:right w:w="28" w:type="dxa"/>
            </w:tcMar>
            <w:vAlign w:val="center"/>
          </w:tcPr>
          <w:p w14:paraId="493CCC7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0.41</w:t>
            </w:r>
          </w:p>
        </w:tc>
        <w:tc>
          <w:tcPr>
            <w:tcW w:w="1273" w:type="dxa"/>
            <w:noWrap w:val="0"/>
            <w:tcMar>
              <w:left w:w="28" w:type="dxa"/>
              <w:right w:w="28" w:type="dxa"/>
            </w:tcMar>
            <w:vAlign w:val="center"/>
          </w:tcPr>
          <w:p w14:paraId="06BE104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+0.41</w:t>
            </w:r>
          </w:p>
        </w:tc>
      </w:tr>
      <w:tr w14:paraId="0F1BA7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61DCDB48">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3150" w:type="dxa"/>
            <w:gridSpan w:val="2"/>
            <w:noWrap w:val="0"/>
            <w:tcMar>
              <w:left w:w="28" w:type="dxa"/>
              <w:right w:w="28" w:type="dxa"/>
            </w:tcMar>
            <w:vAlign w:val="center"/>
          </w:tcPr>
          <w:p w14:paraId="219FE66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rPr>
            </w:pPr>
            <w:r>
              <w:rPr>
                <w:rFonts w:hint="eastAsia" w:cs="Times New Roman"/>
                <w:color w:val="auto"/>
                <w:spacing w:val="2"/>
                <w:kern w:val="2"/>
                <w:sz w:val="21"/>
                <w:szCs w:val="21"/>
                <w:lang w:val="en-US" w:eastAsia="zh-CN" w:bidi="ar-SA"/>
              </w:rPr>
              <w:t>含切削液铝屑</w:t>
            </w:r>
          </w:p>
        </w:tc>
        <w:tc>
          <w:tcPr>
            <w:tcW w:w="1407" w:type="dxa"/>
            <w:noWrap w:val="0"/>
            <w:tcMar>
              <w:left w:w="28" w:type="dxa"/>
              <w:right w:w="28" w:type="dxa"/>
            </w:tcMar>
            <w:vAlign w:val="center"/>
          </w:tcPr>
          <w:p w14:paraId="71E89C8F">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228" w:type="dxa"/>
            <w:noWrap w:val="0"/>
            <w:tcMar>
              <w:left w:w="28" w:type="dxa"/>
              <w:right w:w="28" w:type="dxa"/>
            </w:tcMar>
            <w:vAlign w:val="center"/>
          </w:tcPr>
          <w:p w14:paraId="155972CE">
            <w:pPr>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348" w:type="dxa"/>
            <w:noWrap w:val="0"/>
            <w:tcMar>
              <w:left w:w="28" w:type="dxa"/>
              <w:right w:w="28" w:type="dxa"/>
            </w:tcMar>
            <w:vAlign w:val="center"/>
          </w:tcPr>
          <w:p w14:paraId="015CF3CE">
            <w:pPr>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657" w:type="dxa"/>
            <w:noWrap w:val="0"/>
            <w:tcMar>
              <w:left w:w="28" w:type="dxa"/>
              <w:right w:w="28" w:type="dxa"/>
            </w:tcMar>
            <w:vAlign w:val="center"/>
          </w:tcPr>
          <w:p w14:paraId="19A0135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z w:val="21"/>
                <w:szCs w:val="21"/>
                <w:lang w:val="en-US" w:eastAsia="zh-CN"/>
              </w:rPr>
              <w:t>4.2</w:t>
            </w:r>
          </w:p>
        </w:tc>
        <w:tc>
          <w:tcPr>
            <w:tcW w:w="1477" w:type="dxa"/>
            <w:noWrap w:val="0"/>
            <w:tcMar>
              <w:left w:w="28" w:type="dxa"/>
              <w:right w:w="28" w:type="dxa"/>
            </w:tcMar>
            <w:vAlign w:val="center"/>
          </w:tcPr>
          <w:p w14:paraId="03AA01B6">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highlight w:val="none"/>
                <w:lang w:val="en-US" w:eastAsia="zh-CN"/>
              </w:rPr>
              <w:t>0</w:t>
            </w:r>
          </w:p>
        </w:tc>
        <w:tc>
          <w:tcPr>
            <w:tcW w:w="1516" w:type="dxa"/>
            <w:noWrap w:val="0"/>
            <w:tcMar>
              <w:left w:w="28" w:type="dxa"/>
              <w:right w:w="28" w:type="dxa"/>
            </w:tcMar>
            <w:vAlign w:val="center"/>
          </w:tcPr>
          <w:p w14:paraId="345D194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z w:val="21"/>
                <w:szCs w:val="21"/>
                <w:lang w:val="en-US" w:eastAsia="zh-CN"/>
              </w:rPr>
              <w:t>4.2</w:t>
            </w:r>
          </w:p>
        </w:tc>
        <w:tc>
          <w:tcPr>
            <w:tcW w:w="1273" w:type="dxa"/>
            <w:noWrap w:val="0"/>
            <w:tcMar>
              <w:left w:w="28" w:type="dxa"/>
              <w:right w:w="28" w:type="dxa"/>
            </w:tcMar>
            <w:vAlign w:val="center"/>
          </w:tcPr>
          <w:p w14:paraId="2C49C68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highlight w:val="none"/>
                <w:lang w:val="en-US" w:eastAsia="zh-CN"/>
              </w:rPr>
              <w:t>+</w:t>
            </w:r>
            <w:r>
              <w:rPr>
                <w:rFonts w:hint="eastAsia" w:cs="Times New Roman"/>
                <w:color w:val="auto"/>
                <w:sz w:val="21"/>
                <w:szCs w:val="21"/>
                <w:lang w:val="en-US" w:eastAsia="zh-CN"/>
              </w:rPr>
              <w:t>4.2</w:t>
            </w:r>
          </w:p>
        </w:tc>
      </w:tr>
      <w:tr w14:paraId="6F081D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7D8EFB77">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3150" w:type="dxa"/>
            <w:gridSpan w:val="2"/>
            <w:noWrap w:val="0"/>
            <w:tcMar>
              <w:left w:w="28" w:type="dxa"/>
              <w:right w:w="28" w:type="dxa"/>
            </w:tcMar>
            <w:vAlign w:val="center"/>
          </w:tcPr>
          <w:p w14:paraId="0E6B855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rPr>
            </w:pPr>
            <w:r>
              <w:rPr>
                <w:rFonts w:hint="eastAsia" w:ascii="Times New Roman" w:hAnsi="Times New Roman" w:eastAsia="宋体" w:cs="Times New Roman"/>
                <w:color w:val="auto"/>
                <w:spacing w:val="2"/>
                <w:kern w:val="2"/>
                <w:sz w:val="21"/>
                <w:szCs w:val="21"/>
                <w:lang w:val="en-US" w:eastAsia="zh-CN" w:bidi="ar-SA"/>
              </w:rPr>
              <w:t>废切削液</w:t>
            </w:r>
          </w:p>
        </w:tc>
        <w:tc>
          <w:tcPr>
            <w:tcW w:w="1407" w:type="dxa"/>
            <w:noWrap w:val="0"/>
            <w:tcMar>
              <w:left w:w="28" w:type="dxa"/>
              <w:right w:w="28" w:type="dxa"/>
            </w:tcMar>
            <w:vAlign w:val="center"/>
          </w:tcPr>
          <w:p w14:paraId="4FA9444D">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228" w:type="dxa"/>
            <w:noWrap w:val="0"/>
            <w:tcMar>
              <w:left w:w="28" w:type="dxa"/>
              <w:right w:w="28" w:type="dxa"/>
            </w:tcMar>
            <w:vAlign w:val="center"/>
          </w:tcPr>
          <w:p w14:paraId="55D96BB7">
            <w:pPr>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348" w:type="dxa"/>
            <w:noWrap w:val="0"/>
            <w:tcMar>
              <w:left w:w="28" w:type="dxa"/>
              <w:right w:w="28" w:type="dxa"/>
            </w:tcMar>
            <w:vAlign w:val="center"/>
          </w:tcPr>
          <w:p w14:paraId="089FC07E">
            <w:pPr>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657" w:type="dxa"/>
            <w:noWrap w:val="0"/>
            <w:tcMar>
              <w:left w:w="28" w:type="dxa"/>
              <w:right w:w="28" w:type="dxa"/>
            </w:tcMar>
            <w:vAlign w:val="center"/>
          </w:tcPr>
          <w:p w14:paraId="0A88283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z w:val="21"/>
                <w:szCs w:val="21"/>
                <w:lang w:val="en-US" w:eastAsia="zh-CN"/>
              </w:rPr>
              <w:t>2.2</w:t>
            </w:r>
          </w:p>
        </w:tc>
        <w:tc>
          <w:tcPr>
            <w:tcW w:w="1477" w:type="dxa"/>
            <w:noWrap w:val="0"/>
            <w:tcMar>
              <w:left w:w="28" w:type="dxa"/>
              <w:right w:w="28" w:type="dxa"/>
            </w:tcMar>
            <w:vAlign w:val="center"/>
          </w:tcPr>
          <w:p w14:paraId="4A4D6310">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highlight w:val="none"/>
                <w:lang w:val="en-US" w:eastAsia="zh-CN"/>
              </w:rPr>
              <w:t>0</w:t>
            </w:r>
          </w:p>
        </w:tc>
        <w:tc>
          <w:tcPr>
            <w:tcW w:w="1516" w:type="dxa"/>
            <w:noWrap w:val="0"/>
            <w:tcMar>
              <w:left w:w="28" w:type="dxa"/>
              <w:right w:w="28" w:type="dxa"/>
            </w:tcMar>
            <w:vAlign w:val="center"/>
          </w:tcPr>
          <w:p w14:paraId="7BA7E43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z w:val="21"/>
                <w:szCs w:val="21"/>
                <w:lang w:val="en-US" w:eastAsia="zh-CN"/>
              </w:rPr>
              <w:t>2.2</w:t>
            </w:r>
          </w:p>
        </w:tc>
        <w:tc>
          <w:tcPr>
            <w:tcW w:w="1273" w:type="dxa"/>
            <w:noWrap w:val="0"/>
            <w:tcMar>
              <w:left w:w="28" w:type="dxa"/>
              <w:right w:w="28" w:type="dxa"/>
            </w:tcMar>
            <w:vAlign w:val="center"/>
          </w:tcPr>
          <w:p w14:paraId="5AB29B01">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highlight w:val="none"/>
                <w:lang w:val="en-US" w:eastAsia="zh-CN"/>
              </w:rPr>
              <w:t>+</w:t>
            </w:r>
            <w:r>
              <w:rPr>
                <w:rFonts w:hint="eastAsia" w:cs="Times New Roman"/>
                <w:color w:val="auto"/>
                <w:sz w:val="21"/>
                <w:szCs w:val="21"/>
                <w:lang w:val="en-US" w:eastAsia="zh-CN"/>
              </w:rPr>
              <w:t>2.2</w:t>
            </w:r>
          </w:p>
        </w:tc>
      </w:tr>
      <w:tr w14:paraId="01A814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3C904565">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3150" w:type="dxa"/>
            <w:gridSpan w:val="2"/>
            <w:noWrap w:val="0"/>
            <w:tcMar>
              <w:left w:w="28" w:type="dxa"/>
              <w:right w:w="28" w:type="dxa"/>
            </w:tcMar>
            <w:vAlign w:val="center"/>
          </w:tcPr>
          <w:p w14:paraId="1C039EA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rPr>
            </w:pPr>
            <w:r>
              <w:rPr>
                <w:rFonts w:hint="eastAsia" w:ascii="Times New Roman" w:hAnsi="Times New Roman" w:eastAsia="宋体" w:cs="Times New Roman"/>
                <w:color w:val="auto"/>
                <w:spacing w:val="2"/>
                <w:kern w:val="2"/>
                <w:sz w:val="21"/>
                <w:szCs w:val="21"/>
                <w:lang w:val="en-US" w:eastAsia="zh-CN" w:bidi="ar-SA"/>
              </w:rPr>
              <w:t>清洗废液</w:t>
            </w:r>
          </w:p>
        </w:tc>
        <w:tc>
          <w:tcPr>
            <w:tcW w:w="1407" w:type="dxa"/>
            <w:noWrap w:val="0"/>
            <w:tcMar>
              <w:left w:w="28" w:type="dxa"/>
              <w:right w:w="28" w:type="dxa"/>
            </w:tcMar>
            <w:vAlign w:val="center"/>
          </w:tcPr>
          <w:p w14:paraId="3E3DEDC1">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228" w:type="dxa"/>
            <w:noWrap w:val="0"/>
            <w:tcMar>
              <w:left w:w="28" w:type="dxa"/>
              <w:right w:w="28" w:type="dxa"/>
            </w:tcMar>
            <w:vAlign w:val="center"/>
          </w:tcPr>
          <w:p w14:paraId="23CE0A9D">
            <w:pPr>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348" w:type="dxa"/>
            <w:noWrap w:val="0"/>
            <w:tcMar>
              <w:left w:w="28" w:type="dxa"/>
              <w:right w:w="28" w:type="dxa"/>
            </w:tcMar>
            <w:vAlign w:val="center"/>
          </w:tcPr>
          <w:p w14:paraId="67C82CA5">
            <w:pPr>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657" w:type="dxa"/>
            <w:noWrap w:val="0"/>
            <w:tcMar>
              <w:left w:w="28" w:type="dxa"/>
              <w:right w:w="28" w:type="dxa"/>
            </w:tcMar>
            <w:vAlign w:val="center"/>
          </w:tcPr>
          <w:p w14:paraId="3BCCB3B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z w:val="21"/>
                <w:szCs w:val="21"/>
                <w:lang w:val="en-US" w:eastAsia="zh-CN"/>
              </w:rPr>
              <w:t>8.1</w:t>
            </w:r>
          </w:p>
        </w:tc>
        <w:tc>
          <w:tcPr>
            <w:tcW w:w="1477" w:type="dxa"/>
            <w:noWrap w:val="0"/>
            <w:tcMar>
              <w:left w:w="28" w:type="dxa"/>
              <w:right w:w="28" w:type="dxa"/>
            </w:tcMar>
            <w:vAlign w:val="center"/>
          </w:tcPr>
          <w:p w14:paraId="0D77F31C">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highlight w:val="none"/>
                <w:lang w:val="en-US" w:eastAsia="zh-CN"/>
              </w:rPr>
              <w:t>0</w:t>
            </w:r>
          </w:p>
        </w:tc>
        <w:tc>
          <w:tcPr>
            <w:tcW w:w="1516" w:type="dxa"/>
            <w:noWrap w:val="0"/>
            <w:tcMar>
              <w:left w:w="28" w:type="dxa"/>
              <w:right w:w="28" w:type="dxa"/>
            </w:tcMar>
            <w:vAlign w:val="center"/>
          </w:tcPr>
          <w:p w14:paraId="023325E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z w:val="21"/>
                <w:szCs w:val="21"/>
                <w:lang w:val="en-US" w:eastAsia="zh-CN"/>
              </w:rPr>
              <w:t>8.1</w:t>
            </w:r>
          </w:p>
        </w:tc>
        <w:tc>
          <w:tcPr>
            <w:tcW w:w="1273" w:type="dxa"/>
            <w:noWrap w:val="0"/>
            <w:tcMar>
              <w:left w:w="28" w:type="dxa"/>
              <w:right w:w="28" w:type="dxa"/>
            </w:tcMar>
            <w:vAlign w:val="center"/>
          </w:tcPr>
          <w:p w14:paraId="1A24B3F3">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highlight w:val="none"/>
                <w:lang w:val="en-US" w:eastAsia="zh-CN"/>
              </w:rPr>
              <w:t>+</w:t>
            </w:r>
            <w:r>
              <w:rPr>
                <w:rFonts w:hint="eastAsia" w:cs="Times New Roman"/>
                <w:color w:val="auto"/>
                <w:sz w:val="21"/>
                <w:szCs w:val="21"/>
                <w:lang w:val="en-US" w:eastAsia="zh-CN"/>
              </w:rPr>
              <w:t>8.1</w:t>
            </w:r>
          </w:p>
        </w:tc>
      </w:tr>
      <w:tr w14:paraId="2E45E6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0461E362">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3150" w:type="dxa"/>
            <w:gridSpan w:val="2"/>
            <w:noWrap w:val="0"/>
            <w:tcMar>
              <w:left w:w="28" w:type="dxa"/>
              <w:right w:w="28" w:type="dxa"/>
            </w:tcMar>
            <w:vAlign w:val="center"/>
          </w:tcPr>
          <w:p w14:paraId="3E03E4C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default" w:ascii="Times New Roman" w:hAnsi="Times New Roman" w:eastAsia="宋体" w:cs="Times New Roman"/>
                <w:color w:val="auto"/>
                <w:spacing w:val="2"/>
                <w:kern w:val="2"/>
                <w:sz w:val="21"/>
                <w:szCs w:val="21"/>
                <w:lang w:val="en-US" w:eastAsia="zh-CN" w:bidi="ar-SA"/>
              </w:rPr>
              <w:t>废</w:t>
            </w:r>
            <w:r>
              <w:rPr>
                <w:rFonts w:hint="eastAsia" w:ascii="Times New Roman" w:hAnsi="Times New Roman" w:eastAsia="宋体" w:cs="Times New Roman"/>
                <w:color w:val="auto"/>
                <w:spacing w:val="2"/>
                <w:kern w:val="2"/>
                <w:sz w:val="21"/>
                <w:szCs w:val="21"/>
                <w:lang w:val="en-US" w:eastAsia="zh-CN" w:bidi="ar-SA"/>
              </w:rPr>
              <w:t>机油</w:t>
            </w:r>
          </w:p>
        </w:tc>
        <w:tc>
          <w:tcPr>
            <w:tcW w:w="1407" w:type="dxa"/>
            <w:noWrap w:val="0"/>
            <w:tcMar>
              <w:left w:w="28" w:type="dxa"/>
              <w:right w:w="28" w:type="dxa"/>
            </w:tcMar>
            <w:vAlign w:val="center"/>
          </w:tcPr>
          <w:p w14:paraId="499F1F60">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228" w:type="dxa"/>
            <w:noWrap w:val="0"/>
            <w:tcMar>
              <w:left w:w="28" w:type="dxa"/>
              <w:right w:w="28" w:type="dxa"/>
            </w:tcMar>
            <w:vAlign w:val="center"/>
          </w:tcPr>
          <w:p w14:paraId="1535AD5F">
            <w:pPr>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348" w:type="dxa"/>
            <w:noWrap w:val="0"/>
            <w:tcMar>
              <w:left w:w="28" w:type="dxa"/>
              <w:right w:w="28" w:type="dxa"/>
            </w:tcMar>
            <w:vAlign w:val="center"/>
          </w:tcPr>
          <w:p w14:paraId="0C2C7E28">
            <w:pPr>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657" w:type="dxa"/>
            <w:noWrap w:val="0"/>
            <w:tcMar>
              <w:left w:w="28" w:type="dxa"/>
              <w:right w:w="28" w:type="dxa"/>
            </w:tcMar>
            <w:vAlign w:val="center"/>
          </w:tcPr>
          <w:p w14:paraId="28E8E20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z w:val="21"/>
                <w:szCs w:val="21"/>
                <w:lang w:val="en-US" w:eastAsia="zh-CN"/>
              </w:rPr>
              <w:t>0.9</w:t>
            </w:r>
          </w:p>
        </w:tc>
        <w:tc>
          <w:tcPr>
            <w:tcW w:w="1477" w:type="dxa"/>
            <w:noWrap w:val="0"/>
            <w:tcMar>
              <w:left w:w="28" w:type="dxa"/>
              <w:right w:w="28" w:type="dxa"/>
            </w:tcMar>
            <w:vAlign w:val="center"/>
          </w:tcPr>
          <w:p w14:paraId="27E04031">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highlight w:val="none"/>
                <w:lang w:val="en-US" w:eastAsia="zh-CN"/>
              </w:rPr>
              <w:t>0</w:t>
            </w:r>
          </w:p>
        </w:tc>
        <w:tc>
          <w:tcPr>
            <w:tcW w:w="1516" w:type="dxa"/>
            <w:noWrap w:val="0"/>
            <w:tcMar>
              <w:left w:w="28" w:type="dxa"/>
              <w:right w:w="28" w:type="dxa"/>
            </w:tcMar>
            <w:vAlign w:val="center"/>
          </w:tcPr>
          <w:p w14:paraId="6924393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z w:val="21"/>
                <w:szCs w:val="21"/>
                <w:lang w:val="en-US" w:eastAsia="zh-CN"/>
              </w:rPr>
              <w:t>0.9</w:t>
            </w:r>
          </w:p>
        </w:tc>
        <w:tc>
          <w:tcPr>
            <w:tcW w:w="1273" w:type="dxa"/>
            <w:noWrap w:val="0"/>
            <w:tcMar>
              <w:left w:w="28" w:type="dxa"/>
              <w:right w:w="28" w:type="dxa"/>
            </w:tcMar>
            <w:vAlign w:val="center"/>
          </w:tcPr>
          <w:p w14:paraId="5DC0ECB0">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highlight w:val="none"/>
                <w:lang w:val="en-US" w:eastAsia="zh-CN"/>
              </w:rPr>
              <w:t>+</w:t>
            </w:r>
            <w:r>
              <w:rPr>
                <w:rFonts w:hint="eastAsia" w:cs="Times New Roman"/>
                <w:color w:val="auto"/>
                <w:sz w:val="21"/>
                <w:szCs w:val="21"/>
                <w:lang w:val="en-US" w:eastAsia="zh-CN"/>
              </w:rPr>
              <w:t>0.9</w:t>
            </w:r>
          </w:p>
        </w:tc>
      </w:tr>
      <w:tr w14:paraId="07056C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41F55643">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3150" w:type="dxa"/>
            <w:gridSpan w:val="2"/>
            <w:noWrap w:val="0"/>
            <w:tcMar>
              <w:left w:w="28" w:type="dxa"/>
              <w:right w:w="28" w:type="dxa"/>
            </w:tcMar>
            <w:vAlign w:val="center"/>
          </w:tcPr>
          <w:p w14:paraId="738BD6E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pacing w:val="2"/>
                <w:kern w:val="2"/>
                <w:sz w:val="21"/>
                <w:szCs w:val="21"/>
                <w:lang w:val="en-US" w:eastAsia="zh-CN" w:bidi="ar-SA"/>
              </w:rPr>
              <w:t>废切削液桶</w:t>
            </w:r>
          </w:p>
        </w:tc>
        <w:tc>
          <w:tcPr>
            <w:tcW w:w="1407" w:type="dxa"/>
            <w:noWrap w:val="0"/>
            <w:tcMar>
              <w:left w:w="28" w:type="dxa"/>
              <w:right w:w="28" w:type="dxa"/>
            </w:tcMar>
            <w:vAlign w:val="center"/>
          </w:tcPr>
          <w:p w14:paraId="45CB0616">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228" w:type="dxa"/>
            <w:noWrap w:val="0"/>
            <w:tcMar>
              <w:left w:w="28" w:type="dxa"/>
              <w:right w:w="28" w:type="dxa"/>
            </w:tcMar>
            <w:vAlign w:val="center"/>
          </w:tcPr>
          <w:p w14:paraId="7ED5E751">
            <w:pPr>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348" w:type="dxa"/>
            <w:noWrap w:val="0"/>
            <w:tcMar>
              <w:left w:w="28" w:type="dxa"/>
              <w:right w:w="28" w:type="dxa"/>
            </w:tcMar>
            <w:vAlign w:val="center"/>
          </w:tcPr>
          <w:p w14:paraId="660505E9">
            <w:pPr>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657" w:type="dxa"/>
            <w:noWrap w:val="0"/>
            <w:tcMar>
              <w:left w:w="28" w:type="dxa"/>
              <w:right w:w="28" w:type="dxa"/>
            </w:tcMar>
            <w:vAlign w:val="center"/>
          </w:tcPr>
          <w:p w14:paraId="0F85B3E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z w:val="21"/>
                <w:szCs w:val="21"/>
                <w:lang w:val="en-US" w:eastAsia="zh-CN"/>
              </w:rPr>
              <w:t>0.01</w:t>
            </w:r>
          </w:p>
        </w:tc>
        <w:tc>
          <w:tcPr>
            <w:tcW w:w="1477" w:type="dxa"/>
            <w:noWrap w:val="0"/>
            <w:tcMar>
              <w:left w:w="28" w:type="dxa"/>
              <w:right w:w="28" w:type="dxa"/>
            </w:tcMar>
            <w:vAlign w:val="center"/>
          </w:tcPr>
          <w:p w14:paraId="63663EEA">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highlight w:val="none"/>
                <w:lang w:val="en-US" w:eastAsia="zh-CN"/>
              </w:rPr>
              <w:t>0</w:t>
            </w:r>
          </w:p>
        </w:tc>
        <w:tc>
          <w:tcPr>
            <w:tcW w:w="1516" w:type="dxa"/>
            <w:noWrap w:val="0"/>
            <w:tcMar>
              <w:left w:w="28" w:type="dxa"/>
              <w:right w:w="28" w:type="dxa"/>
            </w:tcMar>
            <w:vAlign w:val="center"/>
          </w:tcPr>
          <w:p w14:paraId="7DBE46C7">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z w:val="21"/>
                <w:szCs w:val="21"/>
                <w:lang w:val="en-US" w:eastAsia="zh-CN"/>
              </w:rPr>
              <w:t>0.01</w:t>
            </w:r>
          </w:p>
        </w:tc>
        <w:tc>
          <w:tcPr>
            <w:tcW w:w="1273" w:type="dxa"/>
            <w:noWrap w:val="0"/>
            <w:tcMar>
              <w:left w:w="28" w:type="dxa"/>
              <w:right w:w="28" w:type="dxa"/>
            </w:tcMar>
            <w:vAlign w:val="center"/>
          </w:tcPr>
          <w:p w14:paraId="7946FE2F">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highlight w:val="none"/>
                <w:lang w:val="en-US" w:eastAsia="zh-CN"/>
              </w:rPr>
              <w:t>+</w:t>
            </w:r>
            <w:r>
              <w:rPr>
                <w:rFonts w:hint="eastAsia" w:cs="Times New Roman"/>
                <w:color w:val="auto"/>
                <w:sz w:val="21"/>
                <w:szCs w:val="21"/>
                <w:lang w:val="en-US" w:eastAsia="zh-CN"/>
              </w:rPr>
              <w:t>0.01</w:t>
            </w:r>
          </w:p>
        </w:tc>
      </w:tr>
      <w:tr w14:paraId="733387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7FCEDBB3">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3150" w:type="dxa"/>
            <w:gridSpan w:val="2"/>
            <w:noWrap w:val="0"/>
            <w:tcMar>
              <w:left w:w="28" w:type="dxa"/>
              <w:right w:w="28" w:type="dxa"/>
            </w:tcMar>
            <w:vAlign w:val="center"/>
          </w:tcPr>
          <w:p w14:paraId="4EA8EFEC">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2"/>
                <w:kern w:val="2"/>
                <w:sz w:val="21"/>
                <w:szCs w:val="21"/>
                <w:lang w:val="en-US" w:eastAsia="zh-CN" w:bidi="ar-SA"/>
              </w:rPr>
            </w:pPr>
            <w:r>
              <w:rPr>
                <w:rFonts w:hint="eastAsia" w:cs="Times New Roman"/>
                <w:color w:val="auto"/>
                <w:spacing w:val="2"/>
                <w:kern w:val="2"/>
                <w:sz w:val="21"/>
                <w:szCs w:val="21"/>
                <w:lang w:val="en-US" w:eastAsia="zh-CN" w:bidi="ar-SA"/>
              </w:rPr>
              <w:t>废机油桶</w:t>
            </w:r>
          </w:p>
        </w:tc>
        <w:tc>
          <w:tcPr>
            <w:tcW w:w="1407" w:type="dxa"/>
            <w:noWrap w:val="0"/>
            <w:tcMar>
              <w:left w:w="28" w:type="dxa"/>
              <w:right w:w="28" w:type="dxa"/>
            </w:tcMar>
            <w:vAlign w:val="center"/>
          </w:tcPr>
          <w:p w14:paraId="01E48D53">
            <w:pPr>
              <w:keepNext w:val="0"/>
              <w:keepLines w:val="0"/>
              <w:widowControl/>
              <w:suppressLineNumbers w:val="0"/>
              <w:jc w:val="center"/>
              <w:textAlignment w:val="center"/>
              <w:rPr>
                <w:rFonts w:hint="eastAsia" w:cs="Times New Roman"/>
                <w:color w:val="auto"/>
                <w:kern w:val="0"/>
                <w:sz w:val="21"/>
                <w:szCs w:val="21"/>
                <w:lang w:val="en-US" w:eastAsia="zh-CN"/>
              </w:rPr>
            </w:pPr>
            <w:r>
              <w:rPr>
                <w:rFonts w:hint="eastAsia" w:ascii="Times New Roman" w:hAnsi="Times New Roman" w:eastAsia="宋体" w:cs="Times New Roman"/>
                <w:snapToGrid w:val="0"/>
                <w:color w:val="auto"/>
                <w:kern w:val="21"/>
                <w:sz w:val="21"/>
                <w:szCs w:val="21"/>
                <w:highlight w:val="none"/>
                <w:lang w:val="en-US" w:eastAsia="zh-CN"/>
              </w:rPr>
              <w:t>0</w:t>
            </w:r>
          </w:p>
        </w:tc>
        <w:tc>
          <w:tcPr>
            <w:tcW w:w="1228" w:type="dxa"/>
            <w:noWrap w:val="0"/>
            <w:tcMar>
              <w:left w:w="28" w:type="dxa"/>
              <w:right w:w="28" w:type="dxa"/>
            </w:tcMar>
            <w:vAlign w:val="center"/>
          </w:tcPr>
          <w:p w14:paraId="2AB86032">
            <w:pPr>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eastAsia" w:cs="Times New Roman"/>
                <w:color w:val="auto"/>
                <w:kern w:val="0"/>
                <w:sz w:val="21"/>
                <w:szCs w:val="21"/>
                <w:lang w:val="en-US" w:eastAsia="zh-CN"/>
              </w:rPr>
            </w:pPr>
            <w:r>
              <w:rPr>
                <w:rFonts w:hint="eastAsia" w:ascii="Times New Roman" w:hAnsi="Times New Roman" w:eastAsia="宋体" w:cs="Times New Roman"/>
                <w:snapToGrid w:val="0"/>
                <w:color w:val="auto"/>
                <w:kern w:val="21"/>
                <w:sz w:val="21"/>
                <w:szCs w:val="21"/>
                <w:highlight w:val="none"/>
                <w:lang w:val="en-US" w:eastAsia="zh-CN"/>
              </w:rPr>
              <w:t>0</w:t>
            </w:r>
          </w:p>
        </w:tc>
        <w:tc>
          <w:tcPr>
            <w:tcW w:w="1348" w:type="dxa"/>
            <w:noWrap w:val="0"/>
            <w:tcMar>
              <w:left w:w="28" w:type="dxa"/>
              <w:right w:w="28" w:type="dxa"/>
            </w:tcMar>
            <w:vAlign w:val="center"/>
          </w:tcPr>
          <w:p w14:paraId="14F0F383">
            <w:pPr>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eastAsia" w:cs="Times New Roman"/>
                <w:color w:val="auto"/>
                <w:kern w:val="0"/>
                <w:sz w:val="21"/>
                <w:szCs w:val="21"/>
                <w:lang w:val="en-US" w:eastAsia="zh-CN"/>
              </w:rPr>
            </w:pPr>
            <w:r>
              <w:rPr>
                <w:rFonts w:hint="eastAsia" w:ascii="Times New Roman" w:hAnsi="Times New Roman" w:eastAsia="宋体" w:cs="Times New Roman"/>
                <w:snapToGrid w:val="0"/>
                <w:color w:val="auto"/>
                <w:kern w:val="21"/>
                <w:sz w:val="21"/>
                <w:szCs w:val="21"/>
                <w:highlight w:val="none"/>
                <w:lang w:val="en-US" w:eastAsia="zh-CN"/>
              </w:rPr>
              <w:t>0</w:t>
            </w:r>
          </w:p>
        </w:tc>
        <w:tc>
          <w:tcPr>
            <w:tcW w:w="1657" w:type="dxa"/>
            <w:noWrap w:val="0"/>
            <w:tcMar>
              <w:left w:w="28" w:type="dxa"/>
              <w:right w:w="28" w:type="dxa"/>
            </w:tcMar>
            <w:vAlign w:val="center"/>
          </w:tcPr>
          <w:p w14:paraId="7AFA047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0.025</w:t>
            </w:r>
          </w:p>
        </w:tc>
        <w:tc>
          <w:tcPr>
            <w:tcW w:w="1477" w:type="dxa"/>
            <w:noWrap w:val="0"/>
            <w:tcMar>
              <w:left w:w="28" w:type="dxa"/>
              <w:right w:w="28" w:type="dxa"/>
            </w:tcMar>
            <w:vAlign w:val="center"/>
          </w:tcPr>
          <w:p w14:paraId="1B13B6A0">
            <w:pPr>
              <w:keepNext w:val="0"/>
              <w:keepLines w:val="0"/>
              <w:pageBreakBefore w:val="0"/>
              <w:kinsoku/>
              <w:wordWrap/>
              <w:overflowPunct/>
              <w:topLinePunct w:val="0"/>
              <w:autoSpaceDE/>
              <w:autoSpaceDN/>
              <w:bidi w:val="0"/>
              <w:spacing w:beforeLines="0" w:afterLines="0" w:line="240" w:lineRule="auto"/>
              <w:jc w:val="center"/>
              <w:rPr>
                <w:rFonts w:hint="eastAsia"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w:t>
            </w:r>
          </w:p>
        </w:tc>
        <w:tc>
          <w:tcPr>
            <w:tcW w:w="1516" w:type="dxa"/>
            <w:noWrap w:val="0"/>
            <w:tcMar>
              <w:left w:w="28" w:type="dxa"/>
              <w:right w:w="28" w:type="dxa"/>
            </w:tcMar>
            <w:vAlign w:val="center"/>
          </w:tcPr>
          <w:p w14:paraId="3BE377E8">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0.025</w:t>
            </w:r>
          </w:p>
        </w:tc>
        <w:tc>
          <w:tcPr>
            <w:tcW w:w="1273" w:type="dxa"/>
            <w:noWrap w:val="0"/>
            <w:tcMar>
              <w:left w:w="28" w:type="dxa"/>
              <w:right w:w="28" w:type="dxa"/>
            </w:tcMar>
            <w:vAlign w:val="center"/>
          </w:tcPr>
          <w:p w14:paraId="3967AA1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snapToGrid w:val="0"/>
                <w:color w:val="auto"/>
                <w:kern w:val="21"/>
                <w:sz w:val="21"/>
                <w:szCs w:val="21"/>
                <w:highlight w:val="none"/>
                <w:lang w:val="en-US" w:eastAsia="zh-CN"/>
              </w:rPr>
            </w:pPr>
            <w:r>
              <w:rPr>
                <w:rFonts w:hint="eastAsia" w:ascii="Times New Roman" w:hAnsi="Times New Roman" w:cs="Times New Roman"/>
                <w:snapToGrid w:val="0"/>
                <w:color w:val="auto"/>
                <w:kern w:val="21"/>
                <w:sz w:val="21"/>
                <w:szCs w:val="21"/>
                <w:highlight w:val="none"/>
                <w:lang w:val="en-US" w:eastAsia="zh-CN"/>
              </w:rPr>
              <w:t>+</w:t>
            </w:r>
            <w:r>
              <w:rPr>
                <w:rFonts w:hint="eastAsia" w:cs="Times New Roman"/>
                <w:color w:val="auto"/>
                <w:sz w:val="21"/>
                <w:szCs w:val="21"/>
                <w:lang w:val="en-US" w:eastAsia="zh-CN"/>
              </w:rPr>
              <w:t>0.025</w:t>
            </w:r>
          </w:p>
        </w:tc>
      </w:tr>
      <w:tr w14:paraId="354979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261F8E86">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3150" w:type="dxa"/>
            <w:gridSpan w:val="2"/>
            <w:noWrap w:val="0"/>
            <w:tcMar>
              <w:left w:w="28" w:type="dxa"/>
              <w:right w:w="28" w:type="dxa"/>
            </w:tcMar>
            <w:vAlign w:val="center"/>
          </w:tcPr>
          <w:p w14:paraId="7DE88F4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pacing w:val="2"/>
                <w:kern w:val="2"/>
                <w:sz w:val="21"/>
                <w:szCs w:val="21"/>
                <w:lang w:val="en-US" w:eastAsia="zh-CN" w:bidi="ar-SA"/>
              </w:rPr>
            </w:pPr>
            <w:r>
              <w:rPr>
                <w:rFonts w:hint="eastAsia" w:cs="Times New Roman"/>
                <w:color w:val="auto"/>
                <w:spacing w:val="2"/>
                <w:kern w:val="2"/>
                <w:sz w:val="21"/>
                <w:szCs w:val="21"/>
                <w:lang w:val="en-US" w:eastAsia="zh-CN" w:bidi="ar-SA"/>
              </w:rPr>
              <w:t>废包装袋</w:t>
            </w:r>
          </w:p>
        </w:tc>
        <w:tc>
          <w:tcPr>
            <w:tcW w:w="1407" w:type="dxa"/>
            <w:noWrap w:val="0"/>
            <w:tcMar>
              <w:left w:w="28" w:type="dxa"/>
              <w:right w:w="28" w:type="dxa"/>
            </w:tcMar>
            <w:vAlign w:val="center"/>
          </w:tcPr>
          <w:p w14:paraId="3EF88FFC">
            <w:pPr>
              <w:keepNext w:val="0"/>
              <w:keepLines w:val="0"/>
              <w:widowControl/>
              <w:suppressLineNumbers w:val="0"/>
              <w:jc w:val="center"/>
              <w:textAlignment w:val="center"/>
              <w:rPr>
                <w:rFonts w:hint="eastAsia"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w:t>
            </w:r>
          </w:p>
        </w:tc>
        <w:tc>
          <w:tcPr>
            <w:tcW w:w="1228" w:type="dxa"/>
            <w:noWrap w:val="0"/>
            <w:tcMar>
              <w:left w:w="28" w:type="dxa"/>
              <w:right w:w="28" w:type="dxa"/>
            </w:tcMar>
            <w:vAlign w:val="center"/>
          </w:tcPr>
          <w:p w14:paraId="4316D235">
            <w:pPr>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eastAsia"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w:t>
            </w:r>
          </w:p>
        </w:tc>
        <w:tc>
          <w:tcPr>
            <w:tcW w:w="1348" w:type="dxa"/>
            <w:noWrap w:val="0"/>
            <w:tcMar>
              <w:left w:w="28" w:type="dxa"/>
              <w:right w:w="28" w:type="dxa"/>
            </w:tcMar>
            <w:vAlign w:val="center"/>
          </w:tcPr>
          <w:p w14:paraId="4B9FBDC8">
            <w:pPr>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eastAsia"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w:t>
            </w:r>
          </w:p>
        </w:tc>
        <w:tc>
          <w:tcPr>
            <w:tcW w:w="1657" w:type="dxa"/>
            <w:noWrap w:val="0"/>
            <w:tcMar>
              <w:left w:w="28" w:type="dxa"/>
              <w:right w:w="28" w:type="dxa"/>
            </w:tcMar>
            <w:vAlign w:val="center"/>
          </w:tcPr>
          <w:p w14:paraId="043ACB9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0.001</w:t>
            </w:r>
          </w:p>
        </w:tc>
        <w:tc>
          <w:tcPr>
            <w:tcW w:w="1477" w:type="dxa"/>
            <w:noWrap w:val="0"/>
            <w:tcMar>
              <w:left w:w="28" w:type="dxa"/>
              <w:right w:w="28" w:type="dxa"/>
            </w:tcMar>
            <w:vAlign w:val="center"/>
          </w:tcPr>
          <w:p w14:paraId="1370F50B">
            <w:pPr>
              <w:keepNext w:val="0"/>
              <w:keepLines w:val="0"/>
              <w:pageBreakBefore w:val="0"/>
              <w:kinsoku/>
              <w:wordWrap/>
              <w:overflowPunct/>
              <w:topLinePunct w:val="0"/>
              <w:autoSpaceDE/>
              <w:autoSpaceDN/>
              <w:bidi w:val="0"/>
              <w:spacing w:beforeLines="0" w:afterLines="0" w:line="240" w:lineRule="auto"/>
              <w:jc w:val="center"/>
              <w:rPr>
                <w:rFonts w:hint="eastAsia" w:ascii="Times New Roman" w:hAnsi="Times New Roman" w:eastAsia="宋体" w:cs="Times New Roman"/>
                <w:snapToGrid w:val="0"/>
                <w:color w:val="auto"/>
                <w:kern w:val="21"/>
                <w:sz w:val="21"/>
                <w:szCs w:val="21"/>
                <w:highlight w:val="none"/>
                <w:lang w:val="en-US" w:eastAsia="zh-CN"/>
              </w:rPr>
            </w:pPr>
            <w:r>
              <w:rPr>
                <w:rFonts w:hint="eastAsia" w:ascii="Times New Roman" w:hAnsi="Times New Roman" w:eastAsia="宋体" w:cs="Times New Roman"/>
                <w:snapToGrid w:val="0"/>
                <w:color w:val="auto"/>
                <w:kern w:val="21"/>
                <w:sz w:val="21"/>
                <w:szCs w:val="21"/>
                <w:highlight w:val="none"/>
                <w:lang w:val="en-US" w:eastAsia="zh-CN"/>
              </w:rPr>
              <w:t>0</w:t>
            </w:r>
          </w:p>
        </w:tc>
        <w:tc>
          <w:tcPr>
            <w:tcW w:w="1516" w:type="dxa"/>
            <w:noWrap w:val="0"/>
            <w:tcMar>
              <w:left w:w="28" w:type="dxa"/>
              <w:right w:w="28" w:type="dxa"/>
            </w:tcMar>
            <w:vAlign w:val="center"/>
          </w:tcPr>
          <w:p w14:paraId="08D1A3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0.001</w:t>
            </w:r>
          </w:p>
        </w:tc>
        <w:tc>
          <w:tcPr>
            <w:tcW w:w="1273" w:type="dxa"/>
            <w:noWrap w:val="0"/>
            <w:tcMar>
              <w:left w:w="28" w:type="dxa"/>
              <w:right w:w="28" w:type="dxa"/>
            </w:tcMar>
            <w:vAlign w:val="center"/>
          </w:tcPr>
          <w:p w14:paraId="15D9D4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snapToGrid w:val="0"/>
                <w:color w:val="auto"/>
                <w:kern w:val="21"/>
                <w:sz w:val="21"/>
                <w:szCs w:val="21"/>
                <w:highlight w:val="none"/>
                <w:lang w:val="en-US" w:eastAsia="zh-CN"/>
              </w:rPr>
            </w:pPr>
            <w:r>
              <w:rPr>
                <w:rFonts w:hint="eastAsia" w:cs="Times New Roman"/>
                <w:color w:val="auto"/>
                <w:sz w:val="21"/>
                <w:szCs w:val="21"/>
                <w:lang w:val="en-US" w:eastAsia="zh-CN"/>
              </w:rPr>
              <w:t>+0.001</w:t>
            </w:r>
          </w:p>
        </w:tc>
      </w:tr>
      <w:tr w14:paraId="66961D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2FD9119E">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3150" w:type="dxa"/>
            <w:gridSpan w:val="2"/>
            <w:noWrap w:val="0"/>
            <w:tcMar>
              <w:left w:w="28" w:type="dxa"/>
              <w:right w:w="28" w:type="dxa"/>
            </w:tcMar>
            <w:vAlign w:val="center"/>
          </w:tcPr>
          <w:p w14:paraId="440BF665">
            <w:pPr>
              <w:pStyle w:val="28"/>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pacing w:val="2"/>
                <w:kern w:val="2"/>
                <w:sz w:val="21"/>
                <w:szCs w:val="21"/>
                <w:lang w:val="en-US" w:eastAsia="zh-CN" w:bidi="ar-SA"/>
              </w:rPr>
              <w:t>废清洗剂桶</w:t>
            </w:r>
          </w:p>
        </w:tc>
        <w:tc>
          <w:tcPr>
            <w:tcW w:w="1407" w:type="dxa"/>
            <w:noWrap w:val="0"/>
            <w:tcMar>
              <w:left w:w="28" w:type="dxa"/>
              <w:right w:w="28" w:type="dxa"/>
            </w:tcMar>
            <w:vAlign w:val="center"/>
          </w:tcPr>
          <w:p w14:paraId="564B1C85">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228" w:type="dxa"/>
            <w:noWrap w:val="0"/>
            <w:tcMar>
              <w:left w:w="28" w:type="dxa"/>
              <w:right w:w="28" w:type="dxa"/>
            </w:tcMar>
            <w:vAlign w:val="center"/>
          </w:tcPr>
          <w:p w14:paraId="7FE3EC5A">
            <w:pPr>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348" w:type="dxa"/>
            <w:noWrap w:val="0"/>
            <w:tcMar>
              <w:left w:w="28" w:type="dxa"/>
              <w:right w:w="28" w:type="dxa"/>
            </w:tcMar>
            <w:vAlign w:val="center"/>
          </w:tcPr>
          <w:p w14:paraId="3629B09C">
            <w:pPr>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657" w:type="dxa"/>
            <w:noWrap w:val="0"/>
            <w:tcMar>
              <w:left w:w="28" w:type="dxa"/>
              <w:right w:w="28" w:type="dxa"/>
            </w:tcMar>
            <w:vAlign w:val="center"/>
          </w:tcPr>
          <w:p w14:paraId="13FEB81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z w:val="21"/>
                <w:szCs w:val="21"/>
                <w:lang w:val="en-US" w:eastAsia="zh-CN"/>
              </w:rPr>
              <w:t>0.08</w:t>
            </w:r>
          </w:p>
        </w:tc>
        <w:tc>
          <w:tcPr>
            <w:tcW w:w="1477" w:type="dxa"/>
            <w:noWrap w:val="0"/>
            <w:tcMar>
              <w:left w:w="28" w:type="dxa"/>
              <w:right w:w="28" w:type="dxa"/>
            </w:tcMar>
            <w:vAlign w:val="center"/>
          </w:tcPr>
          <w:p w14:paraId="6F57FC66">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highlight w:val="none"/>
                <w:lang w:val="en-US" w:eastAsia="zh-CN"/>
              </w:rPr>
              <w:t>0</w:t>
            </w:r>
          </w:p>
        </w:tc>
        <w:tc>
          <w:tcPr>
            <w:tcW w:w="1516" w:type="dxa"/>
            <w:noWrap w:val="0"/>
            <w:tcMar>
              <w:left w:w="28" w:type="dxa"/>
              <w:right w:w="28" w:type="dxa"/>
            </w:tcMar>
            <w:vAlign w:val="center"/>
          </w:tcPr>
          <w:p w14:paraId="47B1343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z w:val="21"/>
                <w:szCs w:val="21"/>
                <w:lang w:val="en-US" w:eastAsia="zh-CN"/>
              </w:rPr>
              <w:t>0.08</w:t>
            </w:r>
          </w:p>
        </w:tc>
        <w:tc>
          <w:tcPr>
            <w:tcW w:w="1273" w:type="dxa"/>
            <w:noWrap w:val="0"/>
            <w:tcMar>
              <w:left w:w="28" w:type="dxa"/>
              <w:right w:w="28" w:type="dxa"/>
            </w:tcMar>
            <w:vAlign w:val="center"/>
          </w:tcPr>
          <w:p w14:paraId="0176E0C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highlight w:val="none"/>
                <w:lang w:val="en-US" w:eastAsia="zh-CN"/>
              </w:rPr>
              <w:t>+</w:t>
            </w:r>
            <w:r>
              <w:rPr>
                <w:rFonts w:hint="eastAsia" w:cs="Times New Roman"/>
                <w:color w:val="auto"/>
                <w:sz w:val="21"/>
                <w:szCs w:val="21"/>
                <w:lang w:val="en-US" w:eastAsia="zh-CN"/>
              </w:rPr>
              <w:t>0.08</w:t>
            </w:r>
          </w:p>
        </w:tc>
      </w:tr>
      <w:tr w14:paraId="0C1469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7437C872">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3150" w:type="dxa"/>
            <w:gridSpan w:val="2"/>
            <w:noWrap w:val="0"/>
            <w:tcMar>
              <w:left w:w="28" w:type="dxa"/>
              <w:right w:w="28" w:type="dxa"/>
            </w:tcMar>
            <w:vAlign w:val="center"/>
          </w:tcPr>
          <w:p w14:paraId="0DCB77D1">
            <w:pPr>
              <w:pStyle w:val="28"/>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eastAsia" w:cs="Times New Roman"/>
                <w:color w:val="auto"/>
                <w:spacing w:val="2"/>
                <w:kern w:val="2"/>
                <w:sz w:val="21"/>
                <w:szCs w:val="21"/>
                <w:lang w:val="en-US" w:eastAsia="zh-CN" w:bidi="ar-SA"/>
              </w:rPr>
            </w:pPr>
            <w:r>
              <w:rPr>
                <w:rFonts w:hint="eastAsia" w:ascii="Times New Roman" w:hAnsi="Times New Roman" w:eastAsia="宋体" w:cs="Times New Roman"/>
                <w:color w:val="auto"/>
                <w:kern w:val="2"/>
                <w:sz w:val="21"/>
                <w:szCs w:val="21"/>
                <w:highlight w:val="none"/>
                <w:lang w:val="en-US" w:eastAsia="zh-CN" w:bidi="ar-SA"/>
              </w:rPr>
              <w:t>废MBR膜</w:t>
            </w:r>
          </w:p>
        </w:tc>
        <w:tc>
          <w:tcPr>
            <w:tcW w:w="1407" w:type="dxa"/>
            <w:noWrap w:val="0"/>
            <w:tcMar>
              <w:left w:w="28" w:type="dxa"/>
              <w:right w:w="28" w:type="dxa"/>
            </w:tcMar>
            <w:vAlign w:val="center"/>
          </w:tcPr>
          <w:p w14:paraId="05731394">
            <w:pPr>
              <w:keepNext w:val="0"/>
              <w:keepLines w:val="0"/>
              <w:widowControl/>
              <w:suppressLineNumbers w:val="0"/>
              <w:jc w:val="center"/>
              <w:textAlignment w:val="center"/>
              <w:rPr>
                <w:rFonts w:hint="eastAsia" w:cs="Times New Roman"/>
                <w:color w:val="auto"/>
                <w:kern w:val="0"/>
                <w:sz w:val="21"/>
                <w:szCs w:val="21"/>
                <w:lang w:val="en-US" w:eastAsia="zh-CN"/>
              </w:rPr>
            </w:pPr>
            <w:r>
              <w:rPr>
                <w:rFonts w:hint="eastAsia" w:cs="Times New Roman"/>
                <w:color w:val="auto"/>
                <w:kern w:val="0"/>
                <w:sz w:val="21"/>
                <w:szCs w:val="21"/>
                <w:lang w:val="en-US" w:eastAsia="zh-CN"/>
              </w:rPr>
              <w:t>0</w:t>
            </w:r>
          </w:p>
        </w:tc>
        <w:tc>
          <w:tcPr>
            <w:tcW w:w="1228" w:type="dxa"/>
            <w:noWrap w:val="0"/>
            <w:tcMar>
              <w:left w:w="28" w:type="dxa"/>
              <w:right w:w="28" w:type="dxa"/>
            </w:tcMar>
            <w:vAlign w:val="center"/>
          </w:tcPr>
          <w:p w14:paraId="541B4025">
            <w:pPr>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0</w:t>
            </w:r>
          </w:p>
        </w:tc>
        <w:tc>
          <w:tcPr>
            <w:tcW w:w="1348" w:type="dxa"/>
            <w:noWrap w:val="0"/>
            <w:tcMar>
              <w:left w:w="28" w:type="dxa"/>
              <w:right w:w="28" w:type="dxa"/>
            </w:tcMar>
            <w:vAlign w:val="center"/>
          </w:tcPr>
          <w:p w14:paraId="41275FD0">
            <w:pPr>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eastAsia" w:cs="Times New Roman"/>
                <w:color w:val="auto"/>
                <w:kern w:val="0"/>
                <w:sz w:val="21"/>
                <w:szCs w:val="21"/>
                <w:lang w:val="en-US" w:eastAsia="zh-CN"/>
              </w:rPr>
            </w:pPr>
            <w:r>
              <w:rPr>
                <w:rFonts w:hint="eastAsia" w:cs="Times New Roman"/>
                <w:color w:val="auto"/>
                <w:kern w:val="0"/>
                <w:sz w:val="21"/>
                <w:szCs w:val="21"/>
                <w:lang w:val="en-US" w:eastAsia="zh-CN"/>
              </w:rPr>
              <w:t>0</w:t>
            </w:r>
          </w:p>
        </w:tc>
        <w:tc>
          <w:tcPr>
            <w:tcW w:w="1657" w:type="dxa"/>
            <w:noWrap w:val="0"/>
            <w:tcMar>
              <w:left w:w="28" w:type="dxa"/>
              <w:right w:w="28" w:type="dxa"/>
            </w:tcMar>
            <w:vAlign w:val="center"/>
          </w:tcPr>
          <w:p w14:paraId="2E71A2FB">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0.01</w:t>
            </w:r>
          </w:p>
        </w:tc>
        <w:tc>
          <w:tcPr>
            <w:tcW w:w="1477" w:type="dxa"/>
            <w:noWrap w:val="0"/>
            <w:tcMar>
              <w:left w:w="28" w:type="dxa"/>
              <w:right w:w="28" w:type="dxa"/>
            </w:tcMar>
            <w:vAlign w:val="center"/>
          </w:tcPr>
          <w:p w14:paraId="3F8CE04D">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w:t>
            </w:r>
          </w:p>
        </w:tc>
        <w:tc>
          <w:tcPr>
            <w:tcW w:w="1516" w:type="dxa"/>
            <w:noWrap w:val="0"/>
            <w:tcMar>
              <w:left w:w="28" w:type="dxa"/>
              <w:right w:w="28" w:type="dxa"/>
            </w:tcMar>
            <w:vAlign w:val="center"/>
          </w:tcPr>
          <w:p w14:paraId="05290034">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0.01</w:t>
            </w:r>
          </w:p>
        </w:tc>
        <w:tc>
          <w:tcPr>
            <w:tcW w:w="1273" w:type="dxa"/>
            <w:noWrap w:val="0"/>
            <w:tcMar>
              <w:left w:w="28" w:type="dxa"/>
              <w:right w:w="28" w:type="dxa"/>
            </w:tcMar>
            <w:vAlign w:val="center"/>
          </w:tcPr>
          <w:p w14:paraId="0D28CFAE">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napToGrid w:val="0"/>
                <w:color w:val="auto"/>
                <w:kern w:val="21"/>
                <w:sz w:val="21"/>
                <w:szCs w:val="21"/>
                <w:highlight w:val="none"/>
                <w:lang w:val="en-US" w:eastAsia="zh-CN"/>
              </w:rPr>
            </w:pPr>
            <w:r>
              <w:rPr>
                <w:rFonts w:hint="eastAsia" w:cs="Times New Roman"/>
                <w:snapToGrid w:val="0"/>
                <w:color w:val="auto"/>
                <w:kern w:val="21"/>
                <w:sz w:val="21"/>
                <w:szCs w:val="21"/>
                <w:highlight w:val="none"/>
                <w:lang w:val="en-US" w:eastAsia="zh-CN"/>
              </w:rPr>
              <w:t>+0.01</w:t>
            </w:r>
          </w:p>
        </w:tc>
      </w:tr>
      <w:tr w14:paraId="6885F1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70" w:type="dxa"/>
            <w:vMerge w:val="continue"/>
            <w:noWrap w:val="0"/>
            <w:tcMar>
              <w:left w:w="28" w:type="dxa"/>
              <w:right w:w="28" w:type="dxa"/>
            </w:tcMar>
            <w:vAlign w:val="center"/>
          </w:tcPr>
          <w:p w14:paraId="18B642F7">
            <w:pPr>
              <w:pStyle w:val="37"/>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rPr>
            </w:pPr>
          </w:p>
        </w:tc>
        <w:tc>
          <w:tcPr>
            <w:tcW w:w="3150" w:type="dxa"/>
            <w:gridSpan w:val="2"/>
            <w:noWrap w:val="0"/>
            <w:tcMar>
              <w:left w:w="28" w:type="dxa"/>
              <w:right w:w="28" w:type="dxa"/>
            </w:tcMar>
            <w:vAlign w:val="center"/>
          </w:tcPr>
          <w:p w14:paraId="2BFE6E3D">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pacing w:val="2"/>
                <w:kern w:val="2"/>
                <w:sz w:val="21"/>
                <w:szCs w:val="21"/>
                <w:lang w:val="en-US" w:eastAsia="zh-CN" w:bidi="ar-SA"/>
              </w:rPr>
              <w:t>含油废抹布手套</w:t>
            </w:r>
          </w:p>
        </w:tc>
        <w:tc>
          <w:tcPr>
            <w:tcW w:w="1407" w:type="dxa"/>
            <w:noWrap w:val="0"/>
            <w:tcMar>
              <w:left w:w="28" w:type="dxa"/>
              <w:right w:w="28" w:type="dxa"/>
            </w:tcMar>
            <w:vAlign w:val="center"/>
          </w:tcPr>
          <w:p w14:paraId="1F031473">
            <w:pPr>
              <w:keepNext w:val="0"/>
              <w:keepLines w:val="0"/>
              <w:widowControl/>
              <w:suppressLineNumbers w:val="0"/>
              <w:jc w:val="center"/>
              <w:textAlignment w:val="center"/>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228" w:type="dxa"/>
            <w:noWrap w:val="0"/>
            <w:tcMar>
              <w:left w:w="28" w:type="dxa"/>
              <w:right w:w="28" w:type="dxa"/>
            </w:tcMar>
            <w:vAlign w:val="center"/>
          </w:tcPr>
          <w:p w14:paraId="079A0743">
            <w:pPr>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348" w:type="dxa"/>
            <w:noWrap w:val="0"/>
            <w:tcMar>
              <w:left w:w="28" w:type="dxa"/>
              <w:right w:w="28" w:type="dxa"/>
            </w:tcMar>
            <w:vAlign w:val="center"/>
          </w:tcPr>
          <w:p w14:paraId="19B2F6BA">
            <w:pPr>
              <w:keepNext w:val="0"/>
              <w:keepLines w:val="0"/>
              <w:pageBreakBefore w:val="0"/>
              <w:widowControl w:val="0"/>
              <w:kinsoku/>
              <w:wordWrap/>
              <w:overflowPunct/>
              <w:topLinePunct w:val="0"/>
              <w:autoSpaceDE/>
              <w:autoSpaceDN/>
              <w:bidi w:val="0"/>
              <w:adjustRightInd w:val="0"/>
              <w:snapToGrid w:val="0"/>
              <w:spacing w:line="192"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kern w:val="0"/>
                <w:sz w:val="21"/>
                <w:szCs w:val="21"/>
                <w:lang w:val="en-US" w:eastAsia="zh-CN"/>
              </w:rPr>
              <w:t>0</w:t>
            </w:r>
          </w:p>
        </w:tc>
        <w:tc>
          <w:tcPr>
            <w:tcW w:w="1657" w:type="dxa"/>
            <w:noWrap w:val="0"/>
            <w:tcMar>
              <w:left w:w="28" w:type="dxa"/>
              <w:right w:w="28" w:type="dxa"/>
            </w:tcMar>
            <w:vAlign w:val="center"/>
          </w:tcPr>
          <w:p w14:paraId="39A82A9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z w:val="21"/>
                <w:szCs w:val="21"/>
                <w:lang w:val="en-US" w:eastAsia="zh-CN"/>
              </w:rPr>
              <w:t>0.05</w:t>
            </w:r>
          </w:p>
        </w:tc>
        <w:tc>
          <w:tcPr>
            <w:tcW w:w="1477" w:type="dxa"/>
            <w:noWrap w:val="0"/>
            <w:tcMar>
              <w:left w:w="28" w:type="dxa"/>
              <w:right w:w="28" w:type="dxa"/>
            </w:tcMar>
            <w:vAlign w:val="center"/>
          </w:tcPr>
          <w:p w14:paraId="451F8A65">
            <w:pPr>
              <w:keepNext w:val="0"/>
              <w:keepLines w:val="0"/>
              <w:pageBreakBefore w:val="0"/>
              <w:kinsoku/>
              <w:wordWrap/>
              <w:overflowPunct/>
              <w:topLinePunct w:val="0"/>
              <w:autoSpaceDE/>
              <w:autoSpaceDN/>
              <w:bidi w:val="0"/>
              <w:spacing w:beforeLines="0" w:afterLines="0" w:line="240" w:lineRule="auto"/>
              <w:jc w:val="center"/>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eastAsia="宋体" w:cs="Times New Roman"/>
                <w:snapToGrid w:val="0"/>
                <w:color w:val="auto"/>
                <w:kern w:val="21"/>
                <w:sz w:val="21"/>
                <w:szCs w:val="21"/>
                <w:highlight w:val="none"/>
                <w:lang w:val="en-US" w:eastAsia="zh-CN"/>
              </w:rPr>
              <w:t>0</w:t>
            </w:r>
          </w:p>
        </w:tc>
        <w:tc>
          <w:tcPr>
            <w:tcW w:w="1516" w:type="dxa"/>
            <w:noWrap w:val="0"/>
            <w:tcMar>
              <w:left w:w="28" w:type="dxa"/>
              <w:right w:w="28" w:type="dxa"/>
            </w:tcMar>
            <w:vAlign w:val="center"/>
          </w:tcPr>
          <w:p w14:paraId="7219E602">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cs="Times New Roman"/>
                <w:color w:val="auto"/>
                <w:sz w:val="21"/>
                <w:szCs w:val="21"/>
                <w:lang w:val="en-US" w:eastAsia="zh-CN"/>
              </w:rPr>
              <w:t>0.05</w:t>
            </w:r>
          </w:p>
        </w:tc>
        <w:tc>
          <w:tcPr>
            <w:tcW w:w="1273" w:type="dxa"/>
            <w:noWrap w:val="0"/>
            <w:tcMar>
              <w:left w:w="28" w:type="dxa"/>
              <w:right w:w="28" w:type="dxa"/>
            </w:tcMar>
            <w:vAlign w:val="center"/>
          </w:tcPr>
          <w:p w14:paraId="44F041B5">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napToGrid w:val="0"/>
                <w:color w:val="auto"/>
                <w:kern w:val="21"/>
                <w:sz w:val="21"/>
                <w:szCs w:val="21"/>
                <w:lang w:val="en-US" w:eastAsia="zh-CN"/>
              </w:rPr>
            </w:pPr>
            <w:r>
              <w:rPr>
                <w:rFonts w:hint="eastAsia" w:ascii="Times New Roman" w:hAnsi="Times New Roman" w:cs="Times New Roman"/>
                <w:snapToGrid w:val="0"/>
                <w:color w:val="auto"/>
                <w:kern w:val="21"/>
                <w:sz w:val="21"/>
                <w:szCs w:val="21"/>
                <w:highlight w:val="none"/>
                <w:lang w:val="en-US" w:eastAsia="zh-CN"/>
              </w:rPr>
              <w:t>+</w:t>
            </w:r>
            <w:r>
              <w:rPr>
                <w:rFonts w:hint="eastAsia" w:cs="Times New Roman"/>
                <w:color w:val="auto"/>
                <w:sz w:val="21"/>
                <w:szCs w:val="21"/>
                <w:lang w:val="en-US" w:eastAsia="zh-CN"/>
              </w:rPr>
              <w:t>0.05</w:t>
            </w:r>
          </w:p>
        </w:tc>
      </w:tr>
    </w:tbl>
    <w:p w14:paraId="65C46A58">
      <w:pPr>
        <w:pStyle w:val="37"/>
        <w:spacing w:before="192" w:beforeLines="80" w:after="24"/>
        <w:jc w:val="left"/>
        <w:rPr>
          <w:rFonts w:hint="default" w:ascii="Times New Roman" w:hAnsi="Times New Roman" w:eastAsia="宋体" w:cs="Times New Roman"/>
          <w:color w:val="auto"/>
        </w:rPr>
      </w:pPr>
      <w:r>
        <w:rPr>
          <w:rFonts w:hint="default" w:ascii="Times New Roman" w:hAnsi="Times New Roman" w:eastAsia="宋体" w:cs="Times New Roman"/>
          <w:snapToGrid w:val="0"/>
          <w:color w:val="auto"/>
          <w:kern w:val="21"/>
          <w:szCs w:val="21"/>
        </w:rPr>
        <w:t>注：</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3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③</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4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④</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5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⑤</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7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⑦</w:t>
      </w:r>
      <w:r>
        <w:rPr>
          <w:rFonts w:hint="default" w:ascii="Times New Roman" w:hAnsi="Times New Roman" w:eastAsia="宋体" w:cs="Times New Roman"/>
          <w:snapToGrid w:val="0"/>
          <w:color w:val="auto"/>
          <w:spacing w:val="-6"/>
          <w:kern w:val="21"/>
          <w:szCs w:val="21"/>
        </w:rPr>
        <w:fldChar w:fldCharType="end"/>
      </w:r>
      <w:r>
        <w:rPr>
          <w:rFonts w:hint="default" w:ascii="Times New Roman" w:hAnsi="Times New Roman" w:eastAsia="宋体" w:cs="Times New Roman"/>
          <w:snapToGrid w:val="0"/>
          <w:color w:val="auto"/>
          <w:spacing w:val="-6"/>
          <w:kern w:val="21"/>
          <w:szCs w:val="21"/>
        </w:rPr>
        <w:t>=</w:t>
      </w:r>
      <w:r>
        <w:rPr>
          <w:rFonts w:hint="default" w:ascii="Times New Roman" w:hAnsi="Times New Roman" w:eastAsia="宋体" w:cs="Times New Roman"/>
          <w:snapToGrid w:val="0"/>
          <w:color w:val="auto"/>
          <w:spacing w:val="-16"/>
          <w:kern w:val="21"/>
          <w:szCs w:val="21"/>
        </w:rPr>
        <w:fldChar w:fldCharType="begin"/>
      </w:r>
      <w:r>
        <w:rPr>
          <w:rFonts w:hint="default" w:ascii="Times New Roman" w:hAnsi="Times New Roman" w:eastAsia="宋体" w:cs="Times New Roman"/>
          <w:snapToGrid w:val="0"/>
          <w:color w:val="auto"/>
          <w:spacing w:val="-16"/>
          <w:kern w:val="21"/>
          <w:szCs w:val="21"/>
        </w:rPr>
        <w:instrText xml:space="preserve"> = 6 \* GB3 \* MERGEFORMAT </w:instrText>
      </w:r>
      <w:r>
        <w:rPr>
          <w:rFonts w:hint="default" w:ascii="Times New Roman" w:hAnsi="Times New Roman" w:eastAsia="宋体" w:cs="Times New Roman"/>
          <w:snapToGrid w:val="0"/>
          <w:color w:val="auto"/>
          <w:spacing w:val="-16"/>
          <w:kern w:val="21"/>
          <w:szCs w:val="21"/>
        </w:rPr>
        <w:fldChar w:fldCharType="separate"/>
      </w:r>
      <w:r>
        <w:rPr>
          <w:rFonts w:hint="default" w:ascii="Times New Roman" w:hAnsi="Times New Roman" w:eastAsia="宋体" w:cs="Times New Roman"/>
          <w:color w:val="auto"/>
          <w:szCs w:val="21"/>
        </w:rPr>
        <w:t>⑥</w:t>
      </w:r>
      <w:r>
        <w:rPr>
          <w:rFonts w:hint="default" w:ascii="Times New Roman" w:hAnsi="Times New Roman" w:eastAsia="宋体" w:cs="Times New Roman"/>
          <w:snapToGrid w:val="0"/>
          <w:color w:val="auto"/>
          <w:spacing w:val="-16"/>
          <w:kern w:val="21"/>
          <w:szCs w:val="21"/>
        </w:rPr>
        <w:fldChar w:fldCharType="end"/>
      </w:r>
      <w:r>
        <w:rPr>
          <w:rFonts w:hint="default" w:ascii="Times New Roman" w:hAnsi="Times New Roman" w:eastAsia="宋体" w:cs="Times New Roman"/>
          <w:snapToGrid w:val="0"/>
          <w:color w:val="auto"/>
          <w:spacing w:val="-16"/>
          <w:kern w:val="21"/>
          <w:szCs w:val="21"/>
        </w:rPr>
        <w:t>-</w:t>
      </w:r>
      <w:r>
        <w:rPr>
          <w:rFonts w:hint="default" w:ascii="Times New Roman" w:hAnsi="Times New Roman" w:eastAsia="宋体" w:cs="Times New Roman"/>
          <w:snapToGrid w:val="0"/>
          <w:color w:val="auto"/>
          <w:spacing w:val="-6"/>
          <w:kern w:val="21"/>
          <w:szCs w:val="21"/>
        </w:rPr>
        <w:fldChar w:fldCharType="begin"/>
      </w:r>
      <w:r>
        <w:rPr>
          <w:rFonts w:hint="default" w:ascii="Times New Roman" w:hAnsi="Times New Roman" w:eastAsia="宋体" w:cs="Times New Roman"/>
          <w:snapToGrid w:val="0"/>
          <w:color w:val="auto"/>
          <w:spacing w:val="-6"/>
          <w:kern w:val="21"/>
          <w:szCs w:val="21"/>
        </w:rPr>
        <w:instrText xml:space="preserve"> = 1 \* GB3 \* MERGEFORMAT </w:instrText>
      </w:r>
      <w:r>
        <w:rPr>
          <w:rFonts w:hint="default" w:ascii="Times New Roman" w:hAnsi="Times New Roman" w:eastAsia="宋体" w:cs="Times New Roman"/>
          <w:snapToGrid w:val="0"/>
          <w:color w:val="auto"/>
          <w:spacing w:val="-6"/>
          <w:kern w:val="21"/>
          <w:szCs w:val="21"/>
        </w:rPr>
        <w:fldChar w:fldCharType="separate"/>
      </w:r>
      <w:r>
        <w:rPr>
          <w:rFonts w:hint="default" w:ascii="Times New Roman" w:hAnsi="Times New Roman" w:eastAsia="宋体" w:cs="Times New Roman"/>
          <w:color w:val="auto"/>
          <w:szCs w:val="21"/>
        </w:rPr>
        <w:t>①</w:t>
      </w:r>
      <w:r>
        <w:rPr>
          <w:rFonts w:hint="default" w:ascii="Times New Roman" w:hAnsi="Times New Roman" w:eastAsia="宋体" w:cs="Times New Roman"/>
          <w:snapToGrid w:val="0"/>
          <w:color w:val="auto"/>
          <w:spacing w:val="-6"/>
          <w:kern w:val="21"/>
          <w:szCs w:val="21"/>
        </w:rPr>
        <w:fldChar w:fldCharType="end"/>
      </w:r>
    </w:p>
    <w:sectPr>
      <w:pgSz w:w="16838" w:h="11906" w:orient="landscape"/>
      <w:pgMar w:top="1417" w:right="1417" w:bottom="1417" w:left="1417" w:header="851" w:footer="992"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Arial Black">
    <w:panose1 w:val="020B0A04020102020204"/>
    <w:charset w:val="00"/>
    <w:family w:val="swiss"/>
    <w:pitch w:val="default"/>
    <w:sig w:usb0="00000287" w:usb1="00000000" w:usb2="00000000" w:usb3="00000000" w:csb0="2000009F" w:csb1="DFD70000"/>
  </w:font>
  <w:font w:name="楷体">
    <w:panose1 w:val="02010609060101010101"/>
    <w:charset w:val="86"/>
    <w:family w:val="auto"/>
    <w:pitch w:val="default"/>
    <w:sig w:usb0="800002BF" w:usb1="38CF7CFA" w:usb2="00000016" w:usb3="00000000" w:csb0="00040001" w:csb1="00000000"/>
  </w:font>
  <w:font w:name="方正小标宋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24F6C">
    <w:pPr>
      <w:pStyle w:val="10"/>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FCF3FD">
                          <w:pPr>
                            <w:pStyle w:val="10"/>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6FCF3FD">
                    <w:pPr>
                      <w:pStyle w:val="10"/>
                    </w:pPr>
                    <w:r>
                      <w:fldChar w:fldCharType="begin"/>
                    </w:r>
                    <w:r>
                      <w:instrText xml:space="preserve"> PAGE  \* MERGEFORMAT </w:instrText>
                    </w:r>
                    <w:r>
                      <w:fldChar w:fldCharType="separate"/>
                    </w:r>
                    <w:r>
                      <w:t>5</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11E9AE"/>
    <w:multiLevelType w:val="singleLevel"/>
    <w:tmpl w:val="B011E9AE"/>
    <w:lvl w:ilvl="0" w:tentative="0">
      <w:start w:val="1"/>
      <w:numFmt w:val="chineseCounting"/>
      <w:suff w:val="nothing"/>
      <w:lvlText w:val="（%1）"/>
      <w:lvlJc w:val="left"/>
      <w:rPr>
        <w:rFonts w:hint="eastAsia"/>
      </w:rPr>
    </w:lvl>
  </w:abstractNum>
  <w:abstractNum w:abstractNumId="1">
    <w:nsid w:val="B88FD7AB"/>
    <w:multiLevelType w:val="singleLevel"/>
    <w:tmpl w:val="B88FD7AB"/>
    <w:lvl w:ilvl="0" w:tentative="0">
      <w:start w:val="1"/>
      <w:numFmt w:val="chineseCounting"/>
      <w:suff w:val="nothing"/>
      <w:lvlText w:val="（%1）"/>
      <w:lvlJc w:val="left"/>
      <w:rPr>
        <w:rFonts w:hint="eastAsia"/>
      </w:rPr>
    </w:lvl>
  </w:abstractNum>
  <w:abstractNum w:abstractNumId="2">
    <w:nsid w:val="BF0578C4"/>
    <w:multiLevelType w:val="singleLevel"/>
    <w:tmpl w:val="BF0578C4"/>
    <w:lvl w:ilvl="0" w:tentative="0">
      <w:start w:val="1"/>
      <w:numFmt w:val="decimal"/>
      <w:suff w:val="nothing"/>
      <w:lvlText w:val="（%1）"/>
      <w:lvlJc w:val="left"/>
    </w:lvl>
  </w:abstractNum>
  <w:abstractNum w:abstractNumId="3">
    <w:nsid w:val="C89BEE98"/>
    <w:multiLevelType w:val="singleLevel"/>
    <w:tmpl w:val="C89BEE98"/>
    <w:lvl w:ilvl="0" w:tentative="0">
      <w:start w:val="1"/>
      <w:numFmt w:val="chineseCounting"/>
      <w:suff w:val="nothing"/>
      <w:lvlText w:val="（%1）"/>
      <w:lvlJc w:val="left"/>
      <w:rPr>
        <w:rFonts w:hint="eastAsia"/>
      </w:rPr>
    </w:lvl>
  </w:abstractNum>
  <w:abstractNum w:abstractNumId="4">
    <w:nsid w:val="E227C2B2"/>
    <w:multiLevelType w:val="singleLevel"/>
    <w:tmpl w:val="E227C2B2"/>
    <w:lvl w:ilvl="0" w:tentative="0">
      <w:start w:val="5"/>
      <w:numFmt w:val="chineseCounting"/>
      <w:suff w:val="nothing"/>
      <w:lvlText w:val="%1、"/>
      <w:lvlJc w:val="left"/>
      <w:rPr>
        <w:rFonts w:hint="eastAsia"/>
      </w:rPr>
    </w:lvl>
  </w:abstractNum>
  <w:abstractNum w:abstractNumId="5">
    <w:nsid w:val="5369CE00"/>
    <w:multiLevelType w:val="singleLevel"/>
    <w:tmpl w:val="5369CE00"/>
    <w:lvl w:ilvl="0" w:tentative="0">
      <w:start w:val="1"/>
      <w:numFmt w:val="bullet"/>
      <w:pStyle w:val="7"/>
      <w:lvlText w:val=""/>
      <w:lvlJc w:val="left"/>
      <w:pPr>
        <w:tabs>
          <w:tab w:val="left" w:pos="2040"/>
        </w:tabs>
        <w:ind w:left="2040" w:hanging="360"/>
      </w:pPr>
      <w:rPr>
        <w:rFonts w:hint="default" w:ascii="Wingdings" w:hAnsi="Wingdings"/>
      </w:rPr>
    </w:lvl>
  </w:abstractNum>
  <w:num w:numId="1">
    <w:abstractNumId w:val="5"/>
  </w:num>
  <w:num w:numId="2">
    <w:abstractNumId w:val="1"/>
  </w:num>
  <w:num w:numId="3">
    <w:abstractNumId w:val="3"/>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M1YmIwNDc0YTU1M2NmYWNmNjNkYjdhMTFmZjNlNTIifQ=="/>
    <w:docVar w:name="KSO_WPS_MARK_KEY" w:val="d69b756f-2a2b-4d4d-9305-0d7fcd89b890"/>
  </w:docVars>
  <w:rsids>
    <w:rsidRoot w:val="00000000"/>
    <w:rsid w:val="00213478"/>
    <w:rsid w:val="002D46D8"/>
    <w:rsid w:val="00627E6B"/>
    <w:rsid w:val="00920C43"/>
    <w:rsid w:val="00B22CC7"/>
    <w:rsid w:val="00C333DB"/>
    <w:rsid w:val="00C9437F"/>
    <w:rsid w:val="00E13486"/>
    <w:rsid w:val="011525F8"/>
    <w:rsid w:val="01344BB2"/>
    <w:rsid w:val="01362C9F"/>
    <w:rsid w:val="013C06BC"/>
    <w:rsid w:val="014E3AE8"/>
    <w:rsid w:val="015C2B0C"/>
    <w:rsid w:val="0191139F"/>
    <w:rsid w:val="01926938"/>
    <w:rsid w:val="01CF12BD"/>
    <w:rsid w:val="01EA7499"/>
    <w:rsid w:val="01EF5F90"/>
    <w:rsid w:val="02033D08"/>
    <w:rsid w:val="02460EB6"/>
    <w:rsid w:val="02505320"/>
    <w:rsid w:val="0259742D"/>
    <w:rsid w:val="0273010D"/>
    <w:rsid w:val="027B628B"/>
    <w:rsid w:val="027E48DD"/>
    <w:rsid w:val="028F1DA7"/>
    <w:rsid w:val="02C54AB0"/>
    <w:rsid w:val="02DE7C7D"/>
    <w:rsid w:val="030F2765"/>
    <w:rsid w:val="031E62CB"/>
    <w:rsid w:val="033124A2"/>
    <w:rsid w:val="034A01AB"/>
    <w:rsid w:val="03547BF5"/>
    <w:rsid w:val="036C34DA"/>
    <w:rsid w:val="038970AE"/>
    <w:rsid w:val="039C57C0"/>
    <w:rsid w:val="03D75E10"/>
    <w:rsid w:val="03EF67A6"/>
    <w:rsid w:val="03FD05D6"/>
    <w:rsid w:val="041B4D9F"/>
    <w:rsid w:val="043761F3"/>
    <w:rsid w:val="045126D0"/>
    <w:rsid w:val="04FE2FB3"/>
    <w:rsid w:val="05094D59"/>
    <w:rsid w:val="050C04FC"/>
    <w:rsid w:val="052D7966"/>
    <w:rsid w:val="056B5638"/>
    <w:rsid w:val="05753B62"/>
    <w:rsid w:val="057D6FF2"/>
    <w:rsid w:val="0591547A"/>
    <w:rsid w:val="05A131E3"/>
    <w:rsid w:val="05AE3AE8"/>
    <w:rsid w:val="05B80C59"/>
    <w:rsid w:val="06123C8F"/>
    <w:rsid w:val="062D7B0C"/>
    <w:rsid w:val="063F4ED6"/>
    <w:rsid w:val="06425577"/>
    <w:rsid w:val="065E2E82"/>
    <w:rsid w:val="068113B7"/>
    <w:rsid w:val="069271F7"/>
    <w:rsid w:val="06DC2725"/>
    <w:rsid w:val="06F07F7E"/>
    <w:rsid w:val="07097292"/>
    <w:rsid w:val="070E1FC5"/>
    <w:rsid w:val="07133817"/>
    <w:rsid w:val="071F3380"/>
    <w:rsid w:val="074E636F"/>
    <w:rsid w:val="075F1C13"/>
    <w:rsid w:val="076D15CF"/>
    <w:rsid w:val="076F2526"/>
    <w:rsid w:val="07844365"/>
    <w:rsid w:val="07AF534B"/>
    <w:rsid w:val="07C03DF5"/>
    <w:rsid w:val="07F14F1D"/>
    <w:rsid w:val="083117D0"/>
    <w:rsid w:val="0848795D"/>
    <w:rsid w:val="085524BA"/>
    <w:rsid w:val="085D1644"/>
    <w:rsid w:val="0865674A"/>
    <w:rsid w:val="087F2EBE"/>
    <w:rsid w:val="089112ED"/>
    <w:rsid w:val="08A72CFC"/>
    <w:rsid w:val="08C80F97"/>
    <w:rsid w:val="08FA4E2F"/>
    <w:rsid w:val="090715AF"/>
    <w:rsid w:val="092445E3"/>
    <w:rsid w:val="093E76C7"/>
    <w:rsid w:val="09440A55"/>
    <w:rsid w:val="09454990"/>
    <w:rsid w:val="0946531A"/>
    <w:rsid w:val="09A6701A"/>
    <w:rsid w:val="09B867AE"/>
    <w:rsid w:val="09EF451D"/>
    <w:rsid w:val="0A613745"/>
    <w:rsid w:val="0A64315D"/>
    <w:rsid w:val="0AF67B2D"/>
    <w:rsid w:val="0B1224D1"/>
    <w:rsid w:val="0B6D52A5"/>
    <w:rsid w:val="0B6E5916"/>
    <w:rsid w:val="0BA37CB5"/>
    <w:rsid w:val="0BDC3C57"/>
    <w:rsid w:val="0BDF16D1"/>
    <w:rsid w:val="0BEB6F66"/>
    <w:rsid w:val="0BEE2812"/>
    <w:rsid w:val="0C160A84"/>
    <w:rsid w:val="0C3023FB"/>
    <w:rsid w:val="0C646D4A"/>
    <w:rsid w:val="0C921966"/>
    <w:rsid w:val="0CAC7307"/>
    <w:rsid w:val="0CBA3D05"/>
    <w:rsid w:val="0CEB54C9"/>
    <w:rsid w:val="0D8C781C"/>
    <w:rsid w:val="0D954E51"/>
    <w:rsid w:val="0DEF71E2"/>
    <w:rsid w:val="0E0825B0"/>
    <w:rsid w:val="0E1006EE"/>
    <w:rsid w:val="0E362232"/>
    <w:rsid w:val="0E3B2427"/>
    <w:rsid w:val="0E481927"/>
    <w:rsid w:val="0E502247"/>
    <w:rsid w:val="0E8D6603"/>
    <w:rsid w:val="0EA27653"/>
    <w:rsid w:val="0EE41E38"/>
    <w:rsid w:val="0EFF3E26"/>
    <w:rsid w:val="0F537F3F"/>
    <w:rsid w:val="0F55281E"/>
    <w:rsid w:val="0F5E269B"/>
    <w:rsid w:val="0F76518D"/>
    <w:rsid w:val="0FB01B2D"/>
    <w:rsid w:val="101250D8"/>
    <w:rsid w:val="10317975"/>
    <w:rsid w:val="10874FD1"/>
    <w:rsid w:val="10AA15E5"/>
    <w:rsid w:val="10B20CE6"/>
    <w:rsid w:val="11111976"/>
    <w:rsid w:val="112D334C"/>
    <w:rsid w:val="11394CEF"/>
    <w:rsid w:val="11812847"/>
    <w:rsid w:val="11854AE5"/>
    <w:rsid w:val="125722C3"/>
    <w:rsid w:val="126006AE"/>
    <w:rsid w:val="12716808"/>
    <w:rsid w:val="12E070F9"/>
    <w:rsid w:val="12E148DA"/>
    <w:rsid w:val="13470827"/>
    <w:rsid w:val="138C102F"/>
    <w:rsid w:val="13C407C9"/>
    <w:rsid w:val="141F6347"/>
    <w:rsid w:val="142366EE"/>
    <w:rsid w:val="142C10D4"/>
    <w:rsid w:val="146E6986"/>
    <w:rsid w:val="14887A48"/>
    <w:rsid w:val="149C5C7A"/>
    <w:rsid w:val="14A4704E"/>
    <w:rsid w:val="14B35332"/>
    <w:rsid w:val="14EB79FD"/>
    <w:rsid w:val="150B2427"/>
    <w:rsid w:val="15257C12"/>
    <w:rsid w:val="159A7977"/>
    <w:rsid w:val="15AC59B8"/>
    <w:rsid w:val="15AD631A"/>
    <w:rsid w:val="15CA45E2"/>
    <w:rsid w:val="15E10FC5"/>
    <w:rsid w:val="16143E54"/>
    <w:rsid w:val="1621078F"/>
    <w:rsid w:val="1685306D"/>
    <w:rsid w:val="16B20605"/>
    <w:rsid w:val="16B65E7A"/>
    <w:rsid w:val="16DA31F5"/>
    <w:rsid w:val="17171D95"/>
    <w:rsid w:val="174165F4"/>
    <w:rsid w:val="175400B6"/>
    <w:rsid w:val="175C49A6"/>
    <w:rsid w:val="176705DA"/>
    <w:rsid w:val="17692FF8"/>
    <w:rsid w:val="181770F7"/>
    <w:rsid w:val="18190CCE"/>
    <w:rsid w:val="18301ACB"/>
    <w:rsid w:val="184C5231"/>
    <w:rsid w:val="18784278"/>
    <w:rsid w:val="189150D6"/>
    <w:rsid w:val="189F58A5"/>
    <w:rsid w:val="18BC5F12"/>
    <w:rsid w:val="19033B41"/>
    <w:rsid w:val="190A7BC2"/>
    <w:rsid w:val="19407CB7"/>
    <w:rsid w:val="195D70E9"/>
    <w:rsid w:val="197C11AE"/>
    <w:rsid w:val="19CD6F40"/>
    <w:rsid w:val="1A1A4489"/>
    <w:rsid w:val="1A31101E"/>
    <w:rsid w:val="1A381F10"/>
    <w:rsid w:val="1A441E72"/>
    <w:rsid w:val="1A45329D"/>
    <w:rsid w:val="1A73110A"/>
    <w:rsid w:val="1A856DFE"/>
    <w:rsid w:val="1AA475A6"/>
    <w:rsid w:val="1B434E00"/>
    <w:rsid w:val="1B586645"/>
    <w:rsid w:val="1B5C41D4"/>
    <w:rsid w:val="1BF86ABC"/>
    <w:rsid w:val="1C1D0341"/>
    <w:rsid w:val="1C754D75"/>
    <w:rsid w:val="1C9211D0"/>
    <w:rsid w:val="1CA23671"/>
    <w:rsid w:val="1CB24278"/>
    <w:rsid w:val="1CC161ED"/>
    <w:rsid w:val="1CD83537"/>
    <w:rsid w:val="1CFE5452"/>
    <w:rsid w:val="1D084D0B"/>
    <w:rsid w:val="1D240194"/>
    <w:rsid w:val="1D4A1E15"/>
    <w:rsid w:val="1D576DAB"/>
    <w:rsid w:val="1D5F199E"/>
    <w:rsid w:val="1D7845E7"/>
    <w:rsid w:val="1D9F104A"/>
    <w:rsid w:val="1DA97F2F"/>
    <w:rsid w:val="1E197BE3"/>
    <w:rsid w:val="1E2A1B70"/>
    <w:rsid w:val="1E4E3AB1"/>
    <w:rsid w:val="1E5B4B4F"/>
    <w:rsid w:val="1E7976C1"/>
    <w:rsid w:val="1E892D3B"/>
    <w:rsid w:val="1EC975DB"/>
    <w:rsid w:val="1ECE699F"/>
    <w:rsid w:val="1F080C74"/>
    <w:rsid w:val="1F26058A"/>
    <w:rsid w:val="1F581C4D"/>
    <w:rsid w:val="1F5D2BC0"/>
    <w:rsid w:val="1F751050"/>
    <w:rsid w:val="1F7E3144"/>
    <w:rsid w:val="1F8A1747"/>
    <w:rsid w:val="1F9A4C33"/>
    <w:rsid w:val="1FDE0409"/>
    <w:rsid w:val="1FF01313"/>
    <w:rsid w:val="2017755D"/>
    <w:rsid w:val="201F4F4E"/>
    <w:rsid w:val="20360E30"/>
    <w:rsid w:val="20531852"/>
    <w:rsid w:val="20A64893"/>
    <w:rsid w:val="20D64231"/>
    <w:rsid w:val="20F21EF0"/>
    <w:rsid w:val="20FB3BEA"/>
    <w:rsid w:val="21054A47"/>
    <w:rsid w:val="210555E2"/>
    <w:rsid w:val="215313DE"/>
    <w:rsid w:val="21676C37"/>
    <w:rsid w:val="2177457C"/>
    <w:rsid w:val="217A2E0F"/>
    <w:rsid w:val="225C006D"/>
    <w:rsid w:val="22665141"/>
    <w:rsid w:val="226F28A8"/>
    <w:rsid w:val="22956632"/>
    <w:rsid w:val="22971211"/>
    <w:rsid w:val="22AE0EB4"/>
    <w:rsid w:val="22E7135A"/>
    <w:rsid w:val="22F56BF1"/>
    <w:rsid w:val="22F571BF"/>
    <w:rsid w:val="231525A5"/>
    <w:rsid w:val="2315472D"/>
    <w:rsid w:val="231F5A1C"/>
    <w:rsid w:val="23237BD1"/>
    <w:rsid w:val="237C179F"/>
    <w:rsid w:val="239A1546"/>
    <w:rsid w:val="23A51896"/>
    <w:rsid w:val="23D81886"/>
    <w:rsid w:val="23F41C9C"/>
    <w:rsid w:val="24270404"/>
    <w:rsid w:val="244C12A0"/>
    <w:rsid w:val="245F0C9E"/>
    <w:rsid w:val="24736825"/>
    <w:rsid w:val="2483373B"/>
    <w:rsid w:val="24B77ED6"/>
    <w:rsid w:val="24D41CD2"/>
    <w:rsid w:val="25292C66"/>
    <w:rsid w:val="254312AE"/>
    <w:rsid w:val="2549637D"/>
    <w:rsid w:val="25AE68AD"/>
    <w:rsid w:val="25B32E5A"/>
    <w:rsid w:val="25D16D75"/>
    <w:rsid w:val="26581B7E"/>
    <w:rsid w:val="265D6EF5"/>
    <w:rsid w:val="266A3CA6"/>
    <w:rsid w:val="268748AA"/>
    <w:rsid w:val="26C568DA"/>
    <w:rsid w:val="26E724FA"/>
    <w:rsid w:val="26E74AA2"/>
    <w:rsid w:val="27716A62"/>
    <w:rsid w:val="27BB7A1B"/>
    <w:rsid w:val="27C56FB9"/>
    <w:rsid w:val="2842684B"/>
    <w:rsid w:val="286D547B"/>
    <w:rsid w:val="28730390"/>
    <w:rsid w:val="28965F41"/>
    <w:rsid w:val="28ED643C"/>
    <w:rsid w:val="2900009D"/>
    <w:rsid w:val="2903193C"/>
    <w:rsid w:val="29055352"/>
    <w:rsid w:val="2920139D"/>
    <w:rsid w:val="29591D17"/>
    <w:rsid w:val="297939AC"/>
    <w:rsid w:val="29B81D96"/>
    <w:rsid w:val="29C476C3"/>
    <w:rsid w:val="29C73B59"/>
    <w:rsid w:val="2A0474BC"/>
    <w:rsid w:val="2A30050E"/>
    <w:rsid w:val="2A461AE0"/>
    <w:rsid w:val="2A810D6A"/>
    <w:rsid w:val="2AC1385C"/>
    <w:rsid w:val="2B1C580F"/>
    <w:rsid w:val="2B2B6F28"/>
    <w:rsid w:val="2B3758CC"/>
    <w:rsid w:val="2B825A85"/>
    <w:rsid w:val="2BBC76E1"/>
    <w:rsid w:val="2BD3443B"/>
    <w:rsid w:val="2BEE6932"/>
    <w:rsid w:val="2BFD08C4"/>
    <w:rsid w:val="2C517609"/>
    <w:rsid w:val="2C862667"/>
    <w:rsid w:val="2C8C39F6"/>
    <w:rsid w:val="2C9662DE"/>
    <w:rsid w:val="2CA265AF"/>
    <w:rsid w:val="2CA5777F"/>
    <w:rsid w:val="2CB31EF3"/>
    <w:rsid w:val="2CCA66C8"/>
    <w:rsid w:val="2CD323FF"/>
    <w:rsid w:val="2CFB3C33"/>
    <w:rsid w:val="2D12039F"/>
    <w:rsid w:val="2D156591"/>
    <w:rsid w:val="2D907079"/>
    <w:rsid w:val="2D991F8F"/>
    <w:rsid w:val="2DE24215"/>
    <w:rsid w:val="2E0533DF"/>
    <w:rsid w:val="2E0E1929"/>
    <w:rsid w:val="2E312AA7"/>
    <w:rsid w:val="2E5834D3"/>
    <w:rsid w:val="2E8664CB"/>
    <w:rsid w:val="2EB148B1"/>
    <w:rsid w:val="2F1B7042"/>
    <w:rsid w:val="2F5A5B27"/>
    <w:rsid w:val="2F835584"/>
    <w:rsid w:val="2F9B3407"/>
    <w:rsid w:val="2FC36E71"/>
    <w:rsid w:val="2FD75F2E"/>
    <w:rsid w:val="2FEB07B6"/>
    <w:rsid w:val="300F506A"/>
    <w:rsid w:val="30252FC9"/>
    <w:rsid w:val="306B6744"/>
    <w:rsid w:val="30D1097F"/>
    <w:rsid w:val="310D5422"/>
    <w:rsid w:val="31106ABA"/>
    <w:rsid w:val="31273174"/>
    <w:rsid w:val="31294B31"/>
    <w:rsid w:val="31300B2E"/>
    <w:rsid w:val="313034EA"/>
    <w:rsid w:val="313703D4"/>
    <w:rsid w:val="313B4368"/>
    <w:rsid w:val="31512995"/>
    <w:rsid w:val="316F645A"/>
    <w:rsid w:val="31C8061C"/>
    <w:rsid w:val="31ED6E1F"/>
    <w:rsid w:val="323B2146"/>
    <w:rsid w:val="326F25B0"/>
    <w:rsid w:val="32774905"/>
    <w:rsid w:val="32CF35FE"/>
    <w:rsid w:val="32FD73FC"/>
    <w:rsid w:val="33043FA7"/>
    <w:rsid w:val="33130091"/>
    <w:rsid w:val="333B2E21"/>
    <w:rsid w:val="33680D19"/>
    <w:rsid w:val="33894F9D"/>
    <w:rsid w:val="33984D4B"/>
    <w:rsid w:val="33A70BA7"/>
    <w:rsid w:val="33AE6559"/>
    <w:rsid w:val="33FE78CF"/>
    <w:rsid w:val="34161CCF"/>
    <w:rsid w:val="349D1AEE"/>
    <w:rsid w:val="34A43FD3"/>
    <w:rsid w:val="34BE0E12"/>
    <w:rsid w:val="34D10B40"/>
    <w:rsid w:val="34EC3BCC"/>
    <w:rsid w:val="3513015F"/>
    <w:rsid w:val="35303AB8"/>
    <w:rsid w:val="35557455"/>
    <w:rsid w:val="359C114E"/>
    <w:rsid w:val="35B50461"/>
    <w:rsid w:val="35E174A0"/>
    <w:rsid w:val="35F745D6"/>
    <w:rsid w:val="362C3D1D"/>
    <w:rsid w:val="363475D8"/>
    <w:rsid w:val="364915C6"/>
    <w:rsid w:val="369E0DB3"/>
    <w:rsid w:val="369E2CA4"/>
    <w:rsid w:val="36FB0435"/>
    <w:rsid w:val="37073C18"/>
    <w:rsid w:val="370F65D3"/>
    <w:rsid w:val="372E3F87"/>
    <w:rsid w:val="37534725"/>
    <w:rsid w:val="37B23006"/>
    <w:rsid w:val="37CB1876"/>
    <w:rsid w:val="383558C5"/>
    <w:rsid w:val="3851621F"/>
    <w:rsid w:val="387719FE"/>
    <w:rsid w:val="38855EC9"/>
    <w:rsid w:val="389912BB"/>
    <w:rsid w:val="38BA25C5"/>
    <w:rsid w:val="38E250CA"/>
    <w:rsid w:val="390C65EA"/>
    <w:rsid w:val="39274FAC"/>
    <w:rsid w:val="39447B32"/>
    <w:rsid w:val="394D59D7"/>
    <w:rsid w:val="39783C80"/>
    <w:rsid w:val="39C57535"/>
    <w:rsid w:val="39E56207"/>
    <w:rsid w:val="3A0727C4"/>
    <w:rsid w:val="3A1C460B"/>
    <w:rsid w:val="3A325BDD"/>
    <w:rsid w:val="3A3E62FC"/>
    <w:rsid w:val="3A8A1503"/>
    <w:rsid w:val="3A8B49E9"/>
    <w:rsid w:val="3A8E04D2"/>
    <w:rsid w:val="3A8F1281"/>
    <w:rsid w:val="3AA06FEA"/>
    <w:rsid w:val="3AA85EE1"/>
    <w:rsid w:val="3AFE2534"/>
    <w:rsid w:val="3AFE3304"/>
    <w:rsid w:val="3B0E664A"/>
    <w:rsid w:val="3B1471D8"/>
    <w:rsid w:val="3B2A71FC"/>
    <w:rsid w:val="3B4045A4"/>
    <w:rsid w:val="3C027831"/>
    <w:rsid w:val="3C25556E"/>
    <w:rsid w:val="3C2846B4"/>
    <w:rsid w:val="3C3A3F4C"/>
    <w:rsid w:val="3C626A35"/>
    <w:rsid w:val="3C9D3581"/>
    <w:rsid w:val="3CA8487C"/>
    <w:rsid w:val="3CB43221"/>
    <w:rsid w:val="3D3A04B6"/>
    <w:rsid w:val="3D4F2C21"/>
    <w:rsid w:val="3D54230E"/>
    <w:rsid w:val="3D5D5DCE"/>
    <w:rsid w:val="3D991313"/>
    <w:rsid w:val="3DF338D5"/>
    <w:rsid w:val="3E120DD2"/>
    <w:rsid w:val="3E201EDF"/>
    <w:rsid w:val="3E210442"/>
    <w:rsid w:val="3E405BB4"/>
    <w:rsid w:val="3E6B5D7B"/>
    <w:rsid w:val="3E9F580B"/>
    <w:rsid w:val="3F124C2C"/>
    <w:rsid w:val="3F2802E1"/>
    <w:rsid w:val="3F402B4A"/>
    <w:rsid w:val="3F536D21"/>
    <w:rsid w:val="3F786788"/>
    <w:rsid w:val="3F834850"/>
    <w:rsid w:val="3F9B4224"/>
    <w:rsid w:val="3F9C29A1"/>
    <w:rsid w:val="3FBA1790"/>
    <w:rsid w:val="3FCB3E6E"/>
    <w:rsid w:val="3FDA4D4C"/>
    <w:rsid w:val="3FE61943"/>
    <w:rsid w:val="3FFA0F4B"/>
    <w:rsid w:val="40385F17"/>
    <w:rsid w:val="408D134C"/>
    <w:rsid w:val="40BC6E9D"/>
    <w:rsid w:val="40C33A32"/>
    <w:rsid w:val="40F24E72"/>
    <w:rsid w:val="412A2641"/>
    <w:rsid w:val="412C1A24"/>
    <w:rsid w:val="413526E7"/>
    <w:rsid w:val="41477D4C"/>
    <w:rsid w:val="414C5CAE"/>
    <w:rsid w:val="41636FC4"/>
    <w:rsid w:val="418D3E7E"/>
    <w:rsid w:val="419B398E"/>
    <w:rsid w:val="41CE71AA"/>
    <w:rsid w:val="41FD11C6"/>
    <w:rsid w:val="4202058A"/>
    <w:rsid w:val="42051E29"/>
    <w:rsid w:val="42282FC7"/>
    <w:rsid w:val="423370CE"/>
    <w:rsid w:val="427C06FC"/>
    <w:rsid w:val="42906CBC"/>
    <w:rsid w:val="429C09DF"/>
    <w:rsid w:val="42AF4358"/>
    <w:rsid w:val="42BA79F0"/>
    <w:rsid w:val="42CD18B8"/>
    <w:rsid w:val="431651AB"/>
    <w:rsid w:val="43230756"/>
    <w:rsid w:val="432342AD"/>
    <w:rsid w:val="432F1853"/>
    <w:rsid w:val="43547FC2"/>
    <w:rsid w:val="437A3B9F"/>
    <w:rsid w:val="43901E0F"/>
    <w:rsid w:val="43913451"/>
    <w:rsid w:val="4391606A"/>
    <w:rsid w:val="43943464"/>
    <w:rsid w:val="43A01669"/>
    <w:rsid w:val="43AC4A3A"/>
    <w:rsid w:val="43B62408"/>
    <w:rsid w:val="43C31F9B"/>
    <w:rsid w:val="43CF28BC"/>
    <w:rsid w:val="440E12B2"/>
    <w:rsid w:val="44331F6E"/>
    <w:rsid w:val="44557097"/>
    <w:rsid w:val="446472DA"/>
    <w:rsid w:val="44AD4B04"/>
    <w:rsid w:val="44D93334"/>
    <w:rsid w:val="44EF4F2D"/>
    <w:rsid w:val="44FC5765"/>
    <w:rsid w:val="44FD0BCC"/>
    <w:rsid w:val="453707B5"/>
    <w:rsid w:val="45662EDF"/>
    <w:rsid w:val="458B6AE9"/>
    <w:rsid w:val="45C01EED"/>
    <w:rsid w:val="45C56B8F"/>
    <w:rsid w:val="45F11A2C"/>
    <w:rsid w:val="46030E92"/>
    <w:rsid w:val="46092226"/>
    <w:rsid w:val="460D5048"/>
    <w:rsid w:val="462A6021"/>
    <w:rsid w:val="46563825"/>
    <w:rsid w:val="46A63BDA"/>
    <w:rsid w:val="46D36999"/>
    <w:rsid w:val="46D87B0C"/>
    <w:rsid w:val="46F32B98"/>
    <w:rsid w:val="470248DE"/>
    <w:rsid w:val="470F656B"/>
    <w:rsid w:val="47102E34"/>
    <w:rsid w:val="472C45BE"/>
    <w:rsid w:val="4739446A"/>
    <w:rsid w:val="47593532"/>
    <w:rsid w:val="475D570A"/>
    <w:rsid w:val="47BF4007"/>
    <w:rsid w:val="47CD72C1"/>
    <w:rsid w:val="47E047E4"/>
    <w:rsid w:val="47E2206A"/>
    <w:rsid w:val="47F24DE3"/>
    <w:rsid w:val="481363B6"/>
    <w:rsid w:val="483C6C1F"/>
    <w:rsid w:val="48991660"/>
    <w:rsid w:val="489E30D7"/>
    <w:rsid w:val="48D16F09"/>
    <w:rsid w:val="48EF0C7E"/>
    <w:rsid w:val="495E3935"/>
    <w:rsid w:val="496A2D5C"/>
    <w:rsid w:val="496B160A"/>
    <w:rsid w:val="496E4757"/>
    <w:rsid w:val="4981092F"/>
    <w:rsid w:val="4999217F"/>
    <w:rsid w:val="49A87C69"/>
    <w:rsid w:val="49BC7FD7"/>
    <w:rsid w:val="49D00E3A"/>
    <w:rsid w:val="49DC199D"/>
    <w:rsid w:val="49F27137"/>
    <w:rsid w:val="4A396B13"/>
    <w:rsid w:val="4A4E556C"/>
    <w:rsid w:val="4A5E386A"/>
    <w:rsid w:val="4A714D2E"/>
    <w:rsid w:val="4A7A77A6"/>
    <w:rsid w:val="4A887111"/>
    <w:rsid w:val="4A93469D"/>
    <w:rsid w:val="4A993A56"/>
    <w:rsid w:val="4AAA69CF"/>
    <w:rsid w:val="4AAF1054"/>
    <w:rsid w:val="4AF62B87"/>
    <w:rsid w:val="4AFD760B"/>
    <w:rsid w:val="4B44463C"/>
    <w:rsid w:val="4B490FD8"/>
    <w:rsid w:val="4B4A57F6"/>
    <w:rsid w:val="4B763BEE"/>
    <w:rsid w:val="4BC251CF"/>
    <w:rsid w:val="4BC44B03"/>
    <w:rsid w:val="4BFE1220"/>
    <w:rsid w:val="4C010C2A"/>
    <w:rsid w:val="4C0D0601"/>
    <w:rsid w:val="4C1531EB"/>
    <w:rsid w:val="4C382EE5"/>
    <w:rsid w:val="4C451E3A"/>
    <w:rsid w:val="4C5B5467"/>
    <w:rsid w:val="4C5C3BBF"/>
    <w:rsid w:val="4C6C31D0"/>
    <w:rsid w:val="4C6C4EDC"/>
    <w:rsid w:val="4C79769B"/>
    <w:rsid w:val="4CAF2EBC"/>
    <w:rsid w:val="4CD83001"/>
    <w:rsid w:val="4CE23492"/>
    <w:rsid w:val="4D221AE1"/>
    <w:rsid w:val="4D4445D4"/>
    <w:rsid w:val="4D785452"/>
    <w:rsid w:val="4D7C5695"/>
    <w:rsid w:val="4D875DE8"/>
    <w:rsid w:val="4DAE5A6A"/>
    <w:rsid w:val="4DFF1E22"/>
    <w:rsid w:val="4E02593C"/>
    <w:rsid w:val="4E284426"/>
    <w:rsid w:val="4E4C3520"/>
    <w:rsid w:val="4E704ACE"/>
    <w:rsid w:val="4ED67027"/>
    <w:rsid w:val="4ED84B4D"/>
    <w:rsid w:val="4EE9759A"/>
    <w:rsid w:val="4F437C01"/>
    <w:rsid w:val="4F460C5A"/>
    <w:rsid w:val="4F530677"/>
    <w:rsid w:val="4FD712A8"/>
    <w:rsid w:val="4FE45251"/>
    <w:rsid w:val="501E6ED7"/>
    <w:rsid w:val="5025109E"/>
    <w:rsid w:val="50526252"/>
    <w:rsid w:val="507C59AC"/>
    <w:rsid w:val="50BE7671"/>
    <w:rsid w:val="50CB23FE"/>
    <w:rsid w:val="50D6030B"/>
    <w:rsid w:val="50E25842"/>
    <w:rsid w:val="510065DD"/>
    <w:rsid w:val="51044286"/>
    <w:rsid w:val="51134562"/>
    <w:rsid w:val="51275918"/>
    <w:rsid w:val="512C1C7F"/>
    <w:rsid w:val="51504FE6"/>
    <w:rsid w:val="516369D5"/>
    <w:rsid w:val="518B64F2"/>
    <w:rsid w:val="519A1E81"/>
    <w:rsid w:val="51A21442"/>
    <w:rsid w:val="51B6571C"/>
    <w:rsid w:val="51D6733E"/>
    <w:rsid w:val="51F04656"/>
    <w:rsid w:val="51FC07B3"/>
    <w:rsid w:val="51FD48CA"/>
    <w:rsid w:val="520C26B3"/>
    <w:rsid w:val="521429FB"/>
    <w:rsid w:val="52173BDE"/>
    <w:rsid w:val="523A12C6"/>
    <w:rsid w:val="527B2920"/>
    <w:rsid w:val="52896D5F"/>
    <w:rsid w:val="52C11D9C"/>
    <w:rsid w:val="52DF342B"/>
    <w:rsid w:val="532D6E1D"/>
    <w:rsid w:val="533575BC"/>
    <w:rsid w:val="5397660A"/>
    <w:rsid w:val="53A45945"/>
    <w:rsid w:val="53B373CC"/>
    <w:rsid w:val="53BD7560"/>
    <w:rsid w:val="541128AF"/>
    <w:rsid w:val="54185E47"/>
    <w:rsid w:val="542A2E74"/>
    <w:rsid w:val="54321AE7"/>
    <w:rsid w:val="54B11218"/>
    <w:rsid w:val="55144405"/>
    <w:rsid w:val="55185DAA"/>
    <w:rsid w:val="55284354"/>
    <w:rsid w:val="555B2034"/>
    <w:rsid w:val="559F4956"/>
    <w:rsid w:val="55AF677C"/>
    <w:rsid w:val="55B70E73"/>
    <w:rsid w:val="55CC4CE0"/>
    <w:rsid w:val="55EC0D24"/>
    <w:rsid w:val="56244B1C"/>
    <w:rsid w:val="56366C1E"/>
    <w:rsid w:val="564156CE"/>
    <w:rsid w:val="564C5031"/>
    <w:rsid w:val="564C5E20"/>
    <w:rsid w:val="565571EC"/>
    <w:rsid w:val="56942683"/>
    <w:rsid w:val="569972B8"/>
    <w:rsid w:val="569A749D"/>
    <w:rsid w:val="56A874FB"/>
    <w:rsid w:val="56F72230"/>
    <w:rsid w:val="574865E8"/>
    <w:rsid w:val="576B6D7E"/>
    <w:rsid w:val="57867040"/>
    <w:rsid w:val="57A03A7A"/>
    <w:rsid w:val="57EC0F8B"/>
    <w:rsid w:val="58136BF6"/>
    <w:rsid w:val="58C8157A"/>
    <w:rsid w:val="58E1293F"/>
    <w:rsid w:val="58ED5699"/>
    <w:rsid w:val="58FD562D"/>
    <w:rsid w:val="590E4691"/>
    <w:rsid w:val="59513E7A"/>
    <w:rsid w:val="59617EEA"/>
    <w:rsid w:val="59883613"/>
    <w:rsid w:val="59C624A5"/>
    <w:rsid w:val="59C96CEB"/>
    <w:rsid w:val="59D45C17"/>
    <w:rsid w:val="59E92304"/>
    <w:rsid w:val="5A094754"/>
    <w:rsid w:val="5A0A6AEF"/>
    <w:rsid w:val="5A491890"/>
    <w:rsid w:val="5A53777D"/>
    <w:rsid w:val="5A8E7F42"/>
    <w:rsid w:val="5AC44FC1"/>
    <w:rsid w:val="5AE8436A"/>
    <w:rsid w:val="5AFC6605"/>
    <w:rsid w:val="5B347DF2"/>
    <w:rsid w:val="5B44356A"/>
    <w:rsid w:val="5B57504B"/>
    <w:rsid w:val="5B743266"/>
    <w:rsid w:val="5B7A6F8C"/>
    <w:rsid w:val="5B874E3C"/>
    <w:rsid w:val="5BBD4CAE"/>
    <w:rsid w:val="5CC051CE"/>
    <w:rsid w:val="5CCD61CB"/>
    <w:rsid w:val="5CD95D56"/>
    <w:rsid w:val="5CE768A3"/>
    <w:rsid w:val="5D0E431A"/>
    <w:rsid w:val="5D290C69"/>
    <w:rsid w:val="5D2B2C34"/>
    <w:rsid w:val="5D343621"/>
    <w:rsid w:val="5D461A43"/>
    <w:rsid w:val="5D797B15"/>
    <w:rsid w:val="5D93299E"/>
    <w:rsid w:val="5D9C768D"/>
    <w:rsid w:val="5D9D3871"/>
    <w:rsid w:val="5E054FAB"/>
    <w:rsid w:val="5E245213"/>
    <w:rsid w:val="5E2A6A47"/>
    <w:rsid w:val="5E4C5268"/>
    <w:rsid w:val="5E5067B8"/>
    <w:rsid w:val="5E911D07"/>
    <w:rsid w:val="5E940365"/>
    <w:rsid w:val="5EA97306"/>
    <w:rsid w:val="5EE4309A"/>
    <w:rsid w:val="5F381939"/>
    <w:rsid w:val="5F4104EC"/>
    <w:rsid w:val="5F482FB2"/>
    <w:rsid w:val="5F6B1EFE"/>
    <w:rsid w:val="5F70492E"/>
    <w:rsid w:val="5FAC4B8C"/>
    <w:rsid w:val="5FEF1CF6"/>
    <w:rsid w:val="6008100A"/>
    <w:rsid w:val="6089214B"/>
    <w:rsid w:val="60911000"/>
    <w:rsid w:val="60AF76D8"/>
    <w:rsid w:val="60B90BF4"/>
    <w:rsid w:val="60D16F2A"/>
    <w:rsid w:val="60E52BC7"/>
    <w:rsid w:val="60F15F42"/>
    <w:rsid w:val="60FF41BB"/>
    <w:rsid w:val="611735B5"/>
    <w:rsid w:val="611D2893"/>
    <w:rsid w:val="61227EAA"/>
    <w:rsid w:val="61283D94"/>
    <w:rsid w:val="617F70AA"/>
    <w:rsid w:val="61F21F72"/>
    <w:rsid w:val="620F6B14"/>
    <w:rsid w:val="62546BBB"/>
    <w:rsid w:val="626B7569"/>
    <w:rsid w:val="62906FB9"/>
    <w:rsid w:val="62FF26D9"/>
    <w:rsid w:val="63097D8E"/>
    <w:rsid w:val="630D708C"/>
    <w:rsid w:val="637B0BF4"/>
    <w:rsid w:val="63871BF1"/>
    <w:rsid w:val="638E02CF"/>
    <w:rsid w:val="63BE6C79"/>
    <w:rsid w:val="63FC2C34"/>
    <w:rsid w:val="64507889"/>
    <w:rsid w:val="645C1924"/>
    <w:rsid w:val="64803865"/>
    <w:rsid w:val="649857D5"/>
    <w:rsid w:val="6498792E"/>
    <w:rsid w:val="64AF6196"/>
    <w:rsid w:val="64B81251"/>
    <w:rsid w:val="64DF2CCB"/>
    <w:rsid w:val="64E738E4"/>
    <w:rsid w:val="65321EB8"/>
    <w:rsid w:val="653B3C30"/>
    <w:rsid w:val="65995DCD"/>
    <w:rsid w:val="6639561D"/>
    <w:rsid w:val="66541127"/>
    <w:rsid w:val="66680A54"/>
    <w:rsid w:val="666828FF"/>
    <w:rsid w:val="66766FD8"/>
    <w:rsid w:val="66977956"/>
    <w:rsid w:val="66A43A7D"/>
    <w:rsid w:val="66C621ED"/>
    <w:rsid w:val="671675EC"/>
    <w:rsid w:val="67237770"/>
    <w:rsid w:val="67312A07"/>
    <w:rsid w:val="67377CDE"/>
    <w:rsid w:val="673B291C"/>
    <w:rsid w:val="6743205A"/>
    <w:rsid w:val="678753EA"/>
    <w:rsid w:val="67E759A9"/>
    <w:rsid w:val="67F42B1A"/>
    <w:rsid w:val="67F74B8F"/>
    <w:rsid w:val="68060525"/>
    <w:rsid w:val="68247E8A"/>
    <w:rsid w:val="68290BE7"/>
    <w:rsid w:val="682D3D04"/>
    <w:rsid w:val="683055A2"/>
    <w:rsid w:val="686520FE"/>
    <w:rsid w:val="6870003D"/>
    <w:rsid w:val="688B4586"/>
    <w:rsid w:val="689C4889"/>
    <w:rsid w:val="68CD4CA3"/>
    <w:rsid w:val="68E0787F"/>
    <w:rsid w:val="68E24874"/>
    <w:rsid w:val="68FF08D4"/>
    <w:rsid w:val="6901535C"/>
    <w:rsid w:val="693A5014"/>
    <w:rsid w:val="694F774E"/>
    <w:rsid w:val="69513A22"/>
    <w:rsid w:val="695F789F"/>
    <w:rsid w:val="6962178B"/>
    <w:rsid w:val="69807E63"/>
    <w:rsid w:val="698A0CE2"/>
    <w:rsid w:val="69963A38"/>
    <w:rsid w:val="69AF0EE7"/>
    <w:rsid w:val="69B0699A"/>
    <w:rsid w:val="69CA12FA"/>
    <w:rsid w:val="6A5C61DA"/>
    <w:rsid w:val="6A5E5737"/>
    <w:rsid w:val="6A8219B9"/>
    <w:rsid w:val="6A846A7C"/>
    <w:rsid w:val="6AA40C2F"/>
    <w:rsid w:val="6AAD77D6"/>
    <w:rsid w:val="6ABF4479"/>
    <w:rsid w:val="6AFF7C11"/>
    <w:rsid w:val="6B0505CF"/>
    <w:rsid w:val="6B0B7C00"/>
    <w:rsid w:val="6B154E72"/>
    <w:rsid w:val="6B347157"/>
    <w:rsid w:val="6B356EDD"/>
    <w:rsid w:val="6B397E06"/>
    <w:rsid w:val="6B471AA3"/>
    <w:rsid w:val="6B7E3AC1"/>
    <w:rsid w:val="6BA141EE"/>
    <w:rsid w:val="6BA918F3"/>
    <w:rsid w:val="6BEC5C84"/>
    <w:rsid w:val="6BED23B4"/>
    <w:rsid w:val="6C225CC3"/>
    <w:rsid w:val="6C71397E"/>
    <w:rsid w:val="6C7D068A"/>
    <w:rsid w:val="6C7E2B47"/>
    <w:rsid w:val="6C7F571D"/>
    <w:rsid w:val="6CC07633"/>
    <w:rsid w:val="6CC3591C"/>
    <w:rsid w:val="6CCD799C"/>
    <w:rsid w:val="6CDB678E"/>
    <w:rsid w:val="6D1709FE"/>
    <w:rsid w:val="6D5D5B17"/>
    <w:rsid w:val="6D613EE1"/>
    <w:rsid w:val="6D7D5C36"/>
    <w:rsid w:val="6DCA5B51"/>
    <w:rsid w:val="6DDA3330"/>
    <w:rsid w:val="6DEE6139"/>
    <w:rsid w:val="6DFB1C41"/>
    <w:rsid w:val="6E042A70"/>
    <w:rsid w:val="6E22773B"/>
    <w:rsid w:val="6E2A4F8C"/>
    <w:rsid w:val="6E365B07"/>
    <w:rsid w:val="6EAD14DE"/>
    <w:rsid w:val="6EAE5FC2"/>
    <w:rsid w:val="6F18677D"/>
    <w:rsid w:val="6F7F4719"/>
    <w:rsid w:val="6F9416C7"/>
    <w:rsid w:val="70117A67"/>
    <w:rsid w:val="704143DA"/>
    <w:rsid w:val="70425E72"/>
    <w:rsid w:val="7043557A"/>
    <w:rsid w:val="70635806"/>
    <w:rsid w:val="706D25ED"/>
    <w:rsid w:val="70716758"/>
    <w:rsid w:val="70A97DB1"/>
    <w:rsid w:val="70B721DE"/>
    <w:rsid w:val="70DB1DC7"/>
    <w:rsid w:val="70E228C1"/>
    <w:rsid w:val="70FB4294"/>
    <w:rsid w:val="71125845"/>
    <w:rsid w:val="71163C4D"/>
    <w:rsid w:val="71221AF1"/>
    <w:rsid w:val="713500F8"/>
    <w:rsid w:val="715F71D7"/>
    <w:rsid w:val="7186207E"/>
    <w:rsid w:val="71AE793D"/>
    <w:rsid w:val="71FC1CF5"/>
    <w:rsid w:val="720F447A"/>
    <w:rsid w:val="72111FA0"/>
    <w:rsid w:val="722177A1"/>
    <w:rsid w:val="722717C4"/>
    <w:rsid w:val="722A4E10"/>
    <w:rsid w:val="72587167"/>
    <w:rsid w:val="72715F72"/>
    <w:rsid w:val="72831E0A"/>
    <w:rsid w:val="72AC0462"/>
    <w:rsid w:val="72CC080B"/>
    <w:rsid w:val="72D62F29"/>
    <w:rsid w:val="72DD4504"/>
    <w:rsid w:val="73167239"/>
    <w:rsid w:val="73261588"/>
    <w:rsid w:val="73267AE8"/>
    <w:rsid w:val="732C6241"/>
    <w:rsid w:val="7334581F"/>
    <w:rsid w:val="73382C6F"/>
    <w:rsid w:val="7352461E"/>
    <w:rsid w:val="73BA4C48"/>
    <w:rsid w:val="73BA64EC"/>
    <w:rsid w:val="73C10375"/>
    <w:rsid w:val="73F32F0F"/>
    <w:rsid w:val="740C0B14"/>
    <w:rsid w:val="74121633"/>
    <w:rsid w:val="741F550E"/>
    <w:rsid w:val="74490BB1"/>
    <w:rsid w:val="74514AAB"/>
    <w:rsid w:val="745A6C14"/>
    <w:rsid w:val="749214BC"/>
    <w:rsid w:val="74B51309"/>
    <w:rsid w:val="74CA42EA"/>
    <w:rsid w:val="74D7193C"/>
    <w:rsid w:val="750B0F29"/>
    <w:rsid w:val="751F12AB"/>
    <w:rsid w:val="75502DDF"/>
    <w:rsid w:val="75842A89"/>
    <w:rsid w:val="75DE03EB"/>
    <w:rsid w:val="75EF3F55"/>
    <w:rsid w:val="7685658D"/>
    <w:rsid w:val="76A74C81"/>
    <w:rsid w:val="76AE6010"/>
    <w:rsid w:val="76D67BA3"/>
    <w:rsid w:val="76E53EB3"/>
    <w:rsid w:val="774A58B3"/>
    <w:rsid w:val="77A65221"/>
    <w:rsid w:val="78324A1E"/>
    <w:rsid w:val="783371A6"/>
    <w:rsid w:val="783E33C3"/>
    <w:rsid w:val="7859328B"/>
    <w:rsid w:val="788208ED"/>
    <w:rsid w:val="78A53442"/>
    <w:rsid w:val="78AF4B8C"/>
    <w:rsid w:val="78BE4504"/>
    <w:rsid w:val="78C57641"/>
    <w:rsid w:val="78CE18D9"/>
    <w:rsid w:val="78F2156C"/>
    <w:rsid w:val="79050385"/>
    <w:rsid w:val="794E7152"/>
    <w:rsid w:val="798B6F10"/>
    <w:rsid w:val="79A72E73"/>
    <w:rsid w:val="79BA7BC1"/>
    <w:rsid w:val="79C2457B"/>
    <w:rsid w:val="7A036672"/>
    <w:rsid w:val="7A13705B"/>
    <w:rsid w:val="7A262361"/>
    <w:rsid w:val="7A5A357B"/>
    <w:rsid w:val="7A6C7CDD"/>
    <w:rsid w:val="7A8C2B0C"/>
    <w:rsid w:val="7A902D98"/>
    <w:rsid w:val="7AAA2F92"/>
    <w:rsid w:val="7AB02DA5"/>
    <w:rsid w:val="7AC9711E"/>
    <w:rsid w:val="7AE55D78"/>
    <w:rsid w:val="7B025972"/>
    <w:rsid w:val="7B3048BE"/>
    <w:rsid w:val="7B452CBB"/>
    <w:rsid w:val="7B61392C"/>
    <w:rsid w:val="7B784E3E"/>
    <w:rsid w:val="7B900CE5"/>
    <w:rsid w:val="7B9E79D3"/>
    <w:rsid w:val="7BCD13E1"/>
    <w:rsid w:val="7BFE51F8"/>
    <w:rsid w:val="7C0840FB"/>
    <w:rsid w:val="7C141B3C"/>
    <w:rsid w:val="7C232FFC"/>
    <w:rsid w:val="7C7B2E38"/>
    <w:rsid w:val="7C8A0E47"/>
    <w:rsid w:val="7D192E92"/>
    <w:rsid w:val="7D3D50B2"/>
    <w:rsid w:val="7D4F4B37"/>
    <w:rsid w:val="7D6901AA"/>
    <w:rsid w:val="7D954AC1"/>
    <w:rsid w:val="7DC40B6D"/>
    <w:rsid w:val="7DDD2D79"/>
    <w:rsid w:val="7E4B547D"/>
    <w:rsid w:val="7E643567"/>
    <w:rsid w:val="7E853E84"/>
    <w:rsid w:val="7E906943"/>
    <w:rsid w:val="7EC0721C"/>
    <w:rsid w:val="7F201A75"/>
    <w:rsid w:val="7F46539B"/>
    <w:rsid w:val="7F681261"/>
    <w:rsid w:val="7F8A15E4"/>
    <w:rsid w:val="7FF8002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3"/>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9">
    <w:name w:val="Default Paragraph Font"/>
    <w:autoRedefine/>
    <w:semiHidden/>
    <w:qFormat/>
    <w:uiPriority w:val="0"/>
  </w:style>
  <w:style w:type="table" w:default="1" w:styleId="17">
    <w:name w:val="Normal Table"/>
    <w:autoRedefine/>
    <w:semiHidden/>
    <w:qFormat/>
    <w:uiPriority w:val="0"/>
    <w:tblPr>
      <w:tblCellMar>
        <w:top w:w="0" w:type="dxa"/>
        <w:left w:w="108" w:type="dxa"/>
        <w:bottom w:w="0" w:type="dxa"/>
        <w:right w:w="108" w:type="dxa"/>
      </w:tblCellMar>
    </w:tblPr>
  </w:style>
  <w:style w:type="paragraph" w:styleId="4">
    <w:name w:val="Normal Indent"/>
    <w:basedOn w:val="1"/>
    <w:autoRedefine/>
    <w:qFormat/>
    <w:uiPriority w:val="0"/>
    <w:pPr>
      <w:ind w:firstLine="420"/>
    </w:pPr>
    <w:rPr>
      <w:rFonts w:ascii="Calibri" w:hAnsi="Calibri"/>
      <w:szCs w:val="20"/>
    </w:rPr>
  </w:style>
  <w:style w:type="paragraph" w:styleId="5">
    <w:name w:val="annotation text"/>
    <w:basedOn w:val="1"/>
    <w:autoRedefine/>
    <w:semiHidden/>
    <w:qFormat/>
    <w:uiPriority w:val="0"/>
    <w:pPr>
      <w:jc w:val="left"/>
    </w:pPr>
    <w:rPr>
      <w:kern w:val="0"/>
      <w:sz w:val="24"/>
      <w:szCs w:val="20"/>
    </w:rPr>
  </w:style>
  <w:style w:type="paragraph" w:styleId="6">
    <w:name w:val="Body Text"/>
    <w:basedOn w:val="1"/>
    <w:next w:val="7"/>
    <w:autoRedefine/>
    <w:qFormat/>
    <w:uiPriority w:val="0"/>
    <w:pPr>
      <w:widowControl/>
      <w:snapToGrid w:val="0"/>
      <w:spacing w:before="60" w:after="160" w:line="259" w:lineRule="auto"/>
      <w:ind w:right="113"/>
    </w:pPr>
    <w:rPr>
      <w:kern w:val="0"/>
      <w:sz w:val="18"/>
      <w:szCs w:val="20"/>
    </w:rPr>
  </w:style>
  <w:style w:type="paragraph" w:styleId="7">
    <w:name w:val="List Bullet 5"/>
    <w:basedOn w:val="1"/>
    <w:autoRedefine/>
    <w:qFormat/>
    <w:uiPriority w:val="0"/>
    <w:pPr>
      <w:numPr>
        <w:ilvl w:val="0"/>
        <w:numId w:val="1"/>
      </w:numPr>
    </w:pPr>
  </w:style>
  <w:style w:type="paragraph" w:styleId="8">
    <w:name w:val="Body Text Indent"/>
    <w:basedOn w:val="1"/>
    <w:next w:val="4"/>
    <w:autoRedefine/>
    <w:qFormat/>
    <w:uiPriority w:val="0"/>
    <w:pPr>
      <w:spacing w:after="120"/>
      <w:ind w:left="420" w:leftChars="200"/>
    </w:pPr>
    <w:rPr>
      <w:kern w:val="0"/>
      <w:sz w:val="24"/>
      <w:szCs w:val="20"/>
    </w:rPr>
  </w:style>
  <w:style w:type="paragraph" w:styleId="9">
    <w:name w:val="Block Text"/>
    <w:basedOn w:val="1"/>
    <w:autoRedefine/>
    <w:qFormat/>
    <w:uiPriority w:val="0"/>
    <w:pPr>
      <w:spacing w:after="120"/>
      <w:ind w:left="1440" w:leftChars="700" w:right="1440" w:rightChars="700"/>
    </w:pPr>
    <w:rPr>
      <w:rFonts w:ascii="Calibri" w:hAnsi="Calibri"/>
      <w:szCs w:val="20"/>
    </w:rPr>
  </w:style>
  <w:style w:type="paragraph" w:styleId="10">
    <w:name w:val="footer"/>
    <w:basedOn w:val="1"/>
    <w:autoRedefine/>
    <w:qFormat/>
    <w:uiPriority w:val="99"/>
    <w:pPr>
      <w:tabs>
        <w:tab w:val="center" w:pos="4153"/>
        <w:tab w:val="right" w:pos="8306"/>
      </w:tabs>
      <w:snapToGrid w:val="0"/>
      <w:jc w:val="left"/>
    </w:pPr>
    <w:rPr>
      <w:kern w:val="0"/>
      <w:sz w:val="18"/>
      <w:szCs w:val="20"/>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2">
    <w:name w:val="Body Text Indent 3"/>
    <w:basedOn w:val="1"/>
    <w:qFormat/>
    <w:uiPriority w:val="0"/>
    <w:pPr>
      <w:spacing w:after="120"/>
      <w:ind w:left="420" w:leftChars="200"/>
    </w:pPr>
    <w:rPr>
      <w:sz w:val="16"/>
      <w:szCs w:val="16"/>
    </w:rPr>
  </w:style>
  <w:style w:type="paragraph" w:styleId="13">
    <w:name w:val="toc 2"/>
    <w:basedOn w:val="1"/>
    <w:next w:val="1"/>
    <w:qFormat/>
    <w:uiPriority w:val="39"/>
    <w:pPr>
      <w:widowControl/>
      <w:tabs>
        <w:tab w:val="left" w:pos="840"/>
        <w:tab w:val="right" w:leader="dot" w:pos="8511"/>
      </w:tabs>
      <w:spacing w:line="320" w:lineRule="exact"/>
      <w:ind w:left="210"/>
      <w:jc w:val="left"/>
    </w:pPr>
    <w:rPr>
      <w:rFonts w:ascii="Calibri" w:hAnsi="Calibri"/>
      <w:smallCaps/>
      <w:kern w:val="0"/>
      <w:sz w:val="24"/>
      <w:szCs w:val="22"/>
    </w:rPr>
  </w:style>
  <w:style w:type="paragraph" w:styleId="14">
    <w:name w:val="Body Text 2"/>
    <w:basedOn w:val="1"/>
    <w:autoRedefine/>
    <w:qFormat/>
    <w:uiPriority w:val="0"/>
    <w:pPr>
      <w:spacing w:after="120" w:line="480" w:lineRule="auto"/>
    </w:pPr>
    <w:rPr>
      <w:rFonts w:ascii="Calibri" w:hAnsi="Calibri"/>
      <w:szCs w:val="22"/>
    </w:rPr>
  </w:style>
  <w:style w:type="paragraph" w:styleId="15">
    <w:name w:val="Normal (Web)"/>
    <w:basedOn w:val="1"/>
    <w:autoRedefine/>
    <w:qFormat/>
    <w:uiPriority w:val="0"/>
    <w:pPr>
      <w:widowControl/>
      <w:spacing w:before="100" w:beforeAutospacing="1" w:after="100" w:afterAutospacing="1"/>
      <w:jc w:val="left"/>
    </w:pPr>
    <w:rPr>
      <w:rFonts w:ascii="宋体" w:hAnsi="宋体"/>
      <w:kern w:val="0"/>
      <w:sz w:val="24"/>
      <w:szCs w:val="20"/>
    </w:rPr>
  </w:style>
  <w:style w:type="paragraph" w:styleId="16">
    <w:name w:val="Title"/>
    <w:basedOn w:val="1"/>
    <w:next w:val="1"/>
    <w:autoRedefine/>
    <w:qFormat/>
    <w:uiPriority w:val="0"/>
    <w:pPr>
      <w:spacing w:before="240" w:after="60" w:line="240" w:lineRule="auto"/>
      <w:ind w:firstLine="0" w:firstLineChars="0"/>
      <w:jc w:val="center"/>
      <w:outlineLvl w:val="0"/>
    </w:pPr>
    <w:rPr>
      <w:rFonts w:ascii="Cambria" w:hAnsi="Cambria" w:eastAsia="黑体"/>
      <w:bCs/>
      <w:sz w:val="30"/>
      <w:szCs w:val="32"/>
    </w:rPr>
  </w:style>
  <w:style w:type="table" w:styleId="18">
    <w:name w:val="Table Grid"/>
    <w:basedOn w:val="17"/>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uiPriority w:val="0"/>
    <w:rPr>
      <w:b/>
    </w:rPr>
  </w:style>
  <w:style w:type="character" w:styleId="21">
    <w:name w:val="page number"/>
    <w:autoRedefine/>
    <w:qFormat/>
    <w:uiPriority w:val="0"/>
  </w:style>
  <w:style w:type="character" w:styleId="22">
    <w:name w:val="Emphasis"/>
    <w:basedOn w:val="19"/>
    <w:qFormat/>
    <w:uiPriority w:val="0"/>
    <w:rPr>
      <w:i/>
    </w:rPr>
  </w:style>
  <w:style w:type="character" w:styleId="23">
    <w:name w:val="Hyperlink"/>
    <w:basedOn w:val="19"/>
    <w:autoRedefine/>
    <w:qFormat/>
    <w:uiPriority w:val="0"/>
    <w:rPr>
      <w:color w:val="0000FF"/>
      <w:u w:val="single"/>
    </w:rPr>
  </w:style>
  <w:style w:type="character" w:styleId="24">
    <w:name w:val="annotation reference"/>
    <w:autoRedefine/>
    <w:qFormat/>
    <w:uiPriority w:val="0"/>
    <w:rPr>
      <w:sz w:val="21"/>
    </w:rPr>
  </w:style>
  <w:style w:type="paragraph" w:customStyle="1" w:styleId="25">
    <w:name w:val="Default"/>
    <w:basedOn w:val="26"/>
    <w:autoRedefine/>
    <w:qFormat/>
    <w:uiPriority w:val="0"/>
    <w:pPr>
      <w:widowControl w:val="0"/>
      <w:autoSpaceDE w:val="0"/>
      <w:autoSpaceDN w:val="0"/>
      <w:adjustRightInd w:val="0"/>
    </w:pPr>
    <w:rPr>
      <w:rFonts w:ascii="宋体" w:hAnsi="宋体" w:cs="宋体"/>
      <w:color w:val="000000"/>
      <w:sz w:val="24"/>
    </w:rPr>
  </w:style>
  <w:style w:type="paragraph" w:customStyle="1" w:styleId="26">
    <w:name w:val="a四级标题"/>
    <w:basedOn w:val="1"/>
    <w:autoRedefine/>
    <w:qFormat/>
    <w:uiPriority w:val="0"/>
    <w:pPr>
      <w:spacing w:line="360" w:lineRule="auto"/>
    </w:pPr>
    <w:rPr>
      <w:rFonts w:ascii="Times New Roman"/>
      <w:b/>
    </w:rPr>
  </w:style>
  <w:style w:type="paragraph" w:customStyle="1" w:styleId="27">
    <w:name w:val="标题 段落4级"/>
    <w:autoRedefine/>
    <w:qFormat/>
    <w:uiPriority w:val="0"/>
    <w:pPr>
      <w:spacing w:line="500" w:lineRule="exact"/>
      <w:outlineLvl w:val="3"/>
    </w:pPr>
    <w:rPr>
      <w:rFonts w:ascii="Times New Roman" w:hAnsi="Times New Roman" w:eastAsia="宋体" w:cs="Calibri"/>
      <w:b/>
      <w:kern w:val="2"/>
      <w:sz w:val="28"/>
      <w:szCs w:val="24"/>
      <w:lang w:val="en-US" w:eastAsia="zh-CN" w:bidi="ar-SA"/>
    </w:rPr>
  </w:style>
  <w:style w:type="paragraph" w:customStyle="1" w:styleId="28">
    <w:name w:val="+正文"/>
    <w:basedOn w:val="1"/>
    <w:autoRedefine/>
    <w:qFormat/>
    <w:uiPriority w:val="0"/>
    <w:rPr>
      <w:sz w:val="24"/>
      <w:szCs w:val="28"/>
    </w:rPr>
  </w:style>
  <w:style w:type="paragraph" w:customStyle="1" w:styleId="29">
    <w:name w:val="a表"/>
    <w:basedOn w:val="1"/>
    <w:autoRedefine/>
    <w:qFormat/>
    <w:uiPriority w:val="0"/>
    <w:pPr>
      <w:snapToGrid w:val="0"/>
      <w:spacing w:line="240" w:lineRule="auto"/>
      <w:ind w:firstLine="0" w:firstLineChars="0"/>
      <w:jc w:val="center"/>
    </w:pPr>
    <w:rPr>
      <w:spacing w:val="2"/>
      <w:szCs w:val="22"/>
    </w:rPr>
  </w:style>
  <w:style w:type="paragraph" w:customStyle="1" w:styleId="30">
    <w:name w:val="陈表格"/>
    <w:basedOn w:val="1"/>
    <w:autoRedefine/>
    <w:qFormat/>
    <w:uiPriority w:val="0"/>
    <w:pPr>
      <w:adjustRightInd w:val="0"/>
      <w:snapToGrid w:val="0"/>
      <w:spacing w:line="240" w:lineRule="auto"/>
      <w:ind w:firstLine="0" w:firstLineChars="0"/>
      <w:jc w:val="center"/>
    </w:pPr>
    <w:rPr>
      <w:kern w:val="0"/>
      <w:szCs w:val="20"/>
    </w:rPr>
  </w:style>
  <w:style w:type="paragraph" w:customStyle="1" w:styleId="31">
    <w:name w:val="a表头"/>
    <w:basedOn w:val="1"/>
    <w:autoRedefine/>
    <w:qFormat/>
    <w:uiPriority w:val="0"/>
    <w:pPr>
      <w:spacing w:line="240" w:lineRule="auto"/>
      <w:ind w:firstLine="0" w:firstLineChars="0"/>
      <w:jc w:val="center"/>
    </w:pPr>
    <w:rPr>
      <w:b/>
      <w:sz w:val="24"/>
      <w:szCs w:val="22"/>
    </w:rPr>
  </w:style>
  <w:style w:type="paragraph" w:customStyle="1" w:styleId="32">
    <w:name w:val="Table Text"/>
    <w:basedOn w:val="1"/>
    <w:autoRedefine/>
    <w:semiHidden/>
    <w:qFormat/>
    <w:uiPriority w:val="0"/>
    <w:rPr>
      <w:rFonts w:ascii="宋体" w:hAnsi="宋体" w:eastAsia="宋体" w:cs="宋体"/>
      <w:sz w:val="24"/>
      <w:szCs w:val="24"/>
      <w:lang w:val="en-US" w:eastAsia="en-US" w:bidi="ar-SA"/>
    </w:rPr>
  </w:style>
  <w:style w:type="table" w:customStyle="1" w:styleId="33">
    <w:name w:val="Table Normal"/>
    <w:autoRedefine/>
    <w:unhideWhenUsed/>
    <w:qFormat/>
    <w:uiPriority w:val="0"/>
    <w:tblPr>
      <w:tblCellMar>
        <w:top w:w="0" w:type="dxa"/>
        <w:left w:w="0" w:type="dxa"/>
        <w:bottom w:w="0" w:type="dxa"/>
        <w:right w:w="0" w:type="dxa"/>
      </w:tblCellMar>
    </w:tblPr>
  </w:style>
  <w:style w:type="paragraph" w:customStyle="1" w:styleId="34">
    <w:name w:val="Normal"/>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35">
    <w:name w:val="Table Paragraph"/>
    <w:basedOn w:val="1"/>
    <w:autoRedefine/>
    <w:qFormat/>
    <w:uiPriority w:val="1"/>
    <w:pPr>
      <w:jc w:val="left"/>
    </w:pPr>
    <w:rPr>
      <w:rFonts w:ascii="Calibri" w:hAnsi="Calibri" w:eastAsia="Calibri"/>
      <w:kern w:val="0"/>
      <w:sz w:val="22"/>
      <w:szCs w:val="22"/>
      <w:lang w:eastAsia="en-US"/>
    </w:rPr>
  </w:style>
  <w:style w:type="paragraph" w:customStyle="1" w:styleId="36">
    <w:name w:val="表头"/>
    <w:basedOn w:val="1"/>
    <w:autoRedefine/>
    <w:qFormat/>
    <w:uiPriority w:val="0"/>
    <w:pPr>
      <w:adjustRightInd w:val="0"/>
      <w:spacing w:line="240" w:lineRule="auto"/>
      <w:ind w:firstLine="0" w:firstLineChars="0"/>
      <w:jc w:val="center"/>
    </w:pPr>
    <w:rPr>
      <w:b/>
    </w:rPr>
  </w:style>
  <w:style w:type="paragraph" w:customStyle="1" w:styleId="37">
    <w:name w:val="表格"/>
    <w:basedOn w:val="38"/>
    <w:next w:val="1"/>
    <w:autoRedefine/>
    <w:qFormat/>
    <w:uiPriority w:val="0"/>
    <w:pPr>
      <w:adjustRightInd w:val="0"/>
      <w:snapToGrid w:val="0"/>
      <w:spacing w:beforeLines="1" w:afterLines="1" w:line="259" w:lineRule="auto"/>
      <w:jc w:val="center"/>
    </w:pPr>
    <w:rPr>
      <w:rFonts w:ascii="宋体"/>
      <w:kern w:val="0"/>
      <w:szCs w:val="20"/>
    </w:rPr>
  </w:style>
  <w:style w:type="paragraph" w:customStyle="1" w:styleId="38">
    <w:name w:val="表格文字"/>
    <w:basedOn w:val="1"/>
    <w:autoRedefine/>
    <w:qFormat/>
    <w:uiPriority w:val="0"/>
    <w:pPr>
      <w:jc w:val="center"/>
    </w:pPr>
    <w:rPr>
      <w:rFonts w:ascii="仿宋_GB2312" w:hAnsi="Arial Black" w:eastAsia="仿宋_GB2312"/>
      <w:kern w:val="44"/>
      <w:sz w:val="24"/>
    </w:rPr>
  </w:style>
  <w:style w:type="paragraph" w:customStyle="1" w:styleId="39">
    <w:name w:val="标题2"/>
    <w:basedOn w:val="1"/>
    <w:autoRedefine/>
    <w:qFormat/>
    <w:uiPriority w:val="0"/>
    <w:pPr>
      <w:jc w:val="left"/>
      <w:outlineLvl w:val="2"/>
    </w:pPr>
    <w:rPr>
      <w:b/>
    </w:rPr>
  </w:style>
  <w:style w:type="paragraph" w:customStyle="1" w:styleId="40">
    <w:name w:val="陈表格标题"/>
    <w:basedOn w:val="1"/>
    <w:next w:val="12"/>
    <w:autoRedefine/>
    <w:qFormat/>
    <w:uiPriority w:val="0"/>
    <w:pPr>
      <w:adjustRightInd w:val="0"/>
      <w:snapToGrid w:val="0"/>
      <w:spacing w:line="240" w:lineRule="auto"/>
      <w:ind w:firstLine="720"/>
      <w:jc w:val="center"/>
    </w:pPr>
    <w:rPr>
      <w:b/>
      <w:kern w:val="0"/>
      <w:szCs w:val="20"/>
    </w:rPr>
  </w:style>
  <w:style w:type="paragraph" w:customStyle="1" w:styleId="41">
    <w:name w:val="正文-环评"/>
    <w:basedOn w:val="1"/>
    <w:autoRedefine/>
    <w:qFormat/>
    <w:uiPriority w:val="0"/>
    <w:pPr>
      <w:adjustRightInd w:val="0"/>
      <w:snapToGrid w:val="0"/>
    </w:pPr>
    <w:rPr>
      <w:rFonts w:hint="eastAsia" w:ascii="宋体" w:hAnsi="宋体" w:cs="宋体"/>
      <w:bCs/>
      <w:spacing w:val="-10"/>
      <w:sz w:val="24"/>
    </w:rPr>
  </w:style>
  <w:style w:type="paragraph" w:customStyle="1" w:styleId="42">
    <w:name w:val="4S"/>
    <w:basedOn w:val="1"/>
    <w:autoRedefine/>
    <w:qFormat/>
    <w:uiPriority w:val="0"/>
    <w:pPr>
      <w:adjustRightInd w:val="0"/>
      <w:snapToGrid w:val="0"/>
    </w:pPr>
    <w:rPr>
      <w:rFonts w:ascii="楷体" w:hAnsi="楷体" w:eastAsia="Times New Roman"/>
      <w:szCs w:val="20"/>
    </w:rPr>
  </w:style>
  <w:style w:type="paragraph" w:customStyle="1" w:styleId="43">
    <w:name w:val="标题1"/>
    <w:basedOn w:val="1"/>
    <w:next w:val="1"/>
    <w:autoRedefine/>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rPr>
  </w:style>
  <w:style w:type="paragraph" w:customStyle="1" w:styleId="44">
    <w:name w:val="第一、五章 表格正文"/>
    <w:basedOn w:val="5"/>
    <w:autoRedefine/>
    <w:qFormat/>
    <w:uiPriority w:val="0"/>
    <w:pPr>
      <w:jc w:val="center"/>
    </w:pPr>
    <w:rPr>
      <w:rFonts w:eastAsia="仿宋_GB2312"/>
    </w:rPr>
  </w:style>
  <w:style w:type="paragraph" w:customStyle="1" w:styleId="45">
    <w:name w:val="报告表正文"/>
    <w:basedOn w:val="46"/>
    <w:autoRedefine/>
    <w:qFormat/>
    <w:uiPriority w:val="0"/>
    <w:pPr>
      <w:ind w:firstLine="200" w:firstLineChars="200"/>
      <w:jc w:val="left"/>
    </w:pPr>
    <w:rPr>
      <w:rFonts w:ascii="Times New Roman" w:hAnsi="Times New Roman"/>
      <w:szCs w:val="24"/>
    </w:rPr>
  </w:style>
  <w:style w:type="paragraph" w:customStyle="1" w:styleId="46">
    <w:name w:val="列表1"/>
    <w:basedOn w:val="1"/>
    <w:autoRedefine/>
    <w:qFormat/>
    <w:uiPriority w:val="0"/>
    <w:pPr>
      <w:spacing w:line="400" w:lineRule="exact"/>
      <w:jc w:val="center"/>
    </w:pPr>
    <w:rPr>
      <w:rFonts w:ascii="宋体" w:hAnsi="宋体" w:eastAsia="仿宋_GB2312"/>
      <w:sz w:val="24"/>
      <w:szCs w:val="20"/>
    </w:rPr>
  </w:style>
  <w:style w:type="paragraph" w:customStyle="1" w:styleId="47">
    <w:name w:val="Z嵌套表格内容"/>
    <w:basedOn w:val="1"/>
    <w:autoRedefine/>
    <w:qFormat/>
    <w:uiPriority w:val="0"/>
    <w:pPr>
      <w:jc w:val="center"/>
    </w:pPr>
  </w:style>
  <w:style w:type="paragraph" w:customStyle="1" w:styleId="48">
    <w:name w:val="陈正文"/>
    <w:basedOn w:val="1"/>
    <w:next w:val="1"/>
    <w:autoRedefine/>
    <w:qFormat/>
    <w:uiPriority w:val="0"/>
    <w:pPr>
      <w:adjustRightInd w:val="0"/>
      <w:snapToGrid w:val="0"/>
      <w:jc w:val="left"/>
    </w:pPr>
    <w:rPr>
      <w:kern w:val="0"/>
      <w:szCs w:val="20"/>
    </w:rPr>
  </w:style>
  <w:style w:type="paragraph" w:customStyle="1" w:styleId="49">
    <w:name w:val="环评表格"/>
    <w:basedOn w:val="1"/>
    <w:autoRedefine/>
    <w:qFormat/>
    <w:uiPriority w:val="0"/>
    <w:pPr>
      <w:spacing w:line="240" w:lineRule="auto"/>
      <w:ind w:firstLine="0" w:firstLineChars="0"/>
      <w:jc w:val="center"/>
    </w:pPr>
    <w:rPr>
      <w:kern w:val="0"/>
      <w:sz w:val="21"/>
      <w:szCs w:val="20"/>
    </w:rPr>
  </w:style>
  <w:style w:type="paragraph" w:customStyle="1" w:styleId="50">
    <w:name w:val="Char Char Char Char"/>
    <w:basedOn w:val="1"/>
    <w:autoRedefine/>
    <w:qFormat/>
    <w:uiPriority w:val="0"/>
    <w:pPr>
      <w:adjustRightInd w:val="0"/>
      <w:snapToGrid w:val="0"/>
      <w:ind w:firstLine="420"/>
    </w:pPr>
  </w:style>
  <w:style w:type="paragraph" w:customStyle="1" w:styleId="51">
    <w:name w:val="样式 自动设置"/>
    <w:basedOn w:val="1"/>
    <w:autoRedefine/>
    <w:qFormat/>
    <w:uiPriority w:val="0"/>
    <w:pPr>
      <w:autoSpaceDE w:val="0"/>
      <w:autoSpaceDN w:val="0"/>
      <w:adjustRightInd w:val="0"/>
      <w:snapToGrid w:val="0"/>
      <w:spacing w:beforeLines="50" w:line="288" w:lineRule="auto"/>
      <w:ind w:firstLine="200" w:firstLineChars="200"/>
    </w:pPr>
    <w:rPr>
      <w:rFonts w:cs="宋体"/>
      <w:sz w:val="24"/>
      <w:szCs w:val="24"/>
    </w:rPr>
  </w:style>
  <w:style w:type="paragraph" w:customStyle="1" w:styleId="52">
    <w:name w:val="表格首行"/>
    <w:basedOn w:val="1"/>
    <w:autoRedefine/>
    <w:qFormat/>
    <w:uiPriority w:val="0"/>
    <w:pPr>
      <w:jc w:val="center"/>
    </w:pPr>
    <w:rPr>
      <w:rFonts w:eastAsia="仿宋_GB2312"/>
      <w:b/>
      <w:szCs w:val="21"/>
    </w:rPr>
  </w:style>
  <w:style w:type="paragraph" w:customStyle="1" w:styleId="53">
    <w:name w:val="表格普通"/>
    <w:basedOn w:val="1"/>
    <w:autoRedefine/>
    <w:qFormat/>
    <w:uiPriority w:val="0"/>
    <w:pPr>
      <w:jc w:val="center"/>
    </w:pPr>
    <w:rPr>
      <w:rFonts w:eastAsia="仿宋_GB2312"/>
      <w:szCs w:val="21"/>
    </w:rPr>
  </w:style>
  <w:style w:type="paragraph" w:customStyle="1" w:styleId="54">
    <w:name w:val="表格正文"/>
    <w:basedOn w:val="1"/>
    <w:autoRedefine/>
    <w:qFormat/>
    <w:uiPriority w:val="0"/>
    <w:pPr>
      <w:spacing w:line="360" w:lineRule="exact"/>
      <w:jc w:val="center"/>
    </w:pPr>
    <w:rPr>
      <w:rFonts w:ascii="宋体"/>
      <w:kern w:val="0"/>
    </w:rPr>
  </w:style>
  <w:style w:type="paragraph" w:customStyle="1" w:styleId="55">
    <w:name w:val="！表格文字"/>
    <w:basedOn w:val="56"/>
    <w:autoRedefine/>
    <w:qFormat/>
    <w:uiPriority w:val="0"/>
    <w:pPr>
      <w:tabs>
        <w:tab w:val="left" w:pos="277"/>
        <w:tab w:val="left" w:pos="600"/>
        <w:tab w:val="left" w:pos="780"/>
        <w:tab w:val="left" w:pos="2517"/>
      </w:tabs>
    </w:pPr>
    <w:rPr>
      <w:bCs/>
    </w:rPr>
  </w:style>
  <w:style w:type="paragraph" w:customStyle="1" w:styleId="56">
    <w:name w:val="表格的文字"/>
    <w:basedOn w:val="57"/>
    <w:autoRedefine/>
    <w:qFormat/>
    <w:uiPriority w:val="99"/>
    <w:pPr>
      <w:tabs>
        <w:tab w:val="left" w:pos="277"/>
        <w:tab w:val="left" w:pos="600"/>
        <w:tab w:val="left" w:pos="780"/>
        <w:tab w:val="left" w:pos="2517"/>
      </w:tabs>
      <w:spacing w:line="240" w:lineRule="auto"/>
      <w:ind w:firstLine="0" w:firstLineChars="0"/>
    </w:pPr>
  </w:style>
  <w:style w:type="paragraph" w:customStyle="1" w:styleId="57">
    <w:name w:val="表格文字2"/>
    <w:basedOn w:val="1"/>
    <w:autoRedefine/>
    <w:qFormat/>
    <w:uiPriority w:val="99"/>
    <w:pPr>
      <w:widowControl w:val="0"/>
      <w:tabs>
        <w:tab w:val="left" w:pos="277"/>
        <w:tab w:val="left" w:pos="600"/>
        <w:tab w:val="left" w:pos="780"/>
        <w:tab w:val="left" w:pos="2517"/>
      </w:tabs>
      <w:adjustRightInd w:val="0"/>
      <w:snapToGrid w:val="0"/>
      <w:jc w:val="center"/>
      <w:textAlignment w:val="baseline"/>
    </w:pPr>
    <w:rPr>
      <w:sz w:val="21"/>
      <w:szCs w:val="21"/>
    </w:rPr>
  </w:style>
  <w:style w:type="paragraph" w:customStyle="1" w:styleId="58">
    <w:name w:val=" Char Char Char Char"/>
    <w:basedOn w:val="1"/>
    <w:qFormat/>
    <w:uiPriority w:val="0"/>
    <w:pPr>
      <w:adjustRightInd w:val="0"/>
      <w:snapToGrid w:val="0"/>
      <w:spacing w:line="360" w:lineRule="auto"/>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8.wmf"/><Relationship Id="rId13" Type="http://schemas.openxmlformats.org/officeDocument/2006/relationships/oleObject" Target="embeddings/oleObject2.bin"/><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wm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83</Pages>
  <Words>4999</Words>
  <Characters>5425</Characters>
  <Lines>0</Lines>
  <Paragraphs>0</Paragraphs>
  <TotalTime>2</TotalTime>
  <ScaleCrop>false</ScaleCrop>
  <LinksUpToDate>false</LinksUpToDate>
  <CharactersWithSpaces>5437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2023-11-07T06:04:00Z</dcterms:created>
  <dc:creator>Administrator</dc:creator>
  <cp:lastModifiedBy>球球</cp:lastModifiedBy>
  <cp:lastPrinted>2023-11-08T08:04:00Z</cp:lastPrinted>
  <dcterms:modified xsi:type="dcterms:W3CDTF">2025-01-23T08:04:33Z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5ADBCB01BDC94859A8C77AE91C103634_12</vt:lpwstr>
  </property>
  <property fmtid="{D5CDD505-2E9C-101B-9397-08002B2CF9AE}" pid="4" name="KSOTemplateDocerSaveRecord">
    <vt:lpwstr>eyJoZGlkIjoiYWZhMzA0MTE2MGQ3ODcwOTgyMWY3NzY0ZDhkYzQxODciLCJ1c2VySWQiOiIzODk2NzQyOTcifQ==</vt:lpwstr>
  </property>
</Properties>
</file>