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A9611">
      <w:pPr>
        <w:jc w:val="center"/>
        <w:rPr>
          <w:rFonts w:ascii="Times New Roman" w:hAnsi="Times New Roman" w:eastAsia="方正小标宋_GBK"/>
          <w:b/>
          <w:sz w:val="52"/>
          <w:szCs w:val="52"/>
        </w:rPr>
      </w:pPr>
      <w:bookmarkStart w:id="0" w:name="_GoBack"/>
      <w:bookmarkEnd w:id="0"/>
    </w:p>
    <w:p w14:paraId="54174BAC">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14:paraId="6FF5A1F1">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14:paraId="4D2ED694">
      <w:pPr>
        <w:jc w:val="center"/>
        <w:rPr>
          <w:rFonts w:ascii="Times New Roman" w:hAnsi="Times New Roman"/>
          <w:sz w:val="52"/>
        </w:rPr>
      </w:pPr>
    </w:p>
    <w:p w14:paraId="29580FCC">
      <w:pPr>
        <w:jc w:val="center"/>
        <w:rPr>
          <w:rFonts w:ascii="Times New Roman" w:hAnsi="Times New Roman"/>
          <w:sz w:val="52"/>
        </w:rPr>
      </w:pPr>
    </w:p>
    <w:p w14:paraId="35ED4987">
      <w:pPr>
        <w:jc w:val="center"/>
        <w:rPr>
          <w:rFonts w:ascii="Times New Roman" w:hAnsi="Times New Roman"/>
        </w:rPr>
      </w:pPr>
    </w:p>
    <w:p w14:paraId="775A17FD">
      <w:pPr>
        <w:rPr>
          <w:rFonts w:ascii="Times New Roman" w:hAnsi="Times New Roman"/>
        </w:rPr>
      </w:pPr>
    </w:p>
    <w:p w14:paraId="5712678B">
      <w:pPr>
        <w:rPr>
          <w:rFonts w:ascii="Times New Roman" w:hAnsi="Times New Roman"/>
        </w:rPr>
      </w:pPr>
    </w:p>
    <w:p w14:paraId="27FD68CB">
      <w:pPr>
        <w:rPr>
          <w:rFonts w:ascii="Times New Roman" w:hAnsi="Times New Roman"/>
        </w:rPr>
      </w:pPr>
    </w:p>
    <w:p w14:paraId="236B6160">
      <w:pPr>
        <w:rPr>
          <w:rFonts w:ascii="Times New Roman" w:hAnsi="Times New Roman"/>
        </w:rPr>
      </w:pPr>
    </w:p>
    <w:p w14:paraId="3C27EC41">
      <w:pPr>
        <w:rPr>
          <w:rFonts w:ascii="Times New Roman" w:hAnsi="Times New Roman"/>
        </w:rPr>
      </w:pPr>
    </w:p>
    <w:p w14:paraId="01D3B0D3">
      <w:pPr>
        <w:rPr>
          <w:rFonts w:ascii="Times New Roman" w:hAnsi="Times New Roman"/>
        </w:rPr>
      </w:pPr>
    </w:p>
    <w:p w14:paraId="1108D28D">
      <w:pPr>
        <w:rPr>
          <w:rFonts w:ascii="Times New Roman" w:hAnsi="Times New Roman"/>
        </w:rPr>
      </w:pPr>
    </w:p>
    <w:p w14:paraId="0D9765A3">
      <w:pPr>
        <w:pStyle w:val="3"/>
        <w:tabs>
          <w:tab w:val="left" w:pos="5940"/>
        </w:tabs>
        <w:snapToGrid w:val="0"/>
        <w:jc w:val="center"/>
        <w:rPr>
          <w:rFonts w:ascii="Times New Roman" w:hAnsi="Times New Roman"/>
          <w:b/>
          <w:sz w:val="32"/>
        </w:rPr>
      </w:pPr>
      <w:r>
        <w:rPr>
          <w:rFonts w:ascii="Times New Roman" w:hAnsi="宋体"/>
          <w:b/>
          <w:sz w:val="32"/>
        </w:rPr>
        <w:t>申请单位：</w:t>
      </w:r>
      <w:r>
        <w:rPr>
          <w:rFonts w:hint="eastAsia" w:ascii="Times New Roman" w:hAnsi="Times New Roman"/>
          <w:b/>
          <w:sz w:val="32"/>
          <w:u w:val="single"/>
        </w:rPr>
        <w:t>中远关西涂料(上海）有限公司</w:t>
      </w:r>
      <w:r>
        <w:rPr>
          <w:rFonts w:ascii="Times New Roman" w:hAnsi="宋体"/>
          <w:b/>
          <w:sz w:val="32"/>
        </w:rPr>
        <w:t>（公章）</w:t>
      </w:r>
    </w:p>
    <w:p w14:paraId="352831A5">
      <w:pPr>
        <w:tabs>
          <w:tab w:val="left" w:pos="5940"/>
        </w:tabs>
        <w:snapToGrid w:val="0"/>
        <w:jc w:val="center"/>
        <w:rPr>
          <w:rFonts w:ascii="Times New Roman" w:hAnsi="Times New Roman"/>
          <w:b/>
          <w:sz w:val="32"/>
        </w:rPr>
      </w:pPr>
    </w:p>
    <w:p w14:paraId="420F2EE7">
      <w:pPr>
        <w:tabs>
          <w:tab w:val="left" w:pos="5940"/>
        </w:tabs>
        <w:snapToGrid w:val="0"/>
        <w:jc w:val="center"/>
        <w:rPr>
          <w:rFonts w:ascii="Times New Roman" w:hAnsi="Times New Roman"/>
          <w:b/>
          <w:sz w:val="32"/>
        </w:rPr>
      </w:pPr>
    </w:p>
    <w:p w14:paraId="4B1D77BA">
      <w:pPr>
        <w:tabs>
          <w:tab w:val="left" w:pos="5940"/>
        </w:tabs>
        <w:snapToGrid w:val="0"/>
        <w:jc w:val="center"/>
        <w:rPr>
          <w:rFonts w:hint="default" w:ascii="Times New Roman" w:hAnsi="Times New Roman" w:eastAsia="宋体"/>
          <w:b/>
          <w:sz w:val="32"/>
          <w:lang w:val="en-US" w:eastAsia="zh-CN"/>
        </w:rPr>
      </w:pPr>
      <w:r>
        <w:rPr>
          <w:rFonts w:ascii="Times New Roman" w:hAnsi="宋体"/>
          <w:b/>
          <w:sz w:val="32"/>
        </w:rPr>
        <w:t>填报日期：</w:t>
      </w:r>
      <w:r>
        <w:rPr>
          <w:rFonts w:hint="eastAsia" w:ascii="Times New Roman" w:hAnsi="Times New Roman"/>
          <w:b/>
          <w:sz w:val="32"/>
          <w:u w:val="single"/>
        </w:rPr>
        <w:t xml:space="preserve"> </w:t>
      </w:r>
      <w:r>
        <w:rPr>
          <w:rFonts w:hint="eastAsia" w:ascii="Times New Roman" w:hAnsi="Times New Roman"/>
          <w:b/>
          <w:sz w:val="32"/>
          <w:u w:val="single"/>
          <w:lang w:val="en-US" w:eastAsia="zh-CN"/>
        </w:rPr>
        <w:t xml:space="preserve"> 2024年11月11日</w:t>
      </w:r>
    </w:p>
    <w:p w14:paraId="08F8368C">
      <w:pPr>
        <w:tabs>
          <w:tab w:val="left" w:pos="5940"/>
        </w:tabs>
        <w:snapToGrid w:val="0"/>
        <w:spacing w:line="400" w:lineRule="exact"/>
        <w:rPr>
          <w:rFonts w:ascii="Times New Roman" w:hAnsi="Times New Roman"/>
          <w:b/>
          <w:sz w:val="24"/>
        </w:rPr>
      </w:pPr>
    </w:p>
    <w:p w14:paraId="51FD3427">
      <w:pPr>
        <w:tabs>
          <w:tab w:val="left" w:pos="5940"/>
        </w:tabs>
        <w:snapToGrid w:val="0"/>
        <w:spacing w:line="400" w:lineRule="exact"/>
        <w:rPr>
          <w:rFonts w:ascii="Times New Roman" w:hAnsi="Times New Roman" w:eastAsia="楷体_GB2312"/>
          <w:spacing w:val="20"/>
          <w:sz w:val="30"/>
        </w:rPr>
      </w:pPr>
    </w:p>
    <w:p w14:paraId="0D220C15">
      <w:pPr>
        <w:tabs>
          <w:tab w:val="left" w:pos="5940"/>
        </w:tabs>
        <w:snapToGrid w:val="0"/>
        <w:spacing w:line="400" w:lineRule="exact"/>
        <w:rPr>
          <w:rFonts w:ascii="Times New Roman" w:hAnsi="Times New Roman"/>
          <w:b/>
          <w:sz w:val="24"/>
        </w:rPr>
      </w:pPr>
    </w:p>
    <w:p w14:paraId="03250837">
      <w:pPr>
        <w:tabs>
          <w:tab w:val="left" w:pos="5940"/>
        </w:tabs>
        <w:snapToGrid w:val="0"/>
        <w:spacing w:line="400" w:lineRule="exact"/>
        <w:rPr>
          <w:rFonts w:ascii="Times New Roman" w:hAnsi="Times New Roman"/>
          <w:b/>
          <w:sz w:val="24"/>
        </w:rPr>
      </w:pPr>
    </w:p>
    <w:p w14:paraId="1FA96788">
      <w:pPr>
        <w:tabs>
          <w:tab w:val="left" w:pos="5940"/>
        </w:tabs>
        <w:snapToGrid w:val="0"/>
        <w:spacing w:line="400" w:lineRule="exact"/>
        <w:rPr>
          <w:rFonts w:ascii="Times New Roman" w:hAnsi="Times New Roman"/>
          <w:b/>
          <w:sz w:val="24"/>
        </w:rPr>
      </w:pPr>
    </w:p>
    <w:p w14:paraId="036F0F21">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425" w:num="1"/>
          <w:docGrid w:type="lines" w:linePitch="286" w:charSpace="0"/>
        </w:sectPr>
      </w:pPr>
      <w:r>
        <w:rPr>
          <w:rFonts w:ascii="Times New Roman" w:hAnsi="宋体"/>
          <w:b/>
          <w:sz w:val="24"/>
        </w:rPr>
        <w:t>江苏省环境保护厅制</w:t>
      </w:r>
    </w:p>
    <w:p w14:paraId="311AE78C">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14:paraId="1E140BB3">
      <w:pPr>
        <w:ind w:right="-758" w:rightChars="-361"/>
        <w:jc w:val="center"/>
        <w:rPr>
          <w:rFonts w:ascii="Times New Roman" w:hAnsi="Times New Roman" w:eastAsia="方正小标宋_GBK"/>
          <w:b/>
          <w:sz w:val="44"/>
          <w:szCs w:val="44"/>
        </w:rPr>
      </w:pPr>
    </w:p>
    <w:p w14:paraId="7338003F">
      <w:pPr>
        <w:spacing w:line="360" w:lineRule="auto"/>
        <w:ind w:left="-210" w:leftChars="-100" w:right="-210" w:rightChars="-100" w:firstLine="640" w:firstLineChars="200"/>
        <w:rPr>
          <w:rFonts w:ascii="Times New Roman" w:hAnsi="Times New Roman" w:eastAsia="方正仿宋_GBK"/>
          <w:sz w:val="32"/>
          <w:szCs w:val="32"/>
        </w:rPr>
      </w:pPr>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p w14:paraId="2AFE2067">
      <w:pPr>
        <w:ind w:left="-210" w:leftChars="-100" w:right="-210" w:rightChars="-100" w:firstLine="1264"/>
        <w:rPr>
          <w:rFonts w:ascii="Times New Roman" w:hAnsi="Times New Roman" w:eastAsia="方正仿宋_GBK"/>
          <w:sz w:val="36"/>
          <w:szCs w:val="36"/>
        </w:rPr>
      </w:pPr>
    </w:p>
    <w:p w14:paraId="193CFA33">
      <w:pPr>
        <w:ind w:left="-210" w:leftChars="-100" w:right="-210" w:rightChars="-100" w:firstLine="1264"/>
        <w:rPr>
          <w:rFonts w:ascii="Times New Roman" w:hAnsi="Times New Roman" w:eastAsia="方正仿宋_GBK"/>
          <w:sz w:val="36"/>
          <w:szCs w:val="36"/>
        </w:rPr>
      </w:pPr>
    </w:p>
    <w:p w14:paraId="57ACC7C5">
      <w:pPr>
        <w:ind w:left="-210" w:leftChars="-100" w:right="-210" w:rightChars="-100" w:firstLine="1264"/>
        <w:rPr>
          <w:rFonts w:ascii="Times New Roman" w:hAnsi="Times New Roman" w:eastAsia="方正仿宋_GBK"/>
          <w:sz w:val="36"/>
          <w:szCs w:val="36"/>
        </w:rPr>
      </w:pPr>
    </w:p>
    <w:p w14:paraId="424EBC62">
      <w:pPr>
        <w:ind w:left="-210" w:leftChars="-100" w:right="-210" w:rightChars="-100" w:firstLine="1264"/>
        <w:rPr>
          <w:rFonts w:ascii="Times New Roman" w:hAnsi="Times New Roman" w:eastAsia="方正仿宋_GBK"/>
          <w:sz w:val="36"/>
          <w:szCs w:val="36"/>
        </w:rPr>
      </w:pPr>
    </w:p>
    <w:p w14:paraId="441FF0BE">
      <w:pPr>
        <w:ind w:left="-210" w:leftChars="-100" w:right="-210" w:rightChars="-100" w:firstLine="1264"/>
        <w:jc w:val="center"/>
        <w:rPr>
          <w:rFonts w:ascii="Times New Roman" w:hAnsi="Times New Roman" w:eastAsia="方正仿宋_GBK"/>
          <w:sz w:val="32"/>
          <w:szCs w:val="32"/>
        </w:rPr>
      </w:pPr>
      <w:r>
        <w:rPr>
          <w:rFonts w:ascii="Times New Roman" w:hAnsi="方正仿宋_GBK" w:eastAsia="方正仿宋_GBK"/>
          <w:sz w:val="32"/>
          <w:szCs w:val="32"/>
        </w:rPr>
        <w:t>法人代表签字：</w:t>
      </w:r>
    </w:p>
    <w:p w14:paraId="6B597AB2">
      <w:pPr>
        <w:ind w:left="-210" w:leftChars="-100" w:right="-210" w:rightChars="-100" w:firstLine="1264"/>
        <w:jc w:val="center"/>
        <w:rPr>
          <w:rFonts w:ascii="Times New Roman" w:hAnsi="Times New Roman"/>
          <w:sz w:val="36"/>
          <w:szCs w:val="36"/>
        </w:rPr>
      </w:pPr>
      <w:r>
        <w:rPr>
          <w:rFonts w:hint="eastAsia" w:ascii="Times New Roman" w:hAnsi="方正仿宋_GBK" w:eastAsia="方正仿宋_GBK"/>
          <w:sz w:val="32"/>
          <w:szCs w:val="32"/>
          <w:lang w:val="en-US" w:eastAsia="zh-CN"/>
        </w:rPr>
        <w:t xml:space="preserve">                </w:t>
      </w:r>
      <w:r>
        <w:rPr>
          <w:rFonts w:ascii="Times New Roman" w:hAnsi="方正仿宋_GBK" w:eastAsia="方正仿宋_GBK"/>
          <w:sz w:val="32"/>
          <w:szCs w:val="32"/>
        </w:rPr>
        <w:t>年</w:t>
      </w:r>
      <w:r>
        <w:rPr>
          <w:rFonts w:hint="eastAsia" w:ascii="Times New Roman" w:hAnsi="方正仿宋_GBK" w:eastAsia="方正仿宋_GBK"/>
          <w:sz w:val="32"/>
          <w:szCs w:val="32"/>
          <w:lang w:val="en-US" w:eastAsia="zh-CN"/>
        </w:rPr>
        <w:t xml:space="preserve">    </w:t>
      </w:r>
      <w:r>
        <w:rPr>
          <w:rFonts w:ascii="Times New Roman" w:hAnsi="方正仿宋_GBK" w:eastAsia="方正仿宋_GBK"/>
          <w:sz w:val="32"/>
          <w:szCs w:val="32"/>
        </w:rPr>
        <w:t>月</w:t>
      </w:r>
      <w:r>
        <w:rPr>
          <w:rFonts w:hint="eastAsia" w:ascii="Times New Roman" w:hAnsi="方正仿宋_GBK" w:eastAsia="方正仿宋_GBK"/>
          <w:sz w:val="32"/>
          <w:szCs w:val="32"/>
          <w:lang w:val="en-US" w:eastAsia="zh-CN"/>
        </w:rPr>
        <w:t xml:space="preserve">    </w:t>
      </w:r>
      <w:r>
        <w:rPr>
          <w:rFonts w:ascii="Times New Roman" w:hAnsi="方正仿宋_GBK" w:eastAsia="方正仿宋_GBK"/>
          <w:sz w:val="32"/>
          <w:szCs w:val="32"/>
        </w:rPr>
        <w:t>日</w:t>
      </w:r>
    </w:p>
    <w:p w14:paraId="07847554">
      <w:pPr>
        <w:ind w:left="-210" w:leftChars="-100" w:right="-210" w:rightChars="-100" w:firstLine="1264"/>
        <w:jc w:val="center"/>
        <w:rPr>
          <w:rFonts w:ascii="Times New Roman" w:hAnsi="Times New Roman"/>
          <w:sz w:val="36"/>
          <w:szCs w:val="36"/>
        </w:rPr>
      </w:pPr>
    </w:p>
    <w:p w14:paraId="3CC69E6B">
      <w:pPr>
        <w:ind w:left="-708" w:leftChars="-337" w:right="-758" w:rightChars="-361" w:firstLine="1264"/>
        <w:rPr>
          <w:rFonts w:ascii="Times New Roman" w:hAnsi="Times New Roman"/>
          <w:sz w:val="36"/>
          <w:szCs w:val="36"/>
        </w:rPr>
      </w:pPr>
    </w:p>
    <w:p w14:paraId="0FCAA336">
      <w:pPr>
        <w:ind w:left="-708" w:leftChars="-337" w:right="-758" w:rightChars="-361" w:firstLine="1264"/>
        <w:rPr>
          <w:rFonts w:ascii="Times New Roman" w:hAnsi="Times New Roman"/>
          <w:sz w:val="36"/>
          <w:szCs w:val="36"/>
        </w:rPr>
      </w:pPr>
    </w:p>
    <w:p w14:paraId="1EA34399">
      <w:pPr>
        <w:ind w:left="-708" w:leftChars="-337" w:right="-758" w:rightChars="-361" w:firstLine="1264"/>
        <w:rPr>
          <w:rFonts w:ascii="Times New Roman" w:hAnsi="Times New Roman"/>
          <w:sz w:val="36"/>
          <w:szCs w:val="36"/>
        </w:rPr>
      </w:pPr>
    </w:p>
    <w:p w14:paraId="5DCDD0BA">
      <w:pPr>
        <w:ind w:left="-708" w:leftChars="-337" w:right="-758" w:rightChars="-361" w:firstLine="1264"/>
        <w:rPr>
          <w:rFonts w:ascii="Times New Roman" w:hAnsi="Times New Roman"/>
          <w:sz w:val="28"/>
        </w:rPr>
      </w:pPr>
    </w:p>
    <w:p w14:paraId="03E96F29">
      <w:pPr>
        <w:ind w:right="-758" w:rightChars="-361"/>
        <w:rPr>
          <w:rFonts w:ascii="Times New Roman" w:hAnsi="Times New Roman"/>
          <w:sz w:val="28"/>
        </w:rPr>
      </w:pPr>
    </w:p>
    <w:p w14:paraId="32D511D5">
      <w:pPr>
        <w:ind w:left="-708" w:leftChars="-337" w:right="-758" w:rightChars="-361" w:firstLine="1264"/>
        <w:rPr>
          <w:rFonts w:ascii="Times New Roman" w:hAnsi="Times New Roman"/>
          <w:sz w:val="28"/>
        </w:rPr>
      </w:pPr>
    </w:p>
    <w:p w14:paraId="425401BE">
      <w:pPr>
        <w:ind w:left="-708" w:leftChars="-337" w:right="-758" w:rightChars="-361" w:firstLine="1264"/>
        <w:rPr>
          <w:rFonts w:ascii="Times New Roman" w:hAnsi="Times New Roman"/>
          <w:sz w:val="28"/>
        </w:rPr>
      </w:pPr>
    </w:p>
    <w:p w14:paraId="0762355C">
      <w:pPr>
        <w:ind w:left="-708" w:leftChars="-337" w:right="-758" w:rightChars="-361" w:firstLine="1264"/>
        <w:rPr>
          <w:rFonts w:ascii="Times New Roman" w:hAnsi="Times New Roman"/>
          <w:sz w:val="28"/>
        </w:rPr>
      </w:pPr>
    </w:p>
    <w:p w14:paraId="54D2692D">
      <w:pPr>
        <w:rPr>
          <w:rFonts w:ascii="Times New Roman" w:hAnsi="Times New Roman" w:eastAsia="黑体"/>
          <w:sz w:val="28"/>
          <w:szCs w:val="28"/>
          <w:highlight w:val="none"/>
        </w:rPr>
      </w:pPr>
      <w:r>
        <w:rPr>
          <w:rFonts w:ascii="Times New Roman" w:eastAsia="黑体"/>
          <w:sz w:val="28"/>
          <w:szCs w:val="28"/>
          <w:highlight w:val="none"/>
        </w:rPr>
        <w:t>第一部分：拟转移废物基本情况</w:t>
      </w:r>
    </w:p>
    <w:tbl>
      <w:tblPr>
        <w:tblStyle w:val="9"/>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52"/>
        <w:gridCol w:w="1350"/>
        <w:gridCol w:w="2935"/>
        <w:gridCol w:w="1280"/>
      </w:tblGrid>
      <w:tr w14:paraId="30D7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tcPr>
          <w:p w14:paraId="3C7B3C6C">
            <w:pPr>
              <w:rPr>
                <w:rFonts w:ascii="Times New Roman" w:hAnsi="Times New Roman" w:eastAsia="黑体"/>
                <w:sz w:val="24"/>
                <w:szCs w:val="24"/>
                <w:highlight w:val="none"/>
              </w:rPr>
            </w:pPr>
            <w:r>
              <w:rPr>
                <w:rFonts w:ascii="Times New Roman" w:eastAsia="黑体"/>
                <w:sz w:val="24"/>
                <w:szCs w:val="24"/>
                <w:highlight w:val="none"/>
              </w:rPr>
              <w:t>表</w:t>
            </w:r>
            <w:r>
              <w:rPr>
                <w:rFonts w:ascii="Times New Roman" w:hAnsi="Times New Roman" w:eastAsia="黑体"/>
                <w:sz w:val="24"/>
                <w:szCs w:val="24"/>
                <w:highlight w:val="none"/>
              </w:rPr>
              <w:t xml:space="preserve">1 </w:t>
            </w:r>
            <w:r>
              <w:rPr>
                <w:rFonts w:ascii="Times New Roman" w:eastAsia="黑体"/>
                <w:sz w:val="24"/>
                <w:szCs w:val="24"/>
                <w:highlight w:val="none"/>
              </w:rPr>
              <w:t>废物产生情况</w:t>
            </w:r>
          </w:p>
        </w:tc>
      </w:tr>
      <w:tr w14:paraId="4C0F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2" w:hRule="atLeast"/>
        </w:trPr>
        <w:tc>
          <w:tcPr>
            <w:tcW w:w="9135" w:type="dxa"/>
            <w:gridSpan w:val="5"/>
          </w:tcPr>
          <w:p w14:paraId="5C9895AB">
            <w:pPr>
              <w:spacing w:line="360" w:lineRule="auto"/>
              <w:jc w:val="left"/>
            </w:pPr>
            <w:r>
              <w:t>废物产生企业概况（企业投产时间、主要经营范围及规模）</w:t>
            </w:r>
          </w:p>
          <w:p w14:paraId="3B3E4D49">
            <w:pPr>
              <w:spacing w:line="300" w:lineRule="exact"/>
              <w:rPr>
                <w:rFonts w:ascii="Times New Roman"/>
                <w:szCs w:val="21"/>
                <w:highlight w:val="yellow"/>
              </w:rPr>
            </w:pPr>
            <w:r>
              <w:rPr>
                <w:rFonts w:ascii="宋体" w:hAnsi="宋体" w:cs="宋体"/>
              </w:rPr>
              <w:t>中远关西涂料（上海）有限公司，成立于2012年5月，2015年8月开始试产，2016年6月通过环保竣工验收。厂址位于上海市金山区华创路621号，系集装箱涂料、工业重防腐涂料和船舶涂料生产并提供相关产品和服务的中外合资生产企业。具有年产涂料7．5吨的生产能力。中远关西涂料（上海）有限公司生产产生的主要危废为HW12和HW49类。拟向江苏省转移的危废为HW49的沾有涂料生产原料和成品的200升包装铁桶。</w:t>
            </w:r>
          </w:p>
        </w:tc>
      </w:tr>
      <w:tr w14:paraId="6C58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vAlign w:val="center"/>
          </w:tcPr>
          <w:p w14:paraId="5B077637">
            <w:pPr>
              <w:spacing w:line="300" w:lineRule="exact"/>
              <w:rPr>
                <w:rFonts w:ascii="Times New Roman" w:hAnsi="Times New Roman"/>
                <w:szCs w:val="21"/>
                <w:highlight w:val="none"/>
              </w:rPr>
            </w:pPr>
            <w:r>
              <w:rPr>
                <w:rFonts w:ascii="Times New Roman"/>
                <w:szCs w:val="21"/>
                <w:highlight w:val="none"/>
              </w:rPr>
              <w:t>产品及产废情况</w:t>
            </w:r>
          </w:p>
        </w:tc>
      </w:tr>
      <w:tr w14:paraId="3C34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vAlign w:val="center"/>
          </w:tcPr>
          <w:p w14:paraId="02D53CB6">
            <w:pPr>
              <w:spacing w:line="300" w:lineRule="exact"/>
              <w:jc w:val="center"/>
              <w:rPr>
                <w:rFonts w:ascii="Times New Roman" w:hAnsi="Times New Roman"/>
                <w:szCs w:val="21"/>
                <w:highlight w:val="none"/>
              </w:rPr>
            </w:pPr>
            <w:r>
              <w:rPr>
                <w:rFonts w:ascii="Times New Roman"/>
                <w:szCs w:val="21"/>
                <w:highlight w:val="none"/>
              </w:rPr>
              <w:t>产品情况</w:t>
            </w:r>
          </w:p>
        </w:tc>
        <w:tc>
          <w:tcPr>
            <w:tcW w:w="4215" w:type="dxa"/>
            <w:gridSpan w:val="2"/>
            <w:vAlign w:val="center"/>
          </w:tcPr>
          <w:p w14:paraId="011A76AE">
            <w:pPr>
              <w:spacing w:line="300" w:lineRule="exact"/>
              <w:jc w:val="center"/>
              <w:rPr>
                <w:rFonts w:ascii="Times New Roman" w:hAnsi="Times New Roman"/>
                <w:szCs w:val="21"/>
                <w:highlight w:val="none"/>
              </w:rPr>
            </w:pPr>
            <w:r>
              <w:rPr>
                <w:rFonts w:ascii="Times New Roman"/>
                <w:szCs w:val="21"/>
                <w:highlight w:val="none"/>
              </w:rPr>
              <w:t>产生危险废物情况</w:t>
            </w:r>
          </w:p>
        </w:tc>
      </w:tr>
      <w:tr w14:paraId="6671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vAlign w:val="center"/>
          </w:tcPr>
          <w:p w14:paraId="5B0A999F">
            <w:pPr>
              <w:spacing w:line="300" w:lineRule="exact"/>
              <w:jc w:val="center"/>
              <w:rPr>
                <w:rFonts w:ascii="Times New Roman" w:hAnsi="Times New Roman"/>
                <w:szCs w:val="21"/>
                <w:highlight w:val="none"/>
              </w:rPr>
            </w:pPr>
            <w:r>
              <w:rPr>
                <w:rFonts w:ascii="Times New Roman"/>
                <w:szCs w:val="21"/>
                <w:highlight w:val="none"/>
              </w:rPr>
              <w:t>产品名称</w:t>
            </w:r>
          </w:p>
        </w:tc>
        <w:tc>
          <w:tcPr>
            <w:tcW w:w="2052" w:type="dxa"/>
            <w:vAlign w:val="center"/>
          </w:tcPr>
          <w:p w14:paraId="1A3B1A0F">
            <w:pPr>
              <w:spacing w:line="300" w:lineRule="exact"/>
              <w:jc w:val="center"/>
              <w:rPr>
                <w:rFonts w:ascii="Times New Roman" w:hAnsi="Times New Roman"/>
                <w:szCs w:val="21"/>
                <w:highlight w:val="none"/>
              </w:rPr>
            </w:pPr>
            <w:r>
              <w:rPr>
                <w:rFonts w:ascii="Times New Roman"/>
                <w:szCs w:val="21"/>
                <w:highlight w:val="none"/>
              </w:rPr>
              <w:t>主要成分化学名</w:t>
            </w:r>
          </w:p>
        </w:tc>
        <w:tc>
          <w:tcPr>
            <w:tcW w:w="1350" w:type="dxa"/>
            <w:vAlign w:val="center"/>
          </w:tcPr>
          <w:p w14:paraId="50B0FBEA">
            <w:pPr>
              <w:spacing w:line="300" w:lineRule="exact"/>
              <w:jc w:val="center"/>
              <w:rPr>
                <w:rFonts w:ascii="Times New Roman" w:hAnsi="Times New Roman"/>
                <w:szCs w:val="21"/>
                <w:highlight w:val="none"/>
              </w:rPr>
            </w:pPr>
            <w:r>
              <w:rPr>
                <w:rFonts w:ascii="Times New Roman"/>
                <w:szCs w:val="21"/>
                <w:highlight w:val="none"/>
              </w:rPr>
              <w:t>年产量</w:t>
            </w:r>
          </w:p>
        </w:tc>
        <w:tc>
          <w:tcPr>
            <w:tcW w:w="2935" w:type="dxa"/>
            <w:vAlign w:val="center"/>
          </w:tcPr>
          <w:p w14:paraId="158434CF">
            <w:pPr>
              <w:spacing w:line="300" w:lineRule="exact"/>
              <w:jc w:val="center"/>
              <w:rPr>
                <w:rFonts w:ascii="Times New Roman" w:hAnsi="Times New Roman"/>
                <w:szCs w:val="21"/>
                <w:highlight w:val="none"/>
              </w:rPr>
            </w:pPr>
            <w:r>
              <w:rPr>
                <w:rFonts w:ascii="Times New Roman"/>
                <w:szCs w:val="21"/>
                <w:highlight w:val="none"/>
              </w:rPr>
              <w:t>废物名称</w:t>
            </w:r>
          </w:p>
        </w:tc>
        <w:tc>
          <w:tcPr>
            <w:tcW w:w="1280" w:type="dxa"/>
            <w:vAlign w:val="center"/>
          </w:tcPr>
          <w:p w14:paraId="1B9CF1FE">
            <w:pPr>
              <w:spacing w:line="300" w:lineRule="exact"/>
              <w:jc w:val="center"/>
              <w:rPr>
                <w:rFonts w:ascii="Times New Roman" w:hAnsi="Times New Roman"/>
                <w:szCs w:val="21"/>
                <w:highlight w:val="none"/>
              </w:rPr>
            </w:pPr>
            <w:r>
              <w:rPr>
                <w:rFonts w:ascii="Times New Roman"/>
                <w:szCs w:val="21"/>
                <w:highlight w:val="none"/>
              </w:rPr>
              <w:t>年产生量</w:t>
            </w:r>
          </w:p>
        </w:tc>
      </w:tr>
      <w:tr w14:paraId="36C9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Align w:val="center"/>
          </w:tcPr>
          <w:p w14:paraId="09B0DF51">
            <w:pPr>
              <w:ind w:left="7" w:leftChars="0"/>
              <w:jc w:val="center"/>
              <w:rPr>
                <w:rFonts w:ascii="Times New Roman" w:hAnsi="Calibri" w:eastAsia="宋体" w:cs="Times New Roman"/>
                <w:kern w:val="2"/>
                <w:sz w:val="21"/>
                <w:szCs w:val="21"/>
                <w:lang w:val="en-US" w:eastAsia="zh-CN" w:bidi="ar-SA"/>
              </w:rPr>
            </w:pPr>
            <w:r>
              <w:rPr>
                <w:rFonts w:ascii="Times New Roman"/>
                <w:szCs w:val="21"/>
              </w:rPr>
              <w:t>涂料</w:t>
            </w:r>
          </w:p>
          <w:p w14:paraId="725CEB7E">
            <w:pPr>
              <w:spacing w:line="300" w:lineRule="exact"/>
              <w:jc w:val="center"/>
              <w:rPr>
                <w:rFonts w:ascii="Times New Roman" w:hAnsi="Times New Roman"/>
                <w:szCs w:val="24"/>
                <w:highlight w:val="yellow"/>
              </w:rPr>
            </w:pPr>
          </w:p>
        </w:tc>
        <w:tc>
          <w:tcPr>
            <w:tcW w:w="2052" w:type="dxa"/>
            <w:vAlign w:val="center"/>
          </w:tcPr>
          <w:p w14:paraId="47545F2A">
            <w:pPr>
              <w:ind w:left="14" w:leftChars="0" w:right="26" w:rightChars="0" w:firstLine="22" w:firstLineChars="0"/>
              <w:rPr>
                <w:rFonts w:ascii="Times New Roman" w:hAnsi="Calibri" w:eastAsia="宋体" w:cs="Times New Roman"/>
                <w:kern w:val="2"/>
                <w:sz w:val="21"/>
                <w:szCs w:val="21"/>
                <w:lang w:val="en-US" w:eastAsia="zh-CN" w:bidi="ar-SA"/>
              </w:rPr>
            </w:pPr>
            <w:r>
              <w:rPr>
                <w:rFonts w:ascii="Times New Roman"/>
                <w:szCs w:val="21"/>
              </w:rPr>
              <w:t>甲苯、二甲苯、环氧树脂、丙烯酸树脂、甲基异丁基酮、溶剂、钛白粉、碳酸钙等</w:t>
            </w:r>
          </w:p>
          <w:p w14:paraId="73C91A30">
            <w:pPr>
              <w:spacing w:line="300" w:lineRule="exact"/>
              <w:jc w:val="center"/>
              <w:rPr>
                <w:rFonts w:ascii="Times New Roman" w:hAnsi="Times New Roman"/>
                <w:szCs w:val="24"/>
                <w:highlight w:val="yellow"/>
              </w:rPr>
            </w:pPr>
          </w:p>
        </w:tc>
        <w:tc>
          <w:tcPr>
            <w:tcW w:w="1350" w:type="dxa"/>
            <w:vAlign w:val="center"/>
          </w:tcPr>
          <w:p w14:paraId="4D2CAB1F">
            <w:pPr>
              <w:ind w:right="12" w:rightChars="0"/>
              <w:jc w:val="center"/>
              <w:rPr>
                <w:rFonts w:ascii="Times New Roman" w:hAnsi="Calibri" w:eastAsia="宋体" w:cs="Times New Roman"/>
                <w:kern w:val="2"/>
                <w:sz w:val="21"/>
                <w:szCs w:val="21"/>
                <w:lang w:val="en-US" w:eastAsia="zh-CN" w:bidi="ar-SA"/>
              </w:rPr>
            </w:pPr>
            <w:r>
              <w:rPr>
                <w:rFonts w:ascii="Times New Roman"/>
                <w:szCs w:val="21"/>
              </w:rPr>
              <w:t>7．5万吨</w:t>
            </w:r>
          </w:p>
          <w:p w14:paraId="6CABDC46">
            <w:pPr>
              <w:spacing w:line="300" w:lineRule="exact"/>
              <w:jc w:val="center"/>
              <w:rPr>
                <w:rFonts w:ascii="Times New Roman" w:hAnsi="Times New Roman"/>
                <w:szCs w:val="24"/>
                <w:highlight w:val="yellow"/>
              </w:rPr>
            </w:pPr>
          </w:p>
        </w:tc>
        <w:tc>
          <w:tcPr>
            <w:tcW w:w="2935" w:type="dxa"/>
            <w:vAlign w:val="top"/>
          </w:tcPr>
          <w:p w14:paraId="7DFD8752">
            <w:pPr>
              <w:jc w:val="center"/>
              <w:rPr>
                <w:rFonts w:ascii="Times New Roman" w:hAnsi="Calibri" w:eastAsia="宋体" w:cs="Times New Roman"/>
                <w:kern w:val="2"/>
                <w:sz w:val="21"/>
                <w:szCs w:val="21"/>
                <w:lang w:val="en-US" w:eastAsia="zh-CN" w:bidi="ar-SA"/>
              </w:rPr>
            </w:pPr>
            <w:r>
              <w:rPr>
                <w:rFonts w:ascii="Times New Roman"/>
                <w:szCs w:val="21"/>
              </w:rPr>
              <w:t>200L树脂类及溶剂类废</w:t>
            </w:r>
            <w:r>
              <w:rPr>
                <w:rFonts w:hint="eastAsia" w:ascii="Times New Roman"/>
                <w:szCs w:val="21"/>
                <w:lang w:val="en-US" w:eastAsia="zh-CN"/>
              </w:rPr>
              <w:t>铁</w:t>
            </w:r>
            <w:r>
              <w:rPr>
                <w:rFonts w:ascii="Times New Roman"/>
                <w:szCs w:val="21"/>
              </w:rPr>
              <w:t>桶</w:t>
            </w:r>
          </w:p>
        </w:tc>
        <w:tc>
          <w:tcPr>
            <w:tcW w:w="1280" w:type="dxa"/>
            <w:vAlign w:val="top"/>
          </w:tcPr>
          <w:p w14:paraId="3CDF201E">
            <w:pPr>
              <w:ind w:right="14" w:rightChars="0"/>
              <w:jc w:val="center"/>
              <w:rPr>
                <w:rFonts w:ascii="Times New Roman" w:hAnsi="Calibri" w:eastAsia="宋体" w:cs="Times New Roman"/>
                <w:kern w:val="2"/>
                <w:sz w:val="21"/>
                <w:szCs w:val="21"/>
                <w:lang w:val="en-US" w:eastAsia="zh-CN" w:bidi="ar-SA"/>
              </w:rPr>
            </w:pPr>
            <w:r>
              <w:rPr>
                <w:rFonts w:hint="eastAsia" w:ascii="Times New Roman"/>
                <w:szCs w:val="21"/>
                <w:lang w:val="en-US" w:eastAsia="zh-CN"/>
              </w:rPr>
              <w:t>2</w:t>
            </w:r>
            <w:r>
              <w:rPr>
                <w:rFonts w:ascii="Times New Roman"/>
                <w:szCs w:val="21"/>
              </w:rPr>
              <w:t>万只</w:t>
            </w:r>
          </w:p>
        </w:tc>
      </w:tr>
      <w:tr w14:paraId="7A03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19AE7FBD">
            <w:pPr>
              <w:spacing w:line="300" w:lineRule="exact"/>
              <w:jc w:val="center"/>
              <w:rPr>
                <w:rFonts w:ascii="Times New Roman" w:hAnsi="Times New Roman"/>
                <w:szCs w:val="24"/>
                <w:highlight w:val="yellow"/>
              </w:rPr>
            </w:pPr>
          </w:p>
        </w:tc>
        <w:tc>
          <w:tcPr>
            <w:tcW w:w="2052" w:type="dxa"/>
            <w:vMerge w:val="restart"/>
            <w:vAlign w:val="center"/>
          </w:tcPr>
          <w:p w14:paraId="3601720E">
            <w:pPr>
              <w:spacing w:line="300" w:lineRule="exact"/>
              <w:jc w:val="center"/>
              <w:rPr>
                <w:rFonts w:ascii="Times New Roman" w:hAnsi="Times New Roman"/>
                <w:szCs w:val="24"/>
                <w:highlight w:val="yellow"/>
              </w:rPr>
            </w:pPr>
          </w:p>
        </w:tc>
        <w:tc>
          <w:tcPr>
            <w:tcW w:w="1350" w:type="dxa"/>
            <w:vMerge w:val="restart"/>
            <w:vAlign w:val="center"/>
          </w:tcPr>
          <w:p w14:paraId="32A65A66">
            <w:pPr>
              <w:spacing w:line="300" w:lineRule="exact"/>
              <w:jc w:val="center"/>
              <w:rPr>
                <w:rFonts w:ascii="Times New Roman" w:hAnsi="Times New Roman"/>
                <w:szCs w:val="24"/>
                <w:highlight w:val="yellow"/>
              </w:rPr>
            </w:pPr>
          </w:p>
        </w:tc>
        <w:tc>
          <w:tcPr>
            <w:tcW w:w="2935" w:type="dxa"/>
            <w:vAlign w:val="center"/>
          </w:tcPr>
          <w:p w14:paraId="2AC3C517">
            <w:pPr>
              <w:spacing w:line="300" w:lineRule="exact"/>
              <w:jc w:val="center"/>
              <w:rPr>
                <w:rFonts w:ascii="Times New Roman" w:hAnsi="Times New Roman"/>
                <w:szCs w:val="24"/>
                <w:highlight w:val="yellow"/>
              </w:rPr>
            </w:pPr>
          </w:p>
        </w:tc>
        <w:tc>
          <w:tcPr>
            <w:tcW w:w="1280" w:type="dxa"/>
          </w:tcPr>
          <w:p w14:paraId="408162E3">
            <w:pPr>
              <w:spacing w:line="300" w:lineRule="exact"/>
              <w:jc w:val="center"/>
              <w:rPr>
                <w:rFonts w:ascii="Times New Roman" w:hAnsi="Times New Roman"/>
                <w:szCs w:val="24"/>
                <w:highlight w:val="yellow"/>
              </w:rPr>
            </w:pPr>
          </w:p>
        </w:tc>
      </w:tr>
      <w:tr w14:paraId="5764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7DF91941">
            <w:pPr>
              <w:spacing w:line="300" w:lineRule="exact"/>
              <w:jc w:val="center"/>
              <w:rPr>
                <w:rFonts w:ascii="Times New Roman" w:hAnsi="Times New Roman"/>
                <w:szCs w:val="24"/>
                <w:highlight w:val="yellow"/>
              </w:rPr>
            </w:pPr>
          </w:p>
        </w:tc>
        <w:tc>
          <w:tcPr>
            <w:tcW w:w="2052" w:type="dxa"/>
            <w:vMerge w:val="continue"/>
            <w:vAlign w:val="center"/>
          </w:tcPr>
          <w:p w14:paraId="4C93A1AA">
            <w:pPr>
              <w:spacing w:line="300" w:lineRule="exact"/>
              <w:jc w:val="center"/>
              <w:rPr>
                <w:rFonts w:ascii="Times New Roman" w:hAnsi="Times New Roman"/>
                <w:szCs w:val="24"/>
                <w:highlight w:val="yellow"/>
              </w:rPr>
            </w:pPr>
          </w:p>
        </w:tc>
        <w:tc>
          <w:tcPr>
            <w:tcW w:w="1350" w:type="dxa"/>
            <w:vMerge w:val="continue"/>
            <w:vAlign w:val="center"/>
          </w:tcPr>
          <w:p w14:paraId="7409B315">
            <w:pPr>
              <w:spacing w:line="300" w:lineRule="exact"/>
              <w:jc w:val="center"/>
              <w:rPr>
                <w:rFonts w:ascii="Times New Roman" w:hAnsi="Times New Roman"/>
                <w:szCs w:val="24"/>
                <w:highlight w:val="yellow"/>
              </w:rPr>
            </w:pPr>
          </w:p>
        </w:tc>
        <w:tc>
          <w:tcPr>
            <w:tcW w:w="2935" w:type="dxa"/>
            <w:vAlign w:val="center"/>
          </w:tcPr>
          <w:p w14:paraId="01C08D36">
            <w:pPr>
              <w:spacing w:line="300" w:lineRule="exact"/>
              <w:jc w:val="center"/>
              <w:rPr>
                <w:rFonts w:ascii="Times New Roman" w:hAnsi="Times New Roman"/>
                <w:szCs w:val="24"/>
                <w:highlight w:val="yellow"/>
              </w:rPr>
            </w:pPr>
          </w:p>
        </w:tc>
        <w:tc>
          <w:tcPr>
            <w:tcW w:w="1280" w:type="dxa"/>
          </w:tcPr>
          <w:p w14:paraId="5CDC3EC3">
            <w:pPr>
              <w:spacing w:line="300" w:lineRule="exact"/>
              <w:jc w:val="center"/>
              <w:rPr>
                <w:rFonts w:ascii="Times New Roman" w:hAnsi="Times New Roman"/>
                <w:szCs w:val="24"/>
                <w:highlight w:val="yellow"/>
              </w:rPr>
            </w:pPr>
          </w:p>
        </w:tc>
      </w:tr>
      <w:tr w14:paraId="19CF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6C0A53E3">
            <w:pPr>
              <w:spacing w:line="300" w:lineRule="exact"/>
              <w:jc w:val="center"/>
              <w:rPr>
                <w:rFonts w:ascii="Times New Roman" w:hAnsi="Times New Roman"/>
                <w:szCs w:val="24"/>
                <w:highlight w:val="yellow"/>
              </w:rPr>
            </w:pPr>
          </w:p>
        </w:tc>
        <w:tc>
          <w:tcPr>
            <w:tcW w:w="2052" w:type="dxa"/>
            <w:vMerge w:val="continue"/>
            <w:vAlign w:val="center"/>
          </w:tcPr>
          <w:p w14:paraId="5578C017">
            <w:pPr>
              <w:spacing w:line="300" w:lineRule="exact"/>
              <w:jc w:val="center"/>
              <w:rPr>
                <w:rFonts w:ascii="Times New Roman" w:hAnsi="Times New Roman"/>
                <w:szCs w:val="24"/>
                <w:highlight w:val="yellow"/>
              </w:rPr>
            </w:pPr>
          </w:p>
        </w:tc>
        <w:tc>
          <w:tcPr>
            <w:tcW w:w="1350" w:type="dxa"/>
            <w:vMerge w:val="continue"/>
            <w:vAlign w:val="center"/>
          </w:tcPr>
          <w:p w14:paraId="271EBA08">
            <w:pPr>
              <w:spacing w:line="300" w:lineRule="exact"/>
              <w:jc w:val="center"/>
              <w:rPr>
                <w:rFonts w:ascii="Times New Roman" w:hAnsi="Times New Roman"/>
                <w:szCs w:val="24"/>
                <w:highlight w:val="yellow"/>
              </w:rPr>
            </w:pPr>
          </w:p>
        </w:tc>
        <w:tc>
          <w:tcPr>
            <w:tcW w:w="2935" w:type="dxa"/>
            <w:vAlign w:val="center"/>
          </w:tcPr>
          <w:p w14:paraId="76D0FA48">
            <w:pPr>
              <w:spacing w:line="300" w:lineRule="exact"/>
              <w:jc w:val="center"/>
              <w:rPr>
                <w:rFonts w:ascii="Times New Roman" w:hAnsi="Times New Roman"/>
                <w:szCs w:val="24"/>
                <w:highlight w:val="yellow"/>
              </w:rPr>
            </w:pPr>
          </w:p>
        </w:tc>
        <w:tc>
          <w:tcPr>
            <w:tcW w:w="1280" w:type="dxa"/>
          </w:tcPr>
          <w:p w14:paraId="16176B64">
            <w:pPr>
              <w:spacing w:line="300" w:lineRule="exact"/>
              <w:jc w:val="center"/>
              <w:rPr>
                <w:rFonts w:ascii="Times New Roman" w:hAnsi="Times New Roman"/>
                <w:szCs w:val="24"/>
                <w:highlight w:val="yellow"/>
              </w:rPr>
            </w:pPr>
          </w:p>
        </w:tc>
      </w:tr>
      <w:tr w14:paraId="50A4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2298E77D">
            <w:pPr>
              <w:spacing w:line="300" w:lineRule="exact"/>
              <w:jc w:val="center"/>
              <w:rPr>
                <w:rFonts w:ascii="Times New Roman" w:hAnsi="Times New Roman"/>
                <w:szCs w:val="24"/>
                <w:highlight w:val="yellow"/>
              </w:rPr>
            </w:pPr>
          </w:p>
        </w:tc>
        <w:tc>
          <w:tcPr>
            <w:tcW w:w="2052" w:type="dxa"/>
            <w:vMerge w:val="continue"/>
            <w:vAlign w:val="center"/>
          </w:tcPr>
          <w:p w14:paraId="545068EE">
            <w:pPr>
              <w:spacing w:line="300" w:lineRule="exact"/>
              <w:jc w:val="center"/>
              <w:rPr>
                <w:rFonts w:ascii="Times New Roman" w:hAnsi="Times New Roman"/>
                <w:szCs w:val="24"/>
                <w:highlight w:val="yellow"/>
              </w:rPr>
            </w:pPr>
          </w:p>
        </w:tc>
        <w:tc>
          <w:tcPr>
            <w:tcW w:w="1350" w:type="dxa"/>
            <w:vMerge w:val="continue"/>
            <w:vAlign w:val="center"/>
          </w:tcPr>
          <w:p w14:paraId="3BB03529">
            <w:pPr>
              <w:spacing w:line="300" w:lineRule="exact"/>
              <w:jc w:val="center"/>
              <w:rPr>
                <w:rFonts w:ascii="Times New Roman" w:hAnsi="Times New Roman"/>
                <w:szCs w:val="24"/>
                <w:highlight w:val="yellow"/>
              </w:rPr>
            </w:pPr>
          </w:p>
        </w:tc>
        <w:tc>
          <w:tcPr>
            <w:tcW w:w="2935" w:type="dxa"/>
            <w:vAlign w:val="center"/>
          </w:tcPr>
          <w:p w14:paraId="0A94EC3D">
            <w:pPr>
              <w:spacing w:line="300" w:lineRule="exact"/>
              <w:jc w:val="center"/>
              <w:rPr>
                <w:rFonts w:ascii="Times New Roman" w:hAnsi="Times New Roman"/>
                <w:szCs w:val="24"/>
                <w:highlight w:val="yellow"/>
              </w:rPr>
            </w:pPr>
          </w:p>
        </w:tc>
        <w:tc>
          <w:tcPr>
            <w:tcW w:w="1280" w:type="dxa"/>
          </w:tcPr>
          <w:p w14:paraId="11EAAB09">
            <w:pPr>
              <w:spacing w:line="300" w:lineRule="exact"/>
              <w:jc w:val="center"/>
              <w:rPr>
                <w:rFonts w:ascii="Times New Roman" w:hAnsi="Times New Roman"/>
                <w:szCs w:val="24"/>
                <w:highlight w:val="yellow"/>
              </w:rPr>
            </w:pPr>
          </w:p>
        </w:tc>
      </w:tr>
      <w:tr w14:paraId="4918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6DE2BCE6">
            <w:pPr>
              <w:spacing w:line="300" w:lineRule="exact"/>
              <w:jc w:val="center"/>
              <w:rPr>
                <w:rFonts w:ascii="Times New Roman" w:hAnsi="Times New Roman"/>
                <w:szCs w:val="24"/>
                <w:highlight w:val="yellow"/>
              </w:rPr>
            </w:pPr>
          </w:p>
        </w:tc>
        <w:tc>
          <w:tcPr>
            <w:tcW w:w="2052" w:type="dxa"/>
            <w:vMerge w:val="continue"/>
            <w:vAlign w:val="center"/>
          </w:tcPr>
          <w:p w14:paraId="32E775DF">
            <w:pPr>
              <w:spacing w:line="300" w:lineRule="exact"/>
              <w:jc w:val="center"/>
              <w:rPr>
                <w:rFonts w:ascii="Times New Roman" w:hAnsi="Times New Roman"/>
                <w:szCs w:val="24"/>
                <w:highlight w:val="yellow"/>
              </w:rPr>
            </w:pPr>
          </w:p>
        </w:tc>
        <w:tc>
          <w:tcPr>
            <w:tcW w:w="1350" w:type="dxa"/>
            <w:vMerge w:val="continue"/>
            <w:vAlign w:val="center"/>
          </w:tcPr>
          <w:p w14:paraId="376208EA">
            <w:pPr>
              <w:spacing w:line="300" w:lineRule="exact"/>
              <w:jc w:val="center"/>
              <w:rPr>
                <w:rFonts w:ascii="Times New Roman" w:hAnsi="Times New Roman"/>
                <w:szCs w:val="24"/>
                <w:highlight w:val="yellow"/>
              </w:rPr>
            </w:pPr>
          </w:p>
        </w:tc>
        <w:tc>
          <w:tcPr>
            <w:tcW w:w="2935" w:type="dxa"/>
            <w:vAlign w:val="center"/>
          </w:tcPr>
          <w:p w14:paraId="2AFD7416">
            <w:pPr>
              <w:spacing w:line="300" w:lineRule="exact"/>
              <w:jc w:val="center"/>
              <w:rPr>
                <w:rFonts w:ascii="Times New Roman" w:hAnsi="Times New Roman"/>
                <w:szCs w:val="24"/>
                <w:highlight w:val="yellow"/>
              </w:rPr>
            </w:pPr>
          </w:p>
        </w:tc>
        <w:tc>
          <w:tcPr>
            <w:tcW w:w="1280" w:type="dxa"/>
          </w:tcPr>
          <w:p w14:paraId="18746A60">
            <w:pPr>
              <w:spacing w:line="300" w:lineRule="exact"/>
              <w:jc w:val="center"/>
              <w:rPr>
                <w:rFonts w:ascii="Times New Roman" w:hAnsi="Times New Roman"/>
                <w:szCs w:val="24"/>
                <w:highlight w:val="yellow"/>
              </w:rPr>
            </w:pPr>
          </w:p>
        </w:tc>
      </w:tr>
      <w:tr w14:paraId="0B5F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4A4EB6D4">
            <w:pPr>
              <w:spacing w:line="300" w:lineRule="exact"/>
              <w:jc w:val="center"/>
              <w:rPr>
                <w:rFonts w:ascii="Times New Roman" w:hAnsi="Times New Roman"/>
                <w:szCs w:val="24"/>
                <w:highlight w:val="yellow"/>
              </w:rPr>
            </w:pPr>
          </w:p>
        </w:tc>
        <w:tc>
          <w:tcPr>
            <w:tcW w:w="2052" w:type="dxa"/>
            <w:vMerge w:val="restart"/>
            <w:vAlign w:val="center"/>
          </w:tcPr>
          <w:p w14:paraId="37809A54">
            <w:pPr>
              <w:spacing w:line="300" w:lineRule="exact"/>
              <w:jc w:val="center"/>
              <w:rPr>
                <w:rFonts w:ascii="Times New Roman" w:hAnsi="Times New Roman"/>
                <w:szCs w:val="24"/>
                <w:highlight w:val="yellow"/>
              </w:rPr>
            </w:pPr>
          </w:p>
        </w:tc>
        <w:tc>
          <w:tcPr>
            <w:tcW w:w="1350" w:type="dxa"/>
            <w:vMerge w:val="restart"/>
            <w:vAlign w:val="center"/>
          </w:tcPr>
          <w:p w14:paraId="238F8BD8">
            <w:pPr>
              <w:spacing w:line="300" w:lineRule="exact"/>
              <w:jc w:val="center"/>
              <w:rPr>
                <w:rFonts w:ascii="Times New Roman" w:hAnsi="Times New Roman"/>
                <w:szCs w:val="24"/>
                <w:highlight w:val="yellow"/>
              </w:rPr>
            </w:pPr>
          </w:p>
        </w:tc>
        <w:tc>
          <w:tcPr>
            <w:tcW w:w="2935" w:type="dxa"/>
            <w:vAlign w:val="center"/>
          </w:tcPr>
          <w:p w14:paraId="1059C1C1">
            <w:pPr>
              <w:spacing w:line="300" w:lineRule="exact"/>
              <w:jc w:val="center"/>
              <w:rPr>
                <w:rFonts w:ascii="Times New Roman" w:hAnsi="Times New Roman"/>
                <w:szCs w:val="24"/>
                <w:highlight w:val="yellow"/>
              </w:rPr>
            </w:pPr>
          </w:p>
        </w:tc>
        <w:tc>
          <w:tcPr>
            <w:tcW w:w="1280" w:type="dxa"/>
          </w:tcPr>
          <w:p w14:paraId="5AD5BDA6">
            <w:pPr>
              <w:spacing w:line="300" w:lineRule="exact"/>
              <w:jc w:val="center"/>
              <w:rPr>
                <w:rFonts w:ascii="Times New Roman" w:hAnsi="Times New Roman"/>
                <w:szCs w:val="24"/>
                <w:highlight w:val="yellow"/>
              </w:rPr>
            </w:pPr>
          </w:p>
        </w:tc>
      </w:tr>
      <w:tr w14:paraId="2327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BB7577F">
            <w:pPr>
              <w:spacing w:line="300" w:lineRule="exact"/>
              <w:jc w:val="center"/>
              <w:rPr>
                <w:rFonts w:ascii="Times New Roman" w:hAnsi="Times New Roman"/>
                <w:szCs w:val="24"/>
                <w:highlight w:val="yellow"/>
              </w:rPr>
            </w:pPr>
          </w:p>
        </w:tc>
        <w:tc>
          <w:tcPr>
            <w:tcW w:w="2052" w:type="dxa"/>
            <w:vMerge w:val="continue"/>
            <w:vAlign w:val="center"/>
          </w:tcPr>
          <w:p w14:paraId="7DFCBF76">
            <w:pPr>
              <w:spacing w:line="300" w:lineRule="exact"/>
              <w:jc w:val="center"/>
              <w:rPr>
                <w:rFonts w:ascii="Times New Roman" w:hAnsi="Times New Roman"/>
                <w:szCs w:val="24"/>
                <w:highlight w:val="yellow"/>
              </w:rPr>
            </w:pPr>
          </w:p>
        </w:tc>
        <w:tc>
          <w:tcPr>
            <w:tcW w:w="1350" w:type="dxa"/>
            <w:vMerge w:val="continue"/>
            <w:vAlign w:val="center"/>
          </w:tcPr>
          <w:p w14:paraId="231A859F">
            <w:pPr>
              <w:spacing w:line="300" w:lineRule="exact"/>
              <w:jc w:val="center"/>
              <w:rPr>
                <w:rFonts w:ascii="Times New Roman" w:hAnsi="Times New Roman"/>
                <w:szCs w:val="24"/>
                <w:highlight w:val="yellow"/>
              </w:rPr>
            </w:pPr>
          </w:p>
        </w:tc>
        <w:tc>
          <w:tcPr>
            <w:tcW w:w="2935" w:type="dxa"/>
            <w:vAlign w:val="center"/>
          </w:tcPr>
          <w:p w14:paraId="696709A0">
            <w:pPr>
              <w:spacing w:line="300" w:lineRule="exact"/>
              <w:jc w:val="center"/>
              <w:rPr>
                <w:rFonts w:ascii="Times New Roman" w:hAnsi="Times New Roman"/>
                <w:szCs w:val="24"/>
                <w:highlight w:val="yellow"/>
              </w:rPr>
            </w:pPr>
          </w:p>
        </w:tc>
        <w:tc>
          <w:tcPr>
            <w:tcW w:w="1280" w:type="dxa"/>
          </w:tcPr>
          <w:p w14:paraId="57B8446F">
            <w:pPr>
              <w:spacing w:line="300" w:lineRule="exact"/>
              <w:jc w:val="center"/>
              <w:rPr>
                <w:rFonts w:ascii="Times New Roman" w:hAnsi="Times New Roman"/>
                <w:szCs w:val="24"/>
                <w:highlight w:val="yellow"/>
              </w:rPr>
            </w:pPr>
          </w:p>
        </w:tc>
      </w:tr>
      <w:tr w14:paraId="1A76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0EAB768B">
            <w:pPr>
              <w:spacing w:line="300" w:lineRule="exact"/>
              <w:jc w:val="center"/>
              <w:rPr>
                <w:rFonts w:ascii="Times New Roman" w:hAnsi="Times New Roman"/>
                <w:szCs w:val="24"/>
                <w:highlight w:val="yellow"/>
              </w:rPr>
            </w:pPr>
          </w:p>
        </w:tc>
        <w:tc>
          <w:tcPr>
            <w:tcW w:w="2052" w:type="dxa"/>
            <w:vMerge w:val="continue"/>
            <w:vAlign w:val="center"/>
          </w:tcPr>
          <w:p w14:paraId="1D703B02">
            <w:pPr>
              <w:spacing w:line="300" w:lineRule="exact"/>
              <w:jc w:val="center"/>
              <w:rPr>
                <w:rFonts w:ascii="Times New Roman" w:hAnsi="Times New Roman"/>
                <w:szCs w:val="24"/>
                <w:highlight w:val="yellow"/>
              </w:rPr>
            </w:pPr>
          </w:p>
        </w:tc>
        <w:tc>
          <w:tcPr>
            <w:tcW w:w="1350" w:type="dxa"/>
            <w:vMerge w:val="continue"/>
            <w:vAlign w:val="center"/>
          </w:tcPr>
          <w:p w14:paraId="13A6858C">
            <w:pPr>
              <w:spacing w:line="300" w:lineRule="exact"/>
              <w:jc w:val="center"/>
              <w:rPr>
                <w:rFonts w:ascii="Times New Roman" w:hAnsi="Times New Roman"/>
                <w:szCs w:val="24"/>
                <w:highlight w:val="yellow"/>
              </w:rPr>
            </w:pPr>
          </w:p>
        </w:tc>
        <w:tc>
          <w:tcPr>
            <w:tcW w:w="2935" w:type="dxa"/>
            <w:vAlign w:val="center"/>
          </w:tcPr>
          <w:p w14:paraId="4AD127C4">
            <w:pPr>
              <w:spacing w:line="300" w:lineRule="exact"/>
              <w:jc w:val="center"/>
              <w:rPr>
                <w:rFonts w:ascii="Times New Roman" w:hAnsi="Times New Roman"/>
                <w:szCs w:val="24"/>
                <w:highlight w:val="yellow"/>
              </w:rPr>
            </w:pPr>
          </w:p>
        </w:tc>
        <w:tc>
          <w:tcPr>
            <w:tcW w:w="1280" w:type="dxa"/>
          </w:tcPr>
          <w:p w14:paraId="4B055E84">
            <w:pPr>
              <w:spacing w:line="300" w:lineRule="exact"/>
              <w:jc w:val="center"/>
              <w:rPr>
                <w:rFonts w:ascii="Times New Roman" w:hAnsi="Times New Roman"/>
                <w:szCs w:val="24"/>
                <w:highlight w:val="yellow"/>
              </w:rPr>
            </w:pPr>
          </w:p>
        </w:tc>
      </w:tr>
      <w:tr w14:paraId="0607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14013A6D">
            <w:pPr>
              <w:spacing w:line="300" w:lineRule="exact"/>
              <w:jc w:val="center"/>
              <w:rPr>
                <w:rFonts w:ascii="Times New Roman" w:hAnsi="Times New Roman"/>
                <w:szCs w:val="24"/>
                <w:highlight w:val="yellow"/>
              </w:rPr>
            </w:pPr>
          </w:p>
        </w:tc>
        <w:tc>
          <w:tcPr>
            <w:tcW w:w="2052" w:type="dxa"/>
            <w:vMerge w:val="continue"/>
            <w:vAlign w:val="center"/>
          </w:tcPr>
          <w:p w14:paraId="3FB9BEEB">
            <w:pPr>
              <w:spacing w:line="300" w:lineRule="exact"/>
              <w:jc w:val="center"/>
              <w:rPr>
                <w:rFonts w:ascii="Times New Roman" w:hAnsi="Times New Roman"/>
                <w:szCs w:val="24"/>
                <w:highlight w:val="yellow"/>
              </w:rPr>
            </w:pPr>
          </w:p>
        </w:tc>
        <w:tc>
          <w:tcPr>
            <w:tcW w:w="1350" w:type="dxa"/>
            <w:vMerge w:val="continue"/>
            <w:vAlign w:val="center"/>
          </w:tcPr>
          <w:p w14:paraId="6D2BC74C">
            <w:pPr>
              <w:spacing w:line="300" w:lineRule="exact"/>
              <w:jc w:val="center"/>
              <w:rPr>
                <w:rFonts w:ascii="Times New Roman" w:hAnsi="Times New Roman"/>
                <w:szCs w:val="24"/>
                <w:highlight w:val="yellow"/>
              </w:rPr>
            </w:pPr>
          </w:p>
        </w:tc>
        <w:tc>
          <w:tcPr>
            <w:tcW w:w="2935" w:type="dxa"/>
            <w:vAlign w:val="center"/>
          </w:tcPr>
          <w:p w14:paraId="2862580A">
            <w:pPr>
              <w:spacing w:line="300" w:lineRule="exact"/>
              <w:jc w:val="center"/>
              <w:rPr>
                <w:rFonts w:ascii="Times New Roman" w:hAnsi="Times New Roman"/>
                <w:szCs w:val="24"/>
                <w:highlight w:val="yellow"/>
              </w:rPr>
            </w:pPr>
          </w:p>
        </w:tc>
        <w:tc>
          <w:tcPr>
            <w:tcW w:w="1280" w:type="dxa"/>
          </w:tcPr>
          <w:p w14:paraId="2C253A88">
            <w:pPr>
              <w:spacing w:line="300" w:lineRule="exact"/>
              <w:jc w:val="center"/>
              <w:rPr>
                <w:rFonts w:ascii="Times New Roman" w:hAnsi="Times New Roman"/>
                <w:szCs w:val="24"/>
                <w:highlight w:val="yellow"/>
              </w:rPr>
            </w:pPr>
          </w:p>
        </w:tc>
      </w:tr>
      <w:tr w14:paraId="1FC5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720F2589">
            <w:pPr>
              <w:spacing w:line="300" w:lineRule="exact"/>
              <w:jc w:val="center"/>
              <w:rPr>
                <w:rFonts w:ascii="Times New Roman" w:hAnsi="Times New Roman"/>
                <w:szCs w:val="24"/>
                <w:highlight w:val="yellow"/>
              </w:rPr>
            </w:pPr>
          </w:p>
        </w:tc>
        <w:tc>
          <w:tcPr>
            <w:tcW w:w="2052" w:type="dxa"/>
            <w:vMerge w:val="continue"/>
            <w:vAlign w:val="center"/>
          </w:tcPr>
          <w:p w14:paraId="4A11E7F8">
            <w:pPr>
              <w:spacing w:line="300" w:lineRule="exact"/>
              <w:jc w:val="center"/>
              <w:rPr>
                <w:rFonts w:ascii="Times New Roman" w:hAnsi="Times New Roman"/>
                <w:szCs w:val="24"/>
                <w:highlight w:val="yellow"/>
              </w:rPr>
            </w:pPr>
          </w:p>
        </w:tc>
        <w:tc>
          <w:tcPr>
            <w:tcW w:w="1350" w:type="dxa"/>
            <w:vMerge w:val="continue"/>
            <w:vAlign w:val="center"/>
          </w:tcPr>
          <w:p w14:paraId="0FE80E18">
            <w:pPr>
              <w:spacing w:line="300" w:lineRule="exact"/>
              <w:jc w:val="center"/>
              <w:rPr>
                <w:rFonts w:ascii="Times New Roman" w:hAnsi="Times New Roman"/>
                <w:szCs w:val="24"/>
                <w:highlight w:val="yellow"/>
              </w:rPr>
            </w:pPr>
          </w:p>
        </w:tc>
        <w:tc>
          <w:tcPr>
            <w:tcW w:w="2935" w:type="dxa"/>
            <w:vAlign w:val="center"/>
          </w:tcPr>
          <w:p w14:paraId="32BEB182">
            <w:pPr>
              <w:spacing w:line="300" w:lineRule="exact"/>
              <w:jc w:val="center"/>
              <w:rPr>
                <w:rFonts w:ascii="Times New Roman" w:hAnsi="Times New Roman"/>
                <w:szCs w:val="24"/>
                <w:highlight w:val="yellow"/>
              </w:rPr>
            </w:pPr>
          </w:p>
        </w:tc>
        <w:tc>
          <w:tcPr>
            <w:tcW w:w="1280" w:type="dxa"/>
          </w:tcPr>
          <w:p w14:paraId="6C775B44">
            <w:pPr>
              <w:spacing w:line="300" w:lineRule="exact"/>
              <w:jc w:val="center"/>
              <w:rPr>
                <w:rFonts w:ascii="Times New Roman" w:hAnsi="Times New Roman"/>
                <w:szCs w:val="24"/>
                <w:highlight w:val="yellow"/>
              </w:rPr>
            </w:pPr>
          </w:p>
        </w:tc>
      </w:tr>
      <w:tr w14:paraId="0F24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vAlign w:val="center"/>
          </w:tcPr>
          <w:p w14:paraId="1160723D">
            <w:pPr>
              <w:spacing w:line="300" w:lineRule="exact"/>
              <w:rPr>
                <w:rFonts w:ascii="Times New Roman" w:hAnsi="Times New Roman"/>
                <w:sz w:val="24"/>
                <w:szCs w:val="24"/>
                <w:highlight w:val="none"/>
              </w:rPr>
            </w:pPr>
            <w:r>
              <w:rPr>
                <w:rFonts w:ascii="Times New Roman" w:eastAsia="黑体"/>
                <w:sz w:val="24"/>
                <w:szCs w:val="24"/>
                <w:highlight w:val="none"/>
              </w:rPr>
              <w:t>表</w:t>
            </w:r>
            <w:r>
              <w:rPr>
                <w:rFonts w:ascii="Times New Roman" w:hAnsi="Times New Roman" w:eastAsia="黑体"/>
                <w:sz w:val="24"/>
                <w:szCs w:val="24"/>
                <w:highlight w:val="none"/>
              </w:rPr>
              <w:t xml:space="preserve">2 </w:t>
            </w:r>
            <w:r>
              <w:rPr>
                <w:rFonts w:ascii="Times New Roman" w:eastAsia="黑体"/>
                <w:sz w:val="24"/>
                <w:szCs w:val="24"/>
                <w:highlight w:val="none"/>
              </w:rPr>
              <w:t>与申请转移废物相关的生产工艺</w:t>
            </w:r>
          </w:p>
        </w:tc>
      </w:tr>
      <w:tr w14:paraId="23A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tcPr>
          <w:p w14:paraId="63BE685C">
            <w:pPr>
              <w:spacing w:line="300" w:lineRule="exact"/>
              <w:rPr>
                <w:rFonts w:ascii="Times New Roman" w:hAnsi="Times New Roman"/>
                <w:szCs w:val="24"/>
                <w:highlight w:val="none"/>
              </w:rPr>
            </w:pPr>
            <w:r>
              <w:rPr>
                <w:rFonts w:ascii="Times New Roman"/>
                <w:szCs w:val="24"/>
                <w:highlight w:val="none"/>
              </w:rPr>
              <w:t>文字描述及工艺流程图</w:t>
            </w:r>
          </w:p>
          <w:p w14:paraId="48ECD0F0">
            <w:pPr>
              <w:spacing w:line="300" w:lineRule="exact"/>
              <w:rPr>
                <w:rFonts w:hint="eastAsia" w:ascii="宋体" w:hAnsi="宋体"/>
                <w:szCs w:val="21"/>
                <w:highlight w:val="none"/>
              </w:rPr>
            </w:pPr>
            <w:r>
              <w:rPr>
                <w:rFonts w:hint="eastAsia" w:ascii="宋体" w:hAnsi="宋体"/>
                <w:szCs w:val="21"/>
                <w:highlight w:val="none"/>
              </w:rPr>
              <w:t>生产工艺文字描述如下：</w:t>
            </w:r>
          </w:p>
          <w:p w14:paraId="4D310BC4">
            <w:pPr>
              <w:spacing w:line="300" w:lineRule="exact"/>
              <w:rPr>
                <w:rFonts w:ascii="Times New Roman" w:hAnsi="Times New Roman"/>
                <w:szCs w:val="24"/>
                <w:highlight w:val="none"/>
              </w:rPr>
            </w:pPr>
            <w:r>
              <w:rPr>
                <w:rFonts w:ascii="宋体" w:hAnsi="宋体"/>
                <w:szCs w:val="21"/>
                <w:highlight w:val="none"/>
              </w:rPr>
              <w:t>涂料生产流程较简单，为常温常压物理混合过程，无任何化学反应。主要有配料、分散研磨、调合调色、过滤包装过程。</w:t>
            </w:r>
          </w:p>
          <w:p w14:paraId="4B97C98C">
            <w:pPr>
              <w:spacing w:line="300" w:lineRule="exact"/>
              <w:rPr>
                <w:rFonts w:ascii="Times New Roman" w:hAnsi="Times New Roman"/>
                <w:szCs w:val="24"/>
                <w:highlight w:val="none"/>
              </w:rPr>
            </w:pPr>
            <w:r>
              <w:rPr>
                <w:rFonts w:hint="eastAsia"/>
                <w:highlight w:val="none"/>
              </w:rPr>
              <w:t xml:space="preserve">生产工艺流程图： </w:t>
            </w:r>
            <w:r>
              <w:rPr>
                <w:highlight w:val="none"/>
              </w:rPr>
              <w:t xml:space="preserve"> </w:t>
            </w:r>
            <w:r>
              <w:rPr>
                <w:rFonts w:hint="eastAsia"/>
                <w:highlight w:val="none"/>
              </w:rPr>
              <w:t xml:space="preserve"> </w:t>
            </w:r>
          </w:p>
          <w:p w14:paraId="0172BCC6">
            <w:pPr>
              <w:spacing w:line="300" w:lineRule="exact"/>
              <w:rPr>
                <w:rFonts w:ascii="Times New Roman" w:hAnsi="Times New Roman"/>
                <w:szCs w:val="24"/>
                <w:highlight w:val="none"/>
              </w:rPr>
            </w:pPr>
          </w:p>
          <w:p w14:paraId="05E9A728">
            <w:pPr>
              <w:spacing w:line="300" w:lineRule="exact"/>
              <w:rPr>
                <w:rFonts w:ascii="Times New Roman" w:hAnsi="Times New Roman"/>
                <w:szCs w:val="24"/>
                <w:highlight w:val="none"/>
              </w:rPr>
            </w:pPr>
          </w:p>
          <w:p w14:paraId="57FC724B">
            <w:pPr>
              <w:spacing w:line="300" w:lineRule="exact"/>
              <w:rPr>
                <w:rFonts w:ascii="Times New Roman" w:hAnsi="Times New Roman"/>
                <w:szCs w:val="24"/>
                <w:highlight w:val="none"/>
              </w:rPr>
            </w:pPr>
          </w:p>
          <w:p w14:paraId="46FE40CD">
            <w:pPr>
              <w:spacing w:line="300" w:lineRule="exact"/>
              <w:rPr>
                <w:rFonts w:ascii="Times New Roman" w:hAnsi="Times New Roman"/>
                <w:szCs w:val="24"/>
                <w:highlight w:val="none"/>
              </w:rPr>
            </w:pPr>
          </w:p>
          <w:p w14:paraId="1082E68D">
            <w:pPr>
              <w:spacing w:line="300" w:lineRule="exact"/>
              <w:rPr>
                <w:rFonts w:ascii="Times New Roman" w:hAnsi="Times New Roman"/>
                <w:szCs w:val="24"/>
                <w:highlight w:val="none"/>
              </w:rPr>
            </w:pPr>
          </w:p>
          <w:p w14:paraId="05AADDE4">
            <w:pPr>
              <w:spacing w:line="300" w:lineRule="exact"/>
              <w:rPr>
                <w:rFonts w:ascii="Times New Roman" w:hAnsi="Times New Roman"/>
                <w:szCs w:val="24"/>
                <w:highlight w:val="none"/>
              </w:rPr>
            </w:pPr>
          </w:p>
          <w:p w14:paraId="299B0670">
            <w:pPr>
              <w:spacing w:line="300" w:lineRule="exact"/>
              <w:rPr>
                <w:rFonts w:ascii="Times New Roman" w:hAnsi="Times New Roman"/>
                <w:szCs w:val="24"/>
                <w:highlight w:val="none"/>
              </w:rPr>
            </w:pPr>
          </w:p>
          <w:p w14:paraId="59FB7F1C">
            <w:pPr>
              <w:spacing w:line="300" w:lineRule="exact"/>
              <w:rPr>
                <w:rFonts w:ascii="Times New Roman" w:hAnsi="Times New Roman"/>
                <w:szCs w:val="24"/>
                <w:highlight w:val="none"/>
              </w:rPr>
            </w:pPr>
          </w:p>
          <w:p w14:paraId="35AF794C">
            <w:pPr>
              <w:spacing w:line="300" w:lineRule="exact"/>
              <w:rPr>
                <w:rFonts w:ascii="Times New Roman" w:hAnsi="Times New Roman"/>
                <w:szCs w:val="24"/>
                <w:highlight w:val="none"/>
              </w:rPr>
            </w:pPr>
          </w:p>
          <w:p w14:paraId="4D6DA8A2">
            <w:pPr>
              <w:spacing w:line="300" w:lineRule="exact"/>
              <w:rPr>
                <w:rFonts w:ascii="Times New Roman" w:hAnsi="Times New Roman"/>
                <w:szCs w:val="24"/>
                <w:highlight w:val="none"/>
              </w:rPr>
            </w:pPr>
          </w:p>
          <w:p w14:paraId="301FC786">
            <w:pPr>
              <w:spacing w:line="300" w:lineRule="exact"/>
              <w:rPr>
                <w:rFonts w:ascii="Times New Roman" w:hAnsi="Times New Roman"/>
                <w:szCs w:val="24"/>
                <w:highlight w:val="none"/>
              </w:rPr>
            </w:pPr>
          </w:p>
          <w:p w14:paraId="5A675DBA">
            <w:pPr>
              <w:spacing w:line="300" w:lineRule="exact"/>
              <w:rPr>
                <w:rFonts w:ascii="Times New Roman" w:hAnsi="Times New Roman"/>
                <w:szCs w:val="24"/>
                <w:highlight w:val="none"/>
              </w:rPr>
            </w:pPr>
          </w:p>
          <w:p w14:paraId="63C66C0D">
            <w:pPr>
              <w:spacing w:line="300" w:lineRule="exact"/>
              <w:rPr>
                <w:highlight w:val="none"/>
              </w:rPr>
            </w:pPr>
          </w:p>
          <w:p w14:paraId="59B313F2">
            <w:pPr>
              <w:spacing w:line="360" w:lineRule="auto"/>
              <w:rPr>
                <w:highlight w:val="none"/>
              </w:rPr>
            </w:pPr>
          </w:p>
          <w:p w14:paraId="4DE10438">
            <w:pPr>
              <w:spacing w:line="360" w:lineRule="auto"/>
              <w:rPr>
                <w:rFonts w:ascii="Times New Roman" w:hAnsi="Times New Roman"/>
                <w:szCs w:val="24"/>
                <w:highlight w:val="none"/>
              </w:rPr>
            </w:pPr>
          </w:p>
        </w:tc>
      </w:tr>
    </w:tbl>
    <w:p w14:paraId="7CDC767A">
      <w:pPr>
        <w:rPr>
          <w:rFonts w:ascii="Times New Roman" w:hAnsi="Times New Roman" w:eastAsia="仿宋_GB2312"/>
          <w:sz w:val="28"/>
          <w:highlight w:val="yellow"/>
        </w:rPr>
      </w:pPr>
    </w:p>
    <w:tbl>
      <w:tblPr>
        <w:tblStyle w:val="9"/>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60EE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vAlign w:val="center"/>
          </w:tcPr>
          <w:p w14:paraId="66FC6FED">
            <w:pPr>
              <w:rPr>
                <w:rFonts w:ascii="Times New Roman" w:hAnsi="Times New Roman"/>
                <w:sz w:val="24"/>
                <w:szCs w:val="24"/>
                <w:highlight w:val="none"/>
              </w:rPr>
            </w:pPr>
            <w:r>
              <w:rPr>
                <w:rFonts w:ascii="Times New Roman" w:eastAsia="黑体"/>
                <w:sz w:val="24"/>
                <w:szCs w:val="24"/>
                <w:highlight w:val="none"/>
              </w:rPr>
              <w:t>表</w:t>
            </w:r>
            <w:r>
              <w:rPr>
                <w:rFonts w:ascii="Times New Roman" w:hAnsi="Times New Roman" w:eastAsia="黑体"/>
                <w:sz w:val="24"/>
                <w:szCs w:val="24"/>
                <w:highlight w:val="none"/>
              </w:rPr>
              <w:t xml:space="preserve">3   </w:t>
            </w:r>
            <w:r>
              <w:rPr>
                <w:rFonts w:ascii="Times New Roman" w:eastAsia="黑体"/>
                <w:sz w:val="24"/>
                <w:szCs w:val="24"/>
                <w:highlight w:val="none"/>
              </w:rPr>
              <w:t>废物组分、特性（详见附件）</w:t>
            </w:r>
          </w:p>
        </w:tc>
      </w:tr>
      <w:tr w14:paraId="78CC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14:paraId="00730318">
            <w:pPr>
              <w:spacing w:line="240" w:lineRule="auto"/>
              <w:rPr>
                <w:rFonts w:ascii="Times New Roman" w:hAnsi="Times New Roman"/>
                <w:szCs w:val="21"/>
                <w:highlight w:val="none"/>
              </w:rPr>
            </w:pPr>
            <w:r>
              <w:rPr>
                <w:rFonts w:ascii="Times New Roman" w:hAnsi="宋体"/>
                <w:szCs w:val="21"/>
                <w:highlight w:val="none"/>
              </w:rPr>
              <w:t>废物名称</w:t>
            </w:r>
          </w:p>
        </w:tc>
        <w:tc>
          <w:tcPr>
            <w:tcW w:w="1769" w:type="dxa"/>
            <w:vAlign w:val="center"/>
          </w:tcPr>
          <w:p w14:paraId="6F89A683">
            <w:pPr>
              <w:spacing w:line="240" w:lineRule="auto"/>
              <w:rPr>
                <w:rFonts w:ascii="Times New Roman" w:hAnsi="Times New Roman"/>
                <w:szCs w:val="21"/>
                <w:highlight w:val="none"/>
              </w:rPr>
            </w:pPr>
            <w:r>
              <w:rPr>
                <w:rFonts w:ascii="Times New Roman" w:hAnsi="宋体"/>
                <w:szCs w:val="21"/>
                <w:highlight w:val="none"/>
              </w:rPr>
              <w:t>主要组分</w:t>
            </w:r>
          </w:p>
        </w:tc>
        <w:tc>
          <w:tcPr>
            <w:tcW w:w="1680" w:type="dxa"/>
            <w:vAlign w:val="center"/>
          </w:tcPr>
          <w:p w14:paraId="2C17580D">
            <w:pPr>
              <w:spacing w:line="240" w:lineRule="auto"/>
              <w:rPr>
                <w:rFonts w:ascii="Times New Roman" w:hAnsi="Times New Roman"/>
                <w:szCs w:val="21"/>
                <w:highlight w:val="none"/>
              </w:rPr>
            </w:pPr>
            <w:r>
              <w:rPr>
                <w:rFonts w:ascii="Times New Roman" w:hAnsi="宋体"/>
                <w:szCs w:val="21"/>
                <w:highlight w:val="none"/>
              </w:rPr>
              <w:t>相应比例（</w:t>
            </w:r>
            <w:r>
              <w:rPr>
                <w:rFonts w:ascii="Times New Roman" w:hAnsi="Times New Roman"/>
                <w:szCs w:val="21"/>
                <w:highlight w:val="none"/>
              </w:rPr>
              <w:t>%</w:t>
            </w:r>
            <w:r>
              <w:rPr>
                <w:rFonts w:ascii="Times New Roman" w:hAnsi="宋体"/>
                <w:szCs w:val="21"/>
                <w:highlight w:val="none"/>
              </w:rPr>
              <w:t>）</w:t>
            </w:r>
          </w:p>
        </w:tc>
        <w:tc>
          <w:tcPr>
            <w:tcW w:w="2205" w:type="dxa"/>
            <w:vAlign w:val="center"/>
          </w:tcPr>
          <w:p w14:paraId="759DB46F">
            <w:pPr>
              <w:spacing w:line="240" w:lineRule="auto"/>
              <w:rPr>
                <w:rFonts w:ascii="Times New Roman" w:hAnsi="Times New Roman"/>
                <w:szCs w:val="21"/>
                <w:highlight w:val="none"/>
              </w:rPr>
            </w:pPr>
            <w:r>
              <w:rPr>
                <w:rFonts w:ascii="Times New Roman" w:hAnsi="宋体"/>
                <w:szCs w:val="21"/>
                <w:highlight w:val="none"/>
              </w:rPr>
              <w:t>危害特性</w:t>
            </w:r>
          </w:p>
        </w:tc>
        <w:tc>
          <w:tcPr>
            <w:tcW w:w="1680" w:type="dxa"/>
            <w:vAlign w:val="center"/>
          </w:tcPr>
          <w:p w14:paraId="368BFA62">
            <w:pPr>
              <w:spacing w:line="240" w:lineRule="auto"/>
              <w:rPr>
                <w:rFonts w:ascii="Times New Roman" w:hAnsi="Times New Roman"/>
                <w:szCs w:val="21"/>
                <w:highlight w:val="none"/>
              </w:rPr>
            </w:pPr>
            <w:r>
              <w:rPr>
                <w:rFonts w:ascii="Times New Roman" w:hAnsi="宋体"/>
                <w:szCs w:val="21"/>
                <w:highlight w:val="none"/>
              </w:rPr>
              <w:t>形态</w:t>
            </w:r>
          </w:p>
        </w:tc>
      </w:tr>
      <w:tr w14:paraId="218B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vAlign w:val="top"/>
          </w:tcPr>
          <w:p w14:paraId="338126D5">
            <w:pPr>
              <w:spacing w:line="24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200L废</w:t>
            </w:r>
            <w:r>
              <w:rPr>
                <w:rFonts w:hint="eastAsia" w:ascii="Times New Roman" w:hAnsi="Times New Roman"/>
                <w:szCs w:val="21"/>
                <w:lang w:val="en-US" w:eastAsia="zh-CN"/>
              </w:rPr>
              <w:t>铁</w:t>
            </w:r>
            <w:r>
              <w:rPr>
                <w:rFonts w:hint="eastAsia" w:ascii="Times New Roman" w:hAnsi="Times New Roman"/>
                <w:szCs w:val="21"/>
              </w:rPr>
              <w:t>桶</w:t>
            </w:r>
          </w:p>
        </w:tc>
        <w:tc>
          <w:tcPr>
            <w:tcW w:w="1769" w:type="dxa"/>
            <w:vAlign w:val="top"/>
          </w:tcPr>
          <w:p w14:paraId="4E6159DF">
            <w:pPr>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铁</w:t>
            </w:r>
          </w:p>
        </w:tc>
        <w:tc>
          <w:tcPr>
            <w:tcW w:w="1680" w:type="dxa"/>
            <w:vAlign w:val="top"/>
          </w:tcPr>
          <w:p w14:paraId="36FB666F">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99</w:t>
            </w:r>
          </w:p>
        </w:tc>
        <w:tc>
          <w:tcPr>
            <w:tcW w:w="2205" w:type="dxa"/>
            <w:vMerge w:val="restart"/>
            <w:vAlign w:val="center"/>
          </w:tcPr>
          <w:p w14:paraId="1D213C66">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04C88C87">
            <w:pPr>
              <w:spacing w:line="240" w:lineRule="auto"/>
              <w:rPr>
                <w:rFonts w:hint="eastAsia" w:ascii="Times New Roman" w:hAnsi="Times New Roman"/>
                <w:szCs w:val="21"/>
              </w:rPr>
            </w:pPr>
            <w:r>
              <w:rPr>
                <w:rFonts w:ascii="Times New Roman" w:hAnsi="宋体"/>
                <w:szCs w:val="21"/>
              </w:rPr>
              <w:t>毒性</w:t>
            </w:r>
            <w:r>
              <w:rPr>
                <w:rFonts w:ascii="Times New Roman" w:hAnsi="Times New Roman"/>
                <w:szCs w:val="21"/>
              </w:rPr>
              <w:t xml:space="preserve">          </w:t>
            </w:r>
            <w:r>
              <w:rPr>
                <w:rFonts w:ascii="宋体" w:hAnsi="宋体"/>
                <w:szCs w:val="21"/>
              </w:rPr>
              <w:t xml:space="preserve"> </w:t>
            </w:r>
            <w:r>
              <w:rPr>
                <w:rFonts w:ascii="Times New Roman" w:hAnsi="Times New Roman"/>
                <w:szCs w:val="21"/>
              </w:rPr>
              <w:t>□</w:t>
            </w:r>
          </w:p>
          <w:p w14:paraId="70F0A51C">
            <w:pPr>
              <w:spacing w:line="240" w:lineRule="auto"/>
              <w:rPr>
                <w:rFonts w:hint="eastAsia" w:ascii="Times New Roman" w:hAnsi="Times New Roman" w:eastAsia="宋体"/>
                <w:szCs w:val="21"/>
                <w:lang w:eastAsia="zh-CN"/>
              </w:rPr>
            </w:pPr>
            <w:r>
              <w:rPr>
                <w:rFonts w:ascii="Times New Roman" w:hAnsi="宋体"/>
                <w:szCs w:val="21"/>
              </w:rPr>
              <w:t>易燃性</w:t>
            </w:r>
            <w:r>
              <w:rPr>
                <w:rFonts w:ascii="Times New Roman" w:hAnsi="Times New Roman"/>
                <w:szCs w:val="21"/>
              </w:rPr>
              <w:t xml:space="preserve">         </w:t>
            </w:r>
            <w:r>
              <w:rPr>
                <w:rFonts w:hint="eastAsia" w:ascii="Times New Roman" w:hAnsi="Times New Roman"/>
                <w:szCs w:val="21"/>
                <w:lang w:eastAsia="zh-CN"/>
              </w:rPr>
              <w:t>☑</w:t>
            </w:r>
          </w:p>
          <w:p w14:paraId="32FBCE8D">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3E7C8C80">
            <w:pPr>
              <w:spacing w:line="240" w:lineRule="auto"/>
              <w:rPr>
                <w:rFonts w:hint="eastAsia" w:ascii="Times New Roman" w:hAnsi="Times New Roman" w:eastAsia="宋体" w:cs="Times New Roman"/>
                <w:kern w:val="2"/>
                <w:sz w:val="21"/>
                <w:szCs w:val="21"/>
                <w:lang w:val="en-US" w:eastAsia="zh-CN" w:bidi="ar-SA"/>
              </w:rPr>
            </w:pPr>
            <w:r>
              <w:rPr>
                <w:rFonts w:ascii="Times New Roman" w:hAnsi="宋体"/>
                <w:szCs w:val="21"/>
              </w:rPr>
              <w:t>感染性</w:t>
            </w:r>
            <w:r>
              <w:rPr>
                <w:rFonts w:ascii="Times New Roman" w:hAnsi="Times New Roman"/>
                <w:szCs w:val="21"/>
              </w:rPr>
              <w:t xml:space="preserve">         </w:t>
            </w:r>
            <w:r>
              <w:rPr>
                <w:rFonts w:hint="eastAsia" w:ascii="Times New Roman" w:hAnsi="Times New Roman"/>
                <w:szCs w:val="21"/>
                <w:lang w:eastAsia="zh-CN"/>
              </w:rPr>
              <w:t>☑</w:t>
            </w:r>
          </w:p>
        </w:tc>
        <w:tc>
          <w:tcPr>
            <w:tcW w:w="1680" w:type="dxa"/>
            <w:vMerge w:val="restart"/>
            <w:vAlign w:val="center"/>
          </w:tcPr>
          <w:p w14:paraId="60958DA4">
            <w:pPr>
              <w:spacing w:line="240" w:lineRule="auto"/>
              <w:rPr>
                <w:rFonts w:hint="eastAsia" w:ascii="Times New Roman" w:hAnsi="Times New Roman"/>
                <w:szCs w:val="21"/>
              </w:rPr>
            </w:pPr>
            <w:r>
              <w:rPr>
                <w:rFonts w:ascii="Times New Roman" w:hAnsi="宋体"/>
                <w:szCs w:val="21"/>
              </w:rPr>
              <w:t>固态</w:t>
            </w:r>
            <w:r>
              <w:rPr>
                <w:rFonts w:ascii="Times New Roman" w:hAnsi="Times New Roman"/>
                <w:szCs w:val="21"/>
              </w:rPr>
              <w:t xml:space="preserve">      </w:t>
            </w:r>
            <w:r>
              <w:rPr>
                <w:rFonts w:ascii="宋体" w:hAnsi="宋体"/>
                <w:szCs w:val="21"/>
              </w:rPr>
              <w:t xml:space="preserve"> </w:t>
            </w:r>
            <w:r>
              <w:rPr>
                <w:rFonts w:hint="eastAsia" w:ascii="MS Mincho" w:hAnsi="MS Mincho" w:eastAsia="MS Mincho" w:cs="MS Mincho"/>
                <w:szCs w:val="21"/>
              </w:rPr>
              <w:t>☑</w:t>
            </w:r>
          </w:p>
          <w:p w14:paraId="1464795C">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29884FC1">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2C860C1E">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05D2944D">
            <w:pPr>
              <w:spacing w:line="240" w:lineRule="auto"/>
              <w:rPr>
                <w:rFonts w:ascii="Times New Roman" w:hAnsi="Times New Roman" w:eastAsia="宋体" w:cs="Times New Roman"/>
                <w:kern w:val="2"/>
                <w:sz w:val="21"/>
                <w:szCs w:val="21"/>
                <w:lang w:val="en-US" w:eastAsia="zh-CN" w:bidi="ar-SA"/>
              </w:rPr>
            </w:pPr>
            <w:r>
              <w:rPr>
                <w:rFonts w:ascii="Times New Roman" w:hAnsi="宋体"/>
                <w:szCs w:val="21"/>
              </w:rPr>
              <w:t>液态</w:t>
            </w:r>
            <w:r>
              <w:rPr>
                <w:rFonts w:ascii="Times New Roman" w:hAnsi="Times New Roman"/>
                <w:szCs w:val="21"/>
              </w:rPr>
              <w:t xml:space="preserve">       □</w:t>
            </w:r>
          </w:p>
        </w:tc>
      </w:tr>
      <w:tr w14:paraId="0ED6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01EEE6BF">
            <w:pPr>
              <w:spacing w:line="240" w:lineRule="auto"/>
              <w:rPr>
                <w:rFonts w:ascii="Times New Roman" w:hAnsi="Times New Roman"/>
                <w:szCs w:val="21"/>
                <w:highlight w:val="none"/>
              </w:rPr>
            </w:pPr>
          </w:p>
        </w:tc>
        <w:tc>
          <w:tcPr>
            <w:tcW w:w="1769" w:type="dxa"/>
          </w:tcPr>
          <w:p w14:paraId="57CC0F8F">
            <w:pPr>
              <w:spacing w:line="240" w:lineRule="auto"/>
              <w:jc w:val="center"/>
              <w:rPr>
                <w:rFonts w:hint="eastAsia" w:ascii="Times New Roman" w:hAnsi="Times New Roman" w:eastAsia="宋体"/>
                <w:szCs w:val="21"/>
                <w:highlight w:val="none"/>
                <w:lang w:val="en-US" w:eastAsia="zh-CN"/>
              </w:rPr>
            </w:pPr>
            <w:r>
              <w:rPr>
                <w:rFonts w:hint="eastAsia" w:ascii="Times New Roman" w:hAnsi="Times New Roman"/>
                <w:szCs w:val="21"/>
                <w:highlight w:val="none"/>
                <w:lang w:val="en-US" w:eastAsia="zh-CN"/>
              </w:rPr>
              <w:t>涂料</w:t>
            </w:r>
          </w:p>
        </w:tc>
        <w:tc>
          <w:tcPr>
            <w:tcW w:w="1680" w:type="dxa"/>
          </w:tcPr>
          <w:p w14:paraId="3D85C86E">
            <w:pPr>
              <w:spacing w:line="240" w:lineRule="auto"/>
              <w:jc w:val="center"/>
              <w:rPr>
                <w:rFonts w:hint="eastAsia" w:ascii="Times New Roman" w:hAnsi="Times New Roman" w:eastAsia="宋体"/>
                <w:szCs w:val="21"/>
                <w:highlight w:val="none"/>
                <w:lang w:val="en-US" w:eastAsia="zh-CN"/>
              </w:rPr>
            </w:pPr>
            <w:r>
              <w:rPr>
                <w:rFonts w:hint="eastAsia" w:ascii="Times New Roman" w:hAnsi="Times New Roman"/>
                <w:szCs w:val="21"/>
                <w:highlight w:val="none"/>
                <w:lang w:val="en-US" w:eastAsia="zh-CN"/>
              </w:rPr>
              <w:t>1</w:t>
            </w:r>
          </w:p>
        </w:tc>
        <w:tc>
          <w:tcPr>
            <w:tcW w:w="2205" w:type="dxa"/>
            <w:vMerge w:val="continue"/>
            <w:vAlign w:val="center"/>
          </w:tcPr>
          <w:p w14:paraId="2B445E64">
            <w:pPr>
              <w:spacing w:line="240" w:lineRule="auto"/>
              <w:rPr>
                <w:rFonts w:ascii="Times New Roman" w:hAnsi="Times New Roman"/>
                <w:szCs w:val="21"/>
                <w:highlight w:val="none"/>
              </w:rPr>
            </w:pPr>
          </w:p>
        </w:tc>
        <w:tc>
          <w:tcPr>
            <w:tcW w:w="1680" w:type="dxa"/>
            <w:vMerge w:val="continue"/>
            <w:vAlign w:val="center"/>
          </w:tcPr>
          <w:p w14:paraId="5C232B50">
            <w:pPr>
              <w:spacing w:line="240" w:lineRule="auto"/>
              <w:rPr>
                <w:rFonts w:ascii="Times New Roman" w:hAnsi="Times New Roman"/>
                <w:szCs w:val="21"/>
                <w:highlight w:val="none"/>
              </w:rPr>
            </w:pPr>
          </w:p>
        </w:tc>
      </w:tr>
      <w:tr w14:paraId="2499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3976F19F">
            <w:pPr>
              <w:spacing w:line="240" w:lineRule="auto"/>
              <w:rPr>
                <w:rFonts w:ascii="Times New Roman" w:hAnsi="Times New Roman"/>
                <w:szCs w:val="21"/>
                <w:highlight w:val="none"/>
              </w:rPr>
            </w:pPr>
          </w:p>
        </w:tc>
        <w:tc>
          <w:tcPr>
            <w:tcW w:w="1769" w:type="dxa"/>
          </w:tcPr>
          <w:p w14:paraId="303306C8">
            <w:pPr>
              <w:spacing w:line="240" w:lineRule="auto"/>
              <w:jc w:val="left"/>
              <w:rPr>
                <w:rFonts w:ascii="Times New Roman" w:hAnsi="Times New Roman"/>
                <w:szCs w:val="21"/>
                <w:highlight w:val="none"/>
              </w:rPr>
            </w:pPr>
          </w:p>
        </w:tc>
        <w:tc>
          <w:tcPr>
            <w:tcW w:w="1680" w:type="dxa"/>
          </w:tcPr>
          <w:p w14:paraId="616B8A82">
            <w:pPr>
              <w:spacing w:line="240" w:lineRule="auto"/>
              <w:jc w:val="center"/>
              <w:rPr>
                <w:rFonts w:ascii="Times New Roman" w:hAnsi="Times New Roman"/>
                <w:szCs w:val="21"/>
                <w:highlight w:val="none"/>
              </w:rPr>
            </w:pPr>
          </w:p>
        </w:tc>
        <w:tc>
          <w:tcPr>
            <w:tcW w:w="2205" w:type="dxa"/>
            <w:vMerge w:val="continue"/>
            <w:vAlign w:val="center"/>
          </w:tcPr>
          <w:p w14:paraId="210EB6E1">
            <w:pPr>
              <w:spacing w:line="240" w:lineRule="auto"/>
              <w:rPr>
                <w:rFonts w:ascii="Times New Roman" w:hAnsi="Times New Roman"/>
                <w:szCs w:val="21"/>
                <w:highlight w:val="none"/>
              </w:rPr>
            </w:pPr>
          </w:p>
        </w:tc>
        <w:tc>
          <w:tcPr>
            <w:tcW w:w="1680" w:type="dxa"/>
            <w:vMerge w:val="continue"/>
            <w:vAlign w:val="center"/>
          </w:tcPr>
          <w:p w14:paraId="41E132F8">
            <w:pPr>
              <w:spacing w:line="240" w:lineRule="auto"/>
              <w:rPr>
                <w:rFonts w:ascii="Times New Roman" w:hAnsi="Times New Roman"/>
                <w:szCs w:val="21"/>
                <w:highlight w:val="none"/>
              </w:rPr>
            </w:pPr>
          </w:p>
        </w:tc>
      </w:tr>
      <w:tr w14:paraId="1967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3D37E45A">
            <w:pPr>
              <w:spacing w:line="240" w:lineRule="auto"/>
              <w:rPr>
                <w:rFonts w:ascii="Times New Roman" w:hAnsi="Times New Roman"/>
                <w:szCs w:val="21"/>
                <w:highlight w:val="none"/>
              </w:rPr>
            </w:pPr>
          </w:p>
        </w:tc>
        <w:tc>
          <w:tcPr>
            <w:tcW w:w="1769" w:type="dxa"/>
          </w:tcPr>
          <w:p w14:paraId="2E6349BA">
            <w:pPr>
              <w:spacing w:line="240" w:lineRule="auto"/>
              <w:jc w:val="left"/>
              <w:rPr>
                <w:rFonts w:ascii="Times New Roman" w:hAnsi="Times New Roman"/>
                <w:szCs w:val="21"/>
                <w:highlight w:val="none"/>
              </w:rPr>
            </w:pPr>
          </w:p>
        </w:tc>
        <w:tc>
          <w:tcPr>
            <w:tcW w:w="1680" w:type="dxa"/>
          </w:tcPr>
          <w:p w14:paraId="272D211E">
            <w:pPr>
              <w:spacing w:line="240" w:lineRule="auto"/>
              <w:jc w:val="center"/>
              <w:rPr>
                <w:rFonts w:ascii="Times New Roman" w:hAnsi="Times New Roman"/>
                <w:szCs w:val="21"/>
                <w:highlight w:val="none"/>
              </w:rPr>
            </w:pPr>
          </w:p>
        </w:tc>
        <w:tc>
          <w:tcPr>
            <w:tcW w:w="2205" w:type="dxa"/>
            <w:vMerge w:val="continue"/>
            <w:vAlign w:val="center"/>
          </w:tcPr>
          <w:p w14:paraId="4F1937B9">
            <w:pPr>
              <w:spacing w:line="240" w:lineRule="auto"/>
              <w:rPr>
                <w:rFonts w:ascii="Times New Roman" w:hAnsi="Times New Roman"/>
                <w:szCs w:val="21"/>
                <w:highlight w:val="none"/>
              </w:rPr>
            </w:pPr>
          </w:p>
        </w:tc>
        <w:tc>
          <w:tcPr>
            <w:tcW w:w="1680" w:type="dxa"/>
            <w:vMerge w:val="continue"/>
            <w:vAlign w:val="center"/>
          </w:tcPr>
          <w:p w14:paraId="3E5F154B">
            <w:pPr>
              <w:spacing w:line="240" w:lineRule="auto"/>
              <w:rPr>
                <w:rFonts w:ascii="Times New Roman" w:hAnsi="Times New Roman"/>
                <w:szCs w:val="21"/>
                <w:highlight w:val="none"/>
              </w:rPr>
            </w:pPr>
          </w:p>
        </w:tc>
      </w:tr>
      <w:tr w14:paraId="447E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2418FC30">
            <w:pPr>
              <w:spacing w:line="240" w:lineRule="auto"/>
              <w:rPr>
                <w:rFonts w:ascii="Times New Roman" w:hAnsi="Times New Roman"/>
                <w:szCs w:val="21"/>
                <w:highlight w:val="none"/>
              </w:rPr>
            </w:pPr>
          </w:p>
        </w:tc>
        <w:tc>
          <w:tcPr>
            <w:tcW w:w="1769" w:type="dxa"/>
          </w:tcPr>
          <w:p w14:paraId="3DB3962C">
            <w:pPr>
              <w:spacing w:line="240" w:lineRule="auto"/>
              <w:jc w:val="left"/>
              <w:rPr>
                <w:rFonts w:ascii="Times New Roman" w:hAnsi="Times New Roman"/>
                <w:szCs w:val="21"/>
                <w:highlight w:val="none"/>
              </w:rPr>
            </w:pPr>
          </w:p>
        </w:tc>
        <w:tc>
          <w:tcPr>
            <w:tcW w:w="1680" w:type="dxa"/>
          </w:tcPr>
          <w:p w14:paraId="3389EEF3">
            <w:pPr>
              <w:spacing w:line="240" w:lineRule="auto"/>
              <w:jc w:val="center"/>
              <w:rPr>
                <w:rFonts w:ascii="Times New Roman" w:hAnsi="Times New Roman"/>
                <w:szCs w:val="21"/>
                <w:highlight w:val="none"/>
              </w:rPr>
            </w:pPr>
          </w:p>
        </w:tc>
        <w:tc>
          <w:tcPr>
            <w:tcW w:w="2205" w:type="dxa"/>
            <w:vMerge w:val="continue"/>
            <w:vAlign w:val="center"/>
          </w:tcPr>
          <w:p w14:paraId="3DE9B768">
            <w:pPr>
              <w:spacing w:line="240" w:lineRule="auto"/>
              <w:rPr>
                <w:rFonts w:ascii="Times New Roman" w:hAnsi="Times New Roman"/>
                <w:szCs w:val="21"/>
                <w:highlight w:val="none"/>
              </w:rPr>
            </w:pPr>
          </w:p>
        </w:tc>
        <w:tc>
          <w:tcPr>
            <w:tcW w:w="1680" w:type="dxa"/>
            <w:vMerge w:val="continue"/>
            <w:vAlign w:val="center"/>
          </w:tcPr>
          <w:p w14:paraId="225A3EF9">
            <w:pPr>
              <w:spacing w:line="240" w:lineRule="auto"/>
              <w:rPr>
                <w:rFonts w:ascii="Times New Roman" w:hAnsi="Times New Roman"/>
                <w:szCs w:val="21"/>
                <w:highlight w:val="none"/>
              </w:rPr>
            </w:pPr>
          </w:p>
        </w:tc>
      </w:tr>
      <w:tr w14:paraId="58A7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tcPr>
          <w:p w14:paraId="370F1B1C">
            <w:pPr>
              <w:spacing w:line="240" w:lineRule="auto"/>
              <w:rPr>
                <w:rFonts w:ascii="Times New Roman" w:hAnsi="Times New Roman"/>
                <w:szCs w:val="21"/>
                <w:highlight w:val="none"/>
              </w:rPr>
            </w:pPr>
          </w:p>
          <w:p w14:paraId="2DFEB4CD">
            <w:pPr>
              <w:spacing w:line="240" w:lineRule="auto"/>
              <w:rPr>
                <w:rFonts w:ascii="Times New Roman" w:hAnsi="Times New Roman"/>
                <w:szCs w:val="21"/>
                <w:highlight w:val="none"/>
              </w:rPr>
            </w:pPr>
          </w:p>
          <w:p w14:paraId="35B5CF9C">
            <w:pPr>
              <w:spacing w:line="240" w:lineRule="auto"/>
              <w:rPr>
                <w:rFonts w:ascii="Times New Roman" w:hAnsi="Times New Roman"/>
                <w:szCs w:val="21"/>
                <w:highlight w:val="none"/>
              </w:rPr>
            </w:pPr>
          </w:p>
          <w:p w14:paraId="4FD0C717">
            <w:pPr>
              <w:spacing w:line="240" w:lineRule="auto"/>
              <w:rPr>
                <w:rFonts w:ascii="Times New Roman" w:hAnsi="Times New Roman"/>
                <w:szCs w:val="21"/>
                <w:highlight w:val="none"/>
              </w:rPr>
            </w:pPr>
          </w:p>
          <w:p w14:paraId="4BE0BA13">
            <w:pPr>
              <w:spacing w:line="240" w:lineRule="auto"/>
              <w:rPr>
                <w:rFonts w:ascii="Times New Roman" w:hAnsi="Times New Roman"/>
                <w:szCs w:val="21"/>
                <w:highlight w:val="none"/>
              </w:rPr>
            </w:pPr>
          </w:p>
        </w:tc>
        <w:tc>
          <w:tcPr>
            <w:tcW w:w="1769" w:type="dxa"/>
          </w:tcPr>
          <w:p w14:paraId="75DDDA4D">
            <w:pPr>
              <w:spacing w:line="240" w:lineRule="auto"/>
              <w:rPr>
                <w:rFonts w:ascii="Times New Roman" w:hAnsi="Times New Roman"/>
                <w:szCs w:val="21"/>
                <w:highlight w:val="none"/>
              </w:rPr>
            </w:pPr>
          </w:p>
        </w:tc>
        <w:tc>
          <w:tcPr>
            <w:tcW w:w="1680" w:type="dxa"/>
          </w:tcPr>
          <w:p w14:paraId="1EEA809B">
            <w:pPr>
              <w:spacing w:line="240" w:lineRule="auto"/>
              <w:rPr>
                <w:rFonts w:ascii="Times New Roman" w:hAnsi="Times New Roman"/>
                <w:szCs w:val="21"/>
                <w:highlight w:val="none"/>
              </w:rPr>
            </w:pPr>
          </w:p>
        </w:tc>
        <w:tc>
          <w:tcPr>
            <w:tcW w:w="2205" w:type="dxa"/>
            <w:vMerge w:val="restart"/>
            <w:vAlign w:val="center"/>
          </w:tcPr>
          <w:p w14:paraId="6596FBE4">
            <w:pPr>
              <w:spacing w:line="240" w:lineRule="auto"/>
              <w:rPr>
                <w:rFonts w:ascii="Times New Roman" w:hAnsi="Times New Roman"/>
                <w:szCs w:val="21"/>
                <w:highlight w:val="none"/>
              </w:rPr>
            </w:pPr>
            <w:r>
              <w:rPr>
                <w:rFonts w:ascii="Times New Roman" w:hAnsi="宋体"/>
                <w:szCs w:val="21"/>
                <w:highlight w:val="none"/>
              </w:rPr>
              <w:t>腐蚀性</w:t>
            </w:r>
            <w:r>
              <w:rPr>
                <w:rFonts w:ascii="Times New Roman" w:hAnsi="Times New Roman"/>
                <w:szCs w:val="21"/>
                <w:highlight w:val="none"/>
              </w:rPr>
              <w:t xml:space="preserve">         □</w:t>
            </w:r>
          </w:p>
          <w:p w14:paraId="71722D0E">
            <w:pPr>
              <w:spacing w:line="240" w:lineRule="auto"/>
              <w:rPr>
                <w:rFonts w:ascii="Times New Roman" w:hAnsi="Times New Roman"/>
                <w:szCs w:val="21"/>
                <w:highlight w:val="none"/>
              </w:rPr>
            </w:pPr>
            <w:r>
              <w:rPr>
                <w:rFonts w:ascii="Times New Roman" w:hAnsi="宋体"/>
                <w:szCs w:val="21"/>
                <w:highlight w:val="none"/>
              </w:rPr>
              <w:t>毒性</w:t>
            </w:r>
            <w:r>
              <w:rPr>
                <w:rFonts w:ascii="Times New Roman" w:hAnsi="Times New Roman"/>
                <w:szCs w:val="21"/>
                <w:highlight w:val="none"/>
              </w:rPr>
              <w:t xml:space="preserve">           □</w:t>
            </w:r>
          </w:p>
          <w:p w14:paraId="117D0823">
            <w:pPr>
              <w:spacing w:line="240" w:lineRule="auto"/>
              <w:rPr>
                <w:rFonts w:ascii="Times New Roman" w:hAnsi="Times New Roman"/>
                <w:szCs w:val="21"/>
                <w:highlight w:val="none"/>
              </w:rPr>
            </w:pPr>
            <w:r>
              <w:rPr>
                <w:rFonts w:ascii="Times New Roman" w:hAnsi="宋体"/>
                <w:szCs w:val="21"/>
                <w:highlight w:val="none"/>
              </w:rPr>
              <w:t>易燃性</w:t>
            </w:r>
            <w:r>
              <w:rPr>
                <w:rFonts w:ascii="Times New Roman" w:hAnsi="Times New Roman"/>
                <w:szCs w:val="21"/>
                <w:highlight w:val="none"/>
              </w:rPr>
              <w:t xml:space="preserve">         □</w:t>
            </w:r>
          </w:p>
          <w:p w14:paraId="3C78913C">
            <w:pPr>
              <w:spacing w:line="240" w:lineRule="auto"/>
              <w:rPr>
                <w:rFonts w:ascii="Times New Roman" w:hAnsi="Times New Roman"/>
                <w:szCs w:val="21"/>
                <w:highlight w:val="none"/>
              </w:rPr>
            </w:pPr>
            <w:r>
              <w:rPr>
                <w:rFonts w:ascii="Times New Roman" w:hAnsi="宋体"/>
                <w:szCs w:val="21"/>
                <w:highlight w:val="none"/>
              </w:rPr>
              <w:t>反应性</w:t>
            </w:r>
            <w:r>
              <w:rPr>
                <w:rFonts w:ascii="Times New Roman" w:hAnsi="Times New Roman"/>
                <w:szCs w:val="21"/>
                <w:highlight w:val="none"/>
              </w:rPr>
              <w:t xml:space="preserve">         □</w:t>
            </w:r>
          </w:p>
          <w:p w14:paraId="133D2746">
            <w:pPr>
              <w:spacing w:line="240" w:lineRule="auto"/>
              <w:rPr>
                <w:rFonts w:ascii="Times New Roman" w:hAnsi="Times New Roman"/>
                <w:szCs w:val="21"/>
                <w:highlight w:val="none"/>
              </w:rPr>
            </w:pPr>
            <w:r>
              <w:rPr>
                <w:rFonts w:ascii="Times New Roman" w:hAnsi="宋体"/>
                <w:szCs w:val="21"/>
                <w:highlight w:val="none"/>
              </w:rPr>
              <w:t>感染性</w:t>
            </w:r>
            <w:r>
              <w:rPr>
                <w:rFonts w:ascii="Times New Roman" w:hAnsi="Times New Roman"/>
                <w:szCs w:val="21"/>
                <w:highlight w:val="none"/>
              </w:rPr>
              <w:t xml:space="preserve">         □</w:t>
            </w:r>
          </w:p>
        </w:tc>
        <w:tc>
          <w:tcPr>
            <w:tcW w:w="1680" w:type="dxa"/>
            <w:vMerge w:val="restart"/>
            <w:vAlign w:val="center"/>
          </w:tcPr>
          <w:p w14:paraId="30DB1D77">
            <w:pPr>
              <w:spacing w:line="240" w:lineRule="auto"/>
              <w:rPr>
                <w:rFonts w:ascii="Times New Roman" w:hAnsi="Times New Roman"/>
                <w:szCs w:val="21"/>
                <w:highlight w:val="none"/>
              </w:rPr>
            </w:pPr>
            <w:r>
              <w:rPr>
                <w:rFonts w:ascii="Times New Roman" w:hAnsi="宋体"/>
                <w:szCs w:val="21"/>
                <w:highlight w:val="none"/>
              </w:rPr>
              <w:t>固态</w:t>
            </w:r>
            <w:r>
              <w:rPr>
                <w:rFonts w:ascii="Times New Roman" w:hAnsi="Times New Roman"/>
                <w:szCs w:val="21"/>
                <w:highlight w:val="none"/>
              </w:rPr>
              <w:t xml:space="preserve">       □</w:t>
            </w:r>
          </w:p>
          <w:p w14:paraId="159F34BD">
            <w:pPr>
              <w:spacing w:line="240" w:lineRule="auto"/>
              <w:rPr>
                <w:rFonts w:ascii="Times New Roman" w:hAnsi="Times New Roman"/>
                <w:szCs w:val="21"/>
                <w:highlight w:val="none"/>
              </w:rPr>
            </w:pPr>
            <w:r>
              <w:rPr>
                <w:rFonts w:ascii="Times New Roman" w:hAnsi="宋体"/>
                <w:szCs w:val="21"/>
                <w:highlight w:val="none"/>
              </w:rPr>
              <w:t>半固态</w:t>
            </w:r>
            <w:r>
              <w:rPr>
                <w:rFonts w:ascii="Times New Roman" w:hAnsi="Times New Roman"/>
                <w:szCs w:val="21"/>
                <w:highlight w:val="none"/>
              </w:rPr>
              <w:t xml:space="preserve">     □</w:t>
            </w:r>
          </w:p>
          <w:p w14:paraId="74A3EA61">
            <w:pPr>
              <w:spacing w:line="240" w:lineRule="auto"/>
              <w:rPr>
                <w:rFonts w:ascii="Times New Roman" w:hAnsi="Times New Roman"/>
                <w:szCs w:val="21"/>
                <w:highlight w:val="none"/>
              </w:rPr>
            </w:pPr>
            <w:r>
              <w:rPr>
                <w:rFonts w:ascii="Times New Roman" w:hAnsi="宋体"/>
                <w:szCs w:val="21"/>
                <w:highlight w:val="none"/>
              </w:rPr>
              <w:t>粉末态</w:t>
            </w:r>
            <w:r>
              <w:rPr>
                <w:rFonts w:ascii="Times New Roman" w:hAnsi="Times New Roman"/>
                <w:szCs w:val="21"/>
                <w:highlight w:val="none"/>
              </w:rPr>
              <w:t xml:space="preserve">     □</w:t>
            </w:r>
          </w:p>
          <w:p w14:paraId="13D28410">
            <w:pPr>
              <w:spacing w:line="240" w:lineRule="auto"/>
              <w:rPr>
                <w:rFonts w:ascii="Times New Roman" w:hAnsi="Times New Roman"/>
                <w:szCs w:val="21"/>
                <w:highlight w:val="none"/>
              </w:rPr>
            </w:pPr>
            <w:r>
              <w:rPr>
                <w:rFonts w:ascii="Times New Roman" w:hAnsi="宋体"/>
                <w:szCs w:val="21"/>
                <w:highlight w:val="none"/>
              </w:rPr>
              <w:t>颗粒态</w:t>
            </w:r>
            <w:r>
              <w:rPr>
                <w:rFonts w:ascii="Times New Roman" w:hAnsi="Times New Roman"/>
                <w:szCs w:val="21"/>
                <w:highlight w:val="none"/>
              </w:rPr>
              <w:t xml:space="preserve">     □</w:t>
            </w:r>
          </w:p>
          <w:p w14:paraId="0A64A9D4">
            <w:pPr>
              <w:spacing w:line="240" w:lineRule="auto"/>
              <w:rPr>
                <w:rFonts w:ascii="Times New Roman" w:hAnsi="Times New Roman"/>
                <w:szCs w:val="21"/>
                <w:highlight w:val="none"/>
              </w:rPr>
            </w:pPr>
            <w:r>
              <w:rPr>
                <w:rFonts w:ascii="Times New Roman" w:hAnsi="宋体"/>
                <w:szCs w:val="21"/>
                <w:highlight w:val="none"/>
              </w:rPr>
              <w:t>液态</w:t>
            </w:r>
            <w:r>
              <w:rPr>
                <w:rFonts w:ascii="Times New Roman" w:hAnsi="Times New Roman"/>
                <w:szCs w:val="21"/>
                <w:highlight w:val="none"/>
              </w:rPr>
              <w:t xml:space="preserve">       □</w:t>
            </w:r>
          </w:p>
        </w:tc>
      </w:tr>
      <w:tr w14:paraId="0AE3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109844AF">
            <w:pPr>
              <w:spacing w:line="240" w:lineRule="auto"/>
              <w:rPr>
                <w:rFonts w:ascii="Times New Roman" w:hAnsi="Times New Roman"/>
                <w:szCs w:val="21"/>
                <w:highlight w:val="none"/>
              </w:rPr>
            </w:pPr>
          </w:p>
        </w:tc>
        <w:tc>
          <w:tcPr>
            <w:tcW w:w="1769" w:type="dxa"/>
          </w:tcPr>
          <w:p w14:paraId="5D6AE5E6">
            <w:pPr>
              <w:spacing w:line="240" w:lineRule="auto"/>
              <w:rPr>
                <w:rFonts w:ascii="Times New Roman" w:hAnsi="Times New Roman"/>
                <w:szCs w:val="21"/>
                <w:highlight w:val="none"/>
              </w:rPr>
            </w:pPr>
          </w:p>
        </w:tc>
        <w:tc>
          <w:tcPr>
            <w:tcW w:w="1680" w:type="dxa"/>
          </w:tcPr>
          <w:p w14:paraId="09AAD7F5">
            <w:pPr>
              <w:spacing w:line="240" w:lineRule="auto"/>
              <w:rPr>
                <w:rFonts w:ascii="Times New Roman" w:hAnsi="Times New Roman"/>
                <w:szCs w:val="21"/>
                <w:highlight w:val="none"/>
              </w:rPr>
            </w:pPr>
          </w:p>
        </w:tc>
        <w:tc>
          <w:tcPr>
            <w:tcW w:w="2205" w:type="dxa"/>
            <w:vMerge w:val="continue"/>
            <w:vAlign w:val="center"/>
          </w:tcPr>
          <w:p w14:paraId="783F1AD9">
            <w:pPr>
              <w:spacing w:line="240" w:lineRule="auto"/>
              <w:rPr>
                <w:rFonts w:ascii="Times New Roman" w:hAnsi="Times New Roman"/>
                <w:szCs w:val="21"/>
                <w:highlight w:val="none"/>
              </w:rPr>
            </w:pPr>
          </w:p>
        </w:tc>
        <w:tc>
          <w:tcPr>
            <w:tcW w:w="1680" w:type="dxa"/>
            <w:vMerge w:val="continue"/>
            <w:vAlign w:val="center"/>
          </w:tcPr>
          <w:p w14:paraId="58B8A194">
            <w:pPr>
              <w:spacing w:line="240" w:lineRule="auto"/>
              <w:rPr>
                <w:rFonts w:ascii="Times New Roman" w:hAnsi="Times New Roman"/>
                <w:szCs w:val="21"/>
                <w:highlight w:val="none"/>
              </w:rPr>
            </w:pPr>
          </w:p>
        </w:tc>
      </w:tr>
      <w:tr w14:paraId="6A53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40C09D2E">
            <w:pPr>
              <w:spacing w:line="240" w:lineRule="auto"/>
              <w:rPr>
                <w:rFonts w:ascii="Times New Roman" w:hAnsi="Times New Roman"/>
                <w:szCs w:val="21"/>
                <w:highlight w:val="none"/>
              </w:rPr>
            </w:pPr>
          </w:p>
        </w:tc>
        <w:tc>
          <w:tcPr>
            <w:tcW w:w="1769" w:type="dxa"/>
          </w:tcPr>
          <w:p w14:paraId="6073F399">
            <w:pPr>
              <w:spacing w:line="240" w:lineRule="auto"/>
              <w:rPr>
                <w:rFonts w:ascii="Times New Roman" w:hAnsi="Times New Roman"/>
                <w:szCs w:val="21"/>
                <w:highlight w:val="none"/>
              </w:rPr>
            </w:pPr>
          </w:p>
        </w:tc>
        <w:tc>
          <w:tcPr>
            <w:tcW w:w="1680" w:type="dxa"/>
          </w:tcPr>
          <w:p w14:paraId="3EA2C29A">
            <w:pPr>
              <w:spacing w:line="240" w:lineRule="auto"/>
              <w:rPr>
                <w:rFonts w:ascii="Times New Roman" w:hAnsi="Times New Roman"/>
                <w:szCs w:val="21"/>
                <w:highlight w:val="none"/>
              </w:rPr>
            </w:pPr>
          </w:p>
        </w:tc>
        <w:tc>
          <w:tcPr>
            <w:tcW w:w="2205" w:type="dxa"/>
            <w:vMerge w:val="continue"/>
            <w:vAlign w:val="center"/>
          </w:tcPr>
          <w:p w14:paraId="49FC0F44">
            <w:pPr>
              <w:spacing w:line="240" w:lineRule="auto"/>
              <w:rPr>
                <w:rFonts w:ascii="Times New Roman" w:hAnsi="Times New Roman"/>
                <w:szCs w:val="21"/>
                <w:highlight w:val="none"/>
              </w:rPr>
            </w:pPr>
          </w:p>
        </w:tc>
        <w:tc>
          <w:tcPr>
            <w:tcW w:w="1680" w:type="dxa"/>
            <w:vMerge w:val="continue"/>
            <w:vAlign w:val="center"/>
          </w:tcPr>
          <w:p w14:paraId="49248B99">
            <w:pPr>
              <w:spacing w:line="240" w:lineRule="auto"/>
              <w:rPr>
                <w:rFonts w:ascii="Times New Roman" w:hAnsi="Times New Roman"/>
                <w:szCs w:val="21"/>
                <w:highlight w:val="none"/>
              </w:rPr>
            </w:pPr>
          </w:p>
        </w:tc>
      </w:tr>
      <w:tr w14:paraId="6881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08CBA2A8">
            <w:pPr>
              <w:spacing w:line="240" w:lineRule="auto"/>
              <w:rPr>
                <w:rFonts w:ascii="Times New Roman" w:hAnsi="Times New Roman"/>
                <w:szCs w:val="21"/>
                <w:highlight w:val="none"/>
              </w:rPr>
            </w:pPr>
          </w:p>
        </w:tc>
        <w:tc>
          <w:tcPr>
            <w:tcW w:w="1769" w:type="dxa"/>
          </w:tcPr>
          <w:p w14:paraId="47B42E9E">
            <w:pPr>
              <w:spacing w:line="240" w:lineRule="auto"/>
              <w:rPr>
                <w:rFonts w:ascii="Times New Roman" w:hAnsi="Times New Roman"/>
                <w:szCs w:val="21"/>
                <w:highlight w:val="none"/>
              </w:rPr>
            </w:pPr>
          </w:p>
        </w:tc>
        <w:tc>
          <w:tcPr>
            <w:tcW w:w="1680" w:type="dxa"/>
          </w:tcPr>
          <w:p w14:paraId="18452C46">
            <w:pPr>
              <w:spacing w:line="240" w:lineRule="auto"/>
              <w:rPr>
                <w:rFonts w:ascii="Times New Roman" w:hAnsi="Times New Roman"/>
                <w:szCs w:val="21"/>
                <w:highlight w:val="none"/>
              </w:rPr>
            </w:pPr>
          </w:p>
        </w:tc>
        <w:tc>
          <w:tcPr>
            <w:tcW w:w="2205" w:type="dxa"/>
            <w:vMerge w:val="continue"/>
            <w:vAlign w:val="center"/>
          </w:tcPr>
          <w:p w14:paraId="6D1CE971">
            <w:pPr>
              <w:spacing w:line="240" w:lineRule="auto"/>
              <w:rPr>
                <w:rFonts w:ascii="Times New Roman" w:hAnsi="Times New Roman"/>
                <w:szCs w:val="21"/>
                <w:highlight w:val="none"/>
              </w:rPr>
            </w:pPr>
          </w:p>
        </w:tc>
        <w:tc>
          <w:tcPr>
            <w:tcW w:w="1680" w:type="dxa"/>
            <w:vMerge w:val="continue"/>
            <w:vAlign w:val="center"/>
          </w:tcPr>
          <w:p w14:paraId="4CB680CA">
            <w:pPr>
              <w:spacing w:line="240" w:lineRule="auto"/>
              <w:rPr>
                <w:rFonts w:ascii="Times New Roman" w:hAnsi="Times New Roman"/>
                <w:szCs w:val="21"/>
                <w:highlight w:val="none"/>
              </w:rPr>
            </w:pPr>
          </w:p>
        </w:tc>
      </w:tr>
      <w:tr w14:paraId="4A02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2DEFCC98">
            <w:pPr>
              <w:spacing w:line="240" w:lineRule="auto"/>
              <w:rPr>
                <w:rFonts w:ascii="Times New Roman" w:hAnsi="Times New Roman"/>
                <w:szCs w:val="21"/>
                <w:highlight w:val="none"/>
              </w:rPr>
            </w:pPr>
          </w:p>
        </w:tc>
        <w:tc>
          <w:tcPr>
            <w:tcW w:w="1769" w:type="dxa"/>
          </w:tcPr>
          <w:p w14:paraId="1D319389">
            <w:pPr>
              <w:spacing w:line="240" w:lineRule="auto"/>
              <w:rPr>
                <w:rFonts w:ascii="Times New Roman" w:hAnsi="Times New Roman"/>
                <w:szCs w:val="21"/>
                <w:highlight w:val="none"/>
              </w:rPr>
            </w:pPr>
          </w:p>
        </w:tc>
        <w:tc>
          <w:tcPr>
            <w:tcW w:w="1680" w:type="dxa"/>
          </w:tcPr>
          <w:p w14:paraId="4E425CCF">
            <w:pPr>
              <w:spacing w:line="240" w:lineRule="auto"/>
              <w:rPr>
                <w:rFonts w:ascii="Times New Roman" w:hAnsi="Times New Roman"/>
                <w:szCs w:val="21"/>
                <w:highlight w:val="none"/>
              </w:rPr>
            </w:pPr>
          </w:p>
        </w:tc>
        <w:tc>
          <w:tcPr>
            <w:tcW w:w="2205" w:type="dxa"/>
            <w:vMerge w:val="continue"/>
            <w:vAlign w:val="center"/>
          </w:tcPr>
          <w:p w14:paraId="7FFB14D6">
            <w:pPr>
              <w:spacing w:line="240" w:lineRule="auto"/>
              <w:rPr>
                <w:rFonts w:ascii="Times New Roman" w:hAnsi="Times New Roman"/>
                <w:szCs w:val="21"/>
                <w:highlight w:val="none"/>
              </w:rPr>
            </w:pPr>
          </w:p>
        </w:tc>
        <w:tc>
          <w:tcPr>
            <w:tcW w:w="1680" w:type="dxa"/>
            <w:vMerge w:val="continue"/>
            <w:vAlign w:val="center"/>
          </w:tcPr>
          <w:p w14:paraId="2F042E2C">
            <w:pPr>
              <w:spacing w:line="240" w:lineRule="auto"/>
              <w:rPr>
                <w:rFonts w:ascii="Times New Roman" w:hAnsi="Times New Roman"/>
                <w:szCs w:val="21"/>
                <w:highlight w:val="none"/>
              </w:rPr>
            </w:pPr>
          </w:p>
        </w:tc>
      </w:tr>
      <w:tr w14:paraId="581B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tcPr>
          <w:p w14:paraId="5997314A">
            <w:pPr>
              <w:spacing w:line="240" w:lineRule="auto"/>
              <w:rPr>
                <w:rFonts w:ascii="Times New Roman" w:hAnsi="Times New Roman"/>
                <w:szCs w:val="21"/>
                <w:highlight w:val="none"/>
              </w:rPr>
            </w:pPr>
          </w:p>
          <w:p w14:paraId="098BF4B1">
            <w:pPr>
              <w:spacing w:line="240" w:lineRule="auto"/>
              <w:rPr>
                <w:rFonts w:ascii="Times New Roman" w:hAnsi="Times New Roman"/>
                <w:szCs w:val="21"/>
                <w:highlight w:val="none"/>
              </w:rPr>
            </w:pPr>
          </w:p>
          <w:p w14:paraId="52DADFB2">
            <w:pPr>
              <w:spacing w:line="240" w:lineRule="auto"/>
              <w:rPr>
                <w:rFonts w:ascii="Times New Roman" w:hAnsi="Times New Roman"/>
                <w:szCs w:val="21"/>
                <w:highlight w:val="none"/>
              </w:rPr>
            </w:pPr>
          </w:p>
          <w:p w14:paraId="7BD2B866">
            <w:pPr>
              <w:spacing w:line="240" w:lineRule="auto"/>
              <w:rPr>
                <w:rFonts w:ascii="Times New Roman" w:hAnsi="Times New Roman"/>
                <w:szCs w:val="21"/>
                <w:highlight w:val="none"/>
              </w:rPr>
            </w:pPr>
          </w:p>
          <w:p w14:paraId="2742679E">
            <w:pPr>
              <w:spacing w:line="240" w:lineRule="auto"/>
              <w:rPr>
                <w:rFonts w:ascii="Times New Roman" w:hAnsi="Times New Roman"/>
                <w:szCs w:val="21"/>
                <w:highlight w:val="none"/>
              </w:rPr>
            </w:pPr>
          </w:p>
        </w:tc>
        <w:tc>
          <w:tcPr>
            <w:tcW w:w="1769" w:type="dxa"/>
          </w:tcPr>
          <w:p w14:paraId="6BA65ACD">
            <w:pPr>
              <w:spacing w:line="240" w:lineRule="auto"/>
              <w:rPr>
                <w:rFonts w:ascii="Times New Roman" w:hAnsi="Times New Roman"/>
                <w:szCs w:val="21"/>
                <w:highlight w:val="none"/>
              </w:rPr>
            </w:pPr>
          </w:p>
        </w:tc>
        <w:tc>
          <w:tcPr>
            <w:tcW w:w="1680" w:type="dxa"/>
          </w:tcPr>
          <w:p w14:paraId="38523DEA">
            <w:pPr>
              <w:spacing w:line="240" w:lineRule="auto"/>
              <w:rPr>
                <w:rFonts w:ascii="Times New Roman" w:hAnsi="Times New Roman"/>
                <w:szCs w:val="21"/>
                <w:highlight w:val="none"/>
              </w:rPr>
            </w:pPr>
          </w:p>
        </w:tc>
        <w:tc>
          <w:tcPr>
            <w:tcW w:w="2205" w:type="dxa"/>
            <w:vAlign w:val="center"/>
          </w:tcPr>
          <w:p w14:paraId="31E6A6CF">
            <w:pPr>
              <w:spacing w:line="240" w:lineRule="auto"/>
              <w:rPr>
                <w:rFonts w:ascii="Times New Roman" w:hAnsi="Times New Roman"/>
                <w:szCs w:val="21"/>
                <w:highlight w:val="none"/>
              </w:rPr>
            </w:pPr>
            <w:r>
              <w:rPr>
                <w:rFonts w:ascii="Times New Roman" w:hAnsi="宋体"/>
                <w:szCs w:val="21"/>
                <w:highlight w:val="none"/>
              </w:rPr>
              <w:t>腐蚀性</w:t>
            </w:r>
            <w:r>
              <w:rPr>
                <w:rFonts w:ascii="Times New Roman" w:hAnsi="Times New Roman"/>
                <w:szCs w:val="21"/>
                <w:highlight w:val="none"/>
              </w:rPr>
              <w:t xml:space="preserve">         □</w:t>
            </w:r>
          </w:p>
          <w:p w14:paraId="3D5D937F">
            <w:pPr>
              <w:spacing w:line="240" w:lineRule="auto"/>
              <w:rPr>
                <w:rFonts w:ascii="Times New Roman" w:hAnsi="Times New Roman"/>
                <w:szCs w:val="21"/>
                <w:highlight w:val="none"/>
              </w:rPr>
            </w:pPr>
            <w:r>
              <w:rPr>
                <w:rFonts w:ascii="Times New Roman" w:hAnsi="宋体"/>
                <w:szCs w:val="21"/>
                <w:highlight w:val="none"/>
              </w:rPr>
              <w:t>毒性</w:t>
            </w:r>
            <w:r>
              <w:rPr>
                <w:rFonts w:ascii="Times New Roman" w:hAnsi="Times New Roman"/>
                <w:szCs w:val="21"/>
                <w:highlight w:val="none"/>
              </w:rPr>
              <w:t xml:space="preserve">           □</w:t>
            </w:r>
          </w:p>
          <w:p w14:paraId="5F6E96B6">
            <w:pPr>
              <w:spacing w:line="240" w:lineRule="auto"/>
              <w:rPr>
                <w:rFonts w:ascii="Times New Roman" w:hAnsi="Times New Roman"/>
                <w:szCs w:val="21"/>
                <w:highlight w:val="none"/>
              </w:rPr>
            </w:pPr>
            <w:r>
              <w:rPr>
                <w:rFonts w:ascii="Times New Roman" w:hAnsi="宋体"/>
                <w:szCs w:val="21"/>
                <w:highlight w:val="none"/>
              </w:rPr>
              <w:t>易燃性</w:t>
            </w:r>
            <w:r>
              <w:rPr>
                <w:rFonts w:ascii="Times New Roman" w:hAnsi="Times New Roman"/>
                <w:szCs w:val="21"/>
                <w:highlight w:val="none"/>
              </w:rPr>
              <w:t xml:space="preserve">         □</w:t>
            </w:r>
          </w:p>
          <w:p w14:paraId="4E2E2BEA">
            <w:pPr>
              <w:spacing w:line="240" w:lineRule="auto"/>
              <w:rPr>
                <w:rFonts w:ascii="Times New Roman" w:hAnsi="Times New Roman"/>
                <w:szCs w:val="21"/>
                <w:highlight w:val="none"/>
              </w:rPr>
            </w:pPr>
            <w:r>
              <w:rPr>
                <w:rFonts w:ascii="Times New Roman" w:hAnsi="宋体"/>
                <w:szCs w:val="21"/>
                <w:highlight w:val="none"/>
              </w:rPr>
              <w:t>反应性</w:t>
            </w:r>
            <w:r>
              <w:rPr>
                <w:rFonts w:ascii="Times New Roman" w:hAnsi="Times New Roman"/>
                <w:szCs w:val="21"/>
                <w:highlight w:val="none"/>
              </w:rPr>
              <w:t xml:space="preserve">         □</w:t>
            </w:r>
          </w:p>
          <w:p w14:paraId="08C4567E">
            <w:pPr>
              <w:spacing w:line="240" w:lineRule="auto"/>
              <w:rPr>
                <w:rFonts w:ascii="Times New Roman" w:hAnsi="Times New Roman"/>
                <w:szCs w:val="21"/>
                <w:highlight w:val="none"/>
              </w:rPr>
            </w:pPr>
            <w:r>
              <w:rPr>
                <w:rFonts w:ascii="Times New Roman" w:hAnsi="宋体"/>
                <w:szCs w:val="21"/>
                <w:highlight w:val="none"/>
              </w:rPr>
              <w:t>感染性</w:t>
            </w:r>
            <w:r>
              <w:rPr>
                <w:rFonts w:ascii="Times New Roman" w:hAnsi="Times New Roman"/>
                <w:szCs w:val="21"/>
                <w:highlight w:val="none"/>
              </w:rPr>
              <w:t xml:space="preserve">         □</w:t>
            </w:r>
          </w:p>
        </w:tc>
        <w:tc>
          <w:tcPr>
            <w:tcW w:w="1680" w:type="dxa"/>
            <w:vAlign w:val="center"/>
          </w:tcPr>
          <w:p w14:paraId="15BA5B74">
            <w:pPr>
              <w:spacing w:line="240" w:lineRule="auto"/>
              <w:rPr>
                <w:rFonts w:ascii="Times New Roman" w:hAnsi="Times New Roman"/>
                <w:szCs w:val="21"/>
                <w:highlight w:val="none"/>
              </w:rPr>
            </w:pPr>
            <w:r>
              <w:rPr>
                <w:rFonts w:ascii="Times New Roman" w:hAnsi="宋体"/>
                <w:szCs w:val="21"/>
                <w:highlight w:val="none"/>
              </w:rPr>
              <w:t>固态</w:t>
            </w:r>
            <w:r>
              <w:rPr>
                <w:rFonts w:ascii="Times New Roman" w:hAnsi="Times New Roman"/>
                <w:szCs w:val="21"/>
                <w:highlight w:val="none"/>
              </w:rPr>
              <w:t xml:space="preserve">       □</w:t>
            </w:r>
          </w:p>
          <w:p w14:paraId="0C6068BA">
            <w:pPr>
              <w:spacing w:line="240" w:lineRule="auto"/>
              <w:rPr>
                <w:rFonts w:ascii="Times New Roman" w:hAnsi="Times New Roman"/>
                <w:szCs w:val="21"/>
                <w:highlight w:val="none"/>
              </w:rPr>
            </w:pPr>
            <w:r>
              <w:rPr>
                <w:rFonts w:ascii="Times New Roman" w:hAnsi="宋体"/>
                <w:szCs w:val="21"/>
                <w:highlight w:val="none"/>
              </w:rPr>
              <w:t>半固态</w:t>
            </w:r>
            <w:r>
              <w:rPr>
                <w:rFonts w:ascii="Times New Roman" w:hAnsi="Times New Roman"/>
                <w:szCs w:val="21"/>
                <w:highlight w:val="none"/>
              </w:rPr>
              <w:t xml:space="preserve">     □</w:t>
            </w:r>
          </w:p>
          <w:p w14:paraId="2493A84B">
            <w:pPr>
              <w:spacing w:line="240" w:lineRule="auto"/>
              <w:rPr>
                <w:rFonts w:ascii="Times New Roman" w:hAnsi="Times New Roman"/>
                <w:szCs w:val="21"/>
                <w:highlight w:val="none"/>
              </w:rPr>
            </w:pPr>
            <w:r>
              <w:rPr>
                <w:rFonts w:ascii="Times New Roman" w:hAnsi="宋体"/>
                <w:szCs w:val="21"/>
                <w:highlight w:val="none"/>
              </w:rPr>
              <w:t>粉末态</w:t>
            </w:r>
            <w:r>
              <w:rPr>
                <w:rFonts w:ascii="Times New Roman" w:hAnsi="Times New Roman"/>
                <w:szCs w:val="21"/>
                <w:highlight w:val="none"/>
              </w:rPr>
              <w:t xml:space="preserve">     □</w:t>
            </w:r>
          </w:p>
          <w:p w14:paraId="0B78120E">
            <w:pPr>
              <w:spacing w:line="240" w:lineRule="auto"/>
              <w:rPr>
                <w:rFonts w:ascii="Times New Roman" w:hAnsi="Times New Roman"/>
                <w:szCs w:val="21"/>
                <w:highlight w:val="none"/>
              </w:rPr>
            </w:pPr>
            <w:r>
              <w:rPr>
                <w:rFonts w:ascii="Times New Roman" w:hAnsi="宋体"/>
                <w:szCs w:val="21"/>
                <w:highlight w:val="none"/>
              </w:rPr>
              <w:t>颗粒态</w:t>
            </w:r>
            <w:r>
              <w:rPr>
                <w:rFonts w:ascii="Times New Roman" w:hAnsi="Times New Roman"/>
                <w:szCs w:val="21"/>
                <w:highlight w:val="none"/>
              </w:rPr>
              <w:t xml:space="preserve">     □</w:t>
            </w:r>
          </w:p>
          <w:p w14:paraId="4D4092B4">
            <w:pPr>
              <w:spacing w:line="240" w:lineRule="auto"/>
              <w:rPr>
                <w:rFonts w:ascii="Times New Roman" w:hAnsi="Times New Roman"/>
                <w:szCs w:val="21"/>
                <w:highlight w:val="none"/>
              </w:rPr>
            </w:pPr>
            <w:r>
              <w:rPr>
                <w:rFonts w:ascii="Times New Roman" w:hAnsi="宋体"/>
                <w:szCs w:val="21"/>
                <w:highlight w:val="none"/>
              </w:rPr>
              <w:t>液态</w:t>
            </w:r>
            <w:r>
              <w:rPr>
                <w:rFonts w:ascii="Times New Roman" w:hAnsi="Times New Roman"/>
                <w:szCs w:val="21"/>
                <w:highlight w:val="none"/>
              </w:rPr>
              <w:t xml:space="preserve">       □</w:t>
            </w:r>
          </w:p>
        </w:tc>
      </w:tr>
    </w:tbl>
    <w:p w14:paraId="4AC52844">
      <w:pPr>
        <w:rPr>
          <w:rFonts w:ascii="Times New Roman" w:hAnsi="Times New Roman" w:eastAsia="黑体"/>
          <w:sz w:val="28"/>
          <w:szCs w:val="28"/>
        </w:rPr>
      </w:pPr>
      <w:r>
        <w:rPr>
          <w:rFonts w:ascii="Times New Roman" w:eastAsia="黑体"/>
          <w:sz w:val="28"/>
          <w:szCs w:val="28"/>
        </w:rPr>
        <w:t>第二部分：废物包装、运输情况</w:t>
      </w:r>
    </w:p>
    <w:tbl>
      <w:tblPr>
        <w:tblStyle w:val="9"/>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841"/>
        <w:gridCol w:w="2095"/>
        <w:gridCol w:w="1194"/>
        <w:gridCol w:w="1379"/>
        <w:gridCol w:w="1716"/>
      </w:tblGrid>
      <w:tr w14:paraId="30A4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9" w:hRule="atLeast"/>
        </w:trPr>
        <w:tc>
          <w:tcPr>
            <w:tcW w:w="9240" w:type="dxa"/>
            <w:gridSpan w:val="6"/>
            <w:vAlign w:val="center"/>
          </w:tcPr>
          <w:p w14:paraId="55A62E74">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14:paraId="1A9F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14:paraId="3E24BC04">
            <w:pPr>
              <w:jc w:val="center"/>
              <w:rPr>
                <w:rFonts w:ascii="Times New Roman" w:hAnsi="Times New Roman"/>
              </w:rPr>
            </w:pPr>
            <w:r>
              <w:rPr>
                <w:rFonts w:ascii="Times New Roman"/>
              </w:rPr>
              <w:t>序号</w:t>
            </w:r>
          </w:p>
        </w:tc>
        <w:tc>
          <w:tcPr>
            <w:tcW w:w="1841" w:type="dxa"/>
            <w:vAlign w:val="center"/>
          </w:tcPr>
          <w:p w14:paraId="57F84809">
            <w:pPr>
              <w:jc w:val="center"/>
              <w:rPr>
                <w:rFonts w:ascii="Times New Roman" w:hAnsi="Times New Roman"/>
              </w:rPr>
            </w:pPr>
            <w:r>
              <w:rPr>
                <w:rFonts w:ascii="Times New Roman"/>
              </w:rPr>
              <w:t>废物名称</w:t>
            </w:r>
          </w:p>
        </w:tc>
        <w:tc>
          <w:tcPr>
            <w:tcW w:w="2095" w:type="dxa"/>
            <w:vAlign w:val="center"/>
          </w:tcPr>
          <w:p w14:paraId="688A4B01">
            <w:pPr>
              <w:jc w:val="center"/>
              <w:rPr>
                <w:rFonts w:ascii="Times New Roman" w:hAnsi="Times New Roman"/>
              </w:rPr>
            </w:pPr>
            <w:r>
              <w:rPr>
                <w:rFonts w:ascii="Times New Roman"/>
              </w:rPr>
              <w:t>包装物（容器）名称</w:t>
            </w:r>
          </w:p>
        </w:tc>
        <w:tc>
          <w:tcPr>
            <w:tcW w:w="1194" w:type="dxa"/>
            <w:vAlign w:val="center"/>
          </w:tcPr>
          <w:p w14:paraId="438757AD">
            <w:pPr>
              <w:jc w:val="center"/>
              <w:rPr>
                <w:rFonts w:ascii="Times New Roman" w:hAnsi="Times New Roman"/>
              </w:rPr>
            </w:pPr>
            <w:r>
              <w:rPr>
                <w:rFonts w:ascii="Times New Roman"/>
              </w:rPr>
              <w:t>材质</w:t>
            </w:r>
          </w:p>
        </w:tc>
        <w:tc>
          <w:tcPr>
            <w:tcW w:w="1379" w:type="dxa"/>
            <w:vAlign w:val="center"/>
          </w:tcPr>
          <w:p w14:paraId="439E8E2B">
            <w:pPr>
              <w:jc w:val="center"/>
              <w:rPr>
                <w:rFonts w:ascii="Times New Roman" w:hAnsi="Times New Roman"/>
              </w:rPr>
            </w:pPr>
            <w:r>
              <w:rPr>
                <w:rFonts w:ascii="Times New Roman"/>
              </w:rPr>
              <w:t>容积</w:t>
            </w:r>
          </w:p>
        </w:tc>
        <w:tc>
          <w:tcPr>
            <w:tcW w:w="1716" w:type="dxa"/>
            <w:vAlign w:val="center"/>
          </w:tcPr>
          <w:p w14:paraId="2E72DB9E">
            <w:pPr>
              <w:jc w:val="center"/>
              <w:rPr>
                <w:rFonts w:ascii="Times New Roman" w:hAnsi="Times New Roman"/>
              </w:rPr>
            </w:pPr>
            <w:r>
              <w:rPr>
                <w:rFonts w:ascii="Times New Roman"/>
              </w:rPr>
              <w:t>是否有危废标签</w:t>
            </w:r>
          </w:p>
        </w:tc>
      </w:tr>
      <w:tr w14:paraId="2AC9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exact"/>
        </w:trPr>
        <w:tc>
          <w:tcPr>
            <w:tcW w:w="1015" w:type="dxa"/>
            <w:vAlign w:val="center"/>
          </w:tcPr>
          <w:p w14:paraId="42CE2CB8">
            <w:pPr>
              <w:jc w:val="center"/>
              <w:rPr>
                <w:rFonts w:ascii="Times New Roman" w:hAnsi="Times New Roman"/>
              </w:rPr>
            </w:pPr>
            <w:r>
              <w:rPr>
                <w:rFonts w:hint="eastAsia" w:ascii="Times New Roman" w:hAnsi="Times New Roman"/>
              </w:rPr>
              <w:t>1</w:t>
            </w:r>
          </w:p>
        </w:tc>
        <w:tc>
          <w:tcPr>
            <w:tcW w:w="1841" w:type="dxa"/>
            <w:vAlign w:val="center"/>
          </w:tcPr>
          <w:p w14:paraId="4770F39B">
            <w:pPr>
              <w:jc w:val="center"/>
              <w:rPr>
                <w:rFonts w:ascii="Times New Roman" w:hAnsi="Times New Roman"/>
              </w:rPr>
            </w:pPr>
            <w:r>
              <w:rPr>
                <w:rFonts w:hint="eastAsia" w:hAnsi="宋体"/>
                <w:szCs w:val="21"/>
              </w:rPr>
              <w:t>200L</w:t>
            </w:r>
            <w:r>
              <w:rPr>
                <w:rFonts w:hint="eastAsia" w:hAnsi="宋体"/>
                <w:szCs w:val="21"/>
                <w:lang w:val="en-US" w:eastAsia="zh-CN"/>
              </w:rPr>
              <w:t>铁</w:t>
            </w:r>
            <w:r>
              <w:rPr>
                <w:rFonts w:hint="eastAsia" w:hAnsi="宋体"/>
                <w:szCs w:val="21"/>
              </w:rPr>
              <w:t>桶</w:t>
            </w:r>
          </w:p>
        </w:tc>
        <w:tc>
          <w:tcPr>
            <w:tcW w:w="2095" w:type="dxa"/>
            <w:vAlign w:val="center"/>
          </w:tcPr>
          <w:p w14:paraId="188730AF">
            <w:pPr>
              <w:jc w:val="center"/>
              <w:rPr>
                <w:rFonts w:ascii="Times New Roman" w:hAnsi="Times New Roman"/>
              </w:rPr>
            </w:pPr>
            <w:r>
              <w:rPr>
                <w:rFonts w:hint="eastAsia"/>
              </w:rPr>
              <w:t>废包装桶</w:t>
            </w:r>
          </w:p>
        </w:tc>
        <w:tc>
          <w:tcPr>
            <w:tcW w:w="1194" w:type="dxa"/>
            <w:vAlign w:val="center"/>
          </w:tcPr>
          <w:p w14:paraId="3C5E8ACE">
            <w:pPr>
              <w:jc w:val="center"/>
              <w:rPr>
                <w:rFonts w:hint="eastAsia"/>
              </w:rPr>
            </w:pPr>
            <w:r>
              <w:rPr>
                <w:rFonts w:hint="eastAsia"/>
              </w:rPr>
              <w:t>铁</w:t>
            </w:r>
          </w:p>
        </w:tc>
        <w:tc>
          <w:tcPr>
            <w:tcW w:w="1379" w:type="dxa"/>
            <w:vAlign w:val="center"/>
          </w:tcPr>
          <w:p w14:paraId="2B3CFB30">
            <w:pPr>
              <w:jc w:val="center"/>
              <w:rPr>
                <w:rFonts w:hint="default" w:eastAsia="宋体"/>
                <w:lang w:val="en-US" w:eastAsia="zh-CN"/>
              </w:rPr>
            </w:pPr>
            <w:r>
              <w:rPr>
                <w:rFonts w:hint="eastAsia"/>
                <w:lang w:val="en-US" w:eastAsia="zh-CN"/>
              </w:rPr>
              <w:t>200L</w:t>
            </w:r>
          </w:p>
        </w:tc>
        <w:tc>
          <w:tcPr>
            <w:tcW w:w="1716" w:type="dxa"/>
            <w:vAlign w:val="center"/>
          </w:tcPr>
          <w:p w14:paraId="5D15DFD0">
            <w:pPr>
              <w:jc w:val="center"/>
              <w:rPr>
                <w:rFonts w:ascii="Times New Roman" w:hAnsi="Times New Roman"/>
              </w:rPr>
            </w:pPr>
            <w:r>
              <w:rPr>
                <w:rFonts w:hint="eastAsia"/>
              </w:rPr>
              <w:t>有</w:t>
            </w:r>
          </w:p>
        </w:tc>
      </w:tr>
      <w:tr w14:paraId="76B4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411257DC">
            <w:pPr>
              <w:rPr>
                <w:rFonts w:ascii="Times New Roman" w:hAnsi="Times New Roman"/>
              </w:rPr>
            </w:pPr>
          </w:p>
        </w:tc>
        <w:tc>
          <w:tcPr>
            <w:tcW w:w="1841" w:type="dxa"/>
          </w:tcPr>
          <w:p w14:paraId="4D560C02">
            <w:pPr>
              <w:rPr>
                <w:rFonts w:ascii="Times New Roman" w:hAnsi="Times New Roman"/>
              </w:rPr>
            </w:pPr>
          </w:p>
        </w:tc>
        <w:tc>
          <w:tcPr>
            <w:tcW w:w="2095" w:type="dxa"/>
          </w:tcPr>
          <w:p w14:paraId="7AD42E2F">
            <w:pPr>
              <w:rPr>
                <w:rFonts w:ascii="Times New Roman" w:hAnsi="Times New Roman"/>
              </w:rPr>
            </w:pPr>
          </w:p>
        </w:tc>
        <w:tc>
          <w:tcPr>
            <w:tcW w:w="1194" w:type="dxa"/>
          </w:tcPr>
          <w:p w14:paraId="2BBDC169">
            <w:pPr>
              <w:rPr>
                <w:rFonts w:ascii="Times New Roman" w:hAnsi="Times New Roman"/>
              </w:rPr>
            </w:pPr>
          </w:p>
        </w:tc>
        <w:tc>
          <w:tcPr>
            <w:tcW w:w="1379" w:type="dxa"/>
          </w:tcPr>
          <w:p w14:paraId="4E9A8A1E">
            <w:pPr>
              <w:rPr>
                <w:rFonts w:ascii="Times New Roman" w:hAnsi="Times New Roman"/>
              </w:rPr>
            </w:pPr>
          </w:p>
        </w:tc>
        <w:tc>
          <w:tcPr>
            <w:tcW w:w="1716" w:type="dxa"/>
          </w:tcPr>
          <w:p w14:paraId="4A460716">
            <w:pPr>
              <w:rPr>
                <w:rFonts w:ascii="Times New Roman" w:hAnsi="Times New Roman"/>
              </w:rPr>
            </w:pPr>
          </w:p>
        </w:tc>
      </w:tr>
      <w:tr w14:paraId="0B75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222ABBD7">
            <w:pPr>
              <w:rPr>
                <w:rFonts w:ascii="Times New Roman" w:hAnsi="Times New Roman"/>
              </w:rPr>
            </w:pPr>
          </w:p>
        </w:tc>
        <w:tc>
          <w:tcPr>
            <w:tcW w:w="1841" w:type="dxa"/>
          </w:tcPr>
          <w:p w14:paraId="2A90EFE0">
            <w:pPr>
              <w:rPr>
                <w:rFonts w:ascii="Times New Roman" w:hAnsi="Times New Roman"/>
              </w:rPr>
            </w:pPr>
          </w:p>
        </w:tc>
        <w:tc>
          <w:tcPr>
            <w:tcW w:w="2095" w:type="dxa"/>
          </w:tcPr>
          <w:p w14:paraId="7CE5944A">
            <w:pPr>
              <w:rPr>
                <w:rFonts w:ascii="Times New Roman" w:hAnsi="Times New Roman"/>
              </w:rPr>
            </w:pPr>
          </w:p>
        </w:tc>
        <w:tc>
          <w:tcPr>
            <w:tcW w:w="1194" w:type="dxa"/>
          </w:tcPr>
          <w:p w14:paraId="6AEC4F54">
            <w:pPr>
              <w:rPr>
                <w:rFonts w:ascii="Times New Roman" w:hAnsi="Times New Roman"/>
              </w:rPr>
            </w:pPr>
          </w:p>
        </w:tc>
        <w:tc>
          <w:tcPr>
            <w:tcW w:w="1379" w:type="dxa"/>
          </w:tcPr>
          <w:p w14:paraId="33419D12">
            <w:pPr>
              <w:rPr>
                <w:rFonts w:ascii="Times New Roman" w:hAnsi="Times New Roman"/>
              </w:rPr>
            </w:pPr>
          </w:p>
        </w:tc>
        <w:tc>
          <w:tcPr>
            <w:tcW w:w="1716" w:type="dxa"/>
          </w:tcPr>
          <w:p w14:paraId="62BB1705">
            <w:pPr>
              <w:rPr>
                <w:rFonts w:ascii="Times New Roman" w:hAnsi="Times New Roman"/>
              </w:rPr>
            </w:pPr>
          </w:p>
        </w:tc>
      </w:tr>
    </w:tbl>
    <w:tbl>
      <w:tblPr>
        <w:tblStyle w:val="9"/>
        <w:tblpPr w:leftFromText="180" w:rightFromText="180" w:vertAnchor="text" w:horzAnchor="page" w:tblpX="1343" w:tblpY="1011"/>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023B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40" w:type="dxa"/>
            <w:vAlign w:val="center"/>
          </w:tcPr>
          <w:p w14:paraId="4CA512BD">
            <w:pPr>
              <w:rPr>
                <w:rFonts w:ascii="Times New Roman" w:hAnsi="Times New Roman"/>
                <w:b/>
                <w:bCs/>
                <w:szCs w:val="24"/>
              </w:rPr>
            </w:pPr>
            <w:r>
              <w:rPr>
                <w:rFonts w:ascii="Times New Roman"/>
                <w:b/>
                <w:bCs/>
                <w:szCs w:val="24"/>
              </w:rPr>
              <w:t>表</w:t>
            </w:r>
            <w:r>
              <w:rPr>
                <w:rFonts w:ascii="Times New Roman" w:hAnsi="Times New Roman"/>
                <w:b/>
                <w:bCs/>
                <w:szCs w:val="24"/>
              </w:rPr>
              <w:t xml:space="preserve">2  </w:t>
            </w:r>
            <w:r>
              <w:rPr>
                <w:rFonts w:ascii="Times New Roman"/>
                <w:b/>
                <w:bCs/>
                <w:szCs w:val="24"/>
              </w:rPr>
              <w:t>废物运输情况</w:t>
            </w:r>
          </w:p>
        </w:tc>
      </w:tr>
      <w:tr w14:paraId="4D74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9240" w:type="dxa"/>
          </w:tcPr>
          <w:p w14:paraId="18FDFB1C">
            <w:pPr>
              <w:rPr>
                <w:rFonts w:ascii="Times New Roman" w:hAnsi="Times New Roman"/>
                <w:szCs w:val="24"/>
              </w:rPr>
            </w:pPr>
            <w:r>
              <w:rPr>
                <w:rFonts w:ascii="Times New Roman"/>
                <w:szCs w:val="24"/>
              </w:rPr>
              <w:t>运输是否符合交管部门运输相关规定（文字描述）</w:t>
            </w:r>
          </w:p>
          <w:p w14:paraId="7CBEFF59">
            <w:pPr>
              <w:rPr>
                <w:rFonts w:ascii="Times New Roman" w:hAnsi="Times New Roman"/>
                <w:szCs w:val="24"/>
              </w:rPr>
            </w:pPr>
            <w:r>
              <w:rPr>
                <w:rFonts w:hint="eastAsia"/>
                <w:szCs w:val="24"/>
              </w:rPr>
              <w:t>危废运输是严格按照环保要求，找寻有相关资质的单位负责本公司的危废运输工作。是严格按照佳通部门运输相关规定的。</w:t>
            </w:r>
          </w:p>
        </w:tc>
      </w:tr>
      <w:tr w14:paraId="3394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240" w:type="dxa"/>
            <w:vAlign w:val="center"/>
          </w:tcPr>
          <w:p w14:paraId="74DC22D7">
            <w:pPr>
              <w:rPr>
                <w:rFonts w:hint="eastAsia" w:ascii="Times New Roman" w:hAnsi="Times New Roman" w:eastAsia="宋体"/>
                <w:szCs w:val="24"/>
                <w:lang w:eastAsia="zh-CN"/>
              </w:rPr>
            </w:pPr>
            <w:r>
              <mc:AlternateContent>
                <mc:Choice Requires="wps">
                  <w:drawing>
                    <wp:anchor distT="0" distB="0" distL="114300" distR="114300" simplePos="0" relativeHeight="251659264" behindDoc="0" locked="0" layoutInCell="1" allowOverlap="1">
                      <wp:simplePos x="0" y="0"/>
                      <wp:positionH relativeFrom="column">
                        <wp:posOffset>1550035</wp:posOffset>
                      </wp:positionH>
                      <wp:positionV relativeFrom="paragraph">
                        <wp:posOffset>191770</wp:posOffset>
                      </wp:positionV>
                      <wp:extent cx="95250" cy="75565"/>
                      <wp:effectExtent l="4445" t="4445" r="14605" b="15240"/>
                      <wp:wrapNone/>
                      <wp:docPr id="2" name="矩形 1"/>
                      <wp:cNvGraphicFramePr/>
                      <a:graphic xmlns:a="http://schemas.openxmlformats.org/drawingml/2006/main">
                        <a:graphicData uri="http://schemas.microsoft.com/office/word/2010/wordprocessingShape">
                          <wps:wsp>
                            <wps:cNvSpPr/>
                            <wps:spPr>
                              <a:xfrm>
                                <a:off x="2125980" y="7772400"/>
                                <a:ext cx="95250" cy="75565"/>
                              </a:xfrm>
                              <a:prstGeom prst="rect">
                                <a:avLst/>
                              </a:prstGeom>
                              <a:noFill/>
                              <a:ln w="9525" cap="flat" cmpd="sng" algn="ctr">
                                <a:solidFill>
                                  <a:srgbClr val="000000"/>
                                </a:solidFill>
                                <a:prstDash val="solid"/>
                              </a:ln>
                              <a:effectLst/>
                            </wps:spPr>
                            <wps:txbx>
                              <w:txbxContent>
                                <w:p w14:paraId="274ACD3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122.05pt;margin-top:15.1pt;height:5.95pt;width:7.5pt;z-index:251659264;v-text-anchor:middle;mso-width-relative:page;mso-height-relative:page;" filled="f" stroked="t" coordsize="21600,21600" o:gfxdata="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bfRKLYAAAACQEAAA8AAAAAAAAAAQAgAAAAIgAAAGRycy9kb3ducmV2&#10;LnhtbFBLAQIUABQAAAAIAIdO4kDiXmsEbgIAANUEAAAOAAAAAAAAAAEAIAAAACcBAABkcnMvZTJv&#10;RG9jLnhtbFBLBQYAAAAABgAGAFkBAAAHBgAAAAA=&#10;">
                      <v:fill on="f" focussize="0,0"/>
                      <v:stroke color="#000000" joinstyle="round"/>
                      <v:imagedata o:title=""/>
                      <o:lock v:ext="edit" aspectratio="f"/>
                      <v:textbox>
                        <w:txbxContent>
                          <w:p w14:paraId="274ACD3E">
                            <w:pPr>
                              <w:jc w:val="center"/>
                            </w:pPr>
                          </w:p>
                        </w:txbxContent>
                      </v:textbox>
                    </v:rect>
                  </w:pict>
                </mc:Fallback>
              </mc:AlternateContent>
            </w:r>
            <w:r>
              <w:rPr>
                <w:rFonts w:ascii="Times New Roman"/>
                <w:szCs w:val="24"/>
              </w:rPr>
              <w:t>运输方式：道路</w:t>
            </w:r>
            <w:r>
              <w:rPr>
                <w:rFonts w:ascii="Arial" w:hAnsi="Arial" w:cs="Arial"/>
              </w:rPr>
              <w:t>√</w:t>
            </w:r>
            <w:r>
              <w:rPr>
                <w:rFonts w:hint="eastAsia" w:ascii="Arial" w:hAnsi="Arial" w:cs="Arial"/>
                <w:lang w:val="en-US" w:eastAsia="zh-CN"/>
              </w:rPr>
              <w:t xml:space="preserve">  </w:t>
            </w:r>
            <w:r>
              <w:rPr>
                <w:rFonts w:ascii="Times New Roman" w:hAnsi="宋体"/>
                <w:szCs w:val="24"/>
              </w:rPr>
              <w:t>铁路</w:t>
            </w:r>
            <w:r>
              <w:rPr>
                <w:rFonts w:ascii="Times New Roman" w:hAnsi="Times New Roman"/>
                <w:szCs w:val="24"/>
              </w:rPr>
              <w:t xml:space="preserve">      </w:t>
            </w:r>
            <w:r>
              <w:rPr>
                <w:rFonts w:ascii="Times New Roman" w:hAnsi="宋体"/>
                <w:szCs w:val="24"/>
              </w:rPr>
              <w:t>水路</w:t>
            </w:r>
            <w:r>
              <w:rPr>
                <w:rFonts w:ascii="Times New Roman" w:hAnsi="Times New Roman"/>
                <w:szCs w:val="24"/>
              </w:rPr>
              <w:t xml:space="preserve"> </w:t>
            </w:r>
            <w:r>
              <w:rPr>
                <w:rFonts w:hint="eastAsia" w:ascii="Times New Roman" w:hAnsi="Times New Roman"/>
                <w:szCs w:val="24"/>
                <w:lang w:eastAsia="zh-CN"/>
              </w:rPr>
              <w:t>□</w:t>
            </w:r>
          </w:p>
        </w:tc>
      </w:tr>
      <w:tr w14:paraId="660E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5" w:hRule="atLeast"/>
        </w:trPr>
        <w:tc>
          <w:tcPr>
            <w:tcW w:w="9240" w:type="dxa"/>
          </w:tcPr>
          <w:p w14:paraId="2A2F4037">
            <w:pPr>
              <w:rPr>
                <w:rFonts w:ascii="Times New Roman"/>
                <w:szCs w:val="24"/>
              </w:rPr>
            </w:pPr>
            <w:r>
              <w:rPr>
                <w:rFonts w:ascii="Times New Roman"/>
                <w:szCs w:val="24"/>
              </w:rPr>
              <w:t>运输路线文字描述：（写明途经省、市、县（区），附路线图）</w:t>
            </w:r>
          </w:p>
          <w:p w14:paraId="213B8330">
            <w:r>
              <w:rPr>
                <w:rFonts w:hint="eastAsia"/>
              </w:rPr>
              <w:t>运输路线：</w:t>
            </w:r>
            <w:r>
              <w:rPr>
                <w:rFonts w:hint="eastAsia"/>
                <w:lang w:eastAsia="zh-CN"/>
              </w:rPr>
              <w:t>上海金山区</w:t>
            </w:r>
            <w:r>
              <w:rPr>
                <w:rFonts w:hint="default" w:ascii="Arial" w:hAnsi="Arial" w:cs="Arial"/>
                <w:lang w:eastAsia="zh-CN"/>
              </w:rPr>
              <w:t>→</w:t>
            </w:r>
            <w:r>
              <w:rPr>
                <w:rFonts w:hint="eastAsia"/>
                <w:lang w:eastAsia="zh-CN"/>
              </w:rPr>
              <w:t>龙海路</w:t>
            </w:r>
            <w:r>
              <w:rPr>
                <w:rFonts w:hint="default" w:ascii="Arial" w:hAnsi="Arial" w:cs="Arial"/>
                <w:lang w:eastAsia="zh-CN"/>
              </w:rPr>
              <w:t>→</w:t>
            </w:r>
            <w:r>
              <w:rPr>
                <w:rFonts w:hint="eastAsia" w:ascii="Arial" w:hAnsi="Arial" w:cs="Arial"/>
                <w:lang w:eastAsia="zh-CN"/>
              </w:rPr>
              <w:t>海云路</w:t>
            </w:r>
            <w:r>
              <w:rPr>
                <w:rFonts w:hint="default" w:ascii="Arial" w:hAnsi="Arial" w:cs="Arial"/>
                <w:lang w:eastAsia="zh-CN"/>
              </w:rPr>
              <w:t>→</w:t>
            </w:r>
            <w:r>
              <w:rPr>
                <w:rFonts w:hint="eastAsia" w:ascii="Arial" w:hAnsi="Arial" w:cs="Arial"/>
                <w:lang w:eastAsia="zh-CN"/>
              </w:rPr>
              <w:t>金山大道</w:t>
            </w:r>
            <w:r>
              <w:rPr>
                <w:rFonts w:hint="default" w:ascii="Arial" w:hAnsi="Arial" w:cs="Arial"/>
                <w:lang w:eastAsia="zh-CN"/>
              </w:rPr>
              <w:t>→</w:t>
            </w:r>
            <w:r>
              <w:rPr>
                <w:rFonts w:hint="eastAsia" w:ascii="Arial" w:hAnsi="Arial" w:cs="Arial"/>
                <w:lang w:eastAsia="zh-CN"/>
              </w:rPr>
              <w:t>新卫高速</w:t>
            </w:r>
            <w:r>
              <w:rPr>
                <w:rFonts w:hint="default" w:ascii="Arial" w:hAnsi="Arial" w:cs="Arial"/>
                <w:lang w:eastAsia="zh-CN"/>
              </w:rPr>
              <w:t>→</w:t>
            </w:r>
            <w:r>
              <w:rPr>
                <w:rFonts w:hint="eastAsia" w:ascii="Arial" w:hAnsi="Arial" w:cs="Arial"/>
                <w:lang w:eastAsia="zh-CN"/>
              </w:rPr>
              <w:t>上海绕城高速</w:t>
            </w:r>
            <w:r>
              <w:rPr>
                <w:rFonts w:hint="default" w:ascii="Arial" w:hAnsi="Arial" w:cs="Arial"/>
                <w:lang w:eastAsia="zh-CN"/>
              </w:rPr>
              <w:t>→</w:t>
            </w:r>
            <w:r>
              <w:rPr>
                <w:rFonts w:hint="eastAsia" w:ascii="Arial" w:hAnsi="Arial" w:cs="Arial"/>
                <w:lang w:eastAsia="zh-CN"/>
              </w:rPr>
              <w:t>京沪高速</w:t>
            </w:r>
            <w:r>
              <w:rPr>
                <w:rFonts w:hint="default" w:ascii="Arial" w:hAnsi="Arial" w:cs="Arial"/>
                <w:lang w:eastAsia="zh-CN"/>
              </w:rPr>
              <w:t>→</w:t>
            </w:r>
            <w:r>
              <w:rPr>
                <w:rFonts w:hint="eastAsia" w:ascii="Arial" w:hAnsi="Arial" w:cs="Arial"/>
                <w:lang w:eastAsia="zh-CN"/>
              </w:rPr>
              <w:t>沪蓉高速</w:t>
            </w:r>
            <w:r>
              <w:rPr>
                <w:rFonts w:hint="default" w:ascii="Arial" w:hAnsi="Arial" w:cs="Arial"/>
                <w:lang w:eastAsia="zh-CN"/>
              </w:rPr>
              <w:t>→</w:t>
            </w:r>
            <w:r>
              <w:rPr>
                <w:rFonts w:hint="eastAsia" w:ascii="Arial" w:hAnsi="Arial" w:cs="Arial"/>
                <w:lang w:eastAsia="zh-CN"/>
              </w:rPr>
              <w:t>常合高速</w:t>
            </w:r>
            <w:r>
              <w:rPr>
                <w:rFonts w:hint="default" w:ascii="Arial" w:hAnsi="Arial" w:cs="Arial"/>
                <w:lang w:eastAsia="zh-CN"/>
              </w:rPr>
              <w:t>→</w:t>
            </w:r>
            <w:r>
              <w:rPr>
                <w:rFonts w:hint="eastAsia" w:ascii="Arial" w:hAnsi="Arial" w:cs="Arial"/>
                <w:lang w:val="en-US" w:eastAsia="zh-CN"/>
              </w:rPr>
              <w:t>S240</w:t>
            </w:r>
            <w:r>
              <w:rPr>
                <w:rFonts w:hint="default" w:ascii="Arial" w:hAnsi="Arial" w:cs="Arial"/>
                <w:lang w:eastAsia="zh-CN"/>
              </w:rPr>
              <w:t>→</w:t>
            </w:r>
            <w:r>
              <w:rPr>
                <w:rFonts w:hint="eastAsia" w:ascii="Arial" w:hAnsi="Arial" w:cs="Arial"/>
                <w:lang w:eastAsia="zh-CN"/>
              </w:rPr>
              <w:t>金湖路</w:t>
            </w:r>
            <w:r>
              <w:rPr>
                <w:rFonts w:hint="default" w:ascii="Arial" w:hAnsi="Arial" w:cs="Arial"/>
                <w:lang w:eastAsia="zh-CN"/>
              </w:rPr>
              <w:t>→</w:t>
            </w:r>
            <w:r>
              <w:rPr>
                <w:rFonts w:hint="eastAsia" w:ascii="Arial" w:hAnsi="Arial" w:cs="Arial"/>
                <w:lang w:eastAsia="zh-CN"/>
              </w:rPr>
              <w:t>汇贤北路</w:t>
            </w:r>
          </w:p>
          <w:p w14:paraId="45877808">
            <w:pPr>
              <w:rPr>
                <w:rFonts w:ascii="Times New Roman"/>
                <w:szCs w:val="24"/>
              </w:rPr>
            </w:pPr>
            <w:r>
              <w:rPr>
                <w:rFonts w:hint="eastAsia"/>
              </w:rPr>
              <w:t>途经地级市：</w:t>
            </w:r>
            <w:r>
              <w:rPr>
                <w:rFonts w:hint="eastAsia" w:ascii="Times New Roman" w:hAnsi="宋体"/>
                <w:szCs w:val="21"/>
              </w:rPr>
              <w:t>上海市-昆山市-苏州市-无锡市-常州市-</w:t>
            </w:r>
            <w:r>
              <w:rPr>
                <w:rFonts w:hint="eastAsia" w:ascii="Times New Roman" w:hAnsi="宋体"/>
                <w:szCs w:val="21"/>
                <w:lang w:eastAsia="zh-CN"/>
              </w:rPr>
              <w:t>金坛区</w:t>
            </w:r>
          </w:p>
        </w:tc>
      </w:tr>
    </w:tbl>
    <w:p w14:paraId="14E94E1D">
      <w:pPr>
        <w:rPr>
          <w:rFonts w:ascii="Times New Roman" w:hAnsi="Times New Roman" w:eastAsia="黑体"/>
          <w:sz w:val="28"/>
          <w:szCs w:val="28"/>
        </w:rPr>
      </w:pPr>
    </w:p>
    <w:p w14:paraId="0ED9CC6C">
      <w:pPr>
        <w:rPr>
          <w:rFonts w:ascii="Times New Roman" w:hAnsi="Times New Roman"/>
          <w:szCs w:val="24"/>
        </w:rPr>
        <w:sectPr>
          <w:pgSz w:w="11906" w:h="16838"/>
          <w:pgMar w:top="1440" w:right="1797" w:bottom="1440" w:left="1797" w:header="851" w:footer="992" w:gutter="0"/>
          <w:cols w:space="425" w:num="1"/>
          <w:docGrid w:type="lines" w:linePitch="286" w:charSpace="0"/>
        </w:sectPr>
      </w:pPr>
    </w:p>
    <w:tbl>
      <w:tblPr>
        <w:tblStyle w:val="9"/>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40A0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vAlign w:val="center"/>
          </w:tcPr>
          <w:p w14:paraId="22A5356B">
            <w:pPr>
              <w:jc w:val="left"/>
              <w:rPr>
                <w:rFonts w:ascii="Times New Roman" w:hAnsi="Times New Roman"/>
                <w:b/>
                <w:bCs/>
                <w:szCs w:val="24"/>
              </w:rPr>
            </w:pPr>
            <w:r>
              <w:rPr>
                <w:rFonts w:ascii="Times New Roman"/>
                <w:b/>
                <w:bCs/>
                <w:szCs w:val="24"/>
              </w:rPr>
              <w:t>表</w:t>
            </w:r>
            <w:r>
              <w:rPr>
                <w:rFonts w:ascii="Times New Roman" w:hAnsi="Times New Roman"/>
                <w:b/>
                <w:bCs/>
                <w:szCs w:val="24"/>
              </w:rPr>
              <w:t xml:space="preserve">3  </w:t>
            </w:r>
            <w:r>
              <w:rPr>
                <w:rFonts w:ascii="Times New Roman"/>
                <w:b/>
                <w:bCs/>
                <w:szCs w:val="24"/>
              </w:rPr>
              <w:t>转移的污染防治、安全防护和应急措施</w:t>
            </w:r>
          </w:p>
        </w:tc>
      </w:tr>
      <w:tr w14:paraId="046C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trPr>
        <w:tc>
          <w:tcPr>
            <w:tcW w:w="9345" w:type="dxa"/>
          </w:tcPr>
          <w:p w14:paraId="22C20E0E">
            <w:pPr>
              <w:rPr>
                <w:rFonts w:hint="default" w:ascii="Times New Roman"/>
                <w:lang w:val="en-US" w:eastAsia="zh-CN"/>
              </w:rPr>
            </w:pPr>
            <w:r>
              <w:rPr>
                <w:rFonts w:hint="eastAsia" w:ascii="Times New Roman"/>
                <w:lang w:val="en-US" w:eastAsia="zh-CN"/>
              </w:rPr>
              <w:t>1、</w:t>
            </w:r>
            <w:r>
              <w:rPr>
                <w:rFonts w:hint="default" w:ascii="Times New Roman"/>
                <w:lang w:val="en-US" w:eastAsia="zh-CN"/>
              </w:rPr>
              <w:t>运输过程中的污染防治措施以及按照要求配备的相应污染防治设备</w:t>
            </w:r>
          </w:p>
          <w:p w14:paraId="2891BE84">
            <w:pPr>
              <w:ind w:firstLine="420" w:firstLineChars="200"/>
              <w:rPr>
                <w:rFonts w:hint="eastAsia" w:ascii="Times New Roman"/>
                <w:lang w:val="en-US" w:eastAsia="zh-CN"/>
              </w:rPr>
            </w:pPr>
            <w:r>
              <w:rPr>
                <w:rFonts w:hint="eastAsia" w:ascii="Times New Roman"/>
                <w:lang w:val="en-US" w:eastAsia="zh-CN"/>
              </w:rPr>
              <w:t xml:space="preserve">（1）委托专业危险废物运输公司进行运输，严格按照《危险废物污染防治技术政策》进行。制定突发环境事故的污染防治应急预案，主要是防止危险废物转移过程中发生交通事故包装物破损造成危险物散落，污染环境。  </w:t>
            </w:r>
          </w:p>
          <w:p w14:paraId="2ADCA1D3">
            <w:pPr>
              <w:ind w:firstLine="420" w:firstLineChars="200"/>
              <w:rPr>
                <w:rFonts w:ascii="Times New Roman" w:hAnsi="Times New Roman"/>
                <w:bCs/>
                <w:szCs w:val="24"/>
              </w:rPr>
            </w:pPr>
            <w:r>
              <w:rPr>
                <w:rFonts w:hint="eastAsia" w:ascii="Times New Roman"/>
                <w:lang w:val="en-US" w:eastAsia="zh-CN"/>
              </w:rPr>
              <w:t>（2）发生交通事故造成包装物破损散落时，应第一时间及时报告各有关单位和事故地环保部门，设置警戒，请求支援，告知危险废物的特性，及时清理散落物，防止污染。</w:t>
            </w:r>
          </w:p>
        </w:tc>
      </w:tr>
      <w:tr w14:paraId="4694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9345" w:type="dxa"/>
          </w:tcPr>
          <w:p w14:paraId="49D0E0BA">
            <w:pPr>
              <w:numPr>
                <w:ilvl w:val="0"/>
                <w:numId w:val="0"/>
              </w:numPr>
              <w:ind w:leftChars="0"/>
              <w:rPr>
                <w:rFonts w:ascii="Times New Roman"/>
                <w:bCs/>
                <w:szCs w:val="24"/>
              </w:rPr>
            </w:pPr>
            <w:r>
              <w:rPr>
                <w:rFonts w:hint="eastAsia" w:ascii="Times New Roman"/>
                <w:bCs/>
                <w:szCs w:val="24"/>
                <w:lang w:val="en-US" w:eastAsia="zh-CN"/>
              </w:rPr>
              <w:t>2、</w:t>
            </w:r>
            <w:r>
              <w:rPr>
                <w:rFonts w:ascii="Times New Roman"/>
                <w:bCs/>
                <w:szCs w:val="24"/>
              </w:rPr>
              <w:t>运输过程中的安全防护措施以及按照要求配备的相应安全防护设备</w:t>
            </w:r>
          </w:p>
          <w:p w14:paraId="4CB9E439">
            <w:pPr>
              <w:numPr>
                <w:ilvl w:val="0"/>
                <w:numId w:val="2"/>
              </w:numPr>
              <w:ind w:left="420" w:leftChars="0" w:firstLine="0" w:firstLineChars="0"/>
              <w:rPr>
                <w:rFonts w:hint="eastAsia"/>
                <w:bCs/>
                <w:szCs w:val="24"/>
                <w:lang w:val="en-US" w:eastAsia="zh-CN"/>
              </w:rPr>
            </w:pPr>
            <w:r>
              <w:rPr>
                <w:rFonts w:hint="eastAsia"/>
                <w:bCs/>
                <w:szCs w:val="24"/>
                <w:lang w:val="en-US" w:eastAsia="zh-CN"/>
              </w:rPr>
              <w:t>危险废物的运输过程严格按照《危险废物污染防治技术政策》进行。</w:t>
            </w:r>
          </w:p>
          <w:p w14:paraId="0A52ED2E">
            <w:pPr>
              <w:ind w:firstLine="420" w:firstLineChars="200"/>
              <w:rPr>
                <w:rFonts w:ascii="Times New Roman"/>
                <w:bCs/>
                <w:szCs w:val="24"/>
              </w:rPr>
            </w:pPr>
            <w:r>
              <w:rPr>
                <w:rFonts w:hint="eastAsia"/>
                <w:bCs/>
                <w:szCs w:val="24"/>
                <w:lang w:val="en-US" w:eastAsia="zh-CN"/>
              </w:rPr>
              <w:t>（2）严格按照危险货物运输的管理规定进行危险废物的运输，以减少运输过程中的二次污染和可能造成的环境风险。</w:t>
            </w:r>
          </w:p>
        </w:tc>
      </w:tr>
      <w:tr w14:paraId="6EEC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3" w:hRule="atLeast"/>
        </w:trPr>
        <w:tc>
          <w:tcPr>
            <w:tcW w:w="9345" w:type="dxa"/>
          </w:tcPr>
          <w:p w14:paraId="6E801F37">
            <w:pPr>
              <w:spacing w:line="312" w:lineRule="auto"/>
              <w:rPr>
                <w:rFonts w:ascii="Times New Roman" w:hAnsi="Times New Roman"/>
                <w:bCs/>
                <w:szCs w:val="24"/>
              </w:rPr>
            </w:pPr>
            <w:r>
              <w:rPr>
                <w:rFonts w:ascii="Times New Roman" w:hAnsi="Times New Roman"/>
                <w:bCs/>
                <w:szCs w:val="24"/>
              </w:rPr>
              <w:t>3</w:t>
            </w:r>
            <w:r>
              <w:rPr>
                <w:rFonts w:ascii="Times New Roman"/>
                <w:bCs/>
                <w:szCs w:val="24"/>
              </w:rPr>
              <w:t>、运输过程中的应急预案以及按照要求配备的相应应急设备</w:t>
            </w:r>
          </w:p>
          <w:p w14:paraId="6F74AEBB">
            <w:pPr>
              <w:ind w:firstLine="420" w:firstLineChars="200"/>
              <w:rPr>
                <w:rFonts w:hint="default" w:ascii="Times New Roman"/>
                <w:lang w:val="en-US" w:eastAsia="zh-CN"/>
              </w:rPr>
            </w:pPr>
            <w:r>
              <w:rPr>
                <w:rFonts w:hint="default" w:ascii="Times New Roman"/>
                <w:lang w:val="en-US" w:eastAsia="zh-CN"/>
              </w:rPr>
              <w:t>（1）运输车辆应准备备用的防爆手电筒、千斤顶、警告标识、灭火器、河沙、医疗急救箱等放置在车上，以备事故的应急救援处理用。</w:t>
            </w:r>
          </w:p>
          <w:p w14:paraId="0A5408FF">
            <w:pPr>
              <w:ind w:firstLine="420" w:firstLineChars="200"/>
              <w:rPr>
                <w:rFonts w:hint="default" w:ascii="Times New Roman"/>
                <w:lang w:val="en-US" w:eastAsia="zh-CN"/>
              </w:rPr>
            </w:pPr>
            <w:r>
              <w:rPr>
                <w:rFonts w:hint="default" w:ascii="Times New Roman"/>
                <w:lang w:val="en-US" w:eastAsia="zh-CN"/>
              </w:rPr>
              <w:t>（2）运输前，应建立号运输记录，包括汽车运输单位、车牌、司机、装载数量：同时告知运输单位所拉固体废物的物化性质和应急处理的方法。</w:t>
            </w:r>
          </w:p>
          <w:p w14:paraId="29D189C9">
            <w:pPr>
              <w:ind w:firstLine="420" w:firstLineChars="200"/>
              <w:rPr>
                <w:szCs w:val="21"/>
              </w:rPr>
            </w:pPr>
            <w:r>
              <w:rPr>
                <w:rFonts w:hint="default" w:ascii="Times New Roman"/>
                <w:lang w:val="en-US" w:eastAsia="zh-CN"/>
              </w:rPr>
              <w:t>（3）在发生事故时，应及时与当地环保部门进行联系，并迅速疏散周围无关人员和周边群众，在隔离污染区的同时，及时拨打119报警，及时保护好、控制好现场</w:t>
            </w:r>
            <w:r>
              <w:rPr>
                <w:rFonts w:hint="eastAsia" w:ascii="Times New Roman"/>
                <w:lang w:val="en-US" w:eastAsia="zh-CN"/>
              </w:rPr>
              <w:t>。</w:t>
            </w:r>
          </w:p>
        </w:tc>
      </w:tr>
    </w:tbl>
    <w:p w14:paraId="6EDE25DD">
      <w:pPr>
        <w:rPr>
          <w:rFonts w:ascii="Times New Roman" w:eastAsia="黑体"/>
          <w:sz w:val="28"/>
          <w:szCs w:val="28"/>
        </w:rPr>
      </w:pPr>
    </w:p>
    <w:p w14:paraId="1C27826D">
      <w:pPr>
        <w:rPr>
          <w:rFonts w:ascii="Times New Roman" w:hAnsi="Times New Roman" w:eastAsia="黑体"/>
          <w:sz w:val="28"/>
          <w:szCs w:val="28"/>
        </w:rPr>
      </w:pPr>
      <w:r>
        <w:rPr>
          <w:rFonts w:ascii="Times New Roman" w:eastAsia="黑体"/>
          <w:sz w:val="28"/>
          <w:szCs w:val="28"/>
        </w:rPr>
        <w:t>第三部分废物处理处置情况</w:t>
      </w:r>
    </w:p>
    <w:tbl>
      <w:tblPr>
        <w:tblStyle w:val="9"/>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1"/>
        <w:gridCol w:w="4634"/>
      </w:tblGrid>
      <w:tr w14:paraId="2501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vAlign w:val="center"/>
          </w:tcPr>
          <w:p w14:paraId="0C4D32C2">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14:paraId="5640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vAlign w:val="center"/>
          </w:tcPr>
          <w:p w14:paraId="7320F572">
            <w:pPr>
              <w:rPr>
                <w:rFonts w:ascii="Times New Roman" w:hAnsi="Times New Roman"/>
              </w:rPr>
            </w:pPr>
            <w:r>
              <w:rPr>
                <w:rFonts w:ascii="Times New Roman"/>
              </w:rPr>
              <w:t>单位名称：</w:t>
            </w:r>
            <w:r>
              <w:rPr>
                <w:rFonts w:hint="eastAsia" w:ascii="Times New Roman"/>
              </w:rPr>
              <w:t>常州</w:t>
            </w:r>
            <w:r>
              <w:rPr>
                <w:rFonts w:ascii="Times New Roman"/>
              </w:rPr>
              <w:t>普达环保清洗有限公司</w:t>
            </w:r>
          </w:p>
        </w:tc>
      </w:tr>
      <w:tr w14:paraId="63CA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711" w:type="dxa"/>
            <w:vAlign w:val="center"/>
          </w:tcPr>
          <w:p w14:paraId="5B84949D">
            <w:pPr>
              <w:rPr>
                <w:rFonts w:ascii="Times New Roman" w:hAnsi="Times New Roman"/>
              </w:rPr>
            </w:pPr>
            <w:r>
              <w:rPr>
                <w:rFonts w:ascii="Times New Roman"/>
              </w:rPr>
              <w:t>危废经营许可证编号：</w:t>
            </w:r>
            <w:r>
              <w:rPr>
                <w:rFonts w:hint="eastAsia"/>
              </w:rPr>
              <w:t>JSCZ0413</w:t>
            </w:r>
            <w:r>
              <w:rPr>
                <w:rFonts w:hint="eastAsia"/>
                <w:lang w:val="en-US" w:eastAsia="zh-CN"/>
              </w:rPr>
              <w:t>OO</w:t>
            </w:r>
            <w:r>
              <w:rPr>
                <w:rFonts w:hint="eastAsia"/>
              </w:rPr>
              <w:t>D027-</w:t>
            </w:r>
            <w:r>
              <w:rPr>
                <w:rFonts w:hint="eastAsia"/>
                <w:lang w:val="en-US" w:eastAsia="zh-CN"/>
              </w:rPr>
              <w:t>5</w:t>
            </w:r>
          </w:p>
        </w:tc>
        <w:tc>
          <w:tcPr>
            <w:tcW w:w="4634" w:type="dxa"/>
            <w:vAlign w:val="center"/>
          </w:tcPr>
          <w:p w14:paraId="7EB58BE3">
            <w:pPr>
              <w:rPr>
                <w:rFonts w:ascii="Times New Roman" w:hAnsi="Times New Roman"/>
              </w:rPr>
            </w:pPr>
            <w:r>
              <w:rPr>
                <w:rFonts w:ascii="Times New Roman"/>
              </w:rPr>
              <w:t>有效期：</w:t>
            </w:r>
            <w:r>
              <w:rPr>
                <w:rFonts w:hint="eastAsia"/>
              </w:rPr>
              <w:t>202</w:t>
            </w:r>
            <w:r>
              <w:rPr>
                <w:rFonts w:hint="eastAsia"/>
                <w:lang w:val="en-US" w:eastAsia="zh-CN"/>
              </w:rPr>
              <w:t>3</w:t>
            </w:r>
            <w:r>
              <w:rPr>
                <w:rFonts w:hint="eastAsia"/>
              </w:rPr>
              <w:t>年11月</w:t>
            </w:r>
            <w:r>
              <w:rPr>
                <w:rFonts w:hint="eastAsia"/>
                <w:lang w:val="en-US" w:eastAsia="zh-CN"/>
              </w:rPr>
              <w:t>9日</w:t>
            </w:r>
            <w:r>
              <w:rPr>
                <w:rFonts w:hint="eastAsia"/>
              </w:rPr>
              <w:t>至202</w:t>
            </w:r>
            <w:r>
              <w:rPr>
                <w:rFonts w:hint="eastAsia"/>
                <w:lang w:val="en-US" w:eastAsia="zh-CN"/>
              </w:rPr>
              <w:t>6</w:t>
            </w:r>
            <w:r>
              <w:rPr>
                <w:rFonts w:hint="eastAsia"/>
              </w:rPr>
              <w:t>年11月</w:t>
            </w:r>
            <w:r>
              <w:rPr>
                <w:rFonts w:hint="eastAsia"/>
                <w:lang w:val="en-US" w:eastAsia="zh-CN"/>
              </w:rPr>
              <w:t>8</w:t>
            </w:r>
            <w:r>
              <w:rPr>
                <w:rFonts w:hint="eastAsia"/>
              </w:rPr>
              <w:t>日</w:t>
            </w:r>
          </w:p>
        </w:tc>
      </w:tr>
      <w:tr w14:paraId="6207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0" w:hRule="atLeast"/>
        </w:trPr>
        <w:tc>
          <w:tcPr>
            <w:tcW w:w="9345" w:type="dxa"/>
            <w:gridSpan w:val="2"/>
          </w:tcPr>
          <w:p w14:paraId="574E766C">
            <w:pPr>
              <w:rPr>
                <w:rFonts w:ascii="Times New Roman"/>
              </w:rPr>
            </w:pPr>
            <w:r>
              <w:rPr>
                <w:rFonts w:ascii="Times New Roman"/>
              </w:rPr>
              <w:t>经营核准内容（废物名称、类别、数量）：</w:t>
            </w:r>
          </w:p>
          <w:p w14:paraId="134D2EF3">
            <w:pPr>
              <w:ind w:firstLine="420" w:firstLineChars="200"/>
              <w:rPr>
                <w:lang w:val="en-US" w:eastAsia="zh-CN"/>
              </w:rPr>
            </w:pPr>
            <w:r>
              <w:rPr>
                <w:rFonts w:hint="eastAsia"/>
              </w:rPr>
              <w:t>清洗处置含[废有机溶剂与含有机溶剂废物(HW06)、废矿物油与含矿物油废物(HW08)、油/水、烃/水混合物或乳化液(HW09)、染料、涂料废物(HW12)、有机树脂类废物(HW13)、废酸(HW34)、废碱(HW35)、含醚废物(HW40)]废包装桶[(HW49，900-041-49) (HW08，900-249-08)]49万只/年[其中200L包装桶46万只/年、1000L包装桶(IBC吨桶)3万只/年];处置、利用含[废有机溶剂与含有机溶剂废物(HW06)、废矿物油与含矿物油废物(HW08)、油/水、烃/水混合物或乳化液(HW09)]的200L废铁桶(HW08,900-249-08)、(HW49,900-041-49) 2000吨/年，含[废有机溶剂与含有机溶剂废物(HW06)、废矿物油与含矿物油废物(HW08)、油/水、烃/水混合物或乳化液(HW09)、染料、涂料废物(HW12)、有机树脂类废物(HW13)]的200L以下废铁桶(HW08,900-249-08)、(HW49, 900-041-49)5000吨/年，含[油/水、烃/水混合物或乳化液(HW09)、染料、涂料废物(HW12)、有机树脂类废物(HW13)、废碱(HW35)]的200L以下废塑料桶(HW49，900-041-49) 1000吨/年，含[废有机溶剂与含有机溶剂废物(HW06)、废矿物油与含矿物油废物(HW08)、有机树脂类废物(HW13)、有机卤化物废物(HW45)]的废机油滤芯、滤网等金属过滤器材(HW49，900-041-49) 3000吨/年，含[废有机溶剂与含有机溶剂废物(HW06)、废酸(HW34)、其他废物(HW49)的废玻璃瓶、器具(HW49，900-041-49、900-047-49) 2000吨/年，含[废有机溶剂与含有机溶剂废物(HW06)、其他废物(HW49)]的废塑料滤芯、滤布(HW49，900-041-49)1000吨/年，含[废有机溶剂与含有机溶剂废物(HW06)、其他废物(HW49)]的废包装袋、废塑料管(HW49，900-041-49) 1500吨/年，合计15500吨/年</w:t>
            </w:r>
          </w:p>
        </w:tc>
      </w:tr>
    </w:tbl>
    <w:tbl>
      <w:tblPr>
        <w:tblStyle w:val="9"/>
        <w:tblpPr w:leftFromText="180" w:rightFromText="180" w:vertAnchor="text" w:horzAnchor="page" w:tblpX="1377" w:tblpY="362"/>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34AD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345" w:type="dxa"/>
            <w:vAlign w:val="center"/>
          </w:tcPr>
          <w:p w14:paraId="3C41CCF9">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14:paraId="3017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0" w:hRule="atLeast"/>
        </w:trPr>
        <w:tc>
          <w:tcPr>
            <w:tcW w:w="9345" w:type="dxa"/>
          </w:tcPr>
          <w:p w14:paraId="61D3259C">
            <w:pPr>
              <w:spacing w:line="300" w:lineRule="exact"/>
              <w:rPr>
                <w:rFonts w:ascii="Times New Roman" w:hAnsi="Times New Roman"/>
                <w:szCs w:val="24"/>
              </w:rPr>
            </w:pPr>
            <w:r>
              <w:rPr>
                <w:rFonts w:ascii="Times New Roman"/>
                <w:szCs w:val="24"/>
              </w:rPr>
              <w:t>文字描述及工艺流程图</w:t>
            </w:r>
          </w:p>
          <w:p w14:paraId="7A0C7353">
            <w:r>
              <w:rPr>
                <w:rFonts w:hint="eastAsia"/>
                <w:b/>
                <w:bCs/>
              </w:rPr>
              <w:t>检验储存</w:t>
            </w:r>
            <w:r>
              <w:rPr>
                <w:rFonts w:ascii="Arial" w:hAnsi="Arial" w:cs="Arial"/>
                <w:b/>
                <w:bCs/>
              </w:rPr>
              <w:t>→</w:t>
            </w:r>
            <w:r>
              <w:rPr>
                <w:rFonts w:hint="eastAsia" w:ascii="Arial" w:hAnsi="Arial" w:cs="Arial"/>
                <w:b/>
                <w:bCs/>
              </w:rPr>
              <w:t>倒残</w:t>
            </w:r>
            <w:r>
              <w:rPr>
                <w:rFonts w:ascii="Arial" w:hAnsi="Arial" w:cs="Arial"/>
                <w:b/>
                <w:bCs/>
              </w:rPr>
              <w:t>→</w:t>
            </w:r>
            <w:r>
              <w:rPr>
                <w:rFonts w:hint="eastAsia" w:ascii="Arial" w:hAnsi="Arial" w:cs="Arial"/>
                <w:b/>
                <w:bCs/>
              </w:rPr>
              <w:t>整形</w:t>
            </w:r>
            <w:r>
              <w:rPr>
                <w:rFonts w:ascii="Arial" w:hAnsi="Arial" w:cs="Arial"/>
                <w:b/>
                <w:bCs/>
              </w:rPr>
              <w:t>→</w:t>
            </w:r>
            <w:r>
              <w:rPr>
                <w:rFonts w:hint="eastAsia" w:ascii="Arial" w:hAnsi="Arial" w:cs="Arial"/>
                <w:b/>
                <w:bCs/>
              </w:rPr>
              <w:t>清洗</w:t>
            </w:r>
            <w:r>
              <w:rPr>
                <w:rFonts w:ascii="Arial" w:hAnsi="Arial" w:cs="Arial"/>
                <w:b/>
                <w:bCs/>
              </w:rPr>
              <w:t>→</w:t>
            </w:r>
            <w:r>
              <w:rPr>
                <w:rFonts w:hint="eastAsia" w:ascii="Arial" w:hAnsi="Arial" w:cs="Arial"/>
                <w:b/>
                <w:bCs/>
              </w:rPr>
              <w:t>吸干</w:t>
            </w:r>
          </w:p>
          <w:p w14:paraId="047D9116"/>
          <w:p w14:paraId="40ECC56A"/>
          <w:p w14:paraId="259A4E26"/>
          <w:p w14:paraId="7CAF582E"/>
          <w:p w14:paraId="7570E083"/>
          <w:p w14:paraId="4219899A"/>
          <w:p w14:paraId="59E73F59"/>
          <w:p w14:paraId="28EED060"/>
          <w:p w14:paraId="14483888"/>
          <w:p w14:paraId="51C76AB9"/>
          <w:p w14:paraId="3399A29E"/>
          <w:p w14:paraId="0025349C"/>
          <w:p w14:paraId="748D5B0F"/>
          <w:p w14:paraId="49160407"/>
          <w:p w14:paraId="170D796B">
            <w:pPr>
              <w:tabs>
                <w:tab w:val="left" w:pos="2274"/>
              </w:tabs>
              <w:jc w:val="left"/>
            </w:pPr>
            <w:r>
              <w:rPr>
                <w:rFonts w:hint="eastAsia"/>
              </w:rPr>
              <w:tab/>
            </w:r>
          </w:p>
        </w:tc>
      </w:tr>
    </w:tbl>
    <w:p w14:paraId="734AC002">
      <w:pPr>
        <w:rPr>
          <w:rFonts w:ascii="Times New Roman" w:hAnsi="Times New Roman"/>
        </w:rPr>
      </w:pPr>
    </w:p>
    <w:p w14:paraId="28663973"/>
    <w:p w14:paraId="4DF36347">
      <w:pPr>
        <w:rPr>
          <w:rFonts w:ascii="Times New Roman" w:hAnsi="Times New Roman"/>
        </w:rPr>
        <w:sectPr>
          <w:pgSz w:w="11906" w:h="16838"/>
          <w:pgMar w:top="1440" w:right="1797" w:bottom="1440" w:left="1797" w:header="851" w:footer="992" w:gutter="0"/>
          <w:cols w:space="425" w:num="1"/>
          <w:docGrid w:type="lines" w:linePitch="312" w:charSpace="0"/>
        </w:sectPr>
      </w:pPr>
    </w:p>
    <w:p w14:paraId="19A5518F">
      <w:pPr>
        <w:rPr>
          <w:rFonts w:eastAsia="黑体"/>
          <w:sz w:val="28"/>
          <w:szCs w:val="28"/>
        </w:rPr>
      </w:pPr>
      <w:r>
        <w:rPr>
          <w:rFonts w:eastAsia="黑体"/>
          <w:sz w:val="28"/>
          <w:szCs w:val="28"/>
        </w:rPr>
        <w:t>第四部分 上年度固体（危险）废物跨省转移情况</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502"/>
        <w:gridCol w:w="1502"/>
        <w:gridCol w:w="1502"/>
        <w:gridCol w:w="1502"/>
        <w:gridCol w:w="1502"/>
        <w:gridCol w:w="1502"/>
        <w:gridCol w:w="1502"/>
        <w:gridCol w:w="1502"/>
        <w:gridCol w:w="1795"/>
      </w:tblGrid>
      <w:tr w14:paraId="76A8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75" w:type="pct"/>
            <w:noWrap w:val="0"/>
            <w:vAlign w:val="center"/>
          </w:tcPr>
          <w:p w14:paraId="237BAF37">
            <w:pPr>
              <w:jc w:val="center"/>
            </w:pPr>
            <w:r>
              <w:rPr>
                <w:rFonts w:hAnsi="宋体"/>
              </w:rPr>
              <w:t>出厂日期</w:t>
            </w:r>
          </w:p>
        </w:tc>
        <w:tc>
          <w:tcPr>
            <w:tcW w:w="481" w:type="pct"/>
            <w:noWrap w:val="0"/>
            <w:vAlign w:val="center"/>
          </w:tcPr>
          <w:p w14:paraId="04B8D570">
            <w:pPr>
              <w:jc w:val="center"/>
            </w:pPr>
            <w:r>
              <w:rPr>
                <w:rFonts w:hAnsi="宋体"/>
              </w:rPr>
              <w:t>转移批次</w:t>
            </w:r>
          </w:p>
        </w:tc>
        <w:tc>
          <w:tcPr>
            <w:tcW w:w="481" w:type="pct"/>
            <w:noWrap w:val="0"/>
            <w:vAlign w:val="center"/>
          </w:tcPr>
          <w:p w14:paraId="2D8E6374">
            <w:pPr>
              <w:jc w:val="center"/>
            </w:pPr>
            <w:r>
              <w:rPr>
                <w:rFonts w:hAnsi="宋体"/>
              </w:rPr>
              <w:t>联单编号</w:t>
            </w:r>
          </w:p>
        </w:tc>
        <w:tc>
          <w:tcPr>
            <w:tcW w:w="481" w:type="pct"/>
            <w:noWrap w:val="0"/>
            <w:vAlign w:val="center"/>
          </w:tcPr>
          <w:p w14:paraId="365AB42C">
            <w:pPr>
              <w:jc w:val="center"/>
            </w:pPr>
            <w:r>
              <w:rPr>
                <w:rFonts w:hAnsi="宋体"/>
              </w:rPr>
              <w:t>废物名称</w:t>
            </w:r>
          </w:p>
        </w:tc>
        <w:tc>
          <w:tcPr>
            <w:tcW w:w="481" w:type="pct"/>
            <w:noWrap w:val="0"/>
            <w:vAlign w:val="center"/>
          </w:tcPr>
          <w:p w14:paraId="068E1E2B">
            <w:pPr>
              <w:jc w:val="center"/>
            </w:pPr>
            <w:r>
              <w:rPr>
                <w:rFonts w:hAnsi="宋体"/>
              </w:rPr>
              <w:t>类别</w:t>
            </w:r>
            <w:r>
              <w:t>/</w:t>
            </w:r>
            <w:r>
              <w:rPr>
                <w:rFonts w:hAnsi="宋体"/>
              </w:rPr>
              <w:t>代码</w:t>
            </w:r>
          </w:p>
        </w:tc>
        <w:tc>
          <w:tcPr>
            <w:tcW w:w="481" w:type="pct"/>
            <w:noWrap w:val="0"/>
            <w:vAlign w:val="center"/>
          </w:tcPr>
          <w:p w14:paraId="04D3667A">
            <w:pPr>
              <w:jc w:val="center"/>
            </w:pPr>
            <w:r>
              <w:rPr>
                <w:rFonts w:hAnsi="宋体"/>
              </w:rPr>
              <w:t>转移量（吨）</w:t>
            </w:r>
          </w:p>
        </w:tc>
        <w:tc>
          <w:tcPr>
            <w:tcW w:w="481" w:type="pct"/>
            <w:noWrap w:val="0"/>
            <w:vAlign w:val="center"/>
          </w:tcPr>
          <w:p w14:paraId="3DAC1B35">
            <w:pPr>
              <w:jc w:val="center"/>
            </w:pPr>
            <w:r>
              <w:t>运输单位</w:t>
            </w:r>
          </w:p>
        </w:tc>
        <w:tc>
          <w:tcPr>
            <w:tcW w:w="481" w:type="pct"/>
            <w:noWrap w:val="0"/>
            <w:vAlign w:val="center"/>
          </w:tcPr>
          <w:p w14:paraId="26D6018E">
            <w:pPr>
              <w:jc w:val="center"/>
            </w:pPr>
            <w:r>
              <w:t>车号</w:t>
            </w:r>
          </w:p>
        </w:tc>
        <w:tc>
          <w:tcPr>
            <w:tcW w:w="481" w:type="pct"/>
            <w:noWrap w:val="0"/>
            <w:vAlign w:val="center"/>
          </w:tcPr>
          <w:p w14:paraId="3F0EC6F7">
            <w:pPr>
              <w:jc w:val="center"/>
            </w:pPr>
            <w:r>
              <w:rPr>
                <w:rFonts w:hAnsi="宋体"/>
              </w:rPr>
              <w:t>接收单位</w:t>
            </w:r>
          </w:p>
        </w:tc>
        <w:tc>
          <w:tcPr>
            <w:tcW w:w="575" w:type="pct"/>
            <w:noWrap w:val="0"/>
            <w:vAlign w:val="center"/>
          </w:tcPr>
          <w:p w14:paraId="56BF1BDB">
            <w:pPr>
              <w:jc w:val="center"/>
            </w:pPr>
            <w:r>
              <w:rPr>
                <w:rFonts w:hAnsi="宋体"/>
              </w:rPr>
              <w:t>接收日期</w:t>
            </w:r>
          </w:p>
        </w:tc>
      </w:tr>
      <w:tr w14:paraId="37EC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75" w:type="pct"/>
            <w:noWrap w:val="0"/>
            <w:vAlign w:val="top"/>
          </w:tcPr>
          <w:p w14:paraId="53E698E4">
            <w:pPr>
              <w:jc w:val="center"/>
            </w:pPr>
            <w:r>
              <w:t>首次申请</w:t>
            </w:r>
          </w:p>
        </w:tc>
        <w:tc>
          <w:tcPr>
            <w:tcW w:w="481" w:type="pct"/>
            <w:noWrap w:val="0"/>
            <w:vAlign w:val="top"/>
          </w:tcPr>
          <w:p w14:paraId="42D4E9C7">
            <w:pPr>
              <w:jc w:val="left"/>
            </w:pPr>
          </w:p>
        </w:tc>
        <w:tc>
          <w:tcPr>
            <w:tcW w:w="481" w:type="pct"/>
            <w:noWrap w:val="0"/>
            <w:vAlign w:val="top"/>
          </w:tcPr>
          <w:p w14:paraId="6BA98B69">
            <w:pPr>
              <w:jc w:val="left"/>
            </w:pPr>
          </w:p>
        </w:tc>
        <w:tc>
          <w:tcPr>
            <w:tcW w:w="481" w:type="pct"/>
            <w:noWrap w:val="0"/>
            <w:vAlign w:val="top"/>
          </w:tcPr>
          <w:p w14:paraId="7EEBB8D2">
            <w:pPr>
              <w:jc w:val="left"/>
            </w:pPr>
          </w:p>
        </w:tc>
        <w:tc>
          <w:tcPr>
            <w:tcW w:w="481" w:type="pct"/>
            <w:noWrap w:val="0"/>
            <w:vAlign w:val="top"/>
          </w:tcPr>
          <w:p w14:paraId="76764DEB">
            <w:pPr>
              <w:jc w:val="left"/>
            </w:pPr>
          </w:p>
        </w:tc>
        <w:tc>
          <w:tcPr>
            <w:tcW w:w="481" w:type="pct"/>
            <w:noWrap w:val="0"/>
            <w:vAlign w:val="top"/>
          </w:tcPr>
          <w:p w14:paraId="2E158E25">
            <w:pPr>
              <w:jc w:val="left"/>
            </w:pPr>
          </w:p>
        </w:tc>
        <w:tc>
          <w:tcPr>
            <w:tcW w:w="481" w:type="pct"/>
            <w:noWrap w:val="0"/>
            <w:vAlign w:val="top"/>
          </w:tcPr>
          <w:p w14:paraId="68A65061">
            <w:pPr>
              <w:jc w:val="left"/>
            </w:pPr>
          </w:p>
        </w:tc>
        <w:tc>
          <w:tcPr>
            <w:tcW w:w="481" w:type="pct"/>
            <w:noWrap w:val="0"/>
            <w:vAlign w:val="top"/>
          </w:tcPr>
          <w:p w14:paraId="1FB42E68">
            <w:pPr>
              <w:jc w:val="left"/>
            </w:pPr>
          </w:p>
        </w:tc>
        <w:tc>
          <w:tcPr>
            <w:tcW w:w="481" w:type="pct"/>
            <w:noWrap w:val="0"/>
            <w:vAlign w:val="top"/>
          </w:tcPr>
          <w:p w14:paraId="79328D90">
            <w:pPr>
              <w:jc w:val="left"/>
            </w:pPr>
          </w:p>
        </w:tc>
        <w:tc>
          <w:tcPr>
            <w:tcW w:w="575" w:type="pct"/>
            <w:noWrap w:val="0"/>
            <w:vAlign w:val="top"/>
          </w:tcPr>
          <w:p w14:paraId="2D5E43B4">
            <w:pPr>
              <w:jc w:val="left"/>
            </w:pPr>
          </w:p>
        </w:tc>
      </w:tr>
      <w:tr w14:paraId="132D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75" w:type="pct"/>
            <w:noWrap w:val="0"/>
            <w:vAlign w:val="top"/>
          </w:tcPr>
          <w:p w14:paraId="4C2B1056">
            <w:pPr>
              <w:jc w:val="left"/>
            </w:pPr>
          </w:p>
        </w:tc>
        <w:tc>
          <w:tcPr>
            <w:tcW w:w="481" w:type="pct"/>
            <w:noWrap w:val="0"/>
            <w:vAlign w:val="top"/>
          </w:tcPr>
          <w:p w14:paraId="6B2CF66D">
            <w:pPr>
              <w:jc w:val="left"/>
            </w:pPr>
          </w:p>
        </w:tc>
        <w:tc>
          <w:tcPr>
            <w:tcW w:w="481" w:type="pct"/>
            <w:noWrap w:val="0"/>
            <w:vAlign w:val="top"/>
          </w:tcPr>
          <w:p w14:paraId="707362E2">
            <w:pPr>
              <w:jc w:val="left"/>
            </w:pPr>
          </w:p>
        </w:tc>
        <w:tc>
          <w:tcPr>
            <w:tcW w:w="481" w:type="pct"/>
            <w:noWrap w:val="0"/>
            <w:vAlign w:val="top"/>
          </w:tcPr>
          <w:p w14:paraId="1FE9F713">
            <w:pPr>
              <w:jc w:val="left"/>
            </w:pPr>
          </w:p>
        </w:tc>
        <w:tc>
          <w:tcPr>
            <w:tcW w:w="481" w:type="pct"/>
            <w:noWrap w:val="0"/>
            <w:vAlign w:val="top"/>
          </w:tcPr>
          <w:p w14:paraId="513F1624">
            <w:pPr>
              <w:jc w:val="left"/>
            </w:pPr>
          </w:p>
        </w:tc>
        <w:tc>
          <w:tcPr>
            <w:tcW w:w="481" w:type="pct"/>
            <w:noWrap w:val="0"/>
            <w:vAlign w:val="top"/>
          </w:tcPr>
          <w:p w14:paraId="0BF5EA3E">
            <w:pPr>
              <w:jc w:val="left"/>
            </w:pPr>
          </w:p>
        </w:tc>
        <w:tc>
          <w:tcPr>
            <w:tcW w:w="481" w:type="pct"/>
            <w:noWrap w:val="0"/>
            <w:vAlign w:val="top"/>
          </w:tcPr>
          <w:p w14:paraId="53EA3F39">
            <w:pPr>
              <w:jc w:val="left"/>
            </w:pPr>
          </w:p>
        </w:tc>
        <w:tc>
          <w:tcPr>
            <w:tcW w:w="481" w:type="pct"/>
            <w:noWrap w:val="0"/>
            <w:vAlign w:val="top"/>
          </w:tcPr>
          <w:p w14:paraId="31089D3A">
            <w:pPr>
              <w:jc w:val="left"/>
            </w:pPr>
          </w:p>
        </w:tc>
        <w:tc>
          <w:tcPr>
            <w:tcW w:w="481" w:type="pct"/>
            <w:noWrap w:val="0"/>
            <w:vAlign w:val="top"/>
          </w:tcPr>
          <w:p w14:paraId="4A8314DF">
            <w:pPr>
              <w:jc w:val="left"/>
            </w:pPr>
          </w:p>
        </w:tc>
        <w:tc>
          <w:tcPr>
            <w:tcW w:w="575" w:type="pct"/>
            <w:noWrap w:val="0"/>
            <w:vAlign w:val="top"/>
          </w:tcPr>
          <w:p w14:paraId="57207E5B">
            <w:pPr>
              <w:jc w:val="left"/>
            </w:pPr>
          </w:p>
        </w:tc>
      </w:tr>
      <w:tr w14:paraId="2AAD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75" w:type="pct"/>
            <w:noWrap w:val="0"/>
            <w:vAlign w:val="top"/>
          </w:tcPr>
          <w:p w14:paraId="400C9655">
            <w:pPr>
              <w:jc w:val="left"/>
            </w:pPr>
          </w:p>
        </w:tc>
        <w:tc>
          <w:tcPr>
            <w:tcW w:w="481" w:type="pct"/>
            <w:noWrap w:val="0"/>
            <w:vAlign w:val="top"/>
          </w:tcPr>
          <w:p w14:paraId="27EDCE51">
            <w:pPr>
              <w:jc w:val="left"/>
            </w:pPr>
          </w:p>
        </w:tc>
        <w:tc>
          <w:tcPr>
            <w:tcW w:w="481" w:type="pct"/>
            <w:noWrap w:val="0"/>
            <w:vAlign w:val="top"/>
          </w:tcPr>
          <w:p w14:paraId="56183EEA">
            <w:pPr>
              <w:jc w:val="left"/>
            </w:pPr>
          </w:p>
        </w:tc>
        <w:tc>
          <w:tcPr>
            <w:tcW w:w="481" w:type="pct"/>
            <w:noWrap w:val="0"/>
            <w:vAlign w:val="top"/>
          </w:tcPr>
          <w:p w14:paraId="147AE919">
            <w:pPr>
              <w:jc w:val="left"/>
            </w:pPr>
          </w:p>
        </w:tc>
        <w:tc>
          <w:tcPr>
            <w:tcW w:w="481" w:type="pct"/>
            <w:noWrap w:val="0"/>
            <w:vAlign w:val="top"/>
          </w:tcPr>
          <w:p w14:paraId="3FCFB204">
            <w:pPr>
              <w:jc w:val="left"/>
            </w:pPr>
          </w:p>
        </w:tc>
        <w:tc>
          <w:tcPr>
            <w:tcW w:w="481" w:type="pct"/>
            <w:noWrap w:val="0"/>
            <w:vAlign w:val="top"/>
          </w:tcPr>
          <w:p w14:paraId="6122470C">
            <w:pPr>
              <w:jc w:val="left"/>
            </w:pPr>
          </w:p>
        </w:tc>
        <w:tc>
          <w:tcPr>
            <w:tcW w:w="481" w:type="pct"/>
            <w:noWrap w:val="0"/>
            <w:vAlign w:val="top"/>
          </w:tcPr>
          <w:p w14:paraId="5D12E4C5">
            <w:pPr>
              <w:jc w:val="left"/>
            </w:pPr>
          </w:p>
        </w:tc>
        <w:tc>
          <w:tcPr>
            <w:tcW w:w="481" w:type="pct"/>
            <w:noWrap w:val="0"/>
            <w:vAlign w:val="top"/>
          </w:tcPr>
          <w:p w14:paraId="6707E2AF">
            <w:pPr>
              <w:jc w:val="left"/>
            </w:pPr>
          </w:p>
        </w:tc>
        <w:tc>
          <w:tcPr>
            <w:tcW w:w="481" w:type="pct"/>
            <w:noWrap w:val="0"/>
            <w:vAlign w:val="top"/>
          </w:tcPr>
          <w:p w14:paraId="0956B966">
            <w:pPr>
              <w:jc w:val="left"/>
            </w:pPr>
          </w:p>
        </w:tc>
        <w:tc>
          <w:tcPr>
            <w:tcW w:w="575" w:type="pct"/>
            <w:noWrap w:val="0"/>
            <w:vAlign w:val="top"/>
          </w:tcPr>
          <w:p w14:paraId="5745353E">
            <w:pPr>
              <w:jc w:val="left"/>
            </w:pPr>
          </w:p>
        </w:tc>
      </w:tr>
      <w:tr w14:paraId="7193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75" w:type="pct"/>
            <w:noWrap w:val="0"/>
            <w:vAlign w:val="top"/>
          </w:tcPr>
          <w:p w14:paraId="5A86ABD2">
            <w:pPr>
              <w:jc w:val="left"/>
            </w:pPr>
          </w:p>
        </w:tc>
        <w:tc>
          <w:tcPr>
            <w:tcW w:w="481" w:type="pct"/>
            <w:noWrap w:val="0"/>
            <w:vAlign w:val="top"/>
          </w:tcPr>
          <w:p w14:paraId="6605FB1F">
            <w:pPr>
              <w:jc w:val="left"/>
            </w:pPr>
          </w:p>
        </w:tc>
        <w:tc>
          <w:tcPr>
            <w:tcW w:w="481" w:type="pct"/>
            <w:noWrap w:val="0"/>
            <w:vAlign w:val="top"/>
          </w:tcPr>
          <w:p w14:paraId="226CC067">
            <w:pPr>
              <w:jc w:val="left"/>
            </w:pPr>
          </w:p>
        </w:tc>
        <w:tc>
          <w:tcPr>
            <w:tcW w:w="481" w:type="pct"/>
            <w:noWrap w:val="0"/>
            <w:vAlign w:val="top"/>
          </w:tcPr>
          <w:p w14:paraId="78DA005E">
            <w:pPr>
              <w:jc w:val="left"/>
            </w:pPr>
          </w:p>
        </w:tc>
        <w:tc>
          <w:tcPr>
            <w:tcW w:w="481" w:type="pct"/>
            <w:noWrap w:val="0"/>
            <w:vAlign w:val="top"/>
          </w:tcPr>
          <w:p w14:paraId="66A2E509">
            <w:pPr>
              <w:jc w:val="left"/>
            </w:pPr>
          </w:p>
        </w:tc>
        <w:tc>
          <w:tcPr>
            <w:tcW w:w="481" w:type="pct"/>
            <w:noWrap w:val="0"/>
            <w:vAlign w:val="top"/>
          </w:tcPr>
          <w:p w14:paraId="06AD4823">
            <w:pPr>
              <w:jc w:val="left"/>
            </w:pPr>
          </w:p>
        </w:tc>
        <w:tc>
          <w:tcPr>
            <w:tcW w:w="481" w:type="pct"/>
            <w:noWrap w:val="0"/>
            <w:vAlign w:val="top"/>
          </w:tcPr>
          <w:p w14:paraId="17C0C3E3">
            <w:pPr>
              <w:jc w:val="left"/>
            </w:pPr>
          </w:p>
        </w:tc>
        <w:tc>
          <w:tcPr>
            <w:tcW w:w="481" w:type="pct"/>
            <w:noWrap w:val="0"/>
            <w:vAlign w:val="top"/>
          </w:tcPr>
          <w:p w14:paraId="0965B9EA">
            <w:pPr>
              <w:jc w:val="left"/>
            </w:pPr>
          </w:p>
        </w:tc>
        <w:tc>
          <w:tcPr>
            <w:tcW w:w="481" w:type="pct"/>
            <w:noWrap w:val="0"/>
            <w:vAlign w:val="top"/>
          </w:tcPr>
          <w:p w14:paraId="532D2830">
            <w:pPr>
              <w:jc w:val="left"/>
            </w:pPr>
          </w:p>
        </w:tc>
        <w:tc>
          <w:tcPr>
            <w:tcW w:w="575" w:type="pct"/>
            <w:noWrap w:val="0"/>
            <w:vAlign w:val="top"/>
          </w:tcPr>
          <w:p w14:paraId="7D31DB6A">
            <w:pPr>
              <w:jc w:val="left"/>
            </w:pPr>
          </w:p>
        </w:tc>
      </w:tr>
      <w:tr w14:paraId="3E9B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75" w:type="pct"/>
            <w:noWrap w:val="0"/>
            <w:vAlign w:val="top"/>
          </w:tcPr>
          <w:p w14:paraId="0230FB33">
            <w:pPr>
              <w:jc w:val="left"/>
            </w:pPr>
          </w:p>
        </w:tc>
        <w:tc>
          <w:tcPr>
            <w:tcW w:w="481" w:type="pct"/>
            <w:noWrap w:val="0"/>
            <w:vAlign w:val="top"/>
          </w:tcPr>
          <w:p w14:paraId="7B33E44B">
            <w:pPr>
              <w:jc w:val="left"/>
            </w:pPr>
          </w:p>
        </w:tc>
        <w:tc>
          <w:tcPr>
            <w:tcW w:w="481" w:type="pct"/>
            <w:noWrap w:val="0"/>
            <w:vAlign w:val="top"/>
          </w:tcPr>
          <w:p w14:paraId="42F4EB09">
            <w:pPr>
              <w:jc w:val="left"/>
            </w:pPr>
          </w:p>
        </w:tc>
        <w:tc>
          <w:tcPr>
            <w:tcW w:w="481" w:type="pct"/>
            <w:noWrap w:val="0"/>
            <w:vAlign w:val="top"/>
          </w:tcPr>
          <w:p w14:paraId="54BC7F9E">
            <w:pPr>
              <w:jc w:val="left"/>
            </w:pPr>
          </w:p>
        </w:tc>
        <w:tc>
          <w:tcPr>
            <w:tcW w:w="481" w:type="pct"/>
            <w:noWrap w:val="0"/>
            <w:vAlign w:val="top"/>
          </w:tcPr>
          <w:p w14:paraId="5274C73E">
            <w:pPr>
              <w:jc w:val="left"/>
            </w:pPr>
          </w:p>
        </w:tc>
        <w:tc>
          <w:tcPr>
            <w:tcW w:w="481" w:type="pct"/>
            <w:noWrap w:val="0"/>
            <w:vAlign w:val="top"/>
          </w:tcPr>
          <w:p w14:paraId="1B6108B3">
            <w:pPr>
              <w:jc w:val="left"/>
            </w:pPr>
          </w:p>
        </w:tc>
        <w:tc>
          <w:tcPr>
            <w:tcW w:w="481" w:type="pct"/>
            <w:noWrap w:val="0"/>
            <w:vAlign w:val="top"/>
          </w:tcPr>
          <w:p w14:paraId="1EBD4A4C">
            <w:pPr>
              <w:jc w:val="left"/>
            </w:pPr>
          </w:p>
        </w:tc>
        <w:tc>
          <w:tcPr>
            <w:tcW w:w="481" w:type="pct"/>
            <w:noWrap w:val="0"/>
            <w:vAlign w:val="top"/>
          </w:tcPr>
          <w:p w14:paraId="63D7AC2C">
            <w:pPr>
              <w:jc w:val="left"/>
            </w:pPr>
          </w:p>
        </w:tc>
        <w:tc>
          <w:tcPr>
            <w:tcW w:w="481" w:type="pct"/>
            <w:noWrap w:val="0"/>
            <w:vAlign w:val="top"/>
          </w:tcPr>
          <w:p w14:paraId="1B445CC8">
            <w:pPr>
              <w:jc w:val="left"/>
            </w:pPr>
          </w:p>
        </w:tc>
        <w:tc>
          <w:tcPr>
            <w:tcW w:w="575" w:type="pct"/>
            <w:noWrap w:val="0"/>
            <w:vAlign w:val="top"/>
          </w:tcPr>
          <w:p w14:paraId="44E1FFB0">
            <w:pPr>
              <w:jc w:val="left"/>
            </w:pPr>
          </w:p>
        </w:tc>
      </w:tr>
      <w:tr w14:paraId="2BA7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75" w:type="pct"/>
            <w:noWrap w:val="0"/>
            <w:vAlign w:val="top"/>
          </w:tcPr>
          <w:p w14:paraId="505DD453">
            <w:pPr>
              <w:jc w:val="left"/>
            </w:pPr>
          </w:p>
        </w:tc>
        <w:tc>
          <w:tcPr>
            <w:tcW w:w="481" w:type="pct"/>
            <w:noWrap w:val="0"/>
            <w:vAlign w:val="top"/>
          </w:tcPr>
          <w:p w14:paraId="0FBE9DC4">
            <w:pPr>
              <w:jc w:val="left"/>
            </w:pPr>
          </w:p>
        </w:tc>
        <w:tc>
          <w:tcPr>
            <w:tcW w:w="481" w:type="pct"/>
            <w:noWrap w:val="0"/>
            <w:vAlign w:val="top"/>
          </w:tcPr>
          <w:p w14:paraId="30C0900C">
            <w:pPr>
              <w:jc w:val="left"/>
            </w:pPr>
          </w:p>
        </w:tc>
        <w:tc>
          <w:tcPr>
            <w:tcW w:w="481" w:type="pct"/>
            <w:noWrap w:val="0"/>
            <w:vAlign w:val="top"/>
          </w:tcPr>
          <w:p w14:paraId="442AE7E6">
            <w:pPr>
              <w:jc w:val="left"/>
            </w:pPr>
          </w:p>
        </w:tc>
        <w:tc>
          <w:tcPr>
            <w:tcW w:w="481" w:type="pct"/>
            <w:noWrap w:val="0"/>
            <w:vAlign w:val="top"/>
          </w:tcPr>
          <w:p w14:paraId="66098919">
            <w:pPr>
              <w:jc w:val="left"/>
            </w:pPr>
          </w:p>
        </w:tc>
        <w:tc>
          <w:tcPr>
            <w:tcW w:w="481" w:type="pct"/>
            <w:noWrap w:val="0"/>
            <w:vAlign w:val="top"/>
          </w:tcPr>
          <w:p w14:paraId="25113C2A">
            <w:pPr>
              <w:jc w:val="left"/>
            </w:pPr>
          </w:p>
        </w:tc>
        <w:tc>
          <w:tcPr>
            <w:tcW w:w="481" w:type="pct"/>
            <w:noWrap w:val="0"/>
            <w:vAlign w:val="top"/>
          </w:tcPr>
          <w:p w14:paraId="7EBE25CF">
            <w:pPr>
              <w:jc w:val="left"/>
            </w:pPr>
          </w:p>
        </w:tc>
        <w:tc>
          <w:tcPr>
            <w:tcW w:w="481" w:type="pct"/>
            <w:noWrap w:val="0"/>
            <w:vAlign w:val="top"/>
          </w:tcPr>
          <w:p w14:paraId="5B9EAF2A">
            <w:pPr>
              <w:jc w:val="left"/>
            </w:pPr>
          </w:p>
        </w:tc>
        <w:tc>
          <w:tcPr>
            <w:tcW w:w="481" w:type="pct"/>
            <w:noWrap w:val="0"/>
            <w:vAlign w:val="top"/>
          </w:tcPr>
          <w:p w14:paraId="7D758169">
            <w:pPr>
              <w:jc w:val="left"/>
            </w:pPr>
          </w:p>
        </w:tc>
        <w:tc>
          <w:tcPr>
            <w:tcW w:w="575" w:type="pct"/>
            <w:noWrap w:val="0"/>
            <w:vAlign w:val="top"/>
          </w:tcPr>
          <w:p w14:paraId="2D209566">
            <w:pPr>
              <w:jc w:val="left"/>
            </w:pPr>
          </w:p>
        </w:tc>
      </w:tr>
      <w:tr w14:paraId="3713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75" w:type="pct"/>
            <w:noWrap w:val="0"/>
            <w:vAlign w:val="top"/>
          </w:tcPr>
          <w:p w14:paraId="6FFC4FE1">
            <w:pPr>
              <w:jc w:val="left"/>
            </w:pPr>
          </w:p>
        </w:tc>
        <w:tc>
          <w:tcPr>
            <w:tcW w:w="481" w:type="pct"/>
            <w:noWrap w:val="0"/>
            <w:vAlign w:val="top"/>
          </w:tcPr>
          <w:p w14:paraId="3E3EDFDC">
            <w:pPr>
              <w:jc w:val="left"/>
            </w:pPr>
          </w:p>
        </w:tc>
        <w:tc>
          <w:tcPr>
            <w:tcW w:w="481" w:type="pct"/>
            <w:noWrap w:val="0"/>
            <w:vAlign w:val="top"/>
          </w:tcPr>
          <w:p w14:paraId="14E8B5CA">
            <w:pPr>
              <w:jc w:val="left"/>
            </w:pPr>
          </w:p>
        </w:tc>
        <w:tc>
          <w:tcPr>
            <w:tcW w:w="481" w:type="pct"/>
            <w:noWrap w:val="0"/>
            <w:vAlign w:val="top"/>
          </w:tcPr>
          <w:p w14:paraId="2BDB7F56">
            <w:pPr>
              <w:jc w:val="left"/>
            </w:pPr>
          </w:p>
        </w:tc>
        <w:tc>
          <w:tcPr>
            <w:tcW w:w="481" w:type="pct"/>
            <w:noWrap w:val="0"/>
            <w:vAlign w:val="top"/>
          </w:tcPr>
          <w:p w14:paraId="738025E6">
            <w:pPr>
              <w:jc w:val="left"/>
            </w:pPr>
          </w:p>
        </w:tc>
        <w:tc>
          <w:tcPr>
            <w:tcW w:w="481" w:type="pct"/>
            <w:noWrap w:val="0"/>
            <w:vAlign w:val="top"/>
          </w:tcPr>
          <w:p w14:paraId="391A33BF">
            <w:pPr>
              <w:jc w:val="left"/>
            </w:pPr>
          </w:p>
        </w:tc>
        <w:tc>
          <w:tcPr>
            <w:tcW w:w="481" w:type="pct"/>
            <w:noWrap w:val="0"/>
            <w:vAlign w:val="top"/>
          </w:tcPr>
          <w:p w14:paraId="6B993755">
            <w:pPr>
              <w:jc w:val="left"/>
            </w:pPr>
          </w:p>
        </w:tc>
        <w:tc>
          <w:tcPr>
            <w:tcW w:w="481" w:type="pct"/>
            <w:noWrap w:val="0"/>
            <w:vAlign w:val="top"/>
          </w:tcPr>
          <w:p w14:paraId="1AE94B3C">
            <w:pPr>
              <w:jc w:val="left"/>
            </w:pPr>
          </w:p>
        </w:tc>
        <w:tc>
          <w:tcPr>
            <w:tcW w:w="481" w:type="pct"/>
            <w:noWrap w:val="0"/>
            <w:vAlign w:val="top"/>
          </w:tcPr>
          <w:p w14:paraId="125C5953">
            <w:pPr>
              <w:jc w:val="left"/>
            </w:pPr>
          </w:p>
        </w:tc>
        <w:tc>
          <w:tcPr>
            <w:tcW w:w="575" w:type="pct"/>
            <w:noWrap w:val="0"/>
            <w:vAlign w:val="top"/>
          </w:tcPr>
          <w:p w14:paraId="5B30A3E4">
            <w:pPr>
              <w:jc w:val="left"/>
            </w:pPr>
          </w:p>
        </w:tc>
      </w:tr>
      <w:tr w14:paraId="436A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75" w:type="pct"/>
            <w:noWrap w:val="0"/>
            <w:vAlign w:val="top"/>
          </w:tcPr>
          <w:p w14:paraId="52B1A87C">
            <w:pPr>
              <w:jc w:val="left"/>
            </w:pPr>
          </w:p>
        </w:tc>
        <w:tc>
          <w:tcPr>
            <w:tcW w:w="481" w:type="pct"/>
            <w:noWrap w:val="0"/>
            <w:vAlign w:val="top"/>
          </w:tcPr>
          <w:p w14:paraId="76F29E2D">
            <w:pPr>
              <w:jc w:val="left"/>
            </w:pPr>
          </w:p>
        </w:tc>
        <w:tc>
          <w:tcPr>
            <w:tcW w:w="481" w:type="pct"/>
            <w:noWrap w:val="0"/>
            <w:vAlign w:val="top"/>
          </w:tcPr>
          <w:p w14:paraId="23ECDF11">
            <w:pPr>
              <w:jc w:val="left"/>
            </w:pPr>
          </w:p>
        </w:tc>
        <w:tc>
          <w:tcPr>
            <w:tcW w:w="481" w:type="pct"/>
            <w:noWrap w:val="0"/>
            <w:vAlign w:val="top"/>
          </w:tcPr>
          <w:p w14:paraId="3AD4FB24">
            <w:pPr>
              <w:jc w:val="left"/>
            </w:pPr>
          </w:p>
        </w:tc>
        <w:tc>
          <w:tcPr>
            <w:tcW w:w="481" w:type="pct"/>
            <w:noWrap w:val="0"/>
            <w:vAlign w:val="top"/>
          </w:tcPr>
          <w:p w14:paraId="37441B40">
            <w:pPr>
              <w:jc w:val="left"/>
            </w:pPr>
          </w:p>
        </w:tc>
        <w:tc>
          <w:tcPr>
            <w:tcW w:w="481" w:type="pct"/>
            <w:noWrap w:val="0"/>
            <w:vAlign w:val="top"/>
          </w:tcPr>
          <w:p w14:paraId="3D4F0E0B">
            <w:pPr>
              <w:jc w:val="left"/>
            </w:pPr>
          </w:p>
        </w:tc>
        <w:tc>
          <w:tcPr>
            <w:tcW w:w="481" w:type="pct"/>
            <w:noWrap w:val="0"/>
            <w:vAlign w:val="top"/>
          </w:tcPr>
          <w:p w14:paraId="6D06633D">
            <w:pPr>
              <w:jc w:val="left"/>
            </w:pPr>
          </w:p>
        </w:tc>
        <w:tc>
          <w:tcPr>
            <w:tcW w:w="481" w:type="pct"/>
            <w:noWrap w:val="0"/>
            <w:vAlign w:val="top"/>
          </w:tcPr>
          <w:p w14:paraId="0C9A498B">
            <w:pPr>
              <w:jc w:val="left"/>
            </w:pPr>
          </w:p>
        </w:tc>
        <w:tc>
          <w:tcPr>
            <w:tcW w:w="481" w:type="pct"/>
            <w:noWrap w:val="0"/>
            <w:vAlign w:val="top"/>
          </w:tcPr>
          <w:p w14:paraId="1BB5D2DB">
            <w:pPr>
              <w:jc w:val="left"/>
            </w:pPr>
          </w:p>
        </w:tc>
        <w:tc>
          <w:tcPr>
            <w:tcW w:w="575" w:type="pct"/>
            <w:noWrap w:val="0"/>
            <w:vAlign w:val="top"/>
          </w:tcPr>
          <w:p w14:paraId="16B4EF61">
            <w:pPr>
              <w:jc w:val="left"/>
            </w:pPr>
          </w:p>
        </w:tc>
      </w:tr>
      <w:tr w14:paraId="4C05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75" w:type="pct"/>
            <w:noWrap w:val="0"/>
            <w:vAlign w:val="top"/>
          </w:tcPr>
          <w:p w14:paraId="61B077C5">
            <w:pPr>
              <w:jc w:val="left"/>
            </w:pPr>
            <w:r>
              <w:t>合计</w:t>
            </w:r>
          </w:p>
        </w:tc>
        <w:tc>
          <w:tcPr>
            <w:tcW w:w="481" w:type="pct"/>
            <w:noWrap w:val="0"/>
            <w:vAlign w:val="top"/>
          </w:tcPr>
          <w:p w14:paraId="6E5BB17A">
            <w:pPr>
              <w:jc w:val="left"/>
            </w:pPr>
          </w:p>
        </w:tc>
        <w:tc>
          <w:tcPr>
            <w:tcW w:w="481" w:type="pct"/>
            <w:noWrap w:val="0"/>
            <w:vAlign w:val="top"/>
          </w:tcPr>
          <w:p w14:paraId="0541AA9B">
            <w:pPr>
              <w:jc w:val="left"/>
            </w:pPr>
          </w:p>
        </w:tc>
        <w:tc>
          <w:tcPr>
            <w:tcW w:w="481" w:type="pct"/>
            <w:noWrap w:val="0"/>
            <w:vAlign w:val="top"/>
          </w:tcPr>
          <w:p w14:paraId="6EEF569E">
            <w:pPr>
              <w:jc w:val="left"/>
            </w:pPr>
          </w:p>
        </w:tc>
        <w:tc>
          <w:tcPr>
            <w:tcW w:w="481" w:type="pct"/>
            <w:noWrap w:val="0"/>
            <w:vAlign w:val="top"/>
          </w:tcPr>
          <w:p w14:paraId="2140CFD7">
            <w:pPr>
              <w:jc w:val="left"/>
            </w:pPr>
          </w:p>
        </w:tc>
        <w:tc>
          <w:tcPr>
            <w:tcW w:w="481" w:type="pct"/>
            <w:noWrap w:val="0"/>
            <w:vAlign w:val="top"/>
          </w:tcPr>
          <w:p w14:paraId="22CE4FF9">
            <w:pPr>
              <w:jc w:val="left"/>
            </w:pPr>
          </w:p>
        </w:tc>
        <w:tc>
          <w:tcPr>
            <w:tcW w:w="481" w:type="pct"/>
            <w:noWrap w:val="0"/>
            <w:vAlign w:val="top"/>
          </w:tcPr>
          <w:p w14:paraId="07DF43DD">
            <w:pPr>
              <w:jc w:val="left"/>
            </w:pPr>
          </w:p>
        </w:tc>
        <w:tc>
          <w:tcPr>
            <w:tcW w:w="481" w:type="pct"/>
            <w:noWrap w:val="0"/>
            <w:vAlign w:val="top"/>
          </w:tcPr>
          <w:p w14:paraId="3349E3F0">
            <w:pPr>
              <w:jc w:val="left"/>
            </w:pPr>
          </w:p>
        </w:tc>
        <w:tc>
          <w:tcPr>
            <w:tcW w:w="481" w:type="pct"/>
            <w:noWrap w:val="0"/>
            <w:vAlign w:val="top"/>
          </w:tcPr>
          <w:p w14:paraId="314F24E9">
            <w:pPr>
              <w:jc w:val="left"/>
            </w:pPr>
          </w:p>
        </w:tc>
        <w:tc>
          <w:tcPr>
            <w:tcW w:w="575" w:type="pct"/>
            <w:noWrap w:val="0"/>
            <w:vAlign w:val="top"/>
          </w:tcPr>
          <w:p w14:paraId="6C22108B">
            <w:pPr>
              <w:jc w:val="left"/>
            </w:pPr>
          </w:p>
        </w:tc>
      </w:tr>
    </w:tbl>
    <w:p w14:paraId="6638CCD1">
      <w:pPr>
        <w:spacing w:line="440" w:lineRule="exact"/>
        <w:jc w:val="left"/>
      </w:pPr>
      <w:r>
        <w:t>注：每种废物请填写合计量</w:t>
      </w:r>
    </w:p>
    <w:p w14:paraId="381C0C68">
      <w:pPr>
        <w:spacing w:line="440" w:lineRule="exact"/>
        <w:ind w:firstLine="420" w:firstLineChars="200"/>
        <w:jc w:val="left"/>
        <w:rPr>
          <w:rFonts w:ascii="Times New Roman" w:hAnsi="Times New Roman"/>
        </w:rPr>
      </w:pPr>
      <w:r>
        <w:t>首次申请不需填写</w:t>
      </w:r>
    </w:p>
    <w:sectPr>
      <w:footerReference r:id="rId5" w:type="default"/>
      <w:pgSz w:w="16838" w:h="11906" w:orient="landscape"/>
      <w:pgMar w:top="720" w:right="720" w:bottom="720" w:left="72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EAAB">
    <w:pPr>
      <w:pStyle w:val="5"/>
      <w:framePr w:wrap="around" w:vAnchor="text" w:hAnchor="margin" w:xAlign="center" w:y="1"/>
      <w:rPr>
        <w:rStyle w:val="11"/>
      </w:rPr>
    </w:pPr>
  </w:p>
  <w:p w14:paraId="0AE1B93F">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71AF3"/>
    <w:multiLevelType w:val="singleLevel"/>
    <w:tmpl w:val="19771AF3"/>
    <w:lvl w:ilvl="0" w:tentative="0">
      <w:start w:val="1"/>
      <w:numFmt w:val="decimal"/>
      <w:suff w:val="nothing"/>
      <w:lvlText w:val="（%1）"/>
      <w:lvlJc w:val="left"/>
      <w:pPr>
        <w:ind w:left="420" w:firstLine="0"/>
      </w:pPr>
    </w:lvl>
  </w:abstractNum>
  <w:abstractNum w:abstractNumId="1">
    <w:nsid w:val="21D06976"/>
    <w:multiLevelType w:val="multilevel"/>
    <w:tmpl w:val="21D06976"/>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2"/>
      <w:suff w:val="space"/>
      <w:lvlText w:val="%1.%2.%3"/>
      <w:lvlJc w:val="left"/>
      <w:pPr>
        <w:ind w:left="0" w:firstLine="0"/>
      </w:pPr>
      <w:rPr>
        <w:rFonts w:hint="eastAsia"/>
      </w:rPr>
    </w:lvl>
    <w:lvl w:ilvl="3" w:tentative="0">
      <w:start w:val="1"/>
      <w:numFmt w:val="decimal"/>
      <w:suff w:val="space"/>
      <w:lvlText w:val="%1.%2.%3.%4"/>
      <w:lvlJc w:val="left"/>
      <w:pPr>
        <w:ind w:left="0" w:firstLine="0"/>
      </w:pPr>
      <w:rPr>
        <w:b/>
        <w:bCs/>
        <w:i w:val="0"/>
        <w:iCs w:val="0"/>
        <w:caps w:val="0"/>
        <w:smallCaps w:val="0"/>
        <w:strike w:val="0"/>
        <w:dstrike w:val="0"/>
        <w:vanish w:val="0"/>
        <w:color w:val="000000"/>
        <w:spacing w:val="0"/>
        <w:position w:val="0"/>
        <w:u w:val="none"/>
        <w:vertAlign w:val="baseline"/>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WRiYTA3YjQ0OTIxOGEyMzVlNWNjYjEyMDJiNjkifQ=="/>
  </w:docVars>
  <w:rsids>
    <w:rsidRoot w:val="00513EC0"/>
    <w:rsid w:val="00000BBF"/>
    <w:rsid w:val="00000E90"/>
    <w:rsid w:val="00007DBF"/>
    <w:rsid w:val="00017FC7"/>
    <w:rsid w:val="00021CE0"/>
    <w:rsid w:val="00027076"/>
    <w:rsid w:val="00032D57"/>
    <w:rsid w:val="00043422"/>
    <w:rsid w:val="000443D1"/>
    <w:rsid w:val="000919BD"/>
    <w:rsid w:val="000B1B33"/>
    <w:rsid w:val="000B6F71"/>
    <w:rsid w:val="000C1ECB"/>
    <w:rsid w:val="000D21D6"/>
    <w:rsid w:val="000D35F1"/>
    <w:rsid w:val="000F2298"/>
    <w:rsid w:val="000F7C39"/>
    <w:rsid w:val="00105FDD"/>
    <w:rsid w:val="00126937"/>
    <w:rsid w:val="00126B36"/>
    <w:rsid w:val="0013358E"/>
    <w:rsid w:val="0014452C"/>
    <w:rsid w:val="00147B3C"/>
    <w:rsid w:val="001511A2"/>
    <w:rsid w:val="00160C8B"/>
    <w:rsid w:val="00166F7C"/>
    <w:rsid w:val="00192431"/>
    <w:rsid w:val="001A5ED9"/>
    <w:rsid w:val="001B102A"/>
    <w:rsid w:val="001B3625"/>
    <w:rsid w:val="001B487D"/>
    <w:rsid w:val="001B5962"/>
    <w:rsid w:val="001B75E2"/>
    <w:rsid w:val="001B79BA"/>
    <w:rsid w:val="001C1090"/>
    <w:rsid w:val="001C4293"/>
    <w:rsid w:val="001C7CDF"/>
    <w:rsid w:val="001D4BC0"/>
    <w:rsid w:val="001E0A6B"/>
    <w:rsid w:val="001F1AB7"/>
    <w:rsid w:val="001F257A"/>
    <w:rsid w:val="001F5901"/>
    <w:rsid w:val="00200D22"/>
    <w:rsid w:val="00207B7D"/>
    <w:rsid w:val="00207ED9"/>
    <w:rsid w:val="0021641B"/>
    <w:rsid w:val="002173E1"/>
    <w:rsid w:val="00217957"/>
    <w:rsid w:val="00222FD3"/>
    <w:rsid w:val="0023693D"/>
    <w:rsid w:val="002374CD"/>
    <w:rsid w:val="00241377"/>
    <w:rsid w:val="00250209"/>
    <w:rsid w:val="00254134"/>
    <w:rsid w:val="00255065"/>
    <w:rsid w:val="0026689F"/>
    <w:rsid w:val="002733FD"/>
    <w:rsid w:val="002846DB"/>
    <w:rsid w:val="00285E97"/>
    <w:rsid w:val="00291966"/>
    <w:rsid w:val="002A48F9"/>
    <w:rsid w:val="002A5CEA"/>
    <w:rsid w:val="002A6FDB"/>
    <w:rsid w:val="002B2ADF"/>
    <w:rsid w:val="002B33DF"/>
    <w:rsid w:val="002B53B7"/>
    <w:rsid w:val="002B7A71"/>
    <w:rsid w:val="002C6403"/>
    <w:rsid w:val="002F0B97"/>
    <w:rsid w:val="002F6BDB"/>
    <w:rsid w:val="00300F4A"/>
    <w:rsid w:val="003048E9"/>
    <w:rsid w:val="003148A5"/>
    <w:rsid w:val="00317747"/>
    <w:rsid w:val="00321F99"/>
    <w:rsid w:val="00334566"/>
    <w:rsid w:val="00336EB5"/>
    <w:rsid w:val="00352174"/>
    <w:rsid w:val="00355ECB"/>
    <w:rsid w:val="00361393"/>
    <w:rsid w:val="00361720"/>
    <w:rsid w:val="003657E7"/>
    <w:rsid w:val="003735AE"/>
    <w:rsid w:val="00373E82"/>
    <w:rsid w:val="003854DB"/>
    <w:rsid w:val="00393A31"/>
    <w:rsid w:val="003A57B5"/>
    <w:rsid w:val="003C3820"/>
    <w:rsid w:val="003C7894"/>
    <w:rsid w:val="003F094C"/>
    <w:rsid w:val="003F5AD9"/>
    <w:rsid w:val="003F5AE3"/>
    <w:rsid w:val="004021E8"/>
    <w:rsid w:val="004043BE"/>
    <w:rsid w:val="004054EB"/>
    <w:rsid w:val="0040639F"/>
    <w:rsid w:val="00415E26"/>
    <w:rsid w:val="00423CE0"/>
    <w:rsid w:val="0042734B"/>
    <w:rsid w:val="0042773D"/>
    <w:rsid w:val="004336C7"/>
    <w:rsid w:val="0044064F"/>
    <w:rsid w:val="00447E1C"/>
    <w:rsid w:val="004515DE"/>
    <w:rsid w:val="004572EB"/>
    <w:rsid w:val="00482662"/>
    <w:rsid w:val="004853E4"/>
    <w:rsid w:val="00485D9F"/>
    <w:rsid w:val="004945E2"/>
    <w:rsid w:val="004969E8"/>
    <w:rsid w:val="004E06AB"/>
    <w:rsid w:val="004E1C81"/>
    <w:rsid w:val="004F2E3F"/>
    <w:rsid w:val="004F6AD9"/>
    <w:rsid w:val="005078A6"/>
    <w:rsid w:val="005110B2"/>
    <w:rsid w:val="00512B7C"/>
    <w:rsid w:val="00513114"/>
    <w:rsid w:val="00513EC0"/>
    <w:rsid w:val="005174FE"/>
    <w:rsid w:val="005510D6"/>
    <w:rsid w:val="005510E1"/>
    <w:rsid w:val="005542B2"/>
    <w:rsid w:val="00560A1E"/>
    <w:rsid w:val="005646C6"/>
    <w:rsid w:val="00575708"/>
    <w:rsid w:val="00576C93"/>
    <w:rsid w:val="00593AD5"/>
    <w:rsid w:val="005A6A10"/>
    <w:rsid w:val="005D68CF"/>
    <w:rsid w:val="005D7878"/>
    <w:rsid w:val="005F4DA8"/>
    <w:rsid w:val="006031BE"/>
    <w:rsid w:val="00606239"/>
    <w:rsid w:val="00610579"/>
    <w:rsid w:val="00627A6D"/>
    <w:rsid w:val="00635E3D"/>
    <w:rsid w:val="00640D16"/>
    <w:rsid w:val="00644237"/>
    <w:rsid w:val="00645E31"/>
    <w:rsid w:val="006461CF"/>
    <w:rsid w:val="00647E0E"/>
    <w:rsid w:val="00650FA2"/>
    <w:rsid w:val="00661DE7"/>
    <w:rsid w:val="00667529"/>
    <w:rsid w:val="00676D55"/>
    <w:rsid w:val="00683B0C"/>
    <w:rsid w:val="0068749D"/>
    <w:rsid w:val="006A08BD"/>
    <w:rsid w:val="006B37CF"/>
    <w:rsid w:val="006B4111"/>
    <w:rsid w:val="006B6180"/>
    <w:rsid w:val="006C152D"/>
    <w:rsid w:val="006C7F51"/>
    <w:rsid w:val="006F3650"/>
    <w:rsid w:val="006F59F0"/>
    <w:rsid w:val="00710246"/>
    <w:rsid w:val="00710CD7"/>
    <w:rsid w:val="00715F8C"/>
    <w:rsid w:val="007222A9"/>
    <w:rsid w:val="007226B8"/>
    <w:rsid w:val="00734CDF"/>
    <w:rsid w:val="00735F58"/>
    <w:rsid w:val="007361CF"/>
    <w:rsid w:val="00741BE1"/>
    <w:rsid w:val="007573B9"/>
    <w:rsid w:val="00775203"/>
    <w:rsid w:val="00785914"/>
    <w:rsid w:val="007933AB"/>
    <w:rsid w:val="0079387E"/>
    <w:rsid w:val="00796726"/>
    <w:rsid w:val="007A30BE"/>
    <w:rsid w:val="007B0117"/>
    <w:rsid w:val="007B77B0"/>
    <w:rsid w:val="007C36F4"/>
    <w:rsid w:val="007C6333"/>
    <w:rsid w:val="007D1710"/>
    <w:rsid w:val="007D44CE"/>
    <w:rsid w:val="007E3213"/>
    <w:rsid w:val="007E3FD2"/>
    <w:rsid w:val="007E5228"/>
    <w:rsid w:val="007F0249"/>
    <w:rsid w:val="008103B4"/>
    <w:rsid w:val="00814B23"/>
    <w:rsid w:val="00821B8F"/>
    <w:rsid w:val="00821DAF"/>
    <w:rsid w:val="00823D5E"/>
    <w:rsid w:val="00830D66"/>
    <w:rsid w:val="00835F45"/>
    <w:rsid w:val="00860475"/>
    <w:rsid w:val="008646DA"/>
    <w:rsid w:val="00872828"/>
    <w:rsid w:val="00872D75"/>
    <w:rsid w:val="00886A9F"/>
    <w:rsid w:val="00886F6F"/>
    <w:rsid w:val="00895392"/>
    <w:rsid w:val="008958B2"/>
    <w:rsid w:val="00896E96"/>
    <w:rsid w:val="008A087F"/>
    <w:rsid w:val="008B4188"/>
    <w:rsid w:val="008B6F28"/>
    <w:rsid w:val="008C1D8D"/>
    <w:rsid w:val="008D0278"/>
    <w:rsid w:val="008D3DBE"/>
    <w:rsid w:val="008D67BC"/>
    <w:rsid w:val="008E228C"/>
    <w:rsid w:val="008E6C24"/>
    <w:rsid w:val="00912642"/>
    <w:rsid w:val="009240AC"/>
    <w:rsid w:val="00925004"/>
    <w:rsid w:val="009331E1"/>
    <w:rsid w:val="0093539F"/>
    <w:rsid w:val="009462B5"/>
    <w:rsid w:val="0098563C"/>
    <w:rsid w:val="00994730"/>
    <w:rsid w:val="009A030E"/>
    <w:rsid w:val="009A4FBD"/>
    <w:rsid w:val="009A51A6"/>
    <w:rsid w:val="009A7F75"/>
    <w:rsid w:val="009B2E75"/>
    <w:rsid w:val="009D47F8"/>
    <w:rsid w:val="009D6467"/>
    <w:rsid w:val="009D7EE4"/>
    <w:rsid w:val="009F3A6B"/>
    <w:rsid w:val="009F780D"/>
    <w:rsid w:val="00A025BE"/>
    <w:rsid w:val="00A033C7"/>
    <w:rsid w:val="00A07EF2"/>
    <w:rsid w:val="00A22006"/>
    <w:rsid w:val="00A220CE"/>
    <w:rsid w:val="00A23239"/>
    <w:rsid w:val="00A35B5C"/>
    <w:rsid w:val="00A4364D"/>
    <w:rsid w:val="00A44E60"/>
    <w:rsid w:val="00A50BDE"/>
    <w:rsid w:val="00A5276F"/>
    <w:rsid w:val="00A539AB"/>
    <w:rsid w:val="00A64906"/>
    <w:rsid w:val="00A6700A"/>
    <w:rsid w:val="00A7233D"/>
    <w:rsid w:val="00A72679"/>
    <w:rsid w:val="00A93A49"/>
    <w:rsid w:val="00AA03F0"/>
    <w:rsid w:val="00AA0C4E"/>
    <w:rsid w:val="00AC29A2"/>
    <w:rsid w:val="00AC5B9D"/>
    <w:rsid w:val="00AD5E55"/>
    <w:rsid w:val="00AE2536"/>
    <w:rsid w:val="00AF11F8"/>
    <w:rsid w:val="00AF6B52"/>
    <w:rsid w:val="00AF6CC7"/>
    <w:rsid w:val="00B12771"/>
    <w:rsid w:val="00B12B5B"/>
    <w:rsid w:val="00B17578"/>
    <w:rsid w:val="00B41C2B"/>
    <w:rsid w:val="00B602C6"/>
    <w:rsid w:val="00B61679"/>
    <w:rsid w:val="00B758BB"/>
    <w:rsid w:val="00B80E5F"/>
    <w:rsid w:val="00B92695"/>
    <w:rsid w:val="00B94005"/>
    <w:rsid w:val="00BB01C8"/>
    <w:rsid w:val="00BC108A"/>
    <w:rsid w:val="00BD09D2"/>
    <w:rsid w:val="00BF6889"/>
    <w:rsid w:val="00C066CA"/>
    <w:rsid w:val="00C06E74"/>
    <w:rsid w:val="00C0779D"/>
    <w:rsid w:val="00C11A05"/>
    <w:rsid w:val="00C12BD7"/>
    <w:rsid w:val="00C308B2"/>
    <w:rsid w:val="00C31E8E"/>
    <w:rsid w:val="00C33AF6"/>
    <w:rsid w:val="00C34EE6"/>
    <w:rsid w:val="00C36A96"/>
    <w:rsid w:val="00C44C4F"/>
    <w:rsid w:val="00C47C96"/>
    <w:rsid w:val="00C578AE"/>
    <w:rsid w:val="00C71FE8"/>
    <w:rsid w:val="00C81F35"/>
    <w:rsid w:val="00C91773"/>
    <w:rsid w:val="00CA6E9A"/>
    <w:rsid w:val="00CC2FCC"/>
    <w:rsid w:val="00CD0057"/>
    <w:rsid w:val="00CD5F3F"/>
    <w:rsid w:val="00CE1029"/>
    <w:rsid w:val="00CE75CF"/>
    <w:rsid w:val="00CF0253"/>
    <w:rsid w:val="00CF4AF9"/>
    <w:rsid w:val="00CF51C3"/>
    <w:rsid w:val="00D3037D"/>
    <w:rsid w:val="00D3108B"/>
    <w:rsid w:val="00D443E5"/>
    <w:rsid w:val="00D51358"/>
    <w:rsid w:val="00D61851"/>
    <w:rsid w:val="00D658AA"/>
    <w:rsid w:val="00D76B45"/>
    <w:rsid w:val="00D777E9"/>
    <w:rsid w:val="00D85F61"/>
    <w:rsid w:val="00D876F0"/>
    <w:rsid w:val="00D90DEC"/>
    <w:rsid w:val="00D91A52"/>
    <w:rsid w:val="00DA2FE9"/>
    <w:rsid w:val="00DB0054"/>
    <w:rsid w:val="00DB40E1"/>
    <w:rsid w:val="00DB430D"/>
    <w:rsid w:val="00DB4D9A"/>
    <w:rsid w:val="00DC5324"/>
    <w:rsid w:val="00DC6934"/>
    <w:rsid w:val="00DD64E5"/>
    <w:rsid w:val="00DF1279"/>
    <w:rsid w:val="00DF7E0D"/>
    <w:rsid w:val="00E029E3"/>
    <w:rsid w:val="00E03C23"/>
    <w:rsid w:val="00E06953"/>
    <w:rsid w:val="00E1171C"/>
    <w:rsid w:val="00E30BE1"/>
    <w:rsid w:val="00E33BF2"/>
    <w:rsid w:val="00E4195E"/>
    <w:rsid w:val="00E42A47"/>
    <w:rsid w:val="00E521B8"/>
    <w:rsid w:val="00E54D24"/>
    <w:rsid w:val="00E56996"/>
    <w:rsid w:val="00E62466"/>
    <w:rsid w:val="00E66432"/>
    <w:rsid w:val="00E71ED3"/>
    <w:rsid w:val="00E778A2"/>
    <w:rsid w:val="00E84148"/>
    <w:rsid w:val="00E87763"/>
    <w:rsid w:val="00E92B87"/>
    <w:rsid w:val="00E95267"/>
    <w:rsid w:val="00E952D0"/>
    <w:rsid w:val="00EA051E"/>
    <w:rsid w:val="00EA1241"/>
    <w:rsid w:val="00EA5992"/>
    <w:rsid w:val="00EA61BB"/>
    <w:rsid w:val="00EB0E22"/>
    <w:rsid w:val="00EB5066"/>
    <w:rsid w:val="00EC3F05"/>
    <w:rsid w:val="00ED5626"/>
    <w:rsid w:val="00ED68AF"/>
    <w:rsid w:val="00EE1472"/>
    <w:rsid w:val="00EE14CE"/>
    <w:rsid w:val="00EE6C27"/>
    <w:rsid w:val="00EE7DBE"/>
    <w:rsid w:val="00EF2566"/>
    <w:rsid w:val="00EF35DA"/>
    <w:rsid w:val="00F04045"/>
    <w:rsid w:val="00F21990"/>
    <w:rsid w:val="00F32ABE"/>
    <w:rsid w:val="00F52EAA"/>
    <w:rsid w:val="00F56852"/>
    <w:rsid w:val="00F6103B"/>
    <w:rsid w:val="00F617C0"/>
    <w:rsid w:val="00F63642"/>
    <w:rsid w:val="00F6457F"/>
    <w:rsid w:val="00F66F84"/>
    <w:rsid w:val="00F72B46"/>
    <w:rsid w:val="00F7601B"/>
    <w:rsid w:val="00F77DC1"/>
    <w:rsid w:val="00F83281"/>
    <w:rsid w:val="00F84038"/>
    <w:rsid w:val="00F94D21"/>
    <w:rsid w:val="00FA2899"/>
    <w:rsid w:val="00FA6346"/>
    <w:rsid w:val="00FB4B6C"/>
    <w:rsid w:val="00FB678C"/>
    <w:rsid w:val="00FB6FE2"/>
    <w:rsid w:val="00FD69F7"/>
    <w:rsid w:val="00FD7246"/>
    <w:rsid w:val="00FE15EF"/>
    <w:rsid w:val="00FE1A84"/>
    <w:rsid w:val="00FE1FAD"/>
    <w:rsid w:val="013E2118"/>
    <w:rsid w:val="02093D8C"/>
    <w:rsid w:val="045D7526"/>
    <w:rsid w:val="04F03D7E"/>
    <w:rsid w:val="05CD3C62"/>
    <w:rsid w:val="07812628"/>
    <w:rsid w:val="0AB20213"/>
    <w:rsid w:val="0B712936"/>
    <w:rsid w:val="0C053372"/>
    <w:rsid w:val="0DC4430A"/>
    <w:rsid w:val="0F1B4175"/>
    <w:rsid w:val="0F900EE7"/>
    <w:rsid w:val="0FDE170A"/>
    <w:rsid w:val="10AE4B91"/>
    <w:rsid w:val="10BE3610"/>
    <w:rsid w:val="115853B6"/>
    <w:rsid w:val="11DF59C9"/>
    <w:rsid w:val="13EE64F8"/>
    <w:rsid w:val="16822A97"/>
    <w:rsid w:val="180174A5"/>
    <w:rsid w:val="1AD65EA8"/>
    <w:rsid w:val="1B571D58"/>
    <w:rsid w:val="1B691252"/>
    <w:rsid w:val="1EEA5610"/>
    <w:rsid w:val="1FA56DF3"/>
    <w:rsid w:val="21EB09FC"/>
    <w:rsid w:val="26452C16"/>
    <w:rsid w:val="28CA594E"/>
    <w:rsid w:val="29F07B33"/>
    <w:rsid w:val="29FD1C6A"/>
    <w:rsid w:val="2A92596F"/>
    <w:rsid w:val="2AFF14E3"/>
    <w:rsid w:val="2B4E00E0"/>
    <w:rsid w:val="2CFC5020"/>
    <w:rsid w:val="2FB7029A"/>
    <w:rsid w:val="30C44C1C"/>
    <w:rsid w:val="3193120A"/>
    <w:rsid w:val="32222086"/>
    <w:rsid w:val="32E50AA1"/>
    <w:rsid w:val="32EB67CC"/>
    <w:rsid w:val="37AB044D"/>
    <w:rsid w:val="3BF65A5C"/>
    <w:rsid w:val="3C80257F"/>
    <w:rsid w:val="40595A8D"/>
    <w:rsid w:val="409C2A7F"/>
    <w:rsid w:val="4127047A"/>
    <w:rsid w:val="41394C0D"/>
    <w:rsid w:val="444A228F"/>
    <w:rsid w:val="46D30C67"/>
    <w:rsid w:val="48521F08"/>
    <w:rsid w:val="49A1556B"/>
    <w:rsid w:val="4C9670B4"/>
    <w:rsid w:val="4D3A0505"/>
    <w:rsid w:val="4EE554BC"/>
    <w:rsid w:val="4EFC00CC"/>
    <w:rsid w:val="5000274C"/>
    <w:rsid w:val="52754387"/>
    <w:rsid w:val="53AD61FD"/>
    <w:rsid w:val="59BB29B7"/>
    <w:rsid w:val="5E5201AE"/>
    <w:rsid w:val="5E557550"/>
    <w:rsid w:val="5E691E6A"/>
    <w:rsid w:val="5ED50477"/>
    <w:rsid w:val="5F47091E"/>
    <w:rsid w:val="5FDA56FC"/>
    <w:rsid w:val="60544BC9"/>
    <w:rsid w:val="60C45B1A"/>
    <w:rsid w:val="62376AA3"/>
    <w:rsid w:val="63055DF4"/>
    <w:rsid w:val="63E21B8C"/>
    <w:rsid w:val="668A3E79"/>
    <w:rsid w:val="6722636D"/>
    <w:rsid w:val="67646162"/>
    <w:rsid w:val="68555EB6"/>
    <w:rsid w:val="6B8F070E"/>
    <w:rsid w:val="6BE819F6"/>
    <w:rsid w:val="6C4A4017"/>
    <w:rsid w:val="6D394772"/>
    <w:rsid w:val="6DFF3244"/>
    <w:rsid w:val="6F54415D"/>
    <w:rsid w:val="70212F7D"/>
    <w:rsid w:val="71480B55"/>
    <w:rsid w:val="718223E9"/>
    <w:rsid w:val="7267741E"/>
    <w:rsid w:val="72A93E81"/>
    <w:rsid w:val="73CB1428"/>
    <w:rsid w:val="746F2A88"/>
    <w:rsid w:val="75385021"/>
    <w:rsid w:val="78071E2C"/>
    <w:rsid w:val="79427761"/>
    <w:rsid w:val="7B1D6B9B"/>
    <w:rsid w:val="7BF91F22"/>
    <w:rsid w:val="7C190C4B"/>
    <w:rsid w:val="7C756796"/>
    <w:rsid w:val="7DE544A8"/>
    <w:rsid w:val="7E860F83"/>
    <w:rsid w:val="7EE831FC"/>
    <w:rsid w:val="7F794C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0" w:lineRule="exact"/>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numPr>
        <w:ilvl w:val="2"/>
        <w:numId w:val="1"/>
      </w:numPr>
      <w:spacing w:after="50" w:afterLines="50" w:line="500" w:lineRule="exact"/>
      <w:ind w:firstLineChars="0"/>
      <w:outlineLvl w:val="2"/>
    </w:pPr>
    <w:rPr>
      <w:rFonts w:cs="Times New Roman"/>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6"/>
    <w:unhideWhenUsed/>
    <w:qFormat/>
    <w:uiPriority w:val="99"/>
    <w:pPr>
      <w:spacing w:line="240" w:lineRule="auto"/>
    </w:pPr>
    <w:rPr>
      <w:rFonts w:ascii="宋体" w:hAnsi="Courier New" w:cs="Courier New"/>
      <w:szCs w:val="21"/>
    </w:rPr>
  </w:style>
  <w:style w:type="paragraph" w:styleId="4">
    <w:name w:val="Balloon Text"/>
    <w:basedOn w:val="1"/>
    <w:link w:val="17"/>
    <w:semiHidden/>
    <w:unhideWhenUsed/>
    <w:qFormat/>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character" w:styleId="11">
    <w:name w:val="page number"/>
    <w:qFormat/>
    <w:uiPriority w:val="0"/>
  </w:style>
  <w:style w:type="character" w:styleId="12">
    <w:name w:val="FollowedHyperlink"/>
    <w:basedOn w:val="10"/>
    <w:unhideWhenUsed/>
    <w:qFormat/>
    <w:uiPriority w:val="99"/>
    <w:rPr>
      <w:color w:val="800080"/>
      <w:u w:val="none"/>
    </w:rPr>
  </w:style>
  <w:style w:type="character" w:styleId="13">
    <w:name w:val="Hyperlink"/>
    <w:basedOn w:val="10"/>
    <w:unhideWhenUsed/>
    <w:qFormat/>
    <w:uiPriority w:val="99"/>
    <w:rPr>
      <w:color w:val="0000FF"/>
      <w:u w:val="non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纯文本 Char"/>
    <w:basedOn w:val="10"/>
    <w:link w:val="3"/>
    <w:semiHidden/>
    <w:qFormat/>
    <w:uiPriority w:val="99"/>
    <w:rPr>
      <w:rFonts w:ascii="宋体" w:hAnsi="Courier New" w:eastAsia="宋体" w:cs="Courier New"/>
      <w:szCs w:val="21"/>
    </w:rPr>
  </w:style>
  <w:style w:type="character" w:customStyle="1" w:styleId="17">
    <w:name w:val="批注框文本 Char"/>
    <w:basedOn w:val="10"/>
    <w:link w:val="4"/>
    <w:semiHidden/>
    <w:qFormat/>
    <w:uiPriority w:val="99"/>
    <w:rPr>
      <w:rFonts w:ascii="Calibri" w:hAnsi="Calibri"/>
      <w:kern w:val="2"/>
      <w:sz w:val="18"/>
      <w:szCs w:val="18"/>
    </w:rPr>
  </w:style>
  <w:style w:type="paragraph" w:styleId="1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Pages>
  <Words>2401</Words>
  <Characters>2856</Characters>
  <Lines>125</Lines>
  <Paragraphs>35</Paragraphs>
  <TotalTime>2</TotalTime>
  <ScaleCrop>false</ScaleCrop>
  <LinksUpToDate>false</LinksUpToDate>
  <CharactersWithSpaces>3151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2016-12-02T01:53:00Z</dcterms:created>
  <dc:creator>acer</dc:creator>
  <cp:lastModifiedBy>刘法元</cp:lastModifiedBy>
  <cp:lastPrinted>2024-11-12T01:03:00Z</cp:lastPrinted>
  <dcterms:modified xsi:type="dcterms:W3CDTF">2025-01-14T01:27:16Z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3F53E42095C74FBFA1E7B0B868E33668_13</vt:lpwstr>
  </property>
  <property fmtid="{D5CDD505-2E9C-101B-9397-08002B2CF9AE}" pid="4" name="KSOTemplateDocerSaveRecord">
    <vt:lpwstr>eyJoZGlkIjoiMzdiMWRiYTA3YjQ0OTIxOGEyMzVlNWNjYjEyMDJiNjkiLCJ1c2VySWQiOiIxMTIyMDkwOTAyIn0=</vt:lpwstr>
  </property>
</Properties>
</file>