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48D07B">
      <w:pPr>
        <w:pStyle w:val="22"/>
        <w:spacing w:before="0" w:beforeAutospacing="0" w:after="0" w:afterAutospacing="0"/>
        <w:contextualSpacing/>
        <w:jc w:val="center"/>
        <w:outlineLvl w:val="0"/>
        <w:rPr>
          <w:rFonts w:hint="default" w:ascii="Times New Roman" w:hAnsi="Times New Roman" w:eastAsia="仿宋" w:cs="Times New Roman"/>
          <w:snapToGrid w:val="0"/>
          <w:color w:val="auto"/>
          <w:sz w:val="30"/>
          <w:szCs w:val="30"/>
        </w:rPr>
      </w:pPr>
      <w:bookmarkStart w:id="0" w:name="_Toc20238"/>
      <w:r>
        <w:rPr>
          <w:rFonts w:hint="default" w:ascii="Times New Roman" w:hAnsi="Times New Roman" w:eastAsia="仿宋" w:cs="Times New Roman"/>
          <w:snapToGrid w:val="0"/>
          <w:color w:val="auto"/>
          <w:sz w:val="30"/>
          <w:szCs w:val="30"/>
        </w:rPr>
        <w:drawing>
          <wp:inline distT="0" distB="0" distL="114300" distR="114300">
            <wp:extent cx="5753100" cy="8132445"/>
            <wp:effectExtent l="0" t="0" r="7620" b="5715"/>
            <wp:docPr id="13" name="图片 13" descr="盖章封面+资质+社保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盖章封面+资质+社保_00"/>
                    <pic:cNvPicPr>
                      <a:picLocks noChangeAspect="1"/>
                    </pic:cNvPicPr>
                  </pic:nvPicPr>
                  <pic:blipFill>
                    <a:blip r:embed="rId12"/>
                    <a:stretch>
                      <a:fillRect/>
                    </a:stretch>
                  </pic:blipFill>
                  <pic:spPr>
                    <a:xfrm>
                      <a:off x="0" y="0"/>
                      <a:ext cx="5753100" cy="8132445"/>
                    </a:xfrm>
                    <a:prstGeom prst="rect">
                      <a:avLst/>
                    </a:prstGeom>
                  </pic:spPr>
                </pic:pic>
              </a:graphicData>
            </a:graphic>
          </wp:inline>
        </w:drawing>
      </w:r>
      <w:r>
        <w:rPr>
          <w:rFonts w:hint="default" w:ascii="Times New Roman" w:hAnsi="Times New Roman" w:eastAsia="仿宋" w:cs="Times New Roman"/>
          <w:snapToGrid w:val="0"/>
          <w:color w:val="auto"/>
          <w:sz w:val="30"/>
          <w:szCs w:val="30"/>
        </w:rPr>
        <w:drawing>
          <wp:inline distT="0" distB="0" distL="114300" distR="114300">
            <wp:extent cx="5753100" cy="8132445"/>
            <wp:effectExtent l="0" t="0" r="7620" b="5715"/>
            <wp:docPr id="12" name="图片 12" descr="盖章封面+资质+社保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盖章封面+资质+社保_01"/>
                    <pic:cNvPicPr>
                      <a:picLocks noChangeAspect="1"/>
                    </pic:cNvPicPr>
                  </pic:nvPicPr>
                  <pic:blipFill>
                    <a:blip r:embed="rId13"/>
                    <a:stretch>
                      <a:fillRect/>
                    </a:stretch>
                  </pic:blipFill>
                  <pic:spPr>
                    <a:xfrm>
                      <a:off x="0" y="0"/>
                      <a:ext cx="5753100" cy="8132445"/>
                    </a:xfrm>
                    <a:prstGeom prst="rect">
                      <a:avLst/>
                    </a:prstGeom>
                  </pic:spPr>
                </pic:pic>
              </a:graphicData>
            </a:graphic>
          </wp:inline>
        </w:drawing>
      </w:r>
      <w:r>
        <w:rPr>
          <w:rFonts w:hint="default" w:ascii="Times New Roman" w:hAnsi="Times New Roman" w:eastAsia="仿宋" w:cs="Times New Roman"/>
          <w:snapToGrid w:val="0"/>
          <w:color w:val="auto"/>
          <w:sz w:val="30"/>
          <w:szCs w:val="30"/>
        </w:rPr>
        <w:br w:type="textWrapping"/>
      </w:r>
    </w:p>
    <w:p w14:paraId="6A9980F5">
      <w:pPr>
        <w:pStyle w:val="22"/>
        <w:spacing w:before="0" w:beforeAutospacing="0" w:after="0" w:afterAutospacing="0"/>
        <w:contextualSpacing/>
        <w:jc w:val="center"/>
        <w:outlineLvl w:val="0"/>
        <w:rPr>
          <w:rFonts w:hint="default" w:ascii="Times New Roman" w:hAnsi="Times New Roman" w:eastAsia="仿宋" w:cs="Times New Roman"/>
          <w:snapToGrid w:val="0"/>
          <w:color w:val="auto"/>
          <w:sz w:val="30"/>
          <w:szCs w:val="30"/>
        </w:rPr>
      </w:pPr>
    </w:p>
    <w:p w14:paraId="74406DA5">
      <w:pPr>
        <w:pStyle w:val="22"/>
        <w:spacing w:before="0" w:beforeAutospacing="0" w:after="0" w:afterAutospacing="0"/>
        <w:contextualSpacing/>
        <w:jc w:val="center"/>
        <w:outlineLvl w:val="0"/>
        <w:rPr>
          <w:rFonts w:hint="default" w:ascii="Times New Roman" w:hAnsi="Times New Roman" w:eastAsia="仿宋" w:cs="Times New Roman"/>
          <w:snapToGrid w:val="0"/>
          <w:color w:val="auto"/>
          <w:sz w:val="30"/>
          <w:szCs w:val="30"/>
        </w:rPr>
      </w:pPr>
    </w:p>
    <w:p w14:paraId="02B1C96E">
      <w:pPr>
        <w:pStyle w:val="22"/>
        <w:spacing w:before="0" w:beforeAutospacing="0" w:after="0" w:afterAutospacing="0"/>
        <w:contextualSpacing/>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一、建设项目基本情况</w:t>
      </w:r>
      <w:bookmarkEnd w:id="0"/>
    </w:p>
    <w:tbl>
      <w:tblPr>
        <w:tblStyle w:val="27"/>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9"/>
        <w:gridCol w:w="670"/>
        <w:gridCol w:w="2150"/>
        <w:gridCol w:w="1831"/>
        <w:gridCol w:w="3663"/>
      </w:tblGrid>
      <w:tr w14:paraId="5CB1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7DE9EC8A">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建设项目名称</w:t>
            </w:r>
          </w:p>
        </w:tc>
        <w:tc>
          <w:tcPr>
            <w:tcW w:w="7644" w:type="dxa"/>
            <w:gridSpan w:val="3"/>
            <w:vAlign w:val="center"/>
          </w:tcPr>
          <w:p w14:paraId="6AFBB53B">
            <w:pPr>
              <w:adjustRightInd w:val="0"/>
              <w:snapToGrid w:val="0"/>
              <w:jc w:val="center"/>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年产3000套太阳能铸锭炉项目</w:t>
            </w:r>
          </w:p>
        </w:tc>
      </w:tr>
      <w:tr w14:paraId="19CA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0C7FA31C">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项目代码</w:t>
            </w:r>
          </w:p>
        </w:tc>
        <w:tc>
          <w:tcPr>
            <w:tcW w:w="7644" w:type="dxa"/>
            <w:gridSpan w:val="3"/>
            <w:vAlign w:val="center"/>
          </w:tcPr>
          <w:p w14:paraId="547BD2A4">
            <w:pPr>
              <w:adjustRightInd w:val="0"/>
              <w:snapToGrid w:val="0"/>
              <w:jc w:val="center"/>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2401-320413-04-01-907026</w:t>
            </w:r>
          </w:p>
        </w:tc>
      </w:tr>
      <w:tr w14:paraId="5593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3C8AEC38">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建设单位联系人</w:t>
            </w:r>
          </w:p>
        </w:tc>
        <w:tc>
          <w:tcPr>
            <w:tcW w:w="2150" w:type="dxa"/>
            <w:vAlign w:val="center"/>
          </w:tcPr>
          <w:p w14:paraId="79D0BF38">
            <w:pPr>
              <w:adjustRightInd w:val="0"/>
              <w:snapToGrid w:val="0"/>
              <w:jc w:val="center"/>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顾丹烨</w:t>
            </w:r>
          </w:p>
        </w:tc>
        <w:tc>
          <w:tcPr>
            <w:tcW w:w="1831" w:type="dxa"/>
            <w:vAlign w:val="center"/>
          </w:tcPr>
          <w:p w14:paraId="6F2096EF">
            <w:pPr>
              <w:adjustRightInd w:val="0"/>
              <w:snapToGrid w:val="0"/>
              <w:jc w:val="center"/>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联系方式</w:t>
            </w:r>
          </w:p>
        </w:tc>
        <w:tc>
          <w:tcPr>
            <w:tcW w:w="3663" w:type="dxa"/>
            <w:vAlign w:val="center"/>
          </w:tcPr>
          <w:p w14:paraId="54A3678E">
            <w:pPr>
              <w:adjustRightInd w:val="0"/>
              <w:snapToGrid w:val="0"/>
              <w:jc w:val="center"/>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val="en-US" w:eastAsia="zh-CN"/>
              </w:rPr>
              <w:t>18932382776</w:t>
            </w:r>
          </w:p>
        </w:tc>
      </w:tr>
      <w:tr w14:paraId="10AC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2CF807DF">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建设地点</w:t>
            </w:r>
          </w:p>
        </w:tc>
        <w:tc>
          <w:tcPr>
            <w:tcW w:w="7644" w:type="dxa"/>
            <w:gridSpan w:val="3"/>
            <w:vAlign w:val="center"/>
          </w:tcPr>
          <w:p w14:paraId="50C58D23">
            <w:pPr>
              <w:adjustRightInd w:val="0"/>
              <w:snapToGrid w:val="0"/>
              <w:jc w:val="center"/>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常州市金坛区薛埠镇工业园区南环路3号</w:t>
            </w:r>
          </w:p>
        </w:tc>
      </w:tr>
      <w:tr w14:paraId="5CCC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10283FB6">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地理坐标</w:t>
            </w:r>
          </w:p>
        </w:tc>
        <w:tc>
          <w:tcPr>
            <w:tcW w:w="7644" w:type="dxa"/>
            <w:gridSpan w:val="3"/>
            <w:vAlign w:val="center"/>
          </w:tcPr>
          <w:p w14:paraId="12A8E9A3">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u w:val="single"/>
              </w:rPr>
              <w:t>1</w:t>
            </w:r>
            <w:r>
              <w:rPr>
                <w:rFonts w:hint="default" w:ascii="Times New Roman" w:hAnsi="Times New Roman" w:eastAsia="仿宋" w:cs="Times New Roman"/>
                <w:color w:val="auto"/>
                <w:sz w:val="24"/>
                <w:highlight w:val="none"/>
                <w:u w:val="single"/>
                <w:lang w:val="en-US" w:eastAsia="zh-CN"/>
              </w:rPr>
              <w:t>19</w:t>
            </w:r>
            <w:r>
              <w:rPr>
                <w:rFonts w:hint="default" w:ascii="Times New Roman" w:hAnsi="Times New Roman" w:eastAsia="仿宋" w:cs="Times New Roman"/>
                <w:color w:val="auto"/>
                <w:sz w:val="24"/>
                <w:highlight w:val="none"/>
              </w:rPr>
              <w:t>度</w:t>
            </w:r>
            <w:r>
              <w:rPr>
                <w:rFonts w:hint="default" w:ascii="Times New Roman" w:hAnsi="Times New Roman" w:eastAsia="仿宋" w:cs="Times New Roman"/>
                <w:color w:val="auto"/>
                <w:sz w:val="24"/>
                <w:highlight w:val="none"/>
                <w:u w:val="single"/>
                <w:lang w:val="en-US" w:eastAsia="zh-CN"/>
              </w:rPr>
              <w:t>23</w:t>
            </w:r>
            <w:r>
              <w:rPr>
                <w:rFonts w:hint="default" w:ascii="Times New Roman" w:hAnsi="Times New Roman" w:eastAsia="仿宋" w:cs="Times New Roman"/>
                <w:color w:val="auto"/>
                <w:sz w:val="24"/>
                <w:highlight w:val="none"/>
              </w:rPr>
              <w:t>分</w:t>
            </w:r>
            <w:r>
              <w:rPr>
                <w:rFonts w:hint="default" w:ascii="Times New Roman" w:hAnsi="Times New Roman" w:eastAsia="仿宋" w:cs="Times New Roman"/>
                <w:color w:val="auto"/>
                <w:sz w:val="24"/>
                <w:highlight w:val="none"/>
                <w:u w:val="single"/>
                <w:lang w:val="en-US" w:eastAsia="zh-CN"/>
              </w:rPr>
              <w:t>17.762</w:t>
            </w:r>
            <w:r>
              <w:rPr>
                <w:rFonts w:hint="default" w:ascii="Times New Roman" w:hAnsi="Times New Roman" w:eastAsia="仿宋" w:cs="Times New Roman"/>
                <w:color w:val="auto"/>
                <w:sz w:val="24"/>
                <w:highlight w:val="none"/>
              </w:rPr>
              <w:t>秒，</w:t>
            </w:r>
            <w:r>
              <w:rPr>
                <w:rFonts w:hint="default" w:ascii="Times New Roman" w:hAnsi="Times New Roman" w:eastAsia="仿宋" w:cs="Times New Roman"/>
                <w:color w:val="auto"/>
                <w:sz w:val="24"/>
                <w:highlight w:val="none"/>
                <w:u w:val="single"/>
              </w:rPr>
              <w:t>31</w:t>
            </w:r>
            <w:r>
              <w:rPr>
                <w:rFonts w:hint="default" w:ascii="Times New Roman" w:hAnsi="Times New Roman" w:eastAsia="仿宋" w:cs="Times New Roman"/>
                <w:color w:val="auto"/>
                <w:sz w:val="24"/>
                <w:highlight w:val="none"/>
              </w:rPr>
              <w:t>度</w:t>
            </w:r>
            <w:r>
              <w:rPr>
                <w:rFonts w:hint="default" w:ascii="Times New Roman" w:hAnsi="Times New Roman" w:eastAsia="仿宋" w:cs="Times New Roman"/>
                <w:color w:val="auto"/>
                <w:sz w:val="24"/>
                <w:highlight w:val="none"/>
                <w:u w:val="single"/>
                <w:lang w:val="en-US" w:eastAsia="zh-CN"/>
              </w:rPr>
              <w:t>42</w:t>
            </w:r>
            <w:r>
              <w:rPr>
                <w:rFonts w:hint="default" w:ascii="Times New Roman" w:hAnsi="Times New Roman" w:eastAsia="仿宋" w:cs="Times New Roman"/>
                <w:color w:val="auto"/>
                <w:sz w:val="24"/>
                <w:highlight w:val="none"/>
              </w:rPr>
              <w:t>分</w:t>
            </w:r>
            <w:r>
              <w:rPr>
                <w:rFonts w:hint="default" w:ascii="Times New Roman" w:hAnsi="Times New Roman" w:eastAsia="仿宋" w:cs="Times New Roman"/>
                <w:color w:val="auto"/>
                <w:sz w:val="24"/>
                <w:highlight w:val="none"/>
                <w:u w:val="single"/>
                <w:lang w:val="en-US" w:eastAsia="zh-CN"/>
              </w:rPr>
              <w:t>28.763</w:t>
            </w:r>
            <w:r>
              <w:rPr>
                <w:rFonts w:hint="default" w:ascii="Times New Roman" w:hAnsi="Times New Roman" w:eastAsia="仿宋" w:cs="Times New Roman"/>
                <w:color w:val="auto"/>
                <w:sz w:val="24"/>
                <w:highlight w:val="none"/>
              </w:rPr>
              <w:t>秒）</w:t>
            </w:r>
          </w:p>
        </w:tc>
      </w:tr>
      <w:tr w14:paraId="2CB1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39" w:type="dxa"/>
            <w:gridSpan w:val="2"/>
            <w:tcMar>
              <w:top w:w="16" w:type="dxa"/>
              <w:left w:w="16" w:type="dxa"/>
              <w:right w:w="16" w:type="dxa"/>
            </w:tcMar>
            <w:vAlign w:val="center"/>
          </w:tcPr>
          <w:p w14:paraId="6C8681F4">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国民经济</w:t>
            </w:r>
          </w:p>
          <w:p w14:paraId="1426D9C6">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行业类别</w:t>
            </w:r>
          </w:p>
        </w:tc>
        <w:tc>
          <w:tcPr>
            <w:tcW w:w="2150" w:type="dxa"/>
            <w:vAlign w:val="center"/>
          </w:tcPr>
          <w:p w14:paraId="37F6B847">
            <w:pPr>
              <w:adjustRightInd w:val="0"/>
              <w:snapToGrid w:val="0"/>
              <w:jc w:val="center"/>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C3499其他未列明通用设备制造业</w:t>
            </w:r>
          </w:p>
        </w:tc>
        <w:tc>
          <w:tcPr>
            <w:tcW w:w="1831" w:type="dxa"/>
            <w:vAlign w:val="center"/>
          </w:tcPr>
          <w:p w14:paraId="0F2987D5">
            <w:pPr>
              <w:adjustRightInd w:val="0"/>
              <w:snapToGrid w:val="0"/>
              <w:jc w:val="center"/>
              <w:rPr>
                <w:rFonts w:hint="default" w:ascii="Times New Roman" w:hAnsi="Times New Roman" w:eastAsia="仿宋" w:cs="Times New Roman"/>
                <w:color w:val="auto"/>
                <w:sz w:val="24"/>
              </w:rPr>
            </w:pPr>
            <w:bookmarkStart w:id="1" w:name="_Hlk49843745"/>
            <w:r>
              <w:rPr>
                <w:rFonts w:hint="default" w:ascii="Times New Roman" w:hAnsi="Times New Roman" w:eastAsia="仿宋" w:cs="Times New Roman"/>
                <w:color w:val="auto"/>
                <w:sz w:val="24"/>
              </w:rPr>
              <w:t>建设项目</w:t>
            </w:r>
          </w:p>
          <w:p w14:paraId="3E55A15D">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行业类别</w:t>
            </w:r>
            <w:bookmarkEnd w:id="1"/>
          </w:p>
        </w:tc>
        <w:tc>
          <w:tcPr>
            <w:tcW w:w="3663" w:type="dxa"/>
            <w:vAlign w:val="center"/>
          </w:tcPr>
          <w:p w14:paraId="58FA2C87">
            <w:pPr>
              <w:adjustRightInd w:val="0"/>
              <w:snapToGrid w:val="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 w:val="24"/>
                <w:szCs w:val="24"/>
              </w:rPr>
              <w:t>三十</w:t>
            </w:r>
            <w:r>
              <w:rPr>
                <w:rFonts w:hint="default" w:ascii="Times New Roman" w:hAnsi="Times New Roman" w:eastAsia="仿宋" w:cs="Times New Roman"/>
                <w:color w:val="auto"/>
                <w:sz w:val="24"/>
                <w:szCs w:val="24"/>
                <w:lang w:val="en-US" w:eastAsia="zh-CN"/>
              </w:rPr>
              <w:t>一</w:t>
            </w:r>
            <w:r>
              <w:rPr>
                <w:rFonts w:hint="default" w:ascii="Times New Roman" w:hAnsi="Times New Roman" w:eastAsia="仿宋" w:cs="Times New Roman"/>
                <w:color w:val="auto"/>
                <w:sz w:val="24"/>
                <w:szCs w:val="24"/>
              </w:rPr>
              <w:t>、通用设备制造业</w:t>
            </w:r>
            <w:r>
              <w:rPr>
                <w:rFonts w:hint="default" w:ascii="Times New Roman" w:hAnsi="Times New Roman" w:eastAsia="仿宋" w:cs="Times New Roman"/>
                <w:color w:val="auto"/>
                <w:sz w:val="24"/>
                <w:szCs w:val="24"/>
                <w:lang w:val="en-US" w:eastAsia="zh-CN"/>
              </w:rPr>
              <w:t>34</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69其他</w:t>
            </w:r>
            <w:r>
              <w:rPr>
                <w:rFonts w:hint="default" w:ascii="Times New Roman" w:hAnsi="Times New Roman" w:eastAsia="仿宋" w:cs="Times New Roman"/>
                <w:color w:val="auto"/>
                <w:sz w:val="24"/>
                <w:szCs w:val="24"/>
              </w:rPr>
              <w:t>通用</w:t>
            </w:r>
            <w:r>
              <w:rPr>
                <w:rFonts w:hint="default" w:ascii="Times New Roman" w:hAnsi="Times New Roman" w:eastAsia="仿宋" w:cs="Times New Roman"/>
                <w:color w:val="auto"/>
                <w:sz w:val="24"/>
                <w:szCs w:val="24"/>
                <w:lang w:val="en-US" w:eastAsia="zh-CN"/>
              </w:rPr>
              <w:t>设备</w:t>
            </w:r>
            <w:r>
              <w:rPr>
                <w:rFonts w:hint="default" w:ascii="Times New Roman" w:hAnsi="Times New Roman" w:eastAsia="仿宋" w:cs="Times New Roman"/>
                <w:color w:val="auto"/>
                <w:sz w:val="24"/>
                <w:szCs w:val="24"/>
              </w:rPr>
              <w:t>制造</w:t>
            </w:r>
            <w:r>
              <w:rPr>
                <w:rFonts w:hint="default" w:ascii="Times New Roman" w:hAnsi="Times New Roman" w:eastAsia="仿宋" w:cs="Times New Roman"/>
                <w:color w:val="auto"/>
                <w:sz w:val="24"/>
                <w:szCs w:val="24"/>
                <w:lang w:val="en-US" w:eastAsia="zh-CN"/>
              </w:rPr>
              <w:t>业</w:t>
            </w:r>
            <w:r>
              <w:rPr>
                <w:rFonts w:hint="default" w:ascii="Times New Roman" w:hAnsi="Times New Roman" w:eastAsia="仿宋" w:cs="Times New Roman"/>
                <w:color w:val="auto"/>
                <w:sz w:val="24"/>
                <w:lang w:val="en-US" w:eastAsia="zh-CN"/>
              </w:rPr>
              <w:t>349</w:t>
            </w:r>
            <w:r>
              <w:rPr>
                <w:rFonts w:hint="default" w:ascii="Times New Roman" w:hAnsi="Times New Roman" w:eastAsia="仿宋" w:cs="Times New Roman"/>
                <w:color w:val="auto"/>
                <w:sz w:val="24"/>
                <w:lang w:eastAsia="zh-CN"/>
              </w:rPr>
              <w:t>；</w:t>
            </w:r>
          </w:p>
        </w:tc>
      </w:tr>
      <w:tr w14:paraId="1113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39" w:type="dxa"/>
            <w:gridSpan w:val="2"/>
            <w:tcMar>
              <w:top w:w="16" w:type="dxa"/>
              <w:left w:w="16" w:type="dxa"/>
              <w:right w:w="16" w:type="dxa"/>
            </w:tcMar>
            <w:vAlign w:val="center"/>
          </w:tcPr>
          <w:p w14:paraId="13AA9B02">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建设性质</w:t>
            </w:r>
          </w:p>
        </w:tc>
        <w:tc>
          <w:tcPr>
            <w:tcW w:w="2150" w:type="dxa"/>
            <w:vAlign w:val="center"/>
          </w:tcPr>
          <w:p w14:paraId="002B5497">
            <w:pPr>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sym w:font="Wingdings 2" w:char="00A3"/>
            </w:r>
            <w:r>
              <w:rPr>
                <w:rFonts w:hint="default" w:ascii="Times New Roman" w:hAnsi="Times New Roman" w:eastAsia="仿宋" w:cs="Times New Roman"/>
                <w:color w:val="auto"/>
                <w:sz w:val="24"/>
              </w:rPr>
              <w:t>新建（迁建）</w:t>
            </w:r>
          </w:p>
          <w:p w14:paraId="5BA44718">
            <w:pPr>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sym w:font="Wingdings 2" w:char="00A3"/>
            </w:r>
            <w:r>
              <w:rPr>
                <w:rFonts w:hint="default" w:ascii="Times New Roman" w:hAnsi="Times New Roman" w:eastAsia="仿宋" w:cs="Times New Roman"/>
                <w:color w:val="auto"/>
                <w:sz w:val="24"/>
              </w:rPr>
              <w:t>改建</w:t>
            </w:r>
          </w:p>
          <w:p w14:paraId="5469B1F9">
            <w:pPr>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√扩建</w:t>
            </w:r>
          </w:p>
          <w:p w14:paraId="718E50D7">
            <w:pPr>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sym w:font="Wingdings 2" w:char="00A3"/>
            </w:r>
            <w:r>
              <w:rPr>
                <w:rFonts w:hint="default" w:ascii="Times New Roman" w:hAnsi="Times New Roman" w:eastAsia="仿宋" w:cs="Times New Roman"/>
                <w:color w:val="auto"/>
                <w:sz w:val="24"/>
              </w:rPr>
              <w:t>技术改造</w:t>
            </w:r>
          </w:p>
        </w:tc>
        <w:tc>
          <w:tcPr>
            <w:tcW w:w="1831" w:type="dxa"/>
            <w:vAlign w:val="center"/>
          </w:tcPr>
          <w:p w14:paraId="69CEEF63">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建设项目</w:t>
            </w:r>
          </w:p>
          <w:p w14:paraId="5942F4B4">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申报情形</w:t>
            </w:r>
          </w:p>
        </w:tc>
        <w:tc>
          <w:tcPr>
            <w:tcW w:w="3663" w:type="dxa"/>
            <w:vAlign w:val="center"/>
          </w:tcPr>
          <w:p w14:paraId="7159DFC0">
            <w:pPr>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√首次申报项目</w:t>
            </w:r>
          </w:p>
          <w:p w14:paraId="60FCB297">
            <w:pPr>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sym w:font="Wingdings 2" w:char="00A3"/>
            </w:r>
            <w:r>
              <w:rPr>
                <w:rFonts w:hint="default" w:ascii="Times New Roman" w:hAnsi="Times New Roman" w:eastAsia="仿宋" w:cs="Times New Roman"/>
                <w:color w:val="auto"/>
                <w:sz w:val="24"/>
              </w:rPr>
              <w:t>不予批准后再次申报项目</w:t>
            </w:r>
          </w:p>
          <w:p w14:paraId="0DCB4C44">
            <w:pPr>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sym w:font="Wingdings 2" w:char="00A3"/>
            </w:r>
            <w:r>
              <w:rPr>
                <w:rFonts w:hint="default" w:ascii="Times New Roman" w:hAnsi="Times New Roman" w:eastAsia="仿宋" w:cs="Times New Roman"/>
                <w:color w:val="auto"/>
                <w:sz w:val="24"/>
              </w:rPr>
              <w:t>超五年重新审核项目</w:t>
            </w:r>
          </w:p>
          <w:p w14:paraId="7BF1239C">
            <w:pPr>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sym w:font="Wingdings 2" w:char="00A3"/>
            </w:r>
            <w:r>
              <w:rPr>
                <w:rFonts w:hint="default" w:ascii="Times New Roman" w:hAnsi="Times New Roman" w:eastAsia="仿宋" w:cs="Times New Roman"/>
                <w:color w:val="auto"/>
                <w:sz w:val="24"/>
              </w:rPr>
              <w:t>重大变动重新报批项目</w:t>
            </w:r>
          </w:p>
        </w:tc>
      </w:tr>
      <w:tr w14:paraId="6390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39" w:type="dxa"/>
            <w:gridSpan w:val="2"/>
            <w:tcMar>
              <w:top w:w="16" w:type="dxa"/>
              <w:left w:w="16" w:type="dxa"/>
              <w:right w:w="16" w:type="dxa"/>
            </w:tcMar>
            <w:vAlign w:val="center"/>
          </w:tcPr>
          <w:p w14:paraId="0A3EBBA1">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项目审批部门</w:t>
            </w:r>
          </w:p>
        </w:tc>
        <w:tc>
          <w:tcPr>
            <w:tcW w:w="2150" w:type="dxa"/>
            <w:vAlign w:val="center"/>
          </w:tcPr>
          <w:p w14:paraId="21ADA302">
            <w:pPr>
              <w:adjustRightInd w:val="0"/>
              <w:snapToGrid w:val="0"/>
              <w:jc w:val="center"/>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常州市金坛区发展和改革局</w:t>
            </w:r>
          </w:p>
        </w:tc>
        <w:tc>
          <w:tcPr>
            <w:tcW w:w="1831" w:type="dxa"/>
            <w:vAlign w:val="center"/>
          </w:tcPr>
          <w:p w14:paraId="31871730">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项目审批文号</w:t>
            </w:r>
          </w:p>
        </w:tc>
        <w:tc>
          <w:tcPr>
            <w:tcW w:w="3663" w:type="dxa"/>
            <w:vAlign w:val="center"/>
          </w:tcPr>
          <w:p w14:paraId="208AB0CE">
            <w:pPr>
              <w:adjustRightInd w:val="0"/>
              <w:snapToGrid w:val="0"/>
              <w:jc w:val="center"/>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坛发改备</w:t>
            </w:r>
            <w:r>
              <w:rPr>
                <w:rFonts w:hint="eastAsia" w:eastAsia="仿宋" w:cs="Times New Roman"/>
                <w:color w:val="auto"/>
                <w:sz w:val="24"/>
                <w:lang w:eastAsia="zh-CN"/>
              </w:rPr>
              <w:t>〔2024〕25号</w:t>
            </w:r>
          </w:p>
        </w:tc>
      </w:tr>
      <w:tr w14:paraId="6A82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430AAF0F">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总投资（万元）</w:t>
            </w:r>
          </w:p>
        </w:tc>
        <w:tc>
          <w:tcPr>
            <w:tcW w:w="2150" w:type="dxa"/>
            <w:vAlign w:val="center"/>
          </w:tcPr>
          <w:p w14:paraId="53DA3C01">
            <w:pPr>
              <w:adjustRightInd w:val="0"/>
              <w:snapToGrid w:val="0"/>
              <w:jc w:val="center"/>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3000</w:t>
            </w:r>
          </w:p>
        </w:tc>
        <w:tc>
          <w:tcPr>
            <w:tcW w:w="1831" w:type="dxa"/>
            <w:tcMar>
              <w:top w:w="16" w:type="dxa"/>
              <w:left w:w="16" w:type="dxa"/>
              <w:right w:w="16" w:type="dxa"/>
            </w:tcMar>
            <w:vAlign w:val="center"/>
          </w:tcPr>
          <w:p w14:paraId="3809E2DC">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环保投资（万元）</w:t>
            </w:r>
          </w:p>
        </w:tc>
        <w:tc>
          <w:tcPr>
            <w:tcW w:w="3663" w:type="dxa"/>
            <w:vAlign w:val="center"/>
          </w:tcPr>
          <w:p w14:paraId="0312559F">
            <w:pPr>
              <w:adjustRightInd w:val="0"/>
              <w:snapToGrid w:val="0"/>
              <w:jc w:val="center"/>
              <w:rPr>
                <w:rFonts w:hint="default" w:ascii="Times New Roman" w:hAnsi="Times New Roman" w:eastAsia="仿宋" w:cs="Times New Roman"/>
                <w:color w:val="auto"/>
                <w:sz w:val="24"/>
                <w:lang w:val="en-US"/>
              </w:rPr>
            </w:pPr>
            <w:r>
              <w:rPr>
                <w:rFonts w:hint="default" w:ascii="Times New Roman" w:hAnsi="Times New Roman" w:eastAsia="仿宋" w:cs="Times New Roman"/>
                <w:color w:val="auto"/>
                <w:sz w:val="24"/>
                <w:lang w:val="en-US" w:eastAsia="zh-CN"/>
              </w:rPr>
              <w:t>30</w:t>
            </w:r>
          </w:p>
        </w:tc>
      </w:tr>
      <w:tr w14:paraId="62EA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705CA4B7">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环保投资占比（%）</w:t>
            </w:r>
          </w:p>
        </w:tc>
        <w:tc>
          <w:tcPr>
            <w:tcW w:w="2150" w:type="dxa"/>
            <w:vAlign w:val="center"/>
          </w:tcPr>
          <w:p w14:paraId="3E65496B">
            <w:pPr>
              <w:adjustRightInd w:val="0"/>
              <w:snapToGrid w:val="0"/>
              <w:jc w:val="center"/>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1.0</w:t>
            </w:r>
          </w:p>
        </w:tc>
        <w:tc>
          <w:tcPr>
            <w:tcW w:w="1831" w:type="dxa"/>
            <w:tcMar>
              <w:top w:w="16" w:type="dxa"/>
              <w:left w:w="16" w:type="dxa"/>
              <w:right w:w="16" w:type="dxa"/>
            </w:tcMar>
            <w:vAlign w:val="center"/>
          </w:tcPr>
          <w:p w14:paraId="3C6DEB96">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施工工期</w:t>
            </w:r>
          </w:p>
        </w:tc>
        <w:tc>
          <w:tcPr>
            <w:tcW w:w="3663" w:type="dxa"/>
            <w:vAlign w:val="center"/>
          </w:tcPr>
          <w:p w14:paraId="13B3C7D6">
            <w:pPr>
              <w:adjustRightInd w:val="0"/>
              <w:snapToGrid w:val="0"/>
              <w:jc w:val="center"/>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2个月</w:t>
            </w:r>
          </w:p>
        </w:tc>
      </w:tr>
      <w:tr w14:paraId="7B6C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4BDCC3CA">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是否开工建设</w:t>
            </w:r>
          </w:p>
        </w:tc>
        <w:tc>
          <w:tcPr>
            <w:tcW w:w="2150" w:type="dxa"/>
            <w:vAlign w:val="center"/>
          </w:tcPr>
          <w:p w14:paraId="75C8588B">
            <w:pPr>
              <w:adjustRightInd w:val="0"/>
              <w:snapToGrid w:val="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sym w:font="Wingdings 2" w:char="0052"/>
            </w:r>
            <w:r>
              <w:rPr>
                <w:rFonts w:hint="default" w:ascii="Times New Roman" w:hAnsi="Times New Roman" w:eastAsia="仿宋" w:cs="Times New Roman"/>
                <w:color w:val="auto"/>
                <w:sz w:val="24"/>
              </w:rPr>
              <w:t>否</w:t>
            </w:r>
          </w:p>
          <w:p w14:paraId="1BEC031E">
            <w:pPr>
              <w:adjustRightInd w:val="0"/>
              <w:snapToGrid w:val="0"/>
              <w:rPr>
                <w:rFonts w:hint="default" w:ascii="Times New Roman" w:hAnsi="Times New Roman" w:eastAsia="仿宋" w:cs="Times New Roman"/>
                <w:color w:val="auto"/>
                <w:sz w:val="24"/>
                <w:lang w:val="en-US"/>
              </w:rPr>
            </w:pPr>
            <w:r>
              <w:rPr>
                <w:rFonts w:hint="default" w:ascii="Times New Roman" w:hAnsi="Times New Roman" w:eastAsia="仿宋" w:cs="Times New Roman"/>
                <w:color w:val="auto"/>
                <w:sz w:val="24"/>
              </w:rPr>
              <w:sym w:font="Wingdings 2" w:char="00A3"/>
            </w:r>
            <w:r>
              <w:rPr>
                <w:rFonts w:hint="default" w:ascii="Times New Roman" w:hAnsi="Times New Roman" w:eastAsia="仿宋" w:cs="Times New Roman"/>
                <w:color w:val="auto"/>
                <w:sz w:val="24"/>
              </w:rPr>
              <w:t>是：</w:t>
            </w:r>
            <w:r>
              <w:rPr>
                <w:rFonts w:hint="default" w:ascii="Times New Roman" w:hAnsi="Times New Roman" w:eastAsia="仿宋" w:cs="Times New Roman"/>
                <w:color w:val="auto"/>
                <w:sz w:val="24"/>
                <w:u w:val="single"/>
                <w:lang w:val="en-US" w:eastAsia="zh-CN"/>
              </w:rPr>
              <w:t xml:space="preserve">       </w:t>
            </w:r>
          </w:p>
        </w:tc>
        <w:tc>
          <w:tcPr>
            <w:tcW w:w="1831" w:type="dxa"/>
            <w:tcMar>
              <w:top w:w="16" w:type="dxa"/>
              <w:left w:w="16" w:type="dxa"/>
              <w:right w:w="16" w:type="dxa"/>
            </w:tcMar>
            <w:vAlign w:val="center"/>
          </w:tcPr>
          <w:p w14:paraId="53D31BDC">
            <w:pPr>
              <w:adjustRightInd w:val="0"/>
              <w:snapToGrid w:val="0"/>
              <w:jc w:val="center"/>
              <w:rPr>
                <w:rFonts w:hint="default" w:ascii="Times New Roman" w:hAnsi="Times New Roman" w:eastAsia="仿宋" w:cs="Times New Roman"/>
                <w:color w:val="auto"/>
                <w:spacing w:val="-6"/>
                <w:sz w:val="24"/>
              </w:rPr>
            </w:pPr>
            <w:r>
              <w:rPr>
                <w:rFonts w:hint="default" w:ascii="Times New Roman" w:hAnsi="Times New Roman" w:eastAsia="仿宋" w:cs="Times New Roman"/>
                <w:color w:val="auto"/>
                <w:spacing w:val="-6"/>
                <w:sz w:val="24"/>
              </w:rPr>
              <w:t>用地</w:t>
            </w:r>
          </w:p>
          <w:p w14:paraId="4882DF13">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pacing w:val="-6"/>
                <w:sz w:val="24"/>
              </w:rPr>
              <w:t>面积（m</w:t>
            </w:r>
            <w:r>
              <w:rPr>
                <w:rFonts w:hint="default" w:ascii="Times New Roman" w:hAnsi="Times New Roman" w:eastAsia="仿宋" w:cs="Times New Roman"/>
                <w:color w:val="auto"/>
                <w:spacing w:val="-6"/>
                <w:sz w:val="24"/>
                <w:vertAlign w:val="superscript"/>
              </w:rPr>
              <w:t>2</w:t>
            </w:r>
            <w:r>
              <w:rPr>
                <w:rFonts w:hint="default" w:ascii="Times New Roman" w:hAnsi="Times New Roman" w:eastAsia="仿宋" w:cs="Times New Roman"/>
                <w:color w:val="auto"/>
                <w:spacing w:val="-6"/>
                <w:sz w:val="24"/>
              </w:rPr>
              <w:t>）</w:t>
            </w:r>
          </w:p>
        </w:tc>
        <w:tc>
          <w:tcPr>
            <w:tcW w:w="3663" w:type="dxa"/>
            <w:vAlign w:val="center"/>
          </w:tcPr>
          <w:p w14:paraId="6DF5A2C8">
            <w:pPr>
              <w:adjustRightInd w:val="0"/>
              <w:snapToGrid w:val="0"/>
              <w:jc w:val="center"/>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依托原有</w:t>
            </w:r>
          </w:p>
        </w:tc>
      </w:tr>
      <w:tr w14:paraId="2BBC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339" w:type="dxa"/>
            <w:gridSpan w:val="2"/>
            <w:vAlign w:val="center"/>
          </w:tcPr>
          <w:p w14:paraId="340676CB">
            <w:pPr>
              <w:autoSpaceDE w:val="0"/>
              <w:autoSpaceDN w:val="0"/>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专项评价设置情况</w:t>
            </w:r>
          </w:p>
        </w:tc>
        <w:tc>
          <w:tcPr>
            <w:tcW w:w="7644" w:type="dxa"/>
            <w:gridSpan w:val="3"/>
            <w:vAlign w:val="center"/>
          </w:tcPr>
          <w:p w14:paraId="1B3D0D7B">
            <w:pPr>
              <w:autoSpaceDE w:val="0"/>
              <w:autoSpaceDN w:val="0"/>
              <w:adjustRightInd w:val="0"/>
              <w:snapToGrid w:val="0"/>
              <w:spacing w:line="500" w:lineRule="exac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无</w:t>
            </w:r>
          </w:p>
        </w:tc>
      </w:tr>
      <w:tr w14:paraId="4280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1339" w:type="dxa"/>
            <w:gridSpan w:val="2"/>
            <w:vAlign w:val="center"/>
          </w:tcPr>
          <w:p w14:paraId="73A3FEE0">
            <w:pPr>
              <w:autoSpaceDE w:val="0"/>
              <w:autoSpaceDN w:val="0"/>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sz w:val="24"/>
              </w:rPr>
              <w:t>规划情况</w:t>
            </w:r>
          </w:p>
        </w:tc>
        <w:tc>
          <w:tcPr>
            <w:tcW w:w="7644" w:type="dxa"/>
            <w:gridSpan w:val="3"/>
            <w:vAlign w:val="center"/>
          </w:tcPr>
          <w:p w14:paraId="5BE96C5A">
            <w:pPr>
              <w:widowControl/>
              <w:adjustRightInd w:val="0"/>
              <w:snapToGrid w:val="0"/>
              <w:spacing w:line="360" w:lineRule="auto"/>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 xml:space="preserve">规划名称：《江苏省金坛经济开发区薛埠现代产业园/常州市金坛区薛埠产业新镇城市设计及控制性详细规划》； </w:t>
            </w:r>
          </w:p>
          <w:p w14:paraId="35935314">
            <w:pPr>
              <w:widowControl/>
              <w:adjustRightInd w:val="0"/>
              <w:snapToGrid w:val="0"/>
              <w:spacing w:line="360" w:lineRule="auto"/>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 xml:space="preserve">审批机关：常州市金坛区人民政府； </w:t>
            </w:r>
          </w:p>
          <w:p w14:paraId="71E95760">
            <w:pPr>
              <w:widowControl/>
              <w:adjustRightInd w:val="0"/>
              <w:snapToGrid w:val="0"/>
              <w:spacing w:line="360" w:lineRule="auto"/>
              <w:ind w:firstLine="480" w:firstLineChars="200"/>
              <w:jc w:val="left"/>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sz w:val="24"/>
                <w:szCs w:val="24"/>
              </w:rPr>
              <w:t>审批文件名称及文号：坛政复</w:t>
            </w:r>
            <w:r>
              <w:rPr>
                <w:rFonts w:hint="eastAsia" w:eastAsia="仿宋" w:cs="Times New Roman"/>
                <w:color w:val="auto"/>
                <w:sz w:val="24"/>
                <w:szCs w:val="24"/>
                <w:lang w:eastAsia="zh-CN"/>
              </w:rPr>
              <w:t>〔2017〕92号</w:t>
            </w:r>
            <w:r>
              <w:rPr>
                <w:rFonts w:hint="default" w:ascii="Times New Roman" w:hAnsi="Times New Roman" w:eastAsia="仿宋" w:cs="Times New Roman"/>
                <w:color w:val="auto"/>
                <w:sz w:val="24"/>
                <w:szCs w:val="24"/>
              </w:rPr>
              <w:t>。</w:t>
            </w:r>
          </w:p>
        </w:tc>
      </w:tr>
      <w:tr w14:paraId="2F00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1339" w:type="dxa"/>
            <w:gridSpan w:val="2"/>
            <w:vAlign w:val="center"/>
          </w:tcPr>
          <w:p w14:paraId="514BCC08">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规划环境影响</w:t>
            </w:r>
          </w:p>
          <w:p w14:paraId="55B8D9AF">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sz w:val="24"/>
              </w:rPr>
              <w:t>评价情况</w:t>
            </w:r>
          </w:p>
        </w:tc>
        <w:tc>
          <w:tcPr>
            <w:tcW w:w="7644" w:type="dxa"/>
            <w:gridSpan w:val="3"/>
            <w:vAlign w:val="center"/>
          </w:tcPr>
          <w:p w14:paraId="21CBBA76">
            <w:pPr>
              <w:pStyle w:val="90"/>
              <w:spacing w:line="360" w:lineRule="auto"/>
              <w:ind w:firstLine="420"/>
              <w:rPr>
                <w:rFonts w:hint="eastAsia"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规划环境影响评价文件名称：金坛区薛埠镇工业集中区回顾性评价及规划调整（新设薛埠镇集聚产业园）环境影响报告书；</w:t>
            </w:r>
          </w:p>
          <w:p w14:paraId="36852293">
            <w:pPr>
              <w:pStyle w:val="90"/>
              <w:spacing w:line="360" w:lineRule="auto"/>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召集审查机关：金坛区生态环境局；</w:t>
            </w:r>
          </w:p>
          <w:p w14:paraId="5432DEE3">
            <w:pPr>
              <w:pStyle w:val="9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审查文件名称及文号：坛环服复</w:t>
            </w:r>
            <w:r>
              <w:rPr>
                <w:rFonts w:hint="eastAsia" w:eastAsia="仿宋" w:cs="Times New Roman"/>
                <w:color w:val="auto"/>
                <w:sz w:val="24"/>
                <w:szCs w:val="24"/>
                <w:lang w:eastAsia="zh-CN"/>
              </w:rPr>
              <w:t>〔2015〕4号</w:t>
            </w:r>
          </w:p>
          <w:p w14:paraId="77FA899B">
            <w:pPr>
              <w:pStyle w:val="9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sz w:val="24"/>
                <w:szCs w:val="24"/>
                <w:lang w:val="en-US" w:eastAsia="zh-CN"/>
              </w:rPr>
              <w:t>注：</w:t>
            </w:r>
            <w:r>
              <w:rPr>
                <w:rFonts w:hint="default" w:ascii="Times New Roman" w:hAnsi="Times New Roman" w:eastAsia="仿宋" w:cs="Times New Roman"/>
                <w:color w:val="auto"/>
                <w:sz w:val="24"/>
                <w:szCs w:val="24"/>
              </w:rPr>
              <w:t>江苏省金坛经济开发区薛埠现代产业园/常州市金坛区薛埠产业新镇城市设计及控制性详细规划环境影响评价</w:t>
            </w:r>
            <w:r>
              <w:rPr>
                <w:rFonts w:hint="default" w:ascii="Times New Roman" w:hAnsi="Times New Roman" w:eastAsia="仿宋" w:cs="Times New Roman"/>
                <w:color w:val="auto"/>
                <w:sz w:val="24"/>
                <w:szCs w:val="24"/>
                <w:lang w:val="en-US" w:eastAsia="zh-CN"/>
              </w:rPr>
              <w:t>报告书尚在编制中。</w:t>
            </w:r>
          </w:p>
        </w:tc>
      </w:tr>
      <w:tr w14:paraId="6CF5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3" w:hRule="atLeast"/>
          <w:jc w:val="center"/>
        </w:trPr>
        <w:tc>
          <w:tcPr>
            <w:tcW w:w="669" w:type="dxa"/>
            <w:vAlign w:val="center"/>
          </w:tcPr>
          <w:p w14:paraId="5EE114A5">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rPr>
              <w:t>规划及规划环境影响评价符合性分析</w:t>
            </w:r>
          </w:p>
        </w:tc>
        <w:tc>
          <w:tcPr>
            <w:tcW w:w="8314" w:type="dxa"/>
            <w:gridSpan w:val="4"/>
            <w:vAlign w:val="center"/>
          </w:tcPr>
          <w:p w14:paraId="48ACF9BD">
            <w:pPr>
              <w:pStyle w:val="86"/>
              <w:keepNext w:val="0"/>
              <w:keepLines w:val="0"/>
              <w:pageBreakBefore w:val="0"/>
              <w:widowControl w:val="0"/>
              <w:kinsoku/>
              <w:wordWrap/>
              <w:overflowPunct/>
              <w:topLinePunct w:val="0"/>
              <w:autoSpaceDE/>
              <w:autoSpaceDN/>
              <w:bidi w:val="0"/>
              <w:adjustRightInd w:val="0"/>
              <w:snapToGrid w:val="0"/>
              <w:spacing w:line="500" w:lineRule="exact"/>
              <w:ind w:left="0" w:leftChars="0" w:firstLine="0" w:firstLineChars="0"/>
              <w:textAlignment w:val="auto"/>
              <w:rPr>
                <w:rFonts w:hint="default" w:ascii="Times New Roman" w:hAnsi="Times New Roman" w:eastAsia="仿宋" w:cs="Times New Roman"/>
                <w:b/>
                <w:color w:val="auto"/>
                <w:szCs w:val="24"/>
              </w:rPr>
            </w:pPr>
            <w:r>
              <w:rPr>
                <w:rFonts w:hint="default" w:ascii="Times New Roman" w:hAnsi="Times New Roman" w:eastAsia="仿宋" w:cs="Times New Roman"/>
                <w:b/>
                <w:color w:val="auto"/>
                <w:szCs w:val="24"/>
              </w:rPr>
              <w:t>1、与规划符合性分析</w:t>
            </w:r>
          </w:p>
          <w:p w14:paraId="2A3F0EF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1）本项目位于薛埠现代产业园，薛埠现代产业园产业定位为：以汽车配件、智能装备、特色机械电子等高科技产业为主导、生产性服务业为补充。本项目为C3499其他未列明通用设备制造业，项目生产过程不“涉重”，不产生光气、“三致”、恶臭废气，不属于园区禁止引入行业，符合园区产业定位。</w:t>
            </w:r>
          </w:p>
          <w:p w14:paraId="019F9DA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（2）根据园区土地利用规划，项目所在地为工业用地，本项目厂房已取得土地证，性质为工业用地。因此本项目符合区域用地规划要求。</w:t>
            </w:r>
          </w:p>
          <w:p w14:paraId="01FBD235">
            <w:pPr>
              <w:keepNext w:val="0"/>
              <w:keepLines w:val="0"/>
              <w:pageBreakBefore w:val="0"/>
              <w:widowControl w:val="0"/>
              <w:kinsoku/>
              <w:wordWrap/>
              <w:overflowPunct/>
              <w:topLinePunct w:val="0"/>
              <w:bidi w:val="0"/>
              <w:spacing w:line="500" w:lineRule="exact"/>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w:t>
            </w:r>
            <w:r>
              <w:rPr>
                <w:rFonts w:hint="default" w:ascii="Times New Roman" w:hAnsi="Times New Roman" w:eastAsia="仿宋" w:cs="Times New Roman"/>
                <w:b/>
                <w:bCs/>
                <w:color w:val="auto"/>
                <w:sz w:val="24"/>
                <w:szCs w:val="24"/>
                <w:lang w:eastAsia="zh-CN"/>
              </w:rPr>
              <w:t>、</w:t>
            </w:r>
            <w:r>
              <w:rPr>
                <w:rFonts w:hint="default" w:ascii="Times New Roman" w:hAnsi="Times New Roman" w:eastAsia="仿宋" w:cs="Times New Roman"/>
                <w:b/>
                <w:bCs/>
                <w:color w:val="auto"/>
                <w:sz w:val="24"/>
                <w:szCs w:val="24"/>
              </w:rPr>
              <w:t>与规划环境影响评价符合性分析</w:t>
            </w:r>
          </w:p>
          <w:p w14:paraId="23CCDA8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本项目位于常州市金坛区薛埠镇工业园区南环路3号，所在用地为工业用地，符合区域用地规划，与《金坛区薛埠镇工业集中区回顾性评价及规划调整（新设薛埠镇集聚产业园）环境影响报告书》及《关于对金坛区薛埠镇工业集中区回顾性评价及规划调整（新设薛埠镇集聚产业园）环境影响报告书的审查意见》（坛环服复</w:t>
            </w:r>
            <w:r>
              <w:rPr>
                <w:rFonts w:hint="eastAsia" w:eastAsia="仿宋" w:cs="Times New Roman"/>
                <w:color w:val="auto"/>
                <w:sz w:val="24"/>
                <w:lang w:eastAsia="zh-CN"/>
              </w:rPr>
              <w:t>〔2015〕4号</w:t>
            </w:r>
            <w:r>
              <w:rPr>
                <w:rFonts w:hint="default" w:ascii="Times New Roman" w:hAnsi="Times New Roman" w:eastAsia="仿宋" w:cs="Times New Roman"/>
                <w:color w:val="auto"/>
                <w:sz w:val="24"/>
                <w:lang w:eastAsia="zh-CN"/>
              </w:rPr>
              <w:t>）相符性分析见下表：</w:t>
            </w:r>
          </w:p>
          <w:p w14:paraId="6A1391A8">
            <w:pPr>
              <w:pStyle w:val="22"/>
              <w:adjustRightInd w:val="0"/>
              <w:snapToGrid w:val="0"/>
              <w:spacing w:before="0" w:beforeAutospacing="0" w:after="0" w:afterAutospacing="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表1-1   与</w:t>
            </w:r>
            <w:r>
              <w:rPr>
                <w:rFonts w:hint="default" w:ascii="Times New Roman" w:hAnsi="Times New Roman" w:eastAsia="仿宋" w:cs="Times New Roman"/>
                <w:b/>
                <w:color w:val="auto"/>
                <w:kern w:val="2"/>
                <w:sz w:val="21"/>
                <w:szCs w:val="21"/>
              </w:rPr>
              <w:t>坛环服复</w:t>
            </w:r>
            <w:r>
              <w:rPr>
                <w:rFonts w:hint="eastAsia" w:ascii="Times New Roman" w:hAnsi="Times New Roman" w:eastAsia="仿宋" w:cs="Times New Roman"/>
                <w:b/>
                <w:color w:val="auto"/>
                <w:kern w:val="2"/>
                <w:sz w:val="21"/>
                <w:szCs w:val="21"/>
                <w:lang w:eastAsia="zh-CN"/>
              </w:rPr>
              <w:t>〔2015〕4号</w:t>
            </w:r>
            <w:r>
              <w:rPr>
                <w:rFonts w:hint="default" w:ascii="Times New Roman" w:hAnsi="Times New Roman" w:eastAsia="仿宋" w:cs="Times New Roman"/>
                <w:b/>
                <w:color w:val="auto"/>
                <w:sz w:val="21"/>
                <w:szCs w:val="21"/>
              </w:rPr>
              <w:t>对照分析情况</w:t>
            </w:r>
          </w:p>
          <w:tbl>
            <w:tblPr>
              <w:tblStyle w:val="27"/>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049"/>
              <w:gridCol w:w="2968"/>
              <w:gridCol w:w="1081"/>
            </w:tblGrid>
            <w:tr w14:paraId="6C49BB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00" w:type="pct"/>
                  <w:noWrap w:val="0"/>
                  <w:vAlign w:val="center"/>
                </w:tcPr>
                <w:p w14:paraId="095A3389">
                  <w:pPr>
                    <w:contextualSpacing/>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区域环评批复</w:t>
                  </w:r>
                </w:p>
              </w:tc>
              <w:tc>
                <w:tcPr>
                  <w:tcW w:w="1832" w:type="pct"/>
                  <w:noWrap w:val="0"/>
                  <w:vAlign w:val="center"/>
                </w:tcPr>
                <w:p w14:paraId="261C12B6">
                  <w:pPr>
                    <w:contextualSpacing/>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w:t>
                  </w:r>
                </w:p>
              </w:tc>
              <w:tc>
                <w:tcPr>
                  <w:tcW w:w="667" w:type="pct"/>
                  <w:noWrap w:val="0"/>
                  <w:vAlign w:val="center"/>
                </w:tcPr>
                <w:p w14:paraId="1A601F2B">
                  <w:pPr>
                    <w:contextualSpacing/>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相符性</w:t>
                  </w:r>
                </w:p>
              </w:tc>
            </w:tr>
            <w:tr w14:paraId="742979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00" w:type="pct"/>
                  <w:noWrap w:val="0"/>
                  <w:vAlign w:val="center"/>
                </w:tcPr>
                <w:p w14:paraId="554AFABA">
                  <w:pPr>
                    <w:widowControl/>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规划范围</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东至东环二路，西至东环一路，北至茅东大街，南至东环一路南延段，规划用地面积约1.18km</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bCs/>
                      <w:color w:val="auto"/>
                      <w:sz w:val="21"/>
                      <w:szCs w:val="21"/>
                    </w:rPr>
                    <w:t>。</w:t>
                  </w:r>
                </w:p>
              </w:tc>
              <w:tc>
                <w:tcPr>
                  <w:tcW w:w="1832" w:type="pct"/>
                  <w:noWrap w:val="0"/>
                  <w:vAlign w:val="center"/>
                </w:tcPr>
                <w:p w14:paraId="7F8AA447">
                  <w:pPr>
                    <w:contextualSpacing/>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位于常州市金坛区</w:t>
                  </w:r>
                  <w:r>
                    <w:rPr>
                      <w:rFonts w:hint="default" w:ascii="Times New Roman" w:hAnsi="Times New Roman" w:eastAsia="仿宋" w:cs="Times New Roman"/>
                      <w:bCs/>
                      <w:color w:val="auto"/>
                      <w:sz w:val="21"/>
                      <w:szCs w:val="21"/>
                      <w:lang w:eastAsia="zh-CN"/>
                    </w:rPr>
                    <w:t>薛埠镇工业园区南环路3号</w:t>
                  </w:r>
                  <w:r>
                    <w:rPr>
                      <w:rFonts w:hint="default" w:ascii="Times New Roman" w:hAnsi="Times New Roman" w:eastAsia="仿宋" w:cs="Times New Roman"/>
                      <w:bCs/>
                      <w:color w:val="auto"/>
                      <w:sz w:val="21"/>
                      <w:szCs w:val="21"/>
                    </w:rPr>
                    <w:t>，位于薛埠现代产业园内</w:t>
                  </w:r>
                </w:p>
              </w:tc>
              <w:tc>
                <w:tcPr>
                  <w:tcW w:w="667" w:type="pct"/>
                  <w:noWrap w:val="0"/>
                  <w:vAlign w:val="center"/>
                </w:tcPr>
                <w:p w14:paraId="2F56EF34">
                  <w:pPr>
                    <w:contextualSpacing/>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相符</w:t>
                  </w:r>
                </w:p>
              </w:tc>
            </w:tr>
            <w:tr w14:paraId="541040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49" w:type="dxa"/>
                  <w:noWrap w:val="0"/>
                  <w:vAlign w:val="center"/>
                </w:tcPr>
                <w:p w14:paraId="4E5AEE1C">
                  <w:pPr>
                    <w:contextualSpacing/>
                    <w:jc w:val="center"/>
                    <w:rPr>
                      <w:rFonts w:hint="default"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产业定位以汽车配件、智能装备、特色机械电子等高科技产业为主导、生产性服务业为补充的特色产业园区</w:t>
                  </w:r>
                </w:p>
              </w:tc>
              <w:tc>
                <w:tcPr>
                  <w:tcW w:w="2968" w:type="dxa"/>
                  <w:noWrap w:val="0"/>
                  <w:vAlign w:val="center"/>
                </w:tcPr>
                <w:p w14:paraId="7314131A">
                  <w:pPr>
                    <w:contextualSpacing/>
                    <w:jc w:val="center"/>
                    <w:rPr>
                      <w:rFonts w:hint="default"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lang w:val="en-US" w:eastAsia="zh-CN"/>
                    </w:rPr>
                    <w:t>本项目行业类别为</w:t>
                  </w:r>
                  <w:r>
                    <w:rPr>
                      <w:rFonts w:hint="default" w:ascii="Times New Roman" w:hAnsi="Times New Roman" w:eastAsia="仿宋" w:cs="Times New Roman"/>
                      <w:bCs/>
                      <w:color w:val="auto"/>
                      <w:sz w:val="21"/>
                      <w:szCs w:val="21"/>
                      <w:lang w:eastAsia="zh-CN"/>
                    </w:rPr>
                    <w:t>C3499其他未列明通用设备制造业</w:t>
                  </w:r>
                  <w:r>
                    <w:rPr>
                      <w:rFonts w:hint="eastAsia" w:ascii="Times New Roman" w:hAnsi="Times New Roman" w:eastAsia="仿宋" w:cs="Times New Roman"/>
                      <w:bCs/>
                      <w:color w:val="auto"/>
                      <w:sz w:val="21"/>
                      <w:szCs w:val="21"/>
                      <w:lang w:val="en-US" w:eastAsia="zh-CN"/>
                    </w:rPr>
                    <w:t>，为</w:t>
                  </w:r>
                  <w:r>
                    <w:rPr>
                      <w:rFonts w:hint="eastAsia" w:ascii="Times New Roman" w:hAnsi="Times New Roman" w:eastAsia="仿宋" w:cs="Times New Roman"/>
                      <w:bCs/>
                      <w:color w:val="auto"/>
                      <w:sz w:val="21"/>
                      <w:szCs w:val="21"/>
                    </w:rPr>
                    <w:t>智能装备</w:t>
                  </w:r>
                  <w:r>
                    <w:rPr>
                      <w:rFonts w:hint="eastAsia" w:eastAsia="仿宋" w:cs="Times New Roman"/>
                      <w:bCs/>
                      <w:color w:val="auto"/>
                      <w:sz w:val="21"/>
                      <w:szCs w:val="21"/>
                      <w:lang w:val="en-US" w:eastAsia="zh-CN"/>
                    </w:rPr>
                    <w:t>配套产业</w:t>
                  </w:r>
                  <w:r>
                    <w:rPr>
                      <w:rFonts w:hint="eastAsia" w:ascii="Times New Roman" w:hAnsi="Times New Roman" w:eastAsia="仿宋" w:cs="Times New Roman"/>
                      <w:bCs/>
                      <w:color w:val="auto"/>
                      <w:sz w:val="21"/>
                      <w:szCs w:val="21"/>
                      <w:lang w:val="en-US" w:eastAsia="zh-CN"/>
                    </w:rPr>
                    <w:t>，符合园区产业定位</w:t>
                  </w:r>
                </w:p>
              </w:tc>
              <w:tc>
                <w:tcPr>
                  <w:tcW w:w="1081" w:type="dxa"/>
                  <w:noWrap w:val="0"/>
                  <w:vAlign w:val="center"/>
                </w:tcPr>
                <w:p w14:paraId="01AC0154">
                  <w:pPr>
                    <w:contextualSpacing/>
                    <w:jc w:val="center"/>
                    <w:rPr>
                      <w:rFonts w:hint="default"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lang w:val="en-US" w:eastAsia="zh-CN"/>
                    </w:rPr>
                    <w:t>符合</w:t>
                  </w:r>
                </w:p>
              </w:tc>
            </w:tr>
            <w:tr w14:paraId="7E8E98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00" w:type="pct"/>
                  <w:noWrap w:val="0"/>
                  <w:vAlign w:val="center"/>
                </w:tcPr>
                <w:p w14:paraId="741262E4">
                  <w:pPr>
                    <w:contextualSpacing/>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薛埠现代产业园区禁止引进项目如下：（1）不符合《江苏省太湖水污染防治条例》和工业集中区产业定位的项目；（2）国家禁止或准备禁止的生产项目，以及明令淘汰的、对环境和资源均造成较大危害的落后工艺和落后设备；（3）生产方式落后、高耗能、高水耗等严重浪费资源的项目；（4）“涉重”、光气、“三致”、恶臭以及环保技术难以治理的高毒性、高危险性、高污染性等建设项目；（5）含有电镀工艺的机械加工和工艺品加工项目</w:t>
                  </w:r>
                  <w:r>
                    <w:rPr>
                      <w:rFonts w:hint="default" w:ascii="Times New Roman" w:hAnsi="Times New Roman" w:eastAsia="仿宋" w:cs="Times New Roman"/>
                      <w:color w:val="auto"/>
                      <w:sz w:val="21"/>
                      <w:szCs w:val="21"/>
                    </w:rPr>
                    <w:t>。</w:t>
                  </w:r>
                </w:p>
              </w:tc>
              <w:tc>
                <w:tcPr>
                  <w:tcW w:w="1832" w:type="pct"/>
                  <w:noWrap w:val="0"/>
                  <w:vAlign w:val="center"/>
                </w:tcPr>
                <w:p w14:paraId="4C77BC4B">
                  <w:pPr>
                    <w:contextualSpacing/>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本项目属于</w:t>
                  </w:r>
                  <w:r>
                    <w:rPr>
                      <w:rFonts w:hint="default" w:ascii="Times New Roman" w:hAnsi="Times New Roman" w:eastAsia="仿宋" w:cs="Times New Roman"/>
                      <w:color w:val="auto"/>
                      <w:sz w:val="21"/>
                      <w:szCs w:val="21"/>
                      <w:lang w:eastAsia="zh-CN"/>
                    </w:rPr>
                    <w:t>C3499其他未列明通用设备制造业</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不属于禁止引入</w:t>
                  </w:r>
                  <w:r>
                    <w:rPr>
                      <w:rFonts w:hint="default" w:ascii="Times New Roman" w:hAnsi="Times New Roman" w:eastAsia="仿宋" w:cs="Times New Roman"/>
                      <w:color w:val="auto"/>
                      <w:sz w:val="21"/>
                      <w:szCs w:val="21"/>
                    </w:rPr>
                    <w:t>行业。本项目无生产废水排放，</w:t>
                  </w:r>
                  <w:r>
                    <w:rPr>
                      <w:rFonts w:hint="default" w:ascii="Times New Roman" w:hAnsi="Times New Roman" w:eastAsia="仿宋" w:cs="Times New Roman"/>
                      <w:bCs/>
                      <w:color w:val="auto"/>
                      <w:sz w:val="21"/>
                      <w:szCs w:val="21"/>
                    </w:rPr>
                    <w:t>生活污水接管至茅东污水处理厂处理；</w:t>
                  </w:r>
                  <w:r>
                    <w:rPr>
                      <w:rFonts w:hint="default" w:ascii="Times New Roman" w:hAnsi="Times New Roman" w:eastAsia="仿宋" w:cs="Times New Roman"/>
                      <w:bCs/>
                      <w:color w:val="auto"/>
                      <w:sz w:val="21"/>
                      <w:szCs w:val="21"/>
                      <w:lang w:eastAsia="zh-CN"/>
                    </w:rPr>
                    <w:t>项目生产过程不</w:t>
                  </w:r>
                  <w:r>
                    <w:rPr>
                      <w:rFonts w:hint="default" w:ascii="Times New Roman" w:hAnsi="Times New Roman" w:eastAsia="仿宋" w:cs="Times New Roman"/>
                      <w:bCs/>
                      <w:color w:val="auto"/>
                      <w:sz w:val="21"/>
                      <w:szCs w:val="21"/>
                    </w:rPr>
                    <w:t>“涉重”</w:t>
                  </w:r>
                  <w:r>
                    <w:rPr>
                      <w:rFonts w:hint="default" w:ascii="Times New Roman" w:hAnsi="Times New Roman" w:eastAsia="仿宋" w:cs="Times New Roman"/>
                      <w:bCs/>
                      <w:color w:val="auto"/>
                      <w:sz w:val="21"/>
                      <w:szCs w:val="21"/>
                      <w:lang w:eastAsia="zh-CN"/>
                    </w:rPr>
                    <w:t>，不产生</w:t>
                  </w:r>
                  <w:r>
                    <w:rPr>
                      <w:rFonts w:hint="default" w:ascii="Times New Roman" w:hAnsi="Times New Roman" w:eastAsia="仿宋" w:cs="Times New Roman"/>
                      <w:bCs/>
                      <w:color w:val="auto"/>
                      <w:sz w:val="21"/>
                      <w:szCs w:val="21"/>
                    </w:rPr>
                    <w:t>光气、“三致”、恶臭</w:t>
                  </w:r>
                  <w:r>
                    <w:rPr>
                      <w:rFonts w:hint="default" w:ascii="Times New Roman" w:hAnsi="Times New Roman" w:eastAsia="仿宋" w:cs="Times New Roman"/>
                      <w:bCs/>
                      <w:color w:val="auto"/>
                      <w:sz w:val="21"/>
                      <w:szCs w:val="21"/>
                      <w:lang w:eastAsia="zh-CN"/>
                    </w:rPr>
                    <w:t>废气</w:t>
                  </w:r>
                  <w:r>
                    <w:rPr>
                      <w:rFonts w:hint="default" w:ascii="Times New Roman" w:hAnsi="Times New Roman" w:eastAsia="仿宋" w:cs="Times New Roman"/>
                      <w:bCs/>
                      <w:color w:val="auto"/>
                      <w:sz w:val="21"/>
                      <w:szCs w:val="21"/>
                    </w:rPr>
                    <w:t>，</w:t>
                  </w:r>
                  <w:r>
                    <w:rPr>
                      <w:rFonts w:hint="default" w:ascii="Times New Roman" w:hAnsi="Times New Roman" w:eastAsia="仿宋" w:cs="Times New Roman"/>
                      <w:color w:val="auto"/>
                      <w:sz w:val="21"/>
                      <w:szCs w:val="21"/>
                    </w:rPr>
                    <w:t>不属于禁止引入类项目</w:t>
                  </w:r>
                </w:p>
              </w:tc>
              <w:tc>
                <w:tcPr>
                  <w:tcW w:w="667" w:type="pct"/>
                  <w:noWrap w:val="0"/>
                  <w:vAlign w:val="center"/>
                </w:tcPr>
                <w:p w14:paraId="671A9CDD">
                  <w:pPr>
                    <w:contextualSpacing/>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bl>
          <w:p w14:paraId="1236EB8C">
            <w:pPr>
              <w:widowControl/>
              <w:adjustRightInd w:val="0"/>
              <w:snapToGrid w:val="0"/>
              <w:spacing w:line="480" w:lineRule="exact"/>
              <w:ind w:firstLine="482" w:firstLineChars="200"/>
              <w:rPr>
                <w:rFonts w:hint="default" w:ascii="Times New Roman" w:hAnsi="Times New Roman" w:eastAsia="仿宋" w:cs="Times New Roman"/>
                <w:b/>
                <w:bCs/>
                <w:color w:val="auto"/>
                <w:sz w:val="24"/>
              </w:rPr>
            </w:pPr>
          </w:p>
        </w:tc>
      </w:tr>
      <w:tr w14:paraId="59ED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8" w:hRule="atLeast"/>
          <w:jc w:val="center"/>
        </w:trPr>
        <w:tc>
          <w:tcPr>
            <w:tcW w:w="669" w:type="dxa"/>
            <w:vAlign w:val="center"/>
          </w:tcPr>
          <w:p w14:paraId="63D1B9D4">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rPr>
              <w:t>其他符合性分析</w:t>
            </w:r>
          </w:p>
        </w:tc>
        <w:tc>
          <w:tcPr>
            <w:tcW w:w="8314" w:type="dxa"/>
            <w:gridSpan w:val="4"/>
            <w:vAlign w:val="center"/>
          </w:tcPr>
          <w:p w14:paraId="298353C4">
            <w:pPr>
              <w:keepNext w:val="0"/>
              <w:keepLines w:val="0"/>
              <w:pageBreakBefore w:val="0"/>
              <w:widowControl w:val="0"/>
              <w:kinsoku/>
              <w:wordWrap/>
              <w:overflowPunct/>
              <w:topLinePunct w:val="0"/>
              <w:bidi w:val="0"/>
              <w:snapToGrid w:val="0"/>
              <w:spacing w:line="500" w:lineRule="exact"/>
              <w:textAlignment w:val="auto"/>
              <w:rPr>
                <w:rFonts w:hint="default" w:ascii="Times New Roman" w:hAnsi="Times New Roman" w:eastAsia="仿宋" w:cs="Times New Roman"/>
                <w:b/>
                <w:bCs w:val="0"/>
                <w:color w:val="auto"/>
                <w:sz w:val="24"/>
                <w:lang w:eastAsia="zh-CN"/>
              </w:rPr>
            </w:pPr>
            <w:r>
              <w:rPr>
                <w:rFonts w:hint="default" w:ascii="Times New Roman" w:hAnsi="Times New Roman" w:eastAsia="仿宋" w:cs="Times New Roman"/>
                <w:b/>
                <w:color w:val="auto"/>
                <w:sz w:val="24"/>
                <w:lang w:val="en-US" w:eastAsia="zh-CN"/>
              </w:rPr>
              <w:t>1</w:t>
            </w:r>
            <w:r>
              <w:rPr>
                <w:rFonts w:hint="default" w:ascii="Times New Roman" w:hAnsi="Times New Roman" w:eastAsia="仿宋" w:cs="Times New Roman"/>
                <w:b/>
                <w:color w:val="auto"/>
                <w:sz w:val="24"/>
              </w:rPr>
              <w:t>、</w:t>
            </w:r>
            <w:r>
              <w:rPr>
                <w:rFonts w:hint="default" w:ascii="Times New Roman" w:hAnsi="Times New Roman" w:eastAsia="仿宋" w:cs="Times New Roman"/>
                <w:b/>
                <w:bCs w:val="0"/>
                <w:color w:val="auto"/>
                <w:sz w:val="24"/>
                <w:lang w:eastAsia="zh-CN"/>
              </w:rPr>
              <w:t>与金坛区</w:t>
            </w:r>
            <w:r>
              <w:rPr>
                <w:rFonts w:hint="default" w:ascii="Times New Roman" w:hAnsi="Times New Roman" w:eastAsia="仿宋" w:cs="Times New Roman"/>
                <w:b/>
                <w:bCs w:val="0"/>
                <w:color w:val="auto"/>
                <w:sz w:val="24"/>
                <w:lang w:val="en-US" w:eastAsia="zh-CN"/>
              </w:rPr>
              <w:t>“</w:t>
            </w:r>
            <w:r>
              <w:rPr>
                <w:rFonts w:hint="default" w:ascii="Times New Roman" w:hAnsi="Times New Roman" w:eastAsia="仿宋" w:cs="Times New Roman"/>
                <w:b/>
                <w:bCs w:val="0"/>
                <w:color w:val="auto"/>
                <w:sz w:val="24"/>
                <w:lang w:eastAsia="zh-CN"/>
              </w:rPr>
              <w:t>三区三线</w:t>
            </w:r>
            <w:r>
              <w:rPr>
                <w:rFonts w:hint="default" w:ascii="Times New Roman" w:hAnsi="Times New Roman" w:eastAsia="仿宋" w:cs="Times New Roman"/>
                <w:b/>
                <w:bCs w:val="0"/>
                <w:color w:val="auto"/>
                <w:sz w:val="24"/>
                <w:lang w:val="en-US" w:eastAsia="zh-CN"/>
              </w:rPr>
              <w:t>”相符性分析。</w:t>
            </w:r>
          </w:p>
          <w:p w14:paraId="3A0F5BD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color w:val="auto"/>
                <w:sz w:val="24"/>
                <w:lang w:val="en-US" w:eastAsia="zh-CN"/>
              </w:rPr>
              <w:t>金坛区“</w:t>
            </w:r>
            <w:r>
              <w:rPr>
                <w:rFonts w:hint="default" w:ascii="Times New Roman" w:hAnsi="Times New Roman" w:eastAsia="仿宋" w:cs="Times New Roman"/>
                <w:color w:val="auto"/>
                <w:sz w:val="24"/>
                <w:lang w:eastAsia="zh-CN"/>
              </w:rPr>
              <w:t>三区三线</w:t>
            </w:r>
            <w:r>
              <w:rPr>
                <w:rFonts w:hint="default" w:ascii="Times New Roman" w:hAnsi="Times New Roman" w:eastAsia="仿宋" w:cs="Times New Roman"/>
                <w:color w:val="auto"/>
                <w:sz w:val="24"/>
                <w:lang w:val="en-US" w:eastAsia="zh-CN"/>
              </w:rPr>
              <w:t>”划定成果已正式启用，</w:t>
            </w:r>
            <w:r>
              <w:rPr>
                <w:rFonts w:hint="default" w:ascii="Times New Roman" w:hAnsi="Times New Roman" w:eastAsia="仿宋" w:cs="Times New Roman"/>
                <w:color w:val="auto"/>
                <w:sz w:val="24"/>
                <w:lang w:eastAsia="zh-CN"/>
              </w:rPr>
              <w:t>共划定耕地保护目标图斑31.3788万亩，永久基本农田28.264万亩，生态保护红线98.67平方公里，城镇开发边界115.67平方公里。</w:t>
            </w:r>
            <w:r>
              <w:rPr>
                <w:rFonts w:hint="default" w:ascii="Times New Roman" w:hAnsi="Times New Roman" w:eastAsia="仿宋" w:cs="Times New Roman"/>
                <w:color w:val="auto"/>
                <w:sz w:val="24"/>
                <w:lang w:val="en-US" w:eastAsia="zh-CN"/>
              </w:rPr>
              <w:t>本项目位于</w:t>
            </w:r>
            <w:r>
              <w:rPr>
                <w:rFonts w:hint="default" w:ascii="Times New Roman" w:hAnsi="Times New Roman" w:eastAsia="仿宋" w:cs="Times New Roman"/>
                <w:color w:val="auto"/>
                <w:sz w:val="24"/>
                <w:lang w:eastAsia="zh-CN"/>
              </w:rPr>
              <w:t>常州市金坛区薛埠镇工业园区南环路3号</w:t>
            </w:r>
            <w:r>
              <w:rPr>
                <w:rFonts w:hint="default" w:ascii="Times New Roman" w:hAnsi="Times New Roman" w:eastAsia="仿宋" w:cs="Times New Roman"/>
                <w:color w:val="auto"/>
                <w:sz w:val="24"/>
                <w:lang w:val="en-US" w:eastAsia="zh-CN"/>
              </w:rPr>
              <w:t>，属于工业用地，不属于</w:t>
            </w:r>
            <w:r>
              <w:rPr>
                <w:rFonts w:hint="default" w:ascii="Times New Roman" w:hAnsi="Times New Roman" w:eastAsia="仿宋" w:cs="Times New Roman"/>
                <w:color w:val="auto"/>
                <w:sz w:val="24"/>
                <w:lang w:eastAsia="zh-CN"/>
              </w:rPr>
              <w:t>永久基本农田、生态保护红线和城镇开发边界范围。</w:t>
            </w:r>
          </w:p>
          <w:p w14:paraId="0673D891">
            <w:pPr>
              <w:keepNext w:val="0"/>
              <w:keepLines w:val="0"/>
              <w:pageBreakBefore w:val="0"/>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val="en-US" w:eastAsia="zh-CN"/>
              </w:rPr>
              <w:t>2</w:t>
            </w:r>
            <w:r>
              <w:rPr>
                <w:rFonts w:hint="default" w:ascii="Times New Roman" w:hAnsi="Times New Roman" w:eastAsia="仿宋" w:cs="Times New Roman"/>
                <w:b/>
                <w:color w:val="auto"/>
                <w:sz w:val="24"/>
              </w:rPr>
              <w:t>、“三线一单”控制要求相符性分析</w:t>
            </w:r>
          </w:p>
          <w:p w14:paraId="7BE94978">
            <w:pPr>
              <w:keepNext w:val="0"/>
              <w:keepLines w:val="0"/>
              <w:pageBreakBefore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（1）根据《关于以改善环境质量为核心加强环境影响评价管理的通知》（环环评</w:t>
            </w:r>
            <w:r>
              <w:rPr>
                <w:rFonts w:hint="eastAsia" w:eastAsia="仿宋" w:cs="Times New Roman"/>
                <w:b/>
                <w:bCs/>
                <w:color w:val="auto"/>
                <w:sz w:val="24"/>
                <w:lang w:eastAsia="zh-CN"/>
              </w:rPr>
              <w:t>〔2016〕150号</w:t>
            </w:r>
            <w:r>
              <w:rPr>
                <w:rFonts w:hint="default" w:ascii="Times New Roman" w:hAnsi="Times New Roman" w:eastAsia="仿宋" w:cs="Times New Roman"/>
                <w:b/>
                <w:bCs/>
                <w:color w:val="auto"/>
                <w:sz w:val="24"/>
              </w:rPr>
              <w:t>文），本项目与“三线一单”相符性分析主要体现在以下四个方面：</w:t>
            </w:r>
          </w:p>
          <w:p w14:paraId="32BBC3F7">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eastAsia" w:eastAsia="仿宋" w:cs="Times New Roman"/>
                <w:b/>
                <w:bCs/>
                <w:color w:val="auto"/>
                <w:sz w:val="21"/>
                <w:szCs w:val="21"/>
                <w:lang w:val="en-US" w:eastAsia="zh-CN"/>
              </w:rPr>
              <w:t>2</w:t>
            </w:r>
            <w:r>
              <w:rPr>
                <w:rFonts w:hint="default"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“三线一单”符合性分析情况一览表</w:t>
            </w:r>
          </w:p>
          <w:tbl>
            <w:tblPr>
              <w:tblStyle w:val="27"/>
              <w:tblW w:w="493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108" w:type="dxa"/>
                <w:bottom w:w="28" w:type="dxa"/>
                <w:right w:w="108" w:type="dxa"/>
              </w:tblCellMar>
            </w:tblPr>
            <w:tblGrid>
              <w:gridCol w:w="457"/>
              <w:gridCol w:w="691"/>
              <w:gridCol w:w="6085"/>
              <w:gridCol w:w="760"/>
            </w:tblGrid>
            <w:tr w14:paraId="613DA8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6377C4AC">
                  <w:pPr>
                    <w:autoSpaceDE w:val="0"/>
                    <w:autoSpaceDN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序号</w:t>
                  </w:r>
                </w:p>
              </w:tc>
              <w:tc>
                <w:tcPr>
                  <w:tcW w:w="432" w:type="pct"/>
                  <w:vAlign w:val="center"/>
                </w:tcPr>
                <w:p w14:paraId="761C8260">
                  <w:pPr>
                    <w:autoSpaceDE w:val="0"/>
                    <w:autoSpaceDN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判断类型</w:t>
                  </w:r>
                </w:p>
              </w:tc>
              <w:tc>
                <w:tcPr>
                  <w:tcW w:w="3805" w:type="pct"/>
                  <w:vAlign w:val="center"/>
                </w:tcPr>
                <w:p w14:paraId="3B71FB25">
                  <w:pPr>
                    <w:autoSpaceDE w:val="0"/>
                    <w:autoSpaceDN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对照分析</w:t>
                  </w:r>
                </w:p>
              </w:tc>
              <w:tc>
                <w:tcPr>
                  <w:tcW w:w="475" w:type="pct"/>
                  <w:vAlign w:val="center"/>
                </w:tcPr>
                <w:p w14:paraId="32F83D24">
                  <w:pPr>
                    <w:autoSpaceDE w:val="0"/>
                    <w:autoSpaceDN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是否相符</w:t>
                  </w:r>
                </w:p>
              </w:tc>
            </w:tr>
            <w:tr w14:paraId="5800C2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1276" w:hRule="atLeast"/>
                <w:jc w:val="center"/>
              </w:trPr>
              <w:tc>
                <w:tcPr>
                  <w:tcW w:w="286" w:type="pct"/>
                  <w:vAlign w:val="center"/>
                </w:tcPr>
                <w:p w14:paraId="4FD9BA12">
                  <w:pPr>
                    <w:autoSpaceDE w:val="0"/>
                    <w:autoSpaceDN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32" w:type="pct"/>
                  <w:vAlign w:val="center"/>
                </w:tcPr>
                <w:p w14:paraId="45C3F6E7">
                  <w:pPr>
                    <w:autoSpaceDE w:val="0"/>
                    <w:autoSpaceDN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生态红线</w:t>
                  </w:r>
                </w:p>
              </w:tc>
              <w:tc>
                <w:tcPr>
                  <w:tcW w:w="3805" w:type="pct"/>
                  <w:vAlign w:val="center"/>
                </w:tcPr>
                <w:p w14:paraId="1FB250DD">
                  <w:pPr>
                    <w:autoSpaceDE w:val="0"/>
                    <w:autoSpaceDN w:val="0"/>
                    <w:snapToGrid w:val="0"/>
                    <w:ind w:firstLine="420" w:firstLineChars="2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根据《省政府关于印发江苏省生态空间管控区域规划的通知》（苏政发</w:t>
                  </w:r>
                  <w:r>
                    <w:rPr>
                      <w:rFonts w:hint="eastAsia" w:eastAsia="仿宋" w:cs="Times New Roman"/>
                      <w:color w:val="auto"/>
                      <w:szCs w:val="21"/>
                      <w:lang w:eastAsia="zh-CN"/>
                    </w:rPr>
                    <w:t>〔2020〕1号</w:t>
                  </w:r>
                  <w:r>
                    <w:rPr>
                      <w:rFonts w:hint="default" w:ascii="Times New Roman" w:hAnsi="Times New Roman" w:eastAsia="仿宋" w:cs="Times New Roman"/>
                      <w:color w:val="auto"/>
                      <w:szCs w:val="21"/>
                    </w:rPr>
                    <w:t>）、《省政府关于印发江苏省国家级生态保护红线规划的通知》（苏政发</w:t>
                  </w:r>
                  <w:r>
                    <w:rPr>
                      <w:rFonts w:hint="eastAsia" w:eastAsia="仿宋" w:cs="Times New Roman"/>
                      <w:color w:val="auto"/>
                      <w:szCs w:val="21"/>
                      <w:lang w:eastAsia="zh-CN"/>
                    </w:rPr>
                    <w:t>〔2018〕74号</w:t>
                  </w:r>
                  <w:r>
                    <w:rPr>
                      <w:rFonts w:hint="default" w:ascii="Times New Roman" w:hAnsi="Times New Roman" w:eastAsia="仿宋" w:cs="Times New Roman"/>
                      <w:color w:val="auto"/>
                      <w:szCs w:val="21"/>
                    </w:rPr>
                    <w:t>）文件，</w:t>
                  </w:r>
                  <w:r>
                    <w:rPr>
                      <w:rFonts w:hint="default" w:ascii="Times New Roman" w:hAnsi="Times New Roman" w:eastAsia="仿宋" w:cs="Times New Roman"/>
                      <w:color w:val="auto"/>
                      <w:szCs w:val="21"/>
                      <w:lang w:val="en-US" w:eastAsia="zh-CN"/>
                    </w:rPr>
                    <w:t>本项目距离最近的生态空间管控区</w:t>
                  </w:r>
                  <w:r>
                    <w:rPr>
                      <w:rFonts w:hint="default" w:ascii="Times New Roman" w:hAnsi="Times New Roman" w:eastAsia="仿宋" w:cs="Times New Roman"/>
                      <w:color w:val="auto"/>
                      <w:sz w:val="21"/>
                      <w:szCs w:val="21"/>
                    </w:rPr>
                    <w:t>方山（金坛</w:t>
                  </w:r>
                  <w:r>
                    <w:rPr>
                      <w:rFonts w:hint="eastAsia" w:eastAsia="仿宋" w:cs="Times New Roman"/>
                      <w:color w:val="auto"/>
                      <w:sz w:val="21"/>
                      <w:szCs w:val="21"/>
                      <w:lang w:val="en-US" w:eastAsia="zh-CN"/>
                    </w:rPr>
                    <w:t>区</w:t>
                  </w:r>
                  <w:r>
                    <w:rPr>
                      <w:rFonts w:hint="default" w:ascii="Times New Roman" w:hAnsi="Times New Roman" w:eastAsia="仿宋" w:cs="Times New Roman"/>
                      <w:color w:val="auto"/>
                      <w:sz w:val="21"/>
                      <w:szCs w:val="21"/>
                    </w:rPr>
                    <w:t>）森林公园直线距离约</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km</w:t>
                  </w:r>
                  <w:r>
                    <w:rPr>
                      <w:rFonts w:hint="default" w:ascii="Times New Roman" w:hAnsi="Times New Roman" w:eastAsia="仿宋" w:cs="Times New Roman"/>
                      <w:color w:val="auto"/>
                      <w:szCs w:val="21"/>
                      <w:lang w:val="en-US" w:eastAsia="zh-CN"/>
                    </w:rPr>
                    <w:t>，不在国家级生态保护红线范围和生态空间管控区范围内</w:t>
                  </w:r>
                  <w:r>
                    <w:rPr>
                      <w:rFonts w:hint="default" w:ascii="Times New Roman" w:hAnsi="Times New Roman" w:eastAsia="仿宋" w:cs="Times New Roman"/>
                      <w:color w:val="auto"/>
                      <w:szCs w:val="21"/>
                    </w:rPr>
                    <w:t>。</w:t>
                  </w:r>
                </w:p>
              </w:tc>
              <w:tc>
                <w:tcPr>
                  <w:tcW w:w="475" w:type="pct"/>
                  <w:vAlign w:val="center"/>
                </w:tcPr>
                <w:p w14:paraId="7CAD8B79">
                  <w:pPr>
                    <w:autoSpaceDE w:val="0"/>
                    <w:autoSpaceDN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w:t>
                  </w:r>
                </w:p>
              </w:tc>
            </w:tr>
            <w:tr w14:paraId="699BF6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2B5EEC61">
                  <w:pPr>
                    <w:autoSpaceDE w:val="0"/>
                    <w:autoSpaceDN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432" w:type="pct"/>
                  <w:vAlign w:val="center"/>
                </w:tcPr>
                <w:p w14:paraId="011AA2A4">
                  <w:pPr>
                    <w:autoSpaceDE w:val="0"/>
                    <w:autoSpaceDN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环境质量底线</w:t>
                  </w:r>
                </w:p>
              </w:tc>
              <w:tc>
                <w:tcPr>
                  <w:tcW w:w="3805" w:type="pct"/>
                  <w:vAlign w:val="center"/>
                </w:tcPr>
                <w:p w14:paraId="5EABBC39">
                  <w:pPr>
                    <w:autoSpaceDE w:val="0"/>
                    <w:autoSpaceDN w:val="0"/>
                    <w:snapToGrid w:val="0"/>
                    <w:ind w:firstLine="420" w:firstLineChars="200"/>
                    <w:jc w:val="left"/>
                    <w:rPr>
                      <w:rFonts w:hint="default" w:ascii="Times New Roman" w:hAnsi="Times New Roman" w:eastAsia="仿宋" w:cs="Times New Roman"/>
                      <w:color w:val="auto"/>
                      <w:szCs w:val="21"/>
                    </w:rPr>
                  </w:pPr>
                  <w:r>
                    <w:rPr>
                      <w:rFonts w:ascii="Times New Roman" w:hAnsi="Times New Roman" w:eastAsia="仿宋"/>
                      <w:color w:val="auto"/>
                      <w:sz w:val="21"/>
                      <w:szCs w:val="21"/>
                    </w:rPr>
                    <w:t>监测期间项目所在地环境空气质量中各污染物指标满足环境质量标准限值要求；项目纳污水体</w:t>
                  </w:r>
                  <w:r>
                    <w:rPr>
                      <w:rFonts w:hint="eastAsia" w:ascii="Times New Roman" w:hAnsi="Times New Roman" w:eastAsia="仿宋"/>
                      <w:color w:val="auto"/>
                      <w:sz w:val="21"/>
                      <w:szCs w:val="21"/>
                      <w:lang w:val="en-US" w:eastAsia="zh-CN"/>
                    </w:rPr>
                    <w:t>薛埠</w:t>
                  </w:r>
                  <w:r>
                    <w:rPr>
                      <w:rFonts w:ascii="Times New Roman" w:hAnsi="Times New Roman" w:eastAsia="仿宋"/>
                      <w:color w:val="auto"/>
                      <w:sz w:val="21"/>
                      <w:szCs w:val="21"/>
                    </w:rPr>
                    <w:t>河水质满足</w:t>
                  </w:r>
                  <w:r>
                    <w:rPr>
                      <w:rFonts w:ascii="Times New Roman" w:hAnsi="Times New Roman" w:eastAsia="仿宋"/>
                      <w:color w:val="auto"/>
                      <w:kern w:val="0"/>
                      <w:sz w:val="21"/>
                      <w:szCs w:val="21"/>
                    </w:rPr>
                    <w:t>《地表水环境质量标准》（GB3838-2002）类水质标准；</w:t>
                  </w:r>
                  <w:r>
                    <w:rPr>
                      <w:rFonts w:ascii="Times New Roman" w:hAnsi="Times New Roman" w:eastAsia="仿宋"/>
                      <w:color w:val="auto"/>
                      <w:sz w:val="21"/>
                      <w:szCs w:val="21"/>
                    </w:rPr>
                    <w:t>厂区各边界昼夜间噪声监测值均符合《声环境质量标准》（GB3096-2008）中的相应标准要求。本项目建成后采取严格的污染防治措施，废气、厂界噪声均可达标排放，固废合理处置，不会突破项目所在地的环境质量底线</w:t>
                  </w:r>
                </w:p>
              </w:tc>
              <w:tc>
                <w:tcPr>
                  <w:tcW w:w="475" w:type="pct"/>
                  <w:vAlign w:val="center"/>
                </w:tcPr>
                <w:p w14:paraId="505A8CD1">
                  <w:pPr>
                    <w:autoSpaceDE w:val="0"/>
                    <w:autoSpaceDN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w:t>
                  </w:r>
                </w:p>
              </w:tc>
            </w:tr>
            <w:tr w14:paraId="620694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229E4C1F">
                  <w:pPr>
                    <w:autoSpaceDE w:val="0"/>
                    <w:autoSpaceDN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432" w:type="pct"/>
                  <w:vAlign w:val="center"/>
                </w:tcPr>
                <w:p w14:paraId="355BCB8F">
                  <w:pPr>
                    <w:autoSpaceDE w:val="0"/>
                    <w:autoSpaceDN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资源利用上线</w:t>
                  </w:r>
                </w:p>
              </w:tc>
              <w:tc>
                <w:tcPr>
                  <w:tcW w:w="3805" w:type="pct"/>
                  <w:vAlign w:val="center"/>
                </w:tcPr>
                <w:p w14:paraId="0F21C51A">
                  <w:pPr>
                    <w:autoSpaceDE w:val="0"/>
                    <w:autoSpaceDN w:val="0"/>
                    <w:snapToGrid w:val="0"/>
                    <w:ind w:firstLine="420" w:firstLineChars="2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highlight w:val="none"/>
                    </w:rPr>
                    <w:t>本项目不属于</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两高一资</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类别，</w:t>
                  </w:r>
                  <w:r>
                    <w:rPr>
                      <w:rFonts w:hint="default" w:ascii="Times New Roman" w:hAnsi="Times New Roman" w:eastAsia="仿宋" w:cs="Times New Roman"/>
                      <w:color w:val="auto"/>
                      <w:szCs w:val="21"/>
                    </w:rPr>
                    <w:t>所使用的能源主要为水、电能；本项目所在地水资源丰富，电力资源由当地电网公司输送</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企业将采取有效的节水、节电措施，切实提高投入产出比，降低能耗，不会突破资源利用上线。符合资源利用上线相关要求。</w:t>
                  </w:r>
                </w:p>
              </w:tc>
              <w:tc>
                <w:tcPr>
                  <w:tcW w:w="475" w:type="pct"/>
                  <w:vAlign w:val="center"/>
                </w:tcPr>
                <w:p w14:paraId="1EE5AB2F">
                  <w:pPr>
                    <w:autoSpaceDE w:val="0"/>
                    <w:autoSpaceDN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w:t>
                  </w:r>
                </w:p>
              </w:tc>
            </w:tr>
            <w:tr w14:paraId="396BBB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75C98706">
                  <w:pPr>
                    <w:autoSpaceDE w:val="0"/>
                    <w:autoSpaceDN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w:t>
                  </w:r>
                </w:p>
              </w:tc>
              <w:tc>
                <w:tcPr>
                  <w:tcW w:w="432" w:type="pct"/>
                  <w:vAlign w:val="center"/>
                </w:tcPr>
                <w:p w14:paraId="5B63FB8E">
                  <w:pPr>
                    <w:autoSpaceDE w:val="0"/>
                    <w:autoSpaceDN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环境准入负面清单</w:t>
                  </w:r>
                </w:p>
              </w:tc>
              <w:tc>
                <w:tcPr>
                  <w:tcW w:w="3805" w:type="pct"/>
                  <w:vAlign w:val="center"/>
                </w:tcPr>
                <w:p w14:paraId="4374B19C">
                  <w:pPr>
                    <w:autoSpaceDE w:val="0"/>
                    <w:autoSpaceDN w:val="0"/>
                    <w:snapToGrid w:val="0"/>
                    <w:ind w:firstLine="420" w:firstLineChars="2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经对照，</w:t>
                  </w:r>
                  <w:r>
                    <w:rPr>
                      <w:rFonts w:hint="default" w:ascii="Times New Roman" w:hAnsi="Times New Roman" w:eastAsia="仿宋" w:cs="Times New Roman"/>
                      <w:color w:val="auto"/>
                      <w:szCs w:val="21"/>
                      <w:highlight w:val="none"/>
                    </w:rPr>
                    <w:t>本项目</w:t>
                  </w:r>
                  <w:r>
                    <w:rPr>
                      <w:rFonts w:hint="default" w:ascii="Times New Roman" w:hAnsi="Times New Roman" w:eastAsia="仿宋" w:cs="Times New Roman"/>
                      <w:color w:val="auto"/>
                      <w:szCs w:val="21"/>
                    </w:rPr>
                    <w:t>不属于《市场准入负面清单（2022年版）》中禁止事项</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不属于《长江经济带发展负面清单指南（试行，2022年版）》中禁止建设类项目</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不属于《省发展改革委省工业和信息化厅关于坚决遏制</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两高</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项目盲目发展的通知》（苏发改资环发</w:t>
                  </w:r>
                  <w:r>
                    <w:rPr>
                      <w:rFonts w:hint="eastAsia" w:eastAsia="仿宋" w:cs="Times New Roman"/>
                      <w:color w:val="auto"/>
                      <w:szCs w:val="21"/>
                      <w:lang w:eastAsia="zh-CN"/>
                    </w:rPr>
                    <w:t>〔2021〕837号</w:t>
                  </w:r>
                  <w:r>
                    <w:rPr>
                      <w:rFonts w:hint="default" w:ascii="Times New Roman" w:hAnsi="Times New Roman" w:eastAsia="仿宋" w:cs="Times New Roman"/>
                      <w:color w:val="auto"/>
                      <w:szCs w:val="21"/>
                    </w:rPr>
                    <w:t>）中</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两高</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项目。因此本项目符合环境准入负面清单相关要求。</w:t>
                  </w:r>
                </w:p>
              </w:tc>
              <w:tc>
                <w:tcPr>
                  <w:tcW w:w="475" w:type="pct"/>
                  <w:vAlign w:val="center"/>
                </w:tcPr>
                <w:p w14:paraId="64CEAC06">
                  <w:pPr>
                    <w:autoSpaceDE w:val="0"/>
                    <w:autoSpaceDN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w:t>
                  </w:r>
                </w:p>
              </w:tc>
            </w:tr>
          </w:tbl>
          <w:p w14:paraId="7B78F8D6">
            <w:pPr>
              <w:autoSpaceDE w:val="0"/>
              <w:autoSpaceDN w:val="0"/>
              <w:adjustRightInd w:val="0"/>
              <w:snapToGrid w:val="0"/>
              <w:spacing w:line="500" w:lineRule="exact"/>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（2）与</w:t>
            </w:r>
            <w:r>
              <w:rPr>
                <w:rFonts w:eastAsia="仿宋"/>
                <w:b/>
                <w:bCs/>
                <w:color w:val="auto"/>
                <w:sz w:val="24"/>
              </w:rPr>
              <w:t>《江苏省2023年生态环境分区管控成果动态更新工作方案》、《常州市2023年生态环境分区管控动态更新成果》</w:t>
            </w:r>
            <w:r>
              <w:rPr>
                <w:rFonts w:hint="default" w:ascii="Times New Roman" w:hAnsi="Times New Roman" w:eastAsia="仿宋" w:cs="Times New Roman"/>
                <w:b/>
                <w:color w:val="auto"/>
                <w:sz w:val="24"/>
              </w:rPr>
              <w:t>相符性分析</w:t>
            </w:r>
          </w:p>
          <w:p w14:paraId="1E4EB5CC">
            <w:pPr>
              <w:autoSpaceDE w:val="0"/>
              <w:autoSpaceDN w:val="0"/>
              <w:adjustRightInd w:val="0"/>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本项目位于</w:t>
            </w:r>
            <w:r>
              <w:rPr>
                <w:rFonts w:hint="default" w:ascii="Times New Roman" w:hAnsi="Times New Roman" w:eastAsia="仿宋" w:cs="Times New Roman"/>
                <w:color w:val="auto"/>
                <w:sz w:val="24"/>
                <w:lang w:eastAsia="zh-CN"/>
              </w:rPr>
              <w:t>常州市金坛区薛埠镇工业园区南环路3号</w:t>
            </w:r>
            <w:r>
              <w:rPr>
                <w:rFonts w:hint="default" w:ascii="Times New Roman" w:hAnsi="Times New Roman" w:eastAsia="仿宋" w:cs="Times New Roman"/>
                <w:bCs/>
                <w:color w:val="auto"/>
                <w:sz w:val="24"/>
              </w:rPr>
              <w:t>，</w:t>
            </w:r>
            <w:r>
              <w:rPr>
                <w:rFonts w:eastAsia="仿宋"/>
                <w:color w:val="auto"/>
                <w:sz w:val="24"/>
              </w:rPr>
              <w:t>对照《江苏省2023年生态环境分区管控成果动态更新工作方案》可知，项目位于重点管控单元，其重点管控要求与本项目的相符性分析见下表</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rPr>
              <w:t>其重点管控要求与本项目的相符性分析见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69F68BB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rPr>
              <w:t>表1-</w:t>
            </w:r>
            <w:r>
              <w:rPr>
                <w:rFonts w:hint="eastAsia" w:eastAsia="仿宋" w:cs="Times New Roman"/>
                <w:b/>
                <w:bCs/>
                <w:color w:val="auto"/>
                <w:sz w:val="21"/>
                <w:szCs w:val="21"/>
                <w:lang w:val="en-US" w:eastAsia="zh-CN"/>
              </w:rPr>
              <w:t>3</w:t>
            </w:r>
            <w:r>
              <w:rPr>
                <w:rFonts w:hint="default" w:ascii="Times New Roman" w:hAnsi="Times New Roman" w:eastAsia="仿宋" w:cs="Times New Roman"/>
                <w:b/>
                <w:bCs/>
                <w:color w:val="auto"/>
                <w:sz w:val="21"/>
                <w:szCs w:val="21"/>
              </w:rPr>
              <w:t xml:space="preserve"> </w:t>
            </w:r>
            <w:r>
              <w:rPr>
                <w:rFonts w:hint="eastAsia" w:eastAsia="仿宋" w:cs="Times New Roman"/>
                <w:b/>
                <w:bCs/>
                <w:color w:val="auto"/>
                <w:sz w:val="21"/>
                <w:szCs w:val="21"/>
                <w:lang w:val="en-US" w:eastAsia="zh-CN"/>
              </w:rPr>
              <w:t>与《</w:t>
            </w:r>
            <w:r>
              <w:rPr>
                <w:rFonts w:eastAsia="仿宋"/>
                <w:b/>
                <w:bCs/>
                <w:color w:val="auto"/>
                <w:szCs w:val="21"/>
              </w:rPr>
              <w:t>江苏省2023年生态环境分区管控成果动态更新工作方案</w:t>
            </w:r>
            <w:r>
              <w:rPr>
                <w:rFonts w:hint="eastAsia" w:eastAsia="仿宋" w:cs="Times New Roman"/>
                <w:b/>
                <w:bCs/>
                <w:color w:val="auto"/>
                <w:sz w:val="21"/>
                <w:szCs w:val="21"/>
                <w:lang w:val="en-US" w:eastAsia="zh-CN"/>
              </w:rPr>
              <w:t>》</w:t>
            </w:r>
            <w:r>
              <w:rPr>
                <w:rFonts w:hint="eastAsia" w:eastAsia="仿宋"/>
                <w:b/>
                <w:bCs/>
                <w:color w:val="auto"/>
                <w:szCs w:val="21"/>
                <w:lang w:val="en-US" w:eastAsia="zh-CN"/>
              </w:rPr>
              <w:t>相符性分析</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94"/>
              <w:gridCol w:w="555"/>
              <w:gridCol w:w="3765"/>
              <w:gridCol w:w="2593"/>
              <w:gridCol w:w="688"/>
            </w:tblGrid>
            <w:tr w14:paraId="5C1849C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noWrap w:val="0"/>
                  <w:tcMar>
                    <w:top w:w="0" w:type="dxa"/>
                    <w:left w:w="0" w:type="dxa"/>
                    <w:bottom w:w="0" w:type="dxa"/>
                    <w:right w:w="0" w:type="dxa"/>
                  </w:tcMar>
                  <w:vAlign w:val="center"/>
                </w:tcPr>
                <w:p w14:paraId="2C14CE39">
                  <w:pPr>
                    <w:jc w:val="center"/>
                    <w:rPr>
                      <w:rFonts w:eastAsia="仿宋"/>
                      <w:b/>
                      <w:bCs/>
                      <w:color w:val="auto"/>
                      <w:szCs w:val="21"/>
                    </w:rPr>
                  </w:pPr>
                  <w:r>
                    <w:rPr>
                      <w:rFonts w:eastAsia="仿宋"/>
                      <w:b/>
                      <w:bCs/>
                      <w:color w:val="auto"/>
                      <w:szCs w:val="21"/>
                    </w:rPr>
                    <w:t>序号</w:t>
                  </w:r>
                </w:p>
              </w:tc>
              <w:tc>
                <w:tcPr>
                  <w:tcW w:w="2667" w:type="pct"/>
                  <w:gridSpan w:val="2"/>
                  <w:noWrap w:val="0"/>
                  <w:tcMar>
                    <w:top w:w="0" w:type="dxa"/>
                    <w:left w:w="0" w:type="dxa"/>
                    <w:bottom w:w="0" w:type="dxa"/>
                    <w:right w:w="0" w:type="dxa"/>
                  </w:tcMar>
                  <w:vAlign w:val="center"/>
                </w:tcPr>
                <w:p w14:paraId="2BC59451">
                  <w:pPr>
                    <w:jc w:val="center"/>
                    <w:rPr>
                      <w:rFonts w:eastAsia="仿宋"/>
                      <w:b/>
                      <w:bCs/>
                      <w:color w:val="auto"/>
                      <w:szCs w:val="21"/>
                    </w:rPr>
                  </w:pPr>
                  <w:r>
                    <w:rPr>
                      <w:rFonts w:eastAsia="仿宋"/>
                      <w:b/>
                      <w:bCs/>
                      <w:color w:val="auto"/>
                      <w:szCs w:val="21"/>
                    </w:rPr>
                    <w:t>管控要求</w:t>
                  </w:r>
                </w:p>
              </w:tc>
              <w:tc>
                <w:tcPr>
                  <w:tcW w:w="1601" w:type="pct"/>
                  <w:noWrap w:val="0"/>
                  <w:tcMar>
                    <w:top w:w="0" w:type="dxa"/>
                    <w:left w:w="0" w:type="dxa"/>
                    <w:bottom w:w="0" w:type="dxa"/>
                    <w:right w:w="0" w:type="dxa"/>
                  </w:tcMar>
                  <w:vAlign w:val="center"/>
                </w:tcPr>
                <w:p w14:paraId="60DB61DC">
                  <w:pPr>
                    <w:jc w:val="center"/>
                    <w:rPr>
                      <w:rFonts w:eastAsia="仿宋"/>
                      <w:b/>
                      <w:bCs/>
                      <w:color w:val="auto"/>
                      <w:szCs w:val="21"/>
                    </w:rPr>
                  </w:pPr>
                  <w:r>
                    <w:rPr>
                      <w:rFonts w:eastAsia="仿宋"/>
                      <w:b/>
                      <w:bCs/>
                      <w:color w:val="auto"/>
                      <w:szCs w:val="21"/>
                    </w:rPr>
                    <w:t>本项目相关内容</w:t>
                  </w:r>
                </w:p>
              </w:tc>
              <w:tc>
                <w:tcPr>
                  <w:tcW w:w="425" w:type="pct"/>
                  <w:noWrap w:val="0"/>
                  <w:tcMar>
                    <w:top w:w="0" w:type="dxa"/>
                    <w:left w:w="0" w:type="dxa"/>
                    <w:bottom w:w="0" w:type="dxa"/>
                    <w:right w:w="0" w:type="dxa"/>
                  </w:tcMar>
                  <w:vAlign w:val="center"/>
                </w:tcPr>
                <w:p w14:paraId="2A877730">
                  <w:pPr>
                    <w:jc w:val="center"/>
                    <w:rPr>
                      <w:rFonts w:eastAsia="仿宋"/>
                      <w:b/>
                      <w:bCs/>
                      <w:color w:val="auto"/>
                      <w:szCs w:val="21"/>
                    </w:rPr>
                  </w:pPr>
                  <w:r>
                    <w:rPr>
                      <w:rFonts w:eastAsia="仿宋"/>
                      <w:b/>
                      <w:bCs/>
                      <w:color w:val="auto"/>
                      <w:szCs w:val="21"/>
                    </w:rPr>
                    <w:t>相符性</w:t>
                  </w:r>
                </w:p>
              </w:tc>
            </w:tr>
            <w:tr w14:paraId="3E15895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5" w:type="pct"/>
                  <w:vMerge w:val="restart"/>
                  <w:noWrap w:val="0"/>
                  <w:tcMar>
                    <w:top w:w="0" w:type="dxa"/>
                    <w:left w:w="0" w:type="dxa"/>
                    <w:bottom w:w="0" w:type="dxa"/>
                    <w:right w:w="0" w:type="dxa"/>
                  </w:tcMar>
                  <w:vAlign w:val="center"/>
                </w:tcPr>
                <w:p w14:paraId="253CF82B">
                  <w:pPr>
                    <w:jc w:val="center"/>
                    <w:rPr>
                      <w:rFonts w:eastAsia="仿宋"/>
                      <w:color w:val="auto"/>
                      <w:szCs w:val="21"/>
                    </w:rPr>
                  </w:pPr>
                  <w:r>
                    <w:rPr>
                      <w:rFonts w:eastAsia="仿宋"/>
                      <w:color w:val="auto"/>
                      <w:szCs w:val="21"/>
                    </w:rPr>
                    <w:t>1</w:t>
                  </w:r>
                </w:p>
              </w:tc>
              <w:tc>
                <w:tcPr>
                  <w:tcW w:w="343" w:type="pct"/>
                  <w:vMerge w:val="restart"/>
                  <w:noWrap w:val="0"/>
                  <w:tcMar>
                    <w:top w:w="0" w:type="dxa"/>
                    <w:left w:w="0" w:type="dxa"/>
                    <w:bottom w:w="0" w:type="dxa"/>
                    <w:right w:w="0" w:type="dxa"/>
                  </w:tcMar>
                  <w:vAlign w:val="center"/>
                </w:tcPr>
                <w:p w14:paraId="62AC37B8">
                  <w:pPr>
                    <w:jc w:val="center"/>
                    <w:rPr>
                      <w:rFonts w:eastAsia="仿宋"/>
                      <w:color w:val="auto"/>
                      <w:szCs w:val="21"/>
                    </w:rPr>
                  </w:pPr>
                  <w:r>
                    <w:rPr>
                      <w:rFonts w:eastAsia="仿宋"/>
                      <w:color w:val="auto"/>
                      <w:szCs w:val="21"/>
                    </w:rPr>
                    <w:t>空间布局约束</w:t>
                  </w:r>
                </w:p>
              </w:tc>
              <w:tc>
                <w:tcPr>
                  <w:tcW w:w="2324" w:type="pct"/>
                  <w:noWrap w:val="0"/>
                  <w:tcMar>
                    <w:top w:w="0" w:type="dxa"/>
                    <w:left w:w="0" w:type="dxa"/>
                    <w:bottom w:w="0" w:type="dxa"/>
                    <w:right w:w="0" w:type="dxa"/>
                  </w:tcMar>
                  <w:vAlign w:val="center"/>
                </w:tcPr>
                <w:p w14:paraId="18C28178">
                  <w:pPr>
                    <w:jc w:val="center"/>
                    <w:rPr>
                      <w:rFonts w:eastAsia="仿宋"/>
                      <w:color w:val="auto"/>
                      <w:szCs w:val="21"/>
                    </w:rPr>
                  </w:pPr>
                  <w:r>
                    <w:rPr>
                      <w:rFonts w:eastAsia="仿宋"/>
                      <w:color w:val="auto"/>
                      <w:szCs w:val="21"/>
                    </w:rPr>
                    <w:t>1．按照《自然资源部 生态环境部 国家林业和草原局关于加强生态保护红线管理的通知（试行）》（自然资发〔2022〕</w:t>
                  </w:r>
                </w:p>
                <w:p w14:paraId="1DE059A8">
                  <w:pPr>
                    <w:jc w:val="center"/>
                    <w:rPr>
                      <w:rFonts w:eastAsia="仿宋"/>
                      <w:color w:val="auto"/>
                      <w:szCs w:val="21"/>
                    </w:rPr>
                  </w:pPr>
                  <w:r>
                    <w:rPr>
                      <w:rFonts w:eastAsia="仿宋"/>
                      <w:color w:val="auto"/>
                      <w:szCs w:val="21"/>
                    </w:rPr>
                    <w:t>142号）、《省政府关于印发江苏省生态空间管控区域规划的通知》（苏政发〔2020〕1号）、《关于进一步加强生态保护红线监督管理的通知》（苏自然函</w:t>
                  </w:r>
                  <w:r>
                    <w:rPr>
                      <w:rFonts w:hint="eastAsia" w:eastAsia="仿宋"/>
                      <w:color w:val="auto"/>
                      <w:szCs w:val="21"/>
                      <w:lang w:eastAsia="zh-CN"/>
                    </w:rPr>
                    <w:t>〔2023〕880号</w:t>
                  </w:r>
                  <w:r>
                    <w:rPr>
                      <w:rFonts w:eastAsia="仿宋"/>
                      <w:color w:val="auto"/>
                      <w:szCs w:val="21"/>
                    </w:rPr>
                    <w:t>）、《江苏省国土空间规划（2021—2035年）》（国函〔2023〕</w:t>
                  </w:r>
                </w:p>
                <w:p w14:paraId="232F97A5">
                  <w:pPr>
                    <w:jc w:val="center"/>
                    <w:rPr>
                      <w:rFonts w:eastAsia="仿宋"/>
                      <w:color w:val="auto"/>
                      <w:szCs w:val="21"/>
                    </w:rPr>
                  </w:pPr>
                  <w:r>
                    <w:rPr>
                      <w:rFonts w:eastAsia="仿宋"/>
                      <w:color w:val="auto"/>
                      <w:szCs w:val="21"/>
                    </w:rPr>
                    <w:t>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601" w:type="pct"/>
                  <w:noWrap w:val="0"/>
                  <w:tcMar>
                    <w:top w:w="0" w:type="dxa"/>
                    <w:left w:w="0" w:type="dxa"/>
                    <w:bottom w:w="0" w:type="dxa"/>
                    <w:right w:w="0" w:type="dxa"/>
                  </w:tcMar>
                  <w:vAlign w:val="center"/>
                </w:tcPr>
                <w:p w14:paraId="11EC317D">
                  <w:pPr>
                    <w:jc w:val="center"/>
                    <w:rPr>
                      <w:rFonts w:eastAsia="仿宋"/>
                      <w:color w:val="auto"/>
                      <w:szCs w:val="21"/>
                    </w:rPr>
                  </w:pPr>
                  <w:r>
                    <w:rPr>
                      <w:rFonts w:eastAsia="仿宋"/>
                      <w:color w:val="auto"/>
                      <w:szCs w:val="21"/>
                    </w:rPr>
                    <w:t>本项目不在生态保护红线范围内，项目实施后，不会使生态功能降低、不会影响生态空间面积、不会改变生态空间性质。</w:t>
                  </w:r>
                </w:p>
              </w:tc>
              <w:tc>
                <w:tcPr>
                  <w:tcW w:w="425" w:type="pct"/>
                  <w:noWrap w:val="0"/>
                  <w:tcMar>
                    <w:top w:w="0" w:type="dxa"/>
                    <w:left w:w="0" w:type="dxa"/>
                    <w:bottom w:w="0" w:type="dxa"/>
                    <w:right w:w="0" w:type="dxa"/>
                  </w:tcMar>
                  <w:vAlign w:val="center"/>
                </w:tcPr>
                <w:p w14:paraId="51D14580">
                  <w:pPr>
                    <w:jc w:val="center"/>
                    <w:rPr>
                      <w:rFonts w:eastAsia="仿宋"/>
                      <w:color w:val="auto"/>
                      <w:szCs w:val="21"/>
                    </w:rPr>
                  </w:pPr>
                  <w:r>
                    <w:rPr>
                      <w:rFonts w:eastAsia="仿宋"/>
                      <w:color w:val="auto"/>
                      <w:szCs w:val="21"/>
                    </w:rPr>
                    <w:t>相符</w:t>
                  </w:r>
                </w:p>
              </w:tc>
            </w:tr>
            <w:tr w14:paraId="07960F4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5" w:type="pct"/>
                  <w:vMerge w:val="continue"/>
                  <w:noWrap w:val="0"/>
                  <w:tcMar>
                    <w:top w:w="0" w:type="dxa"/>
                    <w:left w:w="0" w:type="dxa"/>
                    <w:bottom w:w="0" w:type="dxa"/>
                    <w:right w:w="0" w:type="dxa"/>
                  </w:tcMar>
                  <w:vAlign w:val="center"/>
                </w:tcPr>
                <w:p w14:paraId="5D19B232">
                  <w:pPr>
                    <w:jc w:val="center"/>
                    <w:rPr>
                      <w:rFonts w:eastAsia="仿宋"/>
                      <w:color w:val="auto"/>
                    </w:rPr>
                  </w:pPr>
                </w:p>
              </w:tc>
              <w:tc>
                <w:tcPr>
                  <w:tcW w:w="343" w:type="pct"/>
                  <w:vMerge w:val="continue"/>
                  <w:noWrap w:val="0"/>
                  <w:tcMar>
                    <w:top w:w="0" w:type="dxa"/>
                    <w:left w:w="0" w:type="dxa"/>
                    <w:bottom w:w="0" w:type="dxa"/>
                    <w:right w:w="0" w:type="dxa"/>
                  </w:tcMar>
                  <w:vAlign w:val="center"/>
                </w:tcPr>
                <w:p w14:paraId="25910BE7">
                  <w:pPr>
                    <w:jc w:val="center"/>
                    <w:rPr>
                      <w:rFonts w:eastAsia="仿宋"/>
                      <w:color w:val="auto"/>
                    </w:rPr>
                  </w:pPr>
                </w:p>
              </w:tc>
              <w:tc>
                <w:tcPr>
                  <w:tcW w:w="2324" w:type="pct"/>
                  <w:noWrap w:val="0"/>
                  <w:tcMar>
                    <w:top w:w="0" w:type="dxa"/>
                    <w:left w:w="0" w:type="dxa"/>
                    <w:bottom w:w="0" w:type="dxa"/>
                    <w:right w:w="0" w:type="dxa"/>
                  </w:tcMar>
                  <w:vAlign w:val="center"/>
                </w:tcPr>
                <w:p w14:paraId="78F59192">
                  <w:pPr>
                    <w:jc w:val="center"/>
                    <w:rPr>
                      <w:rFonts w:eastAsia="仿宋"/>
                      <w:color w:val="auto"/>
                      <w:szCs w:val="21"/>
                    </w:rPr>
                  </w:pPr>
                  <w:r>
                    <w:rPr>
                      <w:rFonts w:eastAsia="仿宋"/>
                      <w:color w:val="auto"/>
                      <w:szCs w:val="21"/>
                    </w:rPr>
                    <w:t>2．牢牢把握推动长江经济带发展“共抓大保护，不搞大开发”战略导向，对省域范围内需要重点保护的岸线、河段和区域实行严格管控，管住控好排放量大、耗能高、产能过剩的产业，推动长江经济带高质量发展。</w:t>
                  </w:r>
                </w:p>
              </w:tc>
              <w:tc>
                <w:tcPr>
                  <w:tcW w:w="1601" w:type="pct"/>
                  <w:noWrap w:val="0"/>
                  <w:tcMar>
                    <w:top w:w="0" w:type="dxa"/>
                    <w:left w:w="0" w:type="dxa"/>
                    <w:bottom w:w="0" w:type="dxa"/>
                    <w:right w:w="0" w:type="dxa"/>
                  </w:tcMar>
                  <w:vAlign w:val="center"/>
                </w:tcPr>
                <w:p w14:paraId="70404AF5">
                  <w:pPr>
                    <w:jc w:val="center"/>
                    <w:rPr>
                      <w:rFonts w:eastAsia="仿宋"/>
                      <w:color w:val="auto"/>
                      <w:szCs w:val="21"/>
                    </w:rPr>
                  </w:pPr>
                  <w:r>
                    <w:rPr>
                      <w:rFonts w:eastAsia="仿宋"/>
                      <w:color w:val="auto"/>
                      <w:szCs w:val="21"/>
                    </w:rPr>
                    <w:t>本项目不在重点保护的岸线、河段、区域范围内，不属于排放量</w:t>
                  </w:r>
                  <w:r>
                    <w:rPr>
                      <w:rFonts w:hint="eastAsia" w:eastAsia="仿宋"/>
                      <w:color w:val="auto"/>
                      <w:szCs w:val="21"/>
                      <w:lang w:val="en-US" w:eastAsia="zh-CN"/>
                    </w:rPr>
                    <w:t>大</w:t>
                  </w:r>
                  <w:r>
                    <w:rPr>
                      <w:rFonts w:eastAsia="仿宋"/>
                      <w:color w:val="auto"/>
                      <w:szCs w:val="21"/>
                    </w:rPr>
                    <w:t>、耗能高、产能过剩的产业。</w:t>
                  </w:r>
                </w:p>
              </w:tc>
              <w:tc>
                <w:tcPr>
                  <w:tcW w:w="425" w:type="pct"/>
                  <w:noWrap w:val="0"/>
                  <w:tcMar>
                    <w:top w:w="0" w:type="dxa"/>
                    <w:left w:w="0" w:type="dxa"/>
                    <w:bottom w:w="0" w:type="dxa"/>
                    <w:right w:w="0" w:type="dxa"/>
                  </w:tcMar>
                  <w:vAlign w:val="center"/>
                </w:tcPr>
                <w:p w14:paraId="0AC1902F">
                  <w:pPr>
                    <w:jc w:val="center"/>
                    <w:rPr>
                      <w:rFonts w:eastAsia="仿宋"/>
                      <w:color w:val="auto"/>
                      <w:szCs w:val="21"/>
                    </w:rPr>
                  </w:pPr>
                  <w:r>
                    <w:rPr>
                      <w:rFonts w:eastAsia="仿宋"/>
                      <w:color w:val="auto"/>
                      <w:szCs w:val="21"/>
                    </w:rPr>
                    <w:t>相符</w:t>
                  </w:r>
                </w:p>
              </w:tc>
            </w:tr>
            <w:tr w14:paraId="4871A58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5" w:type="pct"/>
                  <w:vMerge w:val="continue"/>
                  <w:noWrap w:val="0"/>
                  <w:tcMar>
                    <w:top w:w="0" w:type="dxa"/>
                    <w:left w:w="0" w:type="dxa"/>
                    <w:bottom w:w="0" w:type="dxa"/>
                    <w:right w:w="0" w:type="dxa"/>
                  </w:tcMar>
                  <w:vAlign w:val="center"/>
                </w:tcPr>
                <w:p w14:paraId="13ACC149">
                  <w:pPr>
                    <w:jc w:val="center"/>
                    <w:rPr>
                      <w:rFonts w:eastAsia="仿宋"/>
                      <w:color w:val="auto"/>
                      <w:szCs w:val="21"/>
                    </w:rPr>
                  </w:pPr>
                </w:p>
              </w:tc>
              <w:tc>
                <w:tcPr>
                  <w:tcW w:w="343" w:type="pct"/>
                  <w:vMerge w:val="continue"/>
                  <w:noWrap w:val="0"/>
                  <w:tcMar>
                    <w:top w:w="0" w:type="dxa"/>
                    <w:left w:w="0" w:type="dxa"/>
                    <w:bottom w:w="0" w:type="dxa"/>
                    <w:right w:w="0" w:type="dxa"/>
                  </w:tcMar>
                  <w:vAlign w:val="center"/>
                </w:tcPr>
                <w:p w14:paraId="3C094664">
                  <w:pPr>
                    <w:jc w:val="center"/>
                    <w:rPr>
                      <w:rFonts w:eastAsia="仿宋"/>
                      <w:color w:val="auto"/>
                      <w:szCs w:val="21"/>
                    </w:rPr>
                  </w:pPr>
                </w:p>
              </w:tc>
              <w:tc>
                <w:tcPr>
                  <w:tcW w:w="2324" w:type="pct"/>
                  <w:noWrap w:val="0"/>
                  <w:tcMar>
                    <w:top w:w="0" w:type="dxa"/>
                    <w:left w:w="0" w:type="dxa"/>
                    <w:bottom w:w="0" w:type="dxa"/>
                    <w:right w:w="0" w:type="dxa"/>
                  </w:tcMar>
                  <w:vAlign w:val="center"/>
                </w:tcPr>
                <w:p w14:paraId="19D502C3">
                  <w:pPr>
                    <w:jc w:val="center"/>
                    <w:rPr>
                      <w:rFonts w:eastAsia="仿宋"/>
                      <w:color w:val="auto"/>
                      <w:szCs w:val="21"/>
                    </w:rPr>
                  </w:pPr>
                  <w:r>
                    <w:rPr>
                      <w:rFonts w:eastAsia="仿宋"/>
                      <w:color w:val="auto"/>
                      <w:szCs w:val="21"/>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601" w:type="pct"/>
                  <w:noWrap w:val="0"/>
                  <w:tcMar>
                    <w:top w:w="0" w:type="dxa"/>
                    <w:left w:w="0" w:type="dxa"/>
                    <w:bottom w:w="0" w:type="dxa"/>
                    <w:right w:w="0" w:type="dxa"/>
                  </w:tcMar>
                  <w:vAlign w:val="center"/>
                </w:tcPr>
                <w:p w14:paraId="748DDE17">
                  <w:pPr>
                    <w:jc w:val="center"/>
                    <w:rPr>
                      <w:rFonts w:eastAsia="仿宋"/>
                      <w:color w:val="auto"/>
                      <w:szCs w:val="21"/>
                    </w:rPr>
                  </w:pPr>
                  <w:r>
                    <w:rPr>
                      <w:rFonts w:eastAsia="仿宋"/>
                      <w:color w:val="auto"/>
                      <w:szCs w:val="21"/>
                    </w:rPr>
                    <w:t>本项目不在长江干支流两侧1公里范围内。</w:t>
                  </w:r>
                </w:p>
              </w:tc>
              <w:tc>
                <w:tcPr>
                  <w:tcW w:w="425" w:type="pct"/>
                  <w:noWrap w:val="0"/>
                  <w:tcMar>
                    <w:top w:w="0" w:type="dxa"/>
                    <w:left w:w="0" w:type="dxa"/>
                    <w:bottom w:w="0" w:type="dxa"/>
                    <w:right w:w="0" w:type="dxa"/>
                  </w:tcMar>
                  <w:vAlign w:val="center"/>
                </w:tcPr>
                <w:p w14:paraId="79279631">
                  <w:pPr>
                    <w:jc w:val="center"/>
                    <w:rPr>
                      <w:rFonts w:eastAsia="仿宋"/>
                      <w:color w:val="auto"/>
                      <w:szCs w:val="21"/>
                    </w:rPr>
                  </w:pPr>
                  <w:r>
                    <w:rPr>
                      <w:rFonts w:eastAsia="仿宋"/>
                      <w:color w:val="auto"/>
                      <w:szCs w:val="21"/>
                    </w:rPr>
                    <w:t>相符</w:t>
                  </w:r>
                </w:p>
              </w:tc>
            </w:tr>
            <w:tr w14:paraId="04CC263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5" w:type="pct"/>
                  <w:vMerge w:val="continue"/>
                  <w:noWrap w:val="0"/>
                  <w:tcMar>
                    <w:top w:w="0" w:type="dxa"/>
                    <w:left w:w="0" w:type="dxa"/>
                    <w:bottom w:w="0" w:type="dxa"/>
                    <w:right w:w="0" w:type="dxa"/>
                  </w:tcMar>
                  <w:vAlign w:val="center"/>
                </w:tcPr>
                <w:p w14:paraId="388D035A">
                  <w:pPr>
                    <w:jc w:val="center"/>
                    <w:rPr>
                      <w:rFonts w:eastAsia="仿宋"/>
                      <w:color w:val="auto"/>
                      <w:szCs w:val="21"/>
                    </w:rPr>
                  </w:pPr>
                </w:p>
              </w:tc>
              <w:tc>
                <w:tcPr>
                  <w:tcW w:w="343" w:type="pct"/>
                  <w:vMerge w:val="continue"/>
                  <w:noWrap w:val="0"/>
                  <w:tcMar>
                    <w:top w:w="0" w:type="dxa"/>
                    <w:left w:w="0" w:type="dxa"/>
                    <w:bottom w:w="0" w:type="dxa"/>
                    <w:right w:w="0" w:type="dxa"/>
                  </w:tcMar>
                  <w:vAlign w:val="center"/>
                </w:tcPr>
                <w:p w14:paraId="72565A0F">
                  <w:pPr>
                    <w:jc w:val="center"/>
                    <w:rPr>
                      <w:rFonts w:eastAsia="仿宋"/>
                      <w:color w:val="auto"/>
                      <w:szCs w:val="21"/>
                    </w:rPr>
                  </w:pPr>
                </w:p>
              </w:tc>
              <w:tc>
                <w:tcPr>
                  <w:tcW w:w="2324" w:type="pct"/>
                  <w:noWrap w:val="0"/>
                  <w:tcMar>
                    <w:top w:w="0" w:type="dxa"/>
                    <w:left w:w="0" w:type="dxa"/>
                    <w:bottom w:w="0" w:type="dxa"/>
                    <w:right w:w="0" w:type="dxa"/>
                  </w:tcMar>
                  <w:vAlign w:val="center"/>
                </w:tcPr>
                <w:p w14:paraId="11130D2D">
                  <w:pPr>
                    <w:jc w:val="center"/>
                    <w:rPr>
                      <w:rFonts w:eastAsia="仿宋"/>
                      <w:color w:val="auto"/>
                      <w:szCs w:val="21"/>
                    </w:rPr>
                  </w:pPr>
                  <w:r>
                    <w:rPr>
                      <w:rFonts w:eastAsia="仿宋"/>
                      <w:color w:val="auto"/>
                      <w:szCs w:val="21"/>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601" w:type="pct"/>
                  <w:noWrap w:val="0"/>
                  <w:tcMar>
                    <w:top w:w="0" w:type="dxa"/>
                    <w:left w:w="0" w:type="dxa"/>
                    <w:bottom w:w="0" w:type="dxa"/>
                    <w:right w:w="0" w:type="dxa"/>
                  </w:tcMar>
                  <w:vAlign w:val="center"/>
                </w:tcPr>
                <w:p w14:paraId="007815AC">
                  <w:pPr>
                    <w:jc w:val="center"/>
                    <w:rPr>
                      <w:rFonts w:eastAsia="仿宋"/>
                      <w:color w:val="auto"/>
                      <w:szCs w:val="21"/>
                    </w:rPr>
                  </w:pPr>
                  <w:r>
                    <w:rPr>
                      <w:rFonts w:eastAsia="仿宋"/>
                      <w:color w:val="auto"/>
                      <w:szCs w:val="21"/>
                    </w:rPr>
                    <w:t>本项目不属于钢铁行业。</w:t>
                  </w:r>
                </w:p>
              </w:tc>
              <w:tc>
                <w:tcPr>
                  <w:tcW w:w="425" w:type="pct"/>
                  <w:noWrap w:val="0"/>
                  <w:tcMar>
                    <w:top w:w="0" w:type="dxa"/>
                    <w:left w:w="0" w:type="dxa"/>
                    <w:bottom w:w="0" w:type="dxa"/>
                    <w:right w:w="0" w:type="dxa"/>
                  </w:tcMar>
                  <w:vAlign w:val="center"/>
                </w:tcPr>
                <w:p w14:paraId="2344A8C2">
                  <w:pPr>
                    <w:jc w:val="center"/>
                    <w:rPr>
                      <w:rFonts w:eastAsia="仿宋"/>
                      <w:color w:val="auto"/>
                      <w:szCs w:val="21"/>
                    </w:rPr>
                  </w:pPr>
                  <w:r>
                    <w:rPr>
                      <w:rFonts w:eastAsia="仿宋"/>
                      <w:color w:val="auto"/>
                      <w:szCs w:val="21"/>
                    </w:rPr>
                    <w:t>相符</w:t>
                  </w:r>
                </w:p>
              </w:tc>
            </w:tr>
            <w:tr w14:paraId="6EADAE1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noWrap w:val="0"/>
                  <w:tcMar>
                    <w:top w:w="0" w:type="dxa"/>
                    <w:left w:w="0" w:type="dxa"/>
                    <w:bottom w:w="0" w:type="dxa"/>
                    <w:right w:w="0" w:type="dxa"/>
                  </w:tcMar>
                  <w:vAlign w:val="center"/>
                </w:tcPr>
                <w:p w14:paraId="1BB9EB93">
                  <w:pPr>
                    <w:jc w:val="center"/>
                    <w:rPr>
                      <w:rFonts w:eastAsia="仿宋"/>
                      <w:color w:val="auto"/>
                      <w:szCs w:val="21"/>
                    </w:rPr>
                  </w:pPr>
                </w:p>
              </w:tc>
              <w:tc>
                <w:tcPr>
                  <w:tcW w:w="343" w:type="pct"/>
                  <w:vMerge w:val="continue"/>
                  <w:noWrap w:val="0"/>
                  <w:tcMar>
                    <w:top w:w="0" w:type="dxa"/>
                    <w:left w:w="0" w:type="dxa"/>
                    <w:bottom w:w="0" w:type="dxa"/>
                    <w:right w:w="0" w:type="dxa"/>
                  </w:tcMar>
                  <w:vAlign w:val="center"/>
                </w:tcPr>
                <w:p w14:paraId="10A19963">
                  <w:pPr>
                    <w:jc w:val="center"/>
                    <w:rPr>
                      <w:rFonts w:eastAsia="仿宋"/>
                      <w:color w:val="auto"/>
                      <w:szCs w:val="21"/>
                    </w:rPr>
                  </w:pPr>
                </w:p>
              </w:tc>
              <w:tc>
                <w:tcPr>
                  <w:tcW w:w="2324" w:type="pct"/>
                  <w:noWrap w:val="0"/>
                  <w:tcMar>
                    <w:top w:w="0" w:type="dxa"/>
                    <w:left w:w="0" w:type="dxa"/>
                    <w:bottom w:w="0" w:type="dxa"/>
                    <w:right w:w="0" w:type="dxa"/>
                  </w:tcMar>
                  <w:vAlign w:val="center"/>
                </w:tcPr>
                <w:p w14:paraId="5CCE41E8">
                  <w:pPr>
                    <w:jc w:val="center"/>
                    <w:rPr>
                      <w:rFonts w:eastAsia="仿宋"/>
                      <w:color w:val="auto"/>
                      <w:szCs w:val="21"/>
                    </w:rPr>
                  </w:pPr>
                  <w:r>
                    <w:rPr>
                      <w:rFonts w:eastAsia="仿宋"/>
                      <w:color w:val="auto"/>
                      <w:szCs w:val="21"/>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601" w:type="pct"/>
                  <w:noWrap w:val="0"/>
                  <w:tcMar>
                    <w:top w:w="0" w:type="dxa"/>
                    <w:left w:w="0" w:type="dxa"/>
                    <w:bottom w:w="0" w:type="dxa"/>
                    <w:right w:w="0" w:type="dxa"/>
                  </w:tcMar>
                  <w:vAlign w:val="center"/>
                </w:tcPr>
                <w:p w14:paraId="3A848140">
                  <w:pPr>
                    <w:jc w:val="center"/>
                    <w:rPr>
                      <w:rFonts w:eastAsia="仿宋"/>
                      <w:color w:val="auto"/>
                      <w:szCs w:val="21"/>
                    </w:rPr>
                  </w:pPr>
                  <w:r>
                    <w:rPr>
                      <w:rFonts w:eastAsia="仿宋"/>
                      <w:color w:val="auto"/>
                      <w:szCs w:val="21"/>
                    </w:rPr>
                    <w:t>本项目不涉及生态保护红线、相关法定保护区的重大民生项目、重大基础设施项目。</w:t>
                  </w:r>
                </w:p>
              </w:tc>
              <w:tc>
                <w:tcPr>
                  <w:tcW w:w="425" w:type="pct"/>
                  <w:noWrap w:val="0"/>
                  <w:tcMar>
                    <w:top w:w="0" w:type="dxa"/>
                    <w:left w:w="0" w:type="dxa"/>
                    <w:bottom w:w="0" w:type="dxa"/>
                    <w:right w:w="0" w:type="dxa"/>
                  </w:tcMar>
                  <w:vAlign w:val="center"/>
                </w:tcPr>
                <w:p w14:paraId="4350B74F">
                  <w:pPr>
                    <w:jc w:val="center"/>
                    <w:rPr>
                      <w:rFonts w:eastAsia="仿宋"/>
                      <w:color w:val="auto"/>
                      <w:szCs w:val="21"/>
                    </w:rPr>
                  </w:pPr>
                  <w:r>
                    <w:rPr>
                      <w:rFonts w:eastAsia="仿宋"/>
                      <w:color w:val="auto"/>
                      <w:szCs w:val="21"/>
                    </w:rPr>
                    <w:t>相符</w:t>
                  </w:r>
                </w:p>
              </w:tc>
            </w:tr>
            <w:tr w14:paraId="761F930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restart"/>
                  <w:noWrap w:val="0"/>
                  <w:tcMar>
                    <w:top w:w="0" w:type="dxa"/>
                    <w:left w:w="0" w:type="dxa"/>
                    <w:bottom w:w="0" w:type="dxa"/>
                    <w:right w:w="0" w:type="dxa"/>
                  </w:tcMar>
                  <w:vAlign w:val="center"/>
                </w:tcPr>
                <w:p w14:paraId="4E4CC41F">
                  <w:pPr>
                    <w:jc w:val="center"/>
                    <w:rPr>
                      <w:rFonts w:eastAsia="仿宋"/>
                      <w:color w:val="auto"/>
                      <w:szCs w:val="21"/>
                    </w:rPr>
                  </w:pPr>
                  <w:r>
                    <w:rPr>
                      <w:rFonts w:eastAsia="仿宋"/>
                      <w:color w:val="auto"/>
                      <w:szCs w:val="21"/>
                    </w:rPr>
                    <w:t>2</w:t>
                  </w:r>
                </w:p>
              </w:tc>
              <w:tc>
                <w:tcPr>
                  <w:tcW w:w="343" w:type="pct"/>
                  <w:vMerge w:val="restart"/>
                  <w:noWrap w:val="0"/>
                  <w:tcMar>
                    <w:top w:w="0" w:type="dxa"/>
                    <w:left w:w="0" w:type="dxa"/>
                    <w:bottom w:w="0" w:type="dxa"/>
                    <w:right w:w="0" w:type="dxa"/>
                  </w:tcMar>
                  <w:vAlign w:val="center"/>
                </w:tcPr>
                <w:p w14:paraId="76D51ECB">
                  <w:pPr>
                    <w:jc w:val="center"/>
                    <w:rPr>
                      <w:rFonts w:eastAsia="仿宋"/>
                      <w:color w:val="auto"/>
                      <w:szCs w:val="21"/>
                    </w:rPr>
                  </w:pPr>
                  <w:r>
                    <w:rPr>
                      <w:rFonts w:eastAsia="仿宋"/>
                      <w:color w:val="auto"/>
                      <w:szCs w:val="21"/>
                    </w:rPr>
                    <w:t>污染物排放管控</w:t>
                  </w:r>
                </w:p>
              </w:tc>
              <w:tc>
                <w:tcPr>
                  <w:tcW w:w="2324" w:type="pct"/>
                  <w:noWrap w:val="0"/>
                  <w:tcMar>
                    <w:top w:w="0" w:type="dxa"/>
                    <w:left w:w="0" w:type="dxa"/>
                    <w:bottom w:w="0" w:type="dxa"/>
                    <w:right w:w="0" w:type="dxa"/>
                  </w:tcMar>
                  <w:vAlign w:val="center"/>
                </w:tcPr>
                <w:p w14:paraId="55E3E8D5">
                  <w:pPr>
                    <w:jc w:val="center"/>
                    <w:rPr>
                      <w:rFonts w:eastAsia="仿宋"/>
                      <w:color w:val="auto"/>
                      <w:szCs w:val="21"/>
                    </w:rPr>
                  </w:pPr>
                  <w:r>
                    <w:rPr>
                      <w:rFonts w:eastAsia="仿宋"/>
                      <w:color w:val="auto"/>
                      <w:szCs w:val="21"/>
                    </w:rPr>
                    <w:t>1．坚持生态环境质量只能更好、不能变坏，实施污染物总量控制，以环境容量定产业、定项目、定规模，确保开发建设行为不突破生态环境承载力。</w:t>
                  </w:r>
                </w:p>
              </w:tc>
              <w:tc>
                <w:tcPr>
                  <w:tcW w:w="1601" w:type="pct"/>
                  <w:noWrap w:val="0"/>
                  <w:tcMar>
                    <w:top w:w="0" w:type="dxa"/>
                    <w:left w:w="0" w:type="dxa"/>
                    <w:bottom w:w="0" w:type="dxa"/>
                    <w:right w:w="0" w:type="dxa"/>
                  </w:tcMar>
                  <w:vAlign w:val="center"/>
                </w:tcPr>
                <w:p w14:paraId="5BEFE5A1">
                  <w:pPr>
                    <w:jc w:val="center"/>
                    <w:rPr>
                      <w:rFonts w:eastAsia="仿宋"/>
                      <w:color w:val="auto"/>
                      <w:szCs w:val="21"/>
                    </w:rPr>
                  </w:pPr>
                  <w:r>
                    <w:rPr>
                      <w:rFonts w:eastAsia="仿宋"/>
                      <w:color w:val="auto"/>
                      <w:szCs w:val="21"/>
                    </w:rPr>
                    <w:t>本项目将按要求向常州市金坛生态环境局申请总量。</w:t>
                  </w:r>
                </w:p>
              </w:tc>
              <w:tc>
                <w:tcPr>
                  <w:tcW w:w="425" w:type="pct"/>
                  <w:noWrap w:val="0"/>
                  <w:tcMar>
                    <w:top w:w="0" w:type="dxa"/>
                    <w:left w:w="0" w:type="dxa"/>
                    <w:bottom w:w="0" w:type="dxa"/>
                    <w:right w:w="0" w:type="dxa"/>
                  </w:tcMar>
                  <w:vAlign w:val="center"/>
                </w:tcPr>
                <w:p w14:paraId="56E81B23">
                  <w:pPr>
                    <w:jc w:val="center"/>
                    <w:rPr>
                      <w:rFonts w:eastAsia="仿宋"/>
                      <w:color w:val="auto"/>
                      <w:szCs w:val="21"/>
                    </w:rPr>
                  </w:pPr>
                  <w:r>
                    <w:rPr>
                      <w:rFonts w:eastAsia="仿宋"/>
                      <w:color w:val="auto"/>
                      <w:szCs w:val="21"/>
                    </w:rPr>
                    <w:t>相符</w:t>
                  </w:r>
                </w:p>
              </w:tc>
            </w:tr>
            <w:tr w14:paraId="1F65CC5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noWrap w:val="0"/>
                  <w:tcMar>
                    <w:top w:w="0" w:type="dxa"/>
                    <w:left w:w="0" w:type="dxa"/>
                    <w:bottom w:w="0" w:type="dxa"/>
                    <w:right w:w="0" w:type="dxa"/>
                  </w:tcMar>
                  <w:vAlign w:val="center"/>
                </w:tcPr>
                <w:p w14:paraId="5E4C763C">
                  <w:pPr>
                    <w:jc w:val="center"/>
                    <w:rPr>
                      <w:rFonts w:eastAsia="仿宋"/>
                      <w:color w:val="auto"/>
                      <w:szCs w:val="21"/>
                    </w:rPr>
                  </w:pPr>
                </w:p>
              </w:tc>
              <w:tc>
                <w:tcPr>
                  <w:tcW w:w="343" w:type="pct"/>
                  <w:vMerge w:val="continue"/>
                  <w:noWrap w:val="0"/>
                  <w:tcMar>
                    <w:top w:w="0" w:type="dxa"/>
                    <w:left w:w="0" w:type="dxa"/>
                    <w:bottom w:w="0" w:type="dxa"/>
                    <w:right w:w="0" w:type="dxa"/>
                  </w:tcMar>
                  <w:vAlign w:val="center"/>
                </w:tcPr>
                <w:p w14:paraId="21B2F75E">
                  <w:pPr>
                    <w:jc w:val="center"/>
                    <w:rPr>
                      <w:rFonts w:eastAsia="仿宋"/>
                      <w:color w:val="auto"/>
                      <w:szCs w:val="21"/>
                    </w:rPr>
                  </w:pPr>
                </w:p>
              </w:tc>
              <w:tc>
                <w:tcPr>
                  <w:tcW w:w="2324" w:type="pct"/>
                  <w:noWrap w:val="0"/>
                  <w:tcMar>
                    <w:top w:w="0" w:type="dxa"/>
                    <w:left w:w="0" w:type="dxa"/>
                    <w:bottom w:w="0" w:type="dxa"/>
                    <w:right w:w="0" w:type="dxa"/>
                  </w:tcMar>
                  <w:vAlign w:val="center"/>
                </w:tcPr>
                <w:p w14:paraId="6EEC7BF9">
                  <w:pPr>
                    <w:jc w:val="center"/>
                    <w:rPr>
                      <w:rFonts w:eastAsia="仿宋"/>
                      <w:color w:val="auto"/>
                      <w:szCs w:val="21"/>
                    </w:rPr>
                  </w:pPr>
                  <w:r>
                    <w:rPr>
                      <w:rFonts w:eastAsia="仿宋"/>
                      <w:color w:val="auto"/>
                      <w:szCs w:val="21"/>
                    </w:rPr>
                    <w:t>2．2025年，主要污染物排放减排完成国家下达任务，单位工业增加值二氧化碳排放量下降20%，主要高耗能行业单位产品二氧化碳排放达到世界先进水平。实施氮氧化物（NOx）和VOCs协同减排，推进多污染物和关联区域</w:t>
                  </w:r>
                  <w:r>
                    <w:rPr>
                      <w:rFonts w:hint="eastAsia" w:eastAsia="仿宋"/>
                      <w:color w:val="auto"/>
                      <w:szCs w:val="21"/>
                      <w:lang w:eastAsia="zh-CN"/>
                    </w:rPr>
                    <w:t>联</w:t>
                  </w:r>
                  <w:r>
                    <w:rPr>
                      <w:rFonts w:eastAsia="仿宋"/>
                      <w:color w:val="auto"/>
                      <w:szCs w:val="21"/>
                    </w:rPr>
                    <w:t>防联控。</w:t>
                  </w:r>
                </w:p>
              </w:tc>
              <w:tc>
                <w:tcPr>
                  <w:tcW w:w="1601" w:type="pct"/>
                  <w:noWrap w:val="0"/>
                  <w:tcMar>
                    <w:top w:w="0" w:type="dxa"/>
                    <w:left w:w="0" w:type="dxa"/>
                    <w:bottom w:w="0" w:type="dxa"/>
                    <w:right w:w="0" w:type="dxa"/>
                  </w:tcMar>
                  <w:vAlign w:val="center"/>
                </w:tcPr>
                <w:p w14:paraId="4F9B55BC">
                  <w:pPr>
                    <w:jc w:val="center"/>
                    <w:rPr>
                      <w:rFonts w:eastAsia="仿宋"/>
                      <w:color w:val="auto"/>
                      <w:szCs w:val="21"/>
                    </w:rPr>
                  </w:pPr>
                  <w:r>
                    <w:rPr>
                      <w:rFonts w:eastAsia="仿宋"/>
                      <w:color w:val="auto"/>
                      <w:szCs w:val="21"/>
                    </w:rPr>
                    <w:t>本项目不属于高能耗工业，本项目有机废气经集气罩收集后进入二级活性炭吸附装置处理。</w:t>
                  </w:r>
                </w:p>
              </w:tc>
              <w:tc>
                <w:tcPr>
                  <w:tcW w:w="425" w:type="pct"/>
                  <w:noWrap w:val="0"/>
                  <w:tcMar>
                    <w:top w:w="0" w:type="dxa"/>
                    <w:left w:w="0" w:type="dxa"/>
                    <w:bottom w:w="0" w:type="dxa"/>
                    <w:right w:w="0" w:type="dxa"/>
                  </w:tcMar>
                  <w:vAlign w:val="center"/>
                </w:tcPr>
                <w:p w14:paraId="01071424">
                  <w:pPr>
                    <w:jc w:val="center"/>
                    <w:rPr>
                      <w:rFonts w:eastAsia="仿宋"/>
                      <w:color w:val="auto"/>
                      <w:szCs w:val="21"/>
                    </w:rPr>
                  </w:pPr>
                  <w:r>
                    <w:rPr>
                      <w:rFonts w:eastAsia="仿宋"/>
                      <w:color w:val="auto"/>
                      <w:szCs w:val="21"/>
                    </w:rPr>
                    <w:t>相符</w:t>
                  </w:r>
                </w:p>
              </w:tc>
            </w:tr>
            <w:tr w14:paraId="7171C87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restart"/>
                  <w:noWrap w:val="0"/>
                  <w:tcMar>
                    <w:top w:w="0" w:type="dxa"/>
                    <w:left w:w="0" w:type="dxa"/>
                    <w:bottom w:w="0" w:type="dxa"/>
                    <w:right w:w="0" w:type="dxa"/>
                  </w:tcMar>
                  <w:vAlign w:val="center"/>
                </w:tcPr>
                <w:p w14:paraId="6816DC8A">
                  <w:pPr>
                    <w:jc w:val="center"/>
                    <w:rPr>
                      <w:rFonts w:eastAsia="仿宋"/>
                      <w:color w:val="auto"/>
                      <w:szCs w:val="21"/>
                    </w:rPr>
                  </w:pPr>
                  <w:r>
                    <w:rPr>
                      <w:rFonts w:eastAsia="仿宋"/>
                      <w:color w:val="auto"/>
                      <w:szCs w:val="21"/>
                    </w:rPr>
                    <w:t>3</w:t>
                  </w:r>
                </w:p>
              </w:tc>
              <w:tc>
                <w:tcPr>
                  <w:tcW w:w="343" w:type="pct"/>
                  <w:vMerge w:val="restart"/>
                  <w:noWrap w:val="0"/>
                  <w:tcMar>
                    <w:top w:w="0" w:type="dxa"/>
                    <w:left w:w="0" w:type="dxa"/>
                    <w:bottom w:w="0" w:type="dxa"/>
                    <w:right w:w="0" w:type="dxa"/>
                  </w:tcMar>
                  <w:vAlign w:val="center"/>
                </w:tcPr>
                <w:p w14:paraId="4092C072">
                  <w:pPr>
                    <w:jc w:val="center"/>
                    <w:rPr>
                      <w:rFonts w:eastAsia="仿宋"/>
                      <w:color w:val="auto"/>
                      <w:szCs w:val="21"/>
                    </w:rPr>
                  </w:pPr>
                  <w:r>
                    <w:rPr>
                      <w:rFonts w:eastAsia="仿宋"/>
                      <w:color w:val="auto"/>
                      <w:szCs w:val="21"/>
                    </w:rPr>
                    <w:t>环境风险防控</w:t>
                  </w:r>
                </w:p>
              </w:tc>
              <w:tc>
                <w:tcPr>
                  <w:tcW w:w="2324" w:type="pct"/>
                  <w:noWrap w:val="0"/>
                  <w:tcMar>
                    <w:top w:w="0" w:type="dxa"/>
                    <w:left w:w="0" w:type="dxa"/>
                    <w:bottom w:w="0" w:type="dxa"/>
                    <w:right w:w="0" w:type="dxa"/>
                  </w:tcMar>
                  <w:vAlign w:val="center"/>
                </w:tcPr>
                <w:p w14:paraId="211DA7E9">
                  <w:pPr>
                    <w:jc w:val="center"/>
                    <w:rPr>
                      <w:rFonts w:eastAsia="仿宋"/>
                      <w:color w:val="auto"/>
                      <w:szCs w:val="21"/>
                    </w:rPr>
                  </w:pPr>
                  <w:r>
                    <w:rPr>
                      <w:rFonts w:eastAsia="仿宋"/>
                      <w:color w:val="auto"/>
                      <w:szCs w:val="21"/>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601" w:type="pct"/>
                  <w:noWrap w:val="0"/>
                  <w:tcMar>
                    <w:top w:w="0" w:type="dxa"/>
                    <w:left w:w="0" w:type="dxa"/>
                    <w:bottom w:w="0" w:type="dxa"/>
                    <w:right w:w="0" w:type="dxa"/>
                  </w:tcMar>
                  <w:vAlign w:val="center"/>
                </w:tcPr>
                <w:p w14:paraId="3B693468">
                  <w:pPr>
                    <w:jc w:val="center"/>
                    <w:rPr>
                      <w:rFonts w:eastAsia="仿宋"/>
                      <w:color w:val="auto"/>
                      <w:szCs w:val="21"/>
                    </w:rPr>
                  </w:pPr>
                  <w:r>
                    <w:rPr>
                      <w:rFonts w:eastAsia="仿宋"/>
                      <w:color w:val="auto"/>
                      <w:szCs w:val="21"/>
                    </w:rPr>
                    <w:t>本项目不运输剧毒物质和危险化学品；本项目产生的危险废物交由有资质单位处置，零排放。</w:t>
                  </w:r>
                </w:p>
              </w:tc>
              <w:tc>
                <w:tcPr>
                  <w:tcW w:w="425" w:type="pct"/>
                  <w:noWrap w:val="0"/>
                  <w:tcMar>
                    <w:top w:w="0" w:type="dxa"/>
                    <w:left w:w="0" w:type="dxa"/>
                    <w:bottom w:w="0" w:type="dxa"/>
                    <w:right w:w="0" w:type="dxa"/>
                  </w:tcMar>
                  <w:vAlign w:val="center"/>
                </w:tcPr>
                <w:p w14:paraId="4BAFC335">
                  <w:pPr>
                    <w:jc w:val="center"/>
                    <w:rPr>
                      <w:rFonts w:eastAsia="仿宋"/>
                      <w:color w:val="auto"/>
                      <w:szCs w:val="21"/>
                    </w:rPr>
                  </w:pPr>
                  <w:r>
                    <w:rPr>
                      <w:rFonts w:eastAsia="仿宋"/>
                      <w:color w:val="auto"/>
                      <w:szCs w:val="21"/>
                    </w:rPr>
                    <w:t>相符</w:t>
                  </w:r>
                </w:p>
              </w:tc>
            </w:tr>
            <w:tr w14:paraId="20DC81D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noWrap w:val="0"/>
                  <w:tcMar>
                    <w:top w:w="0" w:type="dxa"/>
                    <w:left w:w="0" w:type="dxa"/>
                    <w:bottom w:w="0" w:type="dxa"/>
                    <w:right w:w="0" w:type="dxa"/>
                  </w:tcMar>
                  <w:vAlign w:val="center"/>
                </w:tcPr>
                <w:p w14:paraId="4E3C56B8">
                  <w:pPr>
                    <w:jc w:val="center"/>
                    <w:rPr>
                      <w:rFonts w:eastAsia="仿宋"/>
                      <w:color w:val="auto"/>
                      <w:szCs w:val="21"/>
                    </w:rPr>
                  </w:pPr>
                </w:p>
              </w:tc>
              <w:tc>
                <w:tcPr>
                  <w:tcW w:w="343" w:type="pct"/>
                  <w:vMerge w:val="continue"/>
                  <w:noWrap w:val="0"/>
                  <w:tcMar>
                    <w:top w:w="0" w:type="dxa"/>
                    <w:left w:w="0" w:type="dxa"/>
                    <w:bottom w:w="0" w:type="dxa"/>
                    <w:right w:w="0" w:type="dxa"/>
                  </w:tcMar>
                  <w:vAlign w:val="center"/>
                </w:tcPr>
                <w:p w14:paraId="44607EC0">
                  <w:pPr>
                    <w:jc w:val="center"/>
                    <w:rPr>
                      <w:rFonts w:eastAsia="仿宋"/>
                      <w:color w:val="auto"/>
                      <w:szCs w:val="21"/>
                    </w:rPr>
                  </w:pPr>
                </w:p>
              </w:tc>
              <w:tc>
                <w:tcPr>
                  <w:tcW w:w="2324" w:type="pct"/>
                  <w:noWrap w:val="0"/>
                  <w:tcMar>
                    <w:top w:w="0" w:type="dxa"/>
                    <w:left w:w="0" w:type="dxa"/>
                    <w:bottom w:w="0" w:type="dxa"/>
                    <w:right w:w="0" w:type="dxa"/>
                  </w:tcMar>
                  <w:vAlign w:val="center"/>
                </w:tcPr>
                <w:p w14:paraId="7F9DE9B3">
                  <w:pPr>
                    <w:jc w:val="center"/>
                    <w:rPr>
                      <w:rFonts w:eastAsia="仿宋"/>
                      <w:color w:val="auto"/>
                      <w:szCs w:val="21"/>
                    </w:rPr>
                  </w:pPr>
                  <w:r>
                    <w:rPr>
                      <w:rFonts w:eastAsia="仿宋"/>
                      <w:color w:val="auto"/>
                      <w:szCs w:val="21"/>
                    </w:rPr>
                    <w:t>3．强化环境事故应急管理。深化跨部门、跨区域环境应急协调联动，分区域建立环境应急物资储备库。各级工业园区（集聚区）和企业的环境应急装备和储备物资应纳入储备体系。</w:t>
                  </w:r>
                </w:p>
              </w:tc>
              <w:tc>
                <w:tcPr>
                  <w:tcW w:w="1601" w:type="pct"/>
                  <w:noWrap w:val="0"/>
                  <w:tcMar>
                    <w:top w:w="0" w:type="dxa"/>
                    <w:left w:w="0" w:type="dxa"/>
                    <w:bottom w:w="0" w:type="dxa"/>
                    <w:right w:w="0" w:type="dxa"/>
                  </w:tcMar>
                  <w:vAlign w:val="center"/>
                </w:tcPr>
                <w:p w14:paraId="2DDB7B62">
                  <w:pPr>
                    <w:jc w:val="center"/>
                    <w:rPr>
                      <w:rFonts w:eastAsia="仿宋"/>
                      <w:color w:val="auto"/>
                      <w:szCs w:val="21"/>
                    </w:rPr>
                  </w:pPr>
                  <w:r>
                    <w:rPr>
                      <w:rFonts w:eastAsia="仿宋"/>
                      <w:color w:val="auto"/>
                      <w:szCs w:val="21"/>
                    </w:rPr>
                    <w:t>项目实施后，按要求配备环境应急装备、储备应急物资。</w:t>
                  </w:r>
                </w:p>
              </w:tc>
              <w:tc>
                <w:tcPr>
                  <w:tcW w:w="425" w:type="pct"/>
                  <w:noWrap w:val="0"/>
                  <w:tcMar>
                    <w:top w:w="0" w:type="dxa"/>
                    <w:left w:w="0" w:type="dxa"/>
                    <w:bottom w:w="0" w:type="dxa"/>
                    <w:right w:w="0" w:type="dxa"/>
                  </w:tcMar>
                  <w:vAlign w:val="center"/>
                </w:tcPr>
                <w:p w14:paraId="18C4FCFD">
                  <w:pPr>
                    <w:jc w:val="center"/>
                    <w:rPr>
                      <w:rFonts w:eastAsia="仿宋"/>
                      <w:color w:val="auto"/>
                      <w:szCs w:val="21"/>
                    </w:rPr>
                  </w:pPr>
                  <w:r>
                    <w:rPr>
                      <w:rFonts w:eastAsia="仿宋"/>
                      <w:color w:val="auto"/>
                      <w:szCs w:val="21"/>
                    </w:rPr>
                    <w:t>相符</w:t>
                  </w:r>
                </w:p>
              </w:tc>
            </w:tr>
            <w:tr w14:paraId="3BD8719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noWrap w:val="0"/>
                  <w:tcMar>
                    <w:top w:w="0" w:type="dxa"/>
                    <w:left w:w="0" w:type="dxa"/>
                    <w:bottom w:w="0" w:type="dxa"/>
                    <w:right w:w="0" w:type="dxa"/>
                  </w:tcMar>
                  <w:vAlign w:val="center"/>
                </w:tcPr>
                <w:p w14:paraId="4F18565D">
                  <w:pPr>
                    <w:jc w:val="center"/>
                    <w:rPr>
                      <w:rFonts w:eastAsia="仿宋"/>
                      <w:color w:val="auto"/>
                      <w:szCs w:val="21"/>
                    </w:rPr>
                  </w:pPr>
                </w:p>
              </w:tc>
              <w:tc>
                <w:tcPr>
                  <w:tcW w:w="343" w:type="pct"/>
                  <w:vMerge w:val="continue"/>
                  <w:noWrap w:val="0"/>
                  <w:tcMar>
                    <w:top w:w="0" w:type="dxa"/>
                    <w:left w:w="0" w:type="dxa"/>
                    <w:bottom w:w="0" w:type="dxa"/>
                    <w:right w:w="0" w:type="dxa"/>
                  </w:tcMar>
                  <w:vAlign w:val="center"/>
                </w:tcPr>
                <w:p w14:paraId="0DFC403D">
                  <w:pPr>
                    <w:jc w:val="center"/>
                    <w:rPr>
                      <w:rFonts w:eastAsia="仿宋"/>
                      <w:color w:val="auto"/>
                      <w:szCs w:val="21"/>
                    </w:rPr>
                  </w:pPr>
                </w:p>
              </w:tc>
              <w:tc>
                <w:tcPr>
                  <w:tcW w:w="2324" w:type="pct"/>
                  <w:noWrap w:val="0"/>
                  <w:tcMar>
                    <w:top w:w="0" w:type="dxa"/>
                    <w:left w:w="0" w:type="dxa"/>
                    <w:bottom w:w="0" w:type="dxa"/>
                    <w:right w:w="0" w:type="dxa"/>
                  </w:tcMar>
                  <w:vAlign w:val="center"/>
                </w:tcPr>
                <w:p w14:paraId="09352746">
                  <w:pPr>
                    <w:jc w:val="center"/>
                    <w:rPr>
                      <w:rFonts w:eastAsia="仿宋"/>
                      <w:color w:val="auto"/>
                      <w:szCs w:val="21"/>
                    </w:rPr>
                  </w:pPr>
                  <w:r>
                    <w:rPr>
                      <w:rFonts w:eastAsia="仿宋"/>
                      <w:color w:val="auto"/>
                      <w:szCs w:val="21"/>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601" w:type="pct"/>
                  <w:noWrap w:val="0"/>
                  <w:tcMar>
                    <w:top w:w="0" w:type="dxa"/>
                    <w:left w:w="0" w:type="dxa"/>
                    <w:bottom w:w="0" w:type="dxa"/>
                    <w:right w:w="0" w:type="dxa"/>
                  </w:tcMar>
                  <w:vAlign w:val="center"/>
                </w:tcPr>
                <w:p w14:paraId="32C1842C">
                  <w:pPr>
                    <w:jc w:val="center"/>
                    <w:rPr>
                      <w:rFonts w:eastAsia="仿宋"/>
                      <w:color w:val="auto"/>
                      <w:szCs w:val="21"/>
                    </w:rPr>
                  </w:pPr>
                  <w:r>
                    <w:rPr>
                      <w:rFonts w:eastAsia="仿宋"/>
                      <w:color w:val="auto"/>
                      <w:szCs w:val="21"/>
                    </w:rPr>
                    <w:t>项目实施后，按要求编制突发环境事件应急预案、落实预案中的相关风险防范措施并报相关部门备案。</w:t>
                  </w:r>
                </w:p>
              </w:tc>
              <w:tc>
                <w:tcPr>
                  <w:tcW w:w="425" w:type="pct"/>
                  <w:noWrap w:val="0"/>
                  <w:tcMar>
                    <w:top w:w="0" w:type="dxa"/>
                    <w:left w:w="0" w:type="dxa"/>
                    <w:bottom w:w="0" w:type="dxa"/>
                    <w:right w:w="0" w:type="dxa"/>
                  </w:tcMar>
                  <w:vAlign w:val="center"/>
                </w:tcPr>
                <w:p w14:paraId="2ACFBA96">
                  <w:pPr>
                    <w:jc w:val="center"/>
                    <w:rPr>
                      <w:rFonts w:eastAsia="仿宋"/>
                      <w:color w:val="auto"/>
                      <w:szCs w:val="21"/>
                    </w:rPr>
                  </w:pPr>
                  <w:r>
                    <w:rPr>
                      <w:rFonts w:eastAsia="仿宋"/>
                      <w:color w:val="auto"/>
                      <w:szCs w:val="21"/>
                    </w:rPr>
                    <w:t>相符</w:t>
                  </w:r>
                </w:p>
              </w:tc>
            </w:tr>
            <w:tr w14:paraId="3963A6C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restart"/>
                  <w:noWrap w:val="0"/>
                  <w:tcMar>
                    <w:top w:w="0" w:type="dxa"/>
                    <w:left w:w="0" w:type="dxa"/>
                    <w:bottom w:w="0" w:type="dxa"/>
                    <w:right w:w="0" w:type="dxa"/>
                  </w:tcMar>
                  <w:vAlign w:val="center"/>
                </w:tcPr>
                <w:p w14:paraId="3C6F6982">
                  <w:pPr>
                    <w:jc w:val="center"/>
                    <w:rPr>
                      <w:rFonts w:eastAsia="仿宋"/>
                      <w:color w:val="auto"/>
                      <w:szCs w:val="21"/>
                    </w:rPr>
                  </w:pPr>
                  <w:r>
                    <w:rPr>
                      <w:rFonts w:eastAsia="仿宋"/>
                      <w:color w:val="auto"/>
                      <w:szCs w:val="21"/>
                    </w:rPr>
                    <w:t>4</w:t>
                  </w:r>
                </w:p>
              </w:tc>
              <w:tc>
                <w:tcPr>
                  <w:tcW w:w="343" w:type="pct"/>
                  <w:vMerge w:val="restart"/>
                  <w:noWrap w:val="0"/>
                  <w:tcMar>
                    <w:top w:w="0" w:type="dxa"/>
                    <w:left w:w="0" w:type="dxa"/>
                    <w:bottom w:w="0" w:type="dxa"/>
                    <w:right w:w="0" w:type="dxa"/>
                  </w:tcMar>
                  <w:vAlign w:val="center"/>
                </w:tcPr>
                <w:p w14:paraId="3CAAB59D">
                  <w:pPr>
                    <w:jc w:val="center"/>
                    <w:rPr>
                      <w:rFonts w:eastAsia="仿宋"/>
                      <w:color w:val="auto"/>
                      <w:szCs w:val="21"/>
                    </w:rPr>
                  </w:pPr>
                  <w:r>
                    <w:rPr>
                      <w:rFonts w:eastAsia="仿宋"/>
                      <w:color w:val="auto"/>
                      <w:szCs w:val="21"/>
                    </w:rPr>
                    <w:t>资源利用效率要求</w:t>
                  </w:r>
                </w:p>
              </w:tc>
              <w:tc>
                <w:tcPr>
                  <w:tcW w:w="2324" w:type="pct"/>
                  <w:noWrap w:val="0"/>
                  <w:tcMar>
                    <w:top w:w="0" w:type="dxa"/>
                    <w:left w:w="0" w:type="dxa"/>
                    <w:bottom w:w="0" w:type="dxa"/>
                    <w:right w:w="0" w:type="dxa"/>
                  </w:tcMar>
                  <w:vAlign w:val="center"/>
                </w:tcPr>
                <w:p w14:paraId="4807749C">
                  <w:pPr>
                    <w:jc w:val="center"/>
                    <w:rPr>
                      <w:rFonts w:eastAsia="仿宋"/>
                      <w:color w:val="auto"/>
                      <w:szCs w:val="21"/>
                    </w:rPr>
                  </w:pPr>
                  <w:r>
                    <w:rPr>
                      <w:rFonts w:eastAsia="仿宋"/>
                      <w:color w:val="auto"/>
                      <w:szCs w:val="21"/>
                    </w:rPr>
                    <w:t>1．水资源利用总量及效率要求：到2025年，全省用水总量控制在525.9亿立方米以内，万元地区生产总值用水量、万元工业增加值用水量下降完成国家下达目标，农田灌溉水有效利用系数提高到0.625。</w:t>
                  </w:r>
                </w:p>
              </w:tc>
              <w:tc>
                <w:tcPr>
                  <w:tcW w:w="1601" w:type="pct"/>
                  <w:noWrap w:val="0"/>
                  <w:tcMar>
                    <w:top w:w="0" w:type="dxa"/>
                    <w:left w:w="0" w:type="dxa"/>
                    <w:bottom w:w="0" w:type="dxa"/>
                    <w:right w:w="0" w:type="dxa"/>
                  </w:tcMar>
                  <w:vAlign w:val="center"/>
                </w:tcPr>
                <w:p w14:paraId="2BCFBFE4">
                  <w:pPr>
                    <w:jc w:val="center"/>
                    <w:rPr>
                      <w:rFonts w:eastAsia="仿宋"/>
                      <w:color w:val="auto"/>
                      <w:szCs w:val="21"/>
                    </w:rPr>
                  </w:pPr>
                  <w:r>
                    <w:rPr>
                      <w:rFonts w:eastAsia="仿宋"/>
                      <w:color w:val="auto"/>
                      <w:szCs w:val="21"/>
                    </w:rPr>
                    <w:t>本项目GDP水耗约为</w:t>
                  </w:r>
                  <w:r>
                    <w:rPr>
                      <w:rFonts w:hint="eastAsia" w:eastAsia="仿宋"/>
                      <w:color w:val="auto"/>
                      <w:szCs w:val="21"/>
                      <w:lang w:val="en-US" w:eastAsia="zh-CN"/>
                    </w:rPr>
                    <w:t>1.2</w:t>
                  </w:r>
                  <w:r>
                    <w:rPr>
                      <w:rFonts w:eastAsia="仿宋"/>
                      <w:color w:val="auto"/>
                      <w:szCs w:val="21"/>
                    </w:rPr>
                    <w:t>m</w:t>
                  </w:r>
                  <w:r>
                    <w:rPr>
                      <w:rFonts w:eastAsia="仿宋"/>
                      <w:color w:val="auto"/>
                      <w:szCs w:val="21"/>
                      <w:vertAlign w:val="superscript"/>
                    </w:rPr>
                    <w:t>3</w:t>
                  </w:r>
                  <w:r>
                    <w:rPr>
                      <w:rFonts w:eastAsia="仿宋"/>
                      <w:color w:val="auto"/>
                      <w:szCs w:val="21"/>
                    </w:rPr>
                    <w:t>/万元，满足</w:t>
                  </w:r>
                  <w:r>
                    <w:rPr>
                      <w:rFonts w:hint="default" w:ascii="Times New Roman" w:hAnsi="Times New Roman" w:eastAsia="仿宋" w:cs="Times New Roman"/>
                      <w:color w:val="auto"/>
                      <w:sz w:val="24"/>
                      <w:lang w:eastAsia="zh-CN"/>
                    </w:rPr>
                    <w:t>薛埠镇工业园</w:t>
                  </w:r>
                  <w:r>
                    <w:rPr>
                      <w:rFonts w:eastAsia="仿宋"/>
                      <w:color w:val="auto"/>
                      <w:szCs w:val="21"/>
                    </w:rPr>
                    <w:t>的资源指标要求</w:t>
                  </w:r>
                </w:p>
              </w:tc>
              <w:tc>
                <w:tcPr>
                  <w:tcW w:w="425" w:type="pct"/>
                  <w:noWrap w:val="0"/>
                  <w:tcMar>
                    <w:top w:w="0" w:type="dxa"/>
                    <w:left w:w="0" w:type="dxa"/>
                    <w:bottom w:w="0" w:type="dxa"/>
                    <w:right w:w="0" w:type="dxa"/>
                  </w:tcMar>
                  <w:vAlign w:val="center"/>
                </w:tcPr>
                <w:p w14:paraId="3D9DA37F">
                  <w:pPr>
                    <w:jc w:val="center"/>
                    <w:rPr>
                      <w:rFonts w:eastAsia="仿宋"/>
                      <w:color w:val="auto"/>
                      <w:szCs w:val="21"/>
                    </w:rPr>
                  </w:pPr>
                  <w:r>
                    <w:rPr>
                      <w:rFonts w:eastAsia="仿宋"/>
                      <w:color w:val="auto"/>
                      <w:szCs w:val="21"/>
                    </w:rPr>
                    <w:t>相符</w:t>
                  </w:r>
                </w:p>
              </w:tc>
            </w:tr>
            <w:tr w14:paraId="1BBA82C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noWrap w:val="0"/>
                  <w:tcMar>
                    <w:top w:w="0" w:type="dxa"/>
                    <w:left w:w="0" w:type="dxa"/>
                    <w:bottom w:w="0" w:type="dxa"/>
                    <w:right w:w="0" w:type="dxa"/>
                  </w:tcMar>
                  <w:vAlign w:val="center"/>
                </w:tcPr>
                <w:p w14:paraId="7CE02D13">
                  <w:pPr>
                    <w:jc w:val="center"/>
                    <w:rPr>
                      <w:rFonts w:eastAsia="仿宋"/>
                      <w:color w:val="auto"/>
                      <w:szCs w:val="21"/>
                    </w:rPr>
                  </w:pPr>
                </w:p>
              </w:tc>
              <w:tc>
                <w:tcPr>
                  <w:tcW w:w="343" w:type="pct"/>
                  <w:vMerge w:val="continue"/>
                  <w:noWrap w:val="0"/>
                  <w:tcMar>
                    <w:top w:w="0" w:type="dxa"/>
                    <w:left w:w="0" w:type="dxa"/>
                    <w:bottom w:w="0" w:type="dxa"/>
                    <w:right w:w="0" w:type="dxa"/>
                  </w:tcMar>
                  <w:vAlign w:val="center"/>
                </w:tcPr>
                <w:p w14:paraId="2CBAA8B8">
                  <w:pPr>
                    <w:jc w:val="center"/>
                    <w:rPr>
                      <w:rFonts w:eastAsia="仿宋"/>
                      <w:color w:val="auto"/>
                      <w:szCs w:val="21"/>
                    </w:rPr>
                  </w:pPr>
                </w:p>
              </w:tc>
              <w:tc>
                <w:tcPr>
                  <w:tcW w:w="2324" w:type="pct"/>
                  <w:noWrap w:val="0"/>
                  <w:tcMar>
                    <w:top w:w="0" w:type="dxa"/>
                    <w:left w:w="0" w:type="dxa"/>
                    <w:bottom w:w="0" w:type="dxa"/>
                    <w:right w:w="0" w:type="dxa"/>
                  </w:tcMar>
                  <w:vAlign w:val="center"/>
                </w:tcPr>
                <w:p w14:paraId="4AF327EC">
                  <w:pPr>
                    <w:jc w:val="center"/>
                    <w:rPr>
                      <w:rFonts w:eastAsia="仿宋"/>
                      <w:color w:val="auto"/>
                      <w:szCs w:val="21"/>
                    </w:rPr>
                  </w:pPr>
                  <w:r>
                    <w:rPr>
                      <w:rFonts w:eastAsia="仿宋"/>
                      <w:color w:val="auto"/>
                      <w:szCs w:val="21"/>
                    </w:rPr>
                    <w:t>2．土地资源总量要求：到2025年，江苏省耕地保有量不低于5977万亩，其中永久基本农田保护面积不低于5344万</w:t>
                  </w:r>
                </w:p>
                <w:p w14:paraId="514CA867">
                  <w:pPr>
                    <w:jc w:val="center"/>
                    <w:rPr>
                      <w:rFonts w:eastAsia="仿宋"/>
                      <w:color w:val="auto"/>
                      <w:szCs w:val="21"/>
                    </w:rPr>
                  </w:pPr>
                  <w:r>
                    <w:rPr>
                      <w:rFonts w:eastAsia="仿宋"/>
                      <w:color w:val="auto"/>
                      <w:szCs w:val="21"/>
                    </w:rPr>
                    <w:t>亩。</w:t>
                  </w:r>
                </w:p>
              </w:tc>
              <w:tc>
                <w:tcPr>
                  <w:tcW w:w="1601" w:type="pct"/>
                  <w:noWrap w:val="0"/>
                  <w:tcMar>
                    <w:top w:w="0" w:type="dxa"/>
                    <w:left w:w="0" w:type="dxa"/>
                    <w:bottom w:w="0" w:type="dxa"/>
                    <w:right w:w="0" w:type="dxa"/>
                  </w:tcMar>
                  <w:vAlign w:val="center"/>
                </w:tcPr>
                <w:p w14:paraId="4849BF49">
                  <w:pPr>
                    <w:jc w:val="center"/>
                    <w:rPr>
                      <w:rFonts w:eastAsia="仿宋"/>
                      <w:color w:val="auto"/>
                      <w:szCs w:val="21"/>
                    </w:rPr>
                  </w:pPr>
                  <w:r>
                    <w:rPr>
                      <w:rFonts w:eastAsia="仿宋"/>
                      <w:color w:val="auto"/>
                      <w:szCs w:val="21"/>
                    </w:rPr>
                    <w:t>本项目不新增工业用地。</w:t>
                  </w:r>
                </w:p>
              </w:tc>
              <w:tc>
                <w:tcPr>
                  <w:tcW w:w="425" w:type="pct"/>
                  <w:noWrap w:val="0"/>
                  <w:tcMar>
                    <w:top w:w="0" w:type="dxa"/>
                    <w:left w:w="0" w:type="dxa"/>
                    <w:bottom w:w="0" w:type="dxa"/>
                    <w:right w:w="0" w:type="dxa"/>
                  </w:tcMar>
                  <w:vAlign w:val="center"/>
                </w:tcPr>
                <w:p w14:paraId="2B0B792B">
                  <w:pPr>
                    <w:jc w:val="center"/>
                    <w:rPr>
                      <w:rFonts w:eastAsia="仿宋"/>
                      <w:color w:val="auto"/>
                      <w:szCs w:val="21"/>
                    </w:rPr>
                  </w:pPr>
                  <w:r>
                    <w:rPr>
                      <w:rFonts w:eastAsia="仿宋"/>
                      <w:color w:val="auto"/>
                      <w:szCs w:val="21"/>
                    </w:rPr>
                    <w:t>相符</w:t>
                  </w:r>
                </w:p>
              </w:tc>
            </w:tr>
            <w:tr w14:paraId="38D0EE8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noWrap w:val="0"/>
                  <w:tcMar>
                    <w:top w:w="0" w:type="dxa"/>
                    <w:left w:w="0" w:type="dxa"/>
                    <w:bottom w:w="0" w:type="dxa"/>
                    <w:right w:w="0" w:type="dxa"/>
                  </w:tcMar>
                  <w:vAlign w:val="center"/>
                </w:tcPr>
                <w:p w14:paraId="4139F7AC">
                  <w:pPr>
                    <w:jc w:val="center"/>
                    <w:rPr>
                      <w:rFonts w:eastAsia="仿宋"/>
                      <w:color w:val="auto"/>
                      <w:szCs w:val="21"/>
                    </w:rPr>
                  </w:pPr>
                </w:p>
              </w:tc>
              <w:tc>
                <w:tcPr>
                  <w:tcW w:w="343" w:type="pct"/>
                  <w:vMerge w:val="continue"/>
                  <w:noWrap w:val="0"/>
                  <w:tcMar>
                    <w:top w:w="0" w:type="dxa"/>
                    <w:left w:w="0" w:type="dxa"/>
                    <w:bottom w:w="0" w:type="dxa"/>
                    <w:right w:w="0" w:type="dxa"/>
                  </w:tcMar>
                  <w:vAlign w:val="center"/>
                </w:tcPr>
                <w:p w14:paraId="112404F3">
                  <w:pPr>
                    <w:jc w:val="center"/>
                    <w:rPr>
                      <w:rFonts w:eastAsia="仿宋"/>
                      <w:color w:val="auto"/>
                      <w:szCs w:val="21"/>
                    </w:rPr>
                  </w:pPr>
                </w:p>
              </w:tc>
              <w:tc>
                <w:tcPr>
                  <w:tcW w:w="2324" w:type="pct"/>
                  <w:noWrap w:val="0"/>
                  <w:tcMar>
                    <w:top w:w="0" w:type="dxa"/>
                    <w:left w:w="0" w:type="dxa"/>
                    <w:bottom w:w="0" w:type="dxa"/>
                    <w:right w:w="0" w:type="dxa"/>
                  </w:tcMar>
                  <w:vAlign w:val="center"/>
                </w:tcPr>
                <w:p w14:paraId="67CFB5FB">
                  <w:pPr>
                    <w:jc w:val="center"/>
                    <w:rPr>
                      <w:rFonts w:eastAsia="仿宋"/>
                      <w:color w:val="auto"/>
                      <w:szCs w:val="21"/>
                    </w:rPr>
                  </w:pPr>
                  <w:r>
                    <w:rPr>
                      <w:rFonts w:eastAsia="仿宋"/>
                      <w:color w:val="auto"/>
                      <w:szCs w:val="21"/>
                    </w:rPr>
                    <w:t>3．禁燃区要求：在禁燃区内，禁止销售、燃用高污染燃料；禁止新建、扩建燃用高污染燃料的设施，已建成的，应当在城市人民政府规定的期限内改用天然气、页岩气、液化石油气、电或者其他清洁能源。</w:t>
                  </w:r>
                </w:p>
              </w:tc>
              <w:tc>
                <w:tcPr>
                  <w:tcW w:w="1601" w:type="pct"/>
                  <w:noWrap w:val="0"/>
                  <w:tcMar>
                    <w:top w:w="0" w:type="dxa"/>
                    <w:left w:w="0" w:type="dxa"/>
                    <w:bottom w:w="0" w:type="dxa"/>
                    <w:right w:w="0" w:type="dxa"/>
                  </w:tcMar>
                  <w:vAlign w:val="center"/>
                </w:tcPr>
                <w:p w14:paraId="4DEEB84C">
                  <w:pPr>
                    <w:jc w:val="center"/>
                    <w:rPr>
                      <w:rFonts w:eastAsia="仿宋"/>
                      <w:color w:val="auto"/>
                      <w:szCs w:val="21"/>
                    </w:rPr>
                  </w:pPr>
                  <w:r>
                    <w:rPr>
                      <w:rFonts w:eastAsia="仿宋"/>
                      <w:color w:val="auto"/>
                      <w:szCs w:val="21"/>
                    </w:rPr>
                    <w:t>本项目使用电作为清洁能源。</w:t>
                  </w:r>
                </w:p>
              </w:tc>
              <w:tc>
                <w:tcPr>
                  <w:tcW w:w="425" w:type="pct"/>
                  <w:noWrap w:val="0"/>
                  <w:tcMar>
                    <w:top w:w="0" w:type="dxa"/>
                    <w:left w:w="0" w:type="dxa"/>
                    <w:bottom w:w="0" w:type="dxa"/>
                    <w:right w:w="0" w:type="dxa"/>
                  </w:tcMar>
                  <w:vAlign w:val="center"/>
                </w:tcPr>
                <w:p w14:paraId="23260F92">
                  <w:pPr>
                    <w:jc w:val="center"/>
                    <w:rPr>
                      <w:rFonts w:eastAsia="仿宋"/>
                      <w:color w:val="auto"/>
                      <w:szCs w:val="21"/>
                    </w:rPr>
                  </w:pPr>
                  <w:r>
                    <w:rPr>
                      <w:rFonts w:eastAsia="仿宋"/>
                      <w:color w:val="auto"/>
                      <w:szCs w:val="21"/>
                    </w:rPr>
                    <w:t>相符</w:t>
                  </w:r>
                </w:p>
              </w:tc>
            </w:tr>
          </w:tbl>
          <w:p w14:paraId="091FAD20">
            <w:pPr>
              <w:autoSpaceDE w:val="0"/>
              <w:autoSpaceDN w:val="0"/>
              <w:adjustRightInd w:val="0"/>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综上，本项目与</w:t>
            </w:r>
            <w:r>
              <w:rPr>
                <w:rFonts w:eastAsia="仿宋"/>
                <w:color w:val="auto"/>
                <w:sz w:val="24"/>
              </w:rPr>
              <w:t>《江苏省2023年生态环境分区管控成果动态更新工作方案》</w:t>
            </w:r>
            <w:r>
              <w:rPr>
                <w:rFonts w:hint="default" w:ascii="Times New Roman" w:hAnsi="Times New Roman" w:eastAsia="仿宋" w:cs="Times New Roman"/>
                <w:bCs/>
                <w:color w:val="auto"/>
                <w:sz w:val="24"/>
              </w:rPr>
              <w:t>的要求相符。</w:t>
            </w:r>
          </w:p>
          <w:p w14:paraId="5D12CE87">
            <w:pPr>
              <w:autoSpaceDE w:val="0"/>
              <w:autoSpaceDN w:val="0"/>
              <w:snapToGrid w:val="0"/>
              <w:spacing w:line="500" w:lineRule="exact"/>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（3）与</w:t>
            </w:r>
            <w:r>
              <w:rPr>
                <w:rFonts w:hint="default" w:ascii="Times New Roman" w:hAnsi="Times New Roman" w:eastAsia="仿宋" w:cs="Times New Roman"/>
                <w:b/>
                <w:color w:val="auto"/>
                <w:sz w:val="24"/>
                <w:szCs w:val="24"/>
              </w:rPr>
              <w:t>《</w:t>
            </w:r>
            <w:r>
              <w:rPr>
                <w:rFonts w:eastAsia="仿宋"/>
                <w:b/>
                <w:bCs/>
                <w:color w:val="auto"/>
                <w:sz w:val="24"/>
                <w:szCs w:val="24"/>
              </w:rPr>
              <w:t>常州市2023年生态环境分区管控动态更新成果</w:t>
            </w:r>
            <w:r>
              <w:rPr>
                <w:rFonts w:hint="default" w:ascii="Times New Roman" w:hAnsi="Times New Roman" w:eastAsia="仿宋" w:cs="Times New Roman"/>
                <w:b/>
                <w:color w:val="auto"/>
                <w:sz w:val="24"/>
                <w:szCs w:val="24"/>
              </w:rPr>
              <w:t>》</w:t>
            </w:r>
            <w:r>
              <w:rPr>
                <w:rFonts w:hint="default" w:ascii="Times New Roman" w:hAnsi="Times New Roman" w:eastAsia="仿宋" w:cs="Times New Roman"/>
                <w:b/>
                <w:color w:val="auto"/>
                <w:sz w:val="24"/>
              </w:rPr>
              <w:t>相符性分析</w:t>
            </w:r>
          </w:p>
          <w:p w14:paraId="03F31559">
            <w:pPr>
              <w:autoSpaceDE w:val="0"/>
              <w:autoSpaceDN w:val="0"/>
              <w:adjustRightInd w:val="0"/>
              <w:snapToGrid w:val="0"/>
              <w:spacing w:line="500" w:lineRule="exact"/>
              <w:ind w:firstLine="480" w:firstLineChars="200"/>
              <w:jc w:val="left"/>
              <w:rPr>
                <w:rFonts w:hint="default" w:ascii="Times New Roman" w:hAnsi="Times New Roman" w:eastAsia="仿宋" w:cs="Times New Roman"/>
                <w:b/>
                <w:color w:val="auto"/>
                <w:sz w:val="24"/>
              </w:rPr>
            </w:pPr>
            <w:r>
              <w:rPr>
                <w:rFonts w:hint="default" w:ascii="Times New Roman" w:hAnsi="Times New Roman" w:eastAsia="仿宋" w:cs="Times New Roman"/>
                <w:bCs/>
                <w:color w:val="auto"/>
                <w:sz w:val="24"/>
              </w:rPr>
              <w:t>本项目位于</w:t>
            </w:r>
            <w:r>
              <w:rPr>
                <w:rFonts w:hint="default" w:ascii="Times New Roman" w:hAnsi="Times New Roman" w:eastAsia="仿宋" w:cs="Times New Roman"/>
                <w:bCs/>
                <w:color w:val="auto"/>
                <w:sz w:val="24"/>
                <w:lang w:eastAsia="zh-CN"/>
              </w:rPr>
              <w:t>常州市金坛区薛埠镇工业园区南环路3号</w:t>
            </w:r>
            <w:r>
              <w:rPr>
                <w:rFonts w:hint="default" w:ascii="Times New Roman" w:hAnsi="Times New Roman" w:eastAsia="仿宋" w:cs="Times New Roman"/>
                <w:b w:val="0"/>
                <w:bCs/>
                <w:color w:val="auto"/>
                <w:sz w:val="24"/>
              </w:rPr>
              <w:t>，根据</w:t>
            </w:r>
            <w:r>
              <w:rPr>
                <w:rFonts w:hint="default" w:ascii="Times New Roman" w:hAnsi="Times New Roman" w:eastAsia="仿宋" w:cs="Times New Roman"/>
                <w:b w:val="0"/>
                <w:bCs/>
                <w:color w:val="auto"/>
                <w:sz w:val="24"/>
                <w:szCs w:val="24"/>
              </w:rPr>
              <w:t>《</w:t>
            </w:r>
            <w:r>
              <w:rPr>
                <w:rFonts w:eastAsia="仿宋"/>
                <w:b w:val="0"/>
                <w:bCs/>
                <w:color w:val="auto"/>
                <w:sz w:val="24"/>
                <w:szCs w:val="24"/>
              </w:rPr>
              <w:t>常州市2023年生态环境分区管控动态更新成果</w:t>
            </w:r>
            <w:r>
              <w:rPr>
                <w:rFonts w:hint="default" w:ascii="Times New Roman" w:hAnsi="Times New Roman" w:eastAsia="仿宋" w:cs="Times New Roman"/>
                <w:b w:val="0"/>
                <w:bCs/>
                <w:color w:val="auto"/>
                <w:sz w:val="24"/>
                <w:szCs w:val="24"/>
              </w:rPr>
              <w:t>》</w:t>
            </w:r>
            <w:r>
              <w:rPr>
                <w:rFonts w:hint="default" w:ascii="Times New Roman" w:hAnsi="Times New Roman" w:eastAsia="仿宋" w:cs="Times New Roman"/>
                <w:b w:val="0"/>
                <w:bCs/>
                <w:color w:val="auto"/>
                <w:sz w:val="24"/>
              </w:rPr>
              <w:t>可知，项目位于重点管</w:t>
            </w:r>
            <w:r>
              <w:rPr>
                <w:rFonts w:hint="default" w:ascii="Times New Roman" w:hAnsi="Times New Roman" w:eastAsia="仿宋" w:cs="Times New Roman"/>
                <w:bCs/>
                <w:color w:val="auto"/>
                <w:sz w:val="24"/>
              </w:rPr>
              <w:t>控单元，其重点管控要求与本项目的相符性分析见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39E45FD1">
            <w:pPr>
              <w:pStyle w:val="5"/>
              <w:keepNext w:val="0"/>
              <w:keepLines w:val="0"/>
              <w:pageBreakBefore w:val="0"/>
              <w:widowControl w:val="0"/>
              <w:kinsoku/>
              <w:wordWrap/>
              <w:overflowPunct/>
              <w:topLinePunct w:val="0"/>
              <w:autoSpaceDE/>
              <w:autoSpaceDN/>
              <w:bidi w:val="0"/>
              <w:adjustRightInd w:val="0"/>
              <w:snapToGrid w:val="0"/>
              <w:spacing w:before="95" w:beforeLines="30"/>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eastAsia" w:eastAsia="仿宋" w:cs="Times New Roman"/>
                <w:b/>
                <w:bCs/>
                <w:color w:val="auto"/>
                <w:sz w:val="21"/>
                <w:szCs w:val="21"/>
                <w:lang w:val="en-US" w:eastAsia="zh-CN"/>
              </w:rPr>
              <w:t>4</w:t>
            </w:r>
            <w:r>
              <w:rPr>
                <w:rFonts w:hint="default" w:ascii="Times New Roman" w:hAnsi="Times New Roman" w:eastAsia="仿宋" w:cs="Times New Roman"/>
                <w:b/>
                <w:bCs/>
                <w:color w:val="auto"/>
                <w:sz w:val="21"/>
                <w:szCs w:val="21"/>
                <w:lang w:val="en-US" w:eastAsia="zh-CN"/>
              </w:rPr>
              <w:t xml:space="preserve"> </w:t>
            </w:r>
            <w:r>
              <w:rPr>
                <w:rFonts w:eastAsia="仿宋"/>
                <w:b/>
                <w:bCs/>
                <w:color w:val="auto"/>
                <w:sz w:val="21"/>
                <w:szCs w:val="21"/>
              </w:rPr>
              <w:t>与常州市2023年生态环境分区管控动态更新成果相符性</w:t>
            </w:r>
          </w:p>
          <w:tbl>
            <w:tblPr>
              <w:tblStyle w:val="27"/>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3391"/>
              <w:gridCol w:w="2792"/>
              <w:gridCol w:w="827"/>
            </w:tblGrid>
            <w:tr w14:paraId="546ED6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noWrap w:val="0"/>
                  <w:vAlign w:val="center"/>
                </w:tcPr>
                <w:p w14:paraId="3188C259">
                  <w:pPr>
                    <w:pStyle w:val="96"/>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管控类别</w:t>
                  </w:r>
                </w:p>
              </w:tc>
              <w:tc>
                <w:tcPr>
                  <w:tcW w:w="2094" w:type="pct"/>
                  <w:noWrap w:val="0"/>
                  <w:vAlign w:val="center"/>
                </w:tcPr>
                <w:p w14:paraId="684C1435">
                  <w:pPr>
                    <w:pStyle w:val="96"/>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重点管控要求（薛埠现代产业园）</w:t>
                  </w:r>
                </w:p>
              </w:tc>
              <w:tc>
                <w:tcPr>
                  <w:tcW w:w="1724" w:type="pct"/>
                  <w:noWrap w:val="0"/>
                  <w:vAlign w:val="center"/>
                </w:tcPr>
                <w:p w14:paraId="1E399586">
                  <w:pPr>
                    <w:pStyle w:val="96"/>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本项目</w:t>
                  </w:r>
                </w:p>
              </w:tc>
              <w:tc>
                <w:tcPr>
                  <w:tcW w:w="511" w:type="pct"/>
                  <w:noWrap w:val="0"/>
                  <w:vAlign w:val="center"/>
                </w:tcPr>
                <w:p w14:paraId="28E85699">
                  <w:pPr>
                    <w:pStyle w:val="96"/>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相符性分析</w:t>
                  </w:r>
                </w:p>
              </w:tc>
            </w:tr>
            <w:tr w14:paraId="4D1AFE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1383B204">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空间布局约束</w:t>
                  </w:r>
                </w:p>
              </w:tc>
              <w:tc>
                <w:tcPr>
                  <w:tcW w:w="2094" w:type="pct"/>
                  <w:noWrap w:val="0"/>
                  <w:vAlign w:val="center"/>
                </w:tcPr>
                <w:p w14:paraId="4CB6B676">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不得新建、改建、扩建化学制浆造纸、制革、酿造、染料、印染、电镀以及其他排放含磷、氮等污染物的企业和项目；不得新建、扩建化工、医药等企业和项目；不得增设排污口；禁止建设排放致癌、致畸、致突变物质和恶臭气体的项目。</w:t>
                  </w:r>
                </w:p>
              </w:tc>
              <w:tc>
                <w:tcPr>
                  <w:tcW w:w="1724" w:type="pct"/>
                  <w:vMerge w:val="restart"/>
                  <w:noWrap w:val="0"/>
                  <w:vAlign w:val="center"/>
                </w:tcPr>
                <w:p w14:paraId="33EB5DB2">
                  <w:pPr>
                    <w:pStyle w:val="96"/>
                    <w:rPr>
                      <w:rFonts w:hint="default" w:ascii="Times New Roman" w:hAnsi="Times New Roman" w:eastAsia="仿宋" w:cs="Times New Roman"/>
                      <w:b/>
                      <w:bCs/>
                      <w:color w:val="auto"/>
                      <w:szCs w:val="21"/>
                    </w:rPr>
                  </w:pPr>
                  <w:r>
                    <w:rPr>
                      <w:rFonts w:hint="default" w:ascii="Times New Roman" w:hAnsi="Times New Roman" w:eastAsia="仿宋" w:cs="Times New Roman"/>
                      <w:color w:val="auto"/>
                      <w:szCs w:val="21"/>
                    </w:rPr>
                    <w:t>本项目位于薛埠现代产业园，项目不属于禁止</w:t>
                  </w:r>
                  <w:r>
                    <w:rPr>
                      <w:rFonts w:hint="default" w:ascii="Times New Roman" w:hAnsi="Times New Roman" w:eastAsia="仿宋" w:cs="Times New Roman"/>
                      <w:color w:val="auto"/>
                      <w:spacing w:val="-1"/>
                      <w:szCs w:val="21"/>
                    </w:rPr>
                    <w:t>引入</w:t>
                  </w:r>
                  <w:r>
                    <w:rPr>
                      <w:rFonts w:hint="default" w:ascii="Times New Roman" w:hAnsi="Times New Roman" w:eastAsia="仿宋" w:cs="Times New Roman"/>
                      <w:color w:val="auto"/>
                      <w:szCs w:val="21"/>
                    </w:rPr>
                    <w:t>项目。</w:t>
                  </w:r>
                </w:p>
              </w:tc>
              <w:tc>
                <w:tcPr>
                  <w:tcW w:w="511" w:type="pct"/>
                  <w:vMerge w:val="restart"/>
                  <w:noWrap w:val="0"/>
                  <w:vAlign w:val="center"/>
                </w:tcPr>
                <w:p w14:paraId="0EF495C7">
                  <w:pPr>
                    <w:pStyle w:val="96"/>
                    <w:rPr>
                      <w:rFonts w:hint="default" w:ascii="Times New Roman" w:hAnsi="Times New Roman" w:eastAsia="仿宋" w:cs="Times New Roman"/>
                      <w:b/>
                      <w:bCs/>
                      <w:color w:val="auto"/>
                      <w:szCs w:val="21"/>
                    </w:rPr>
                  </w:pPr>
                  <w:r>
                    <w:rPr>
                      <w:rFonts w:hint="default" w:ascii="Times New Roman" w:hAnsi="Times New Roman" w:eastAsia="仿宋" w:cs="Times New Roman"/>
                      <w:color w:val="auto"/>
                      <w:szCs w:val="21"/>
                    </w:rPr>
                    <w:t>符合</w:t>
                  </w:r>
                </w:p>
              </w:tc>
            </w:tr>
            <w:tr w14:paraId="704D7B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69" w:type="pct"/>
                  <w:vMerge w:val="continue"/>
                  <w:noWrap w:val="0"/>
                  <w:vAlign w:val="center"/>
                </w:tcPr>
                <w:p w14:paraId="2917DF6F">
                  <w:pPr>
                    <w:pStyle w:val="96"/>
                    <w:rPr>
                      <w:rFonts w:hint="default" w:ascii="Times New Roman" w:hAnsi="Times New Roman" w:eastAsia="仿宋" w:cs="Times New Roman"/>
                      <w:color w:val="auto"/>
                      <w:szCs w:val="21"/>
                    </w:rPr>
                  </w:pPr>
                </w:p>
              </w:tc>
              <w:tc>
                <w:tcPr>
                  <w:tcW w:w="2094" w:type="pct"/>
                  <w:noWrap w:val="0"/>
                  <w:vAlign w:val="center"/>
                </w:tcPr>
                <w:p w14:paraId="169918BA">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2.鼓励发展低污染、无污染、节水和资源综合利用的项目，不得新上、转移、生产和采用国家明令禁止的工艺和产品。凡属《江苏省太湖水污染防治条例》（省十届人大常委会公告第 141 号）明确禁止建设的项目；《国务院关于环境保护若干问题的决定》（国发﹝1996﹞31 号）明确禁止建设的“十五小”项目；“新五小”项目 (小火电机组、小玻璃厂、小水泥厂、小炼油厂、小钢铁厂)；以及国家明令淘汰和禁止发展的能耗物耗高、环境污染严重、不符合产业政策和市场准入条件的建设项目，均禁止建设。</w:t>
                  </w:r>
                </w:p>
              </w:tc>
              <w:tc>
                <w:tcPr>
                  <w:tcW w:w="1724" w:type="pct"/>
                  <w:vMerge w:val="continue"/>
                  <w:noWrap w:val="0"/>
                  <w:vAlign w:val="center"/>
                </w:tcPr>
                <w:p w14:paraId="06D9AA04">
                  <w:pPr>
                    <w:pStyle w:val="96"/>
                    <w:rPr>
                      <w:rFonts w:hint="default" w:ascii="Times New Roman" w:hAnsi="Times New Roman" w:eastAsia="仿宋" w:cs="Times New Roman"/>
                      <w:b/>
                      <w:bCs/>
                      <w:color w:val="auto"/>
                      <w:szCs w:val="21"/>
                    </w:rPr>
                  </w:pPr>
                </w:p>
              </w:tc>
              <w:tc>
                <w:tcPr>
                  <w:tcW w:w="511" w:type="pct"/>
                  <w:vMerge w:val="continue"/>
                  <w:noWrap w:val="0"/>
                  <w:vAlign w:val="center"/>
                </w:tcPr>
                <w:p w14:paraId="169BE423">
                  <w:pPr>
                    <w:pStyle w:val="96"/>
                    <w:rPr>
                      <w:rFonts w:hint="default" w:ascii="Times New Roman" w:hAnsi="Times New Roman" w:eastAsia="仿宋" w:cs="Times New Roman"/>
                      <w:b/>
                      <w:bCs/>
                      <w:color w:val="auto"/>
                      <w:szCs w:val="21"/>
                    </w:rPr>
                  </w:pPr>
                </w:p>
              </w:tc>
            </w:tr>
            <w:tr w14:paraId="1718F2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6CDB5602">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污染物排放管控</w:t>
                  </w:r>
                </w:p>
              </w:tc>
              <w:tc>
                <w:tcPr>
                  <w:tcW w:w="2094" w:type="pct"/>
                  <w:noWrap w:val="0"/>
                  <w:vAlign w:val="center"/>
                </w:tcPr>
                <w:p w14:paraId="598E4CF9">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1.严格实施污染物总量</w:t>
                  </w:r>
                  <w:r>
                    <w:rPr>
                      <w:rFonts w:hint="default" w:ascii="Times New Roman" w:hAnsi="Times New Roman" w:eastAsia="仿宋" w:cs="Times New Roman"/>
                      <w:color w:val="auto"/>
                      <w:spacing w:val="2"/>
                      <w:szCs w:val="21"/>
                    </w:rPr>
                    <w:t>控制制度，根据区域环境质</w:t>
                  </w:r>
                  <w:r>
                    <w:rPr>
                      <w:rFonts w:hint="default" w:ascii="Times New Roman" w:hAnsi="Times New Roman" w:eastAsia="仿宋" w:cs="Times New Roman"/>
                      <w:color w:val="auto"/>
                      <w:spacing w:val="3"/>
                      <w:szCs w:val="21"/>
                    </w:rPr>
                    <w:t xml:space="preserve">量改善目标，采取有效措施减少主要污染物排放总量， </w:t>
                  </w:r>
                  <w:r>
                    <w:rPr>
                      <w:rFonts w:hint="default" w:ascii="Times New Roman" w:hAnsi="Times New Roman" w:eastAsia="仿宋" w:cs="Times New Roman"/>
                      <w:color w:val="auto"/>
                      <w:szCs w:val="21"/>
                    </w:rPr>
                    <w:t>确保区域环境质量持续改善。</w:t>
                  </w:r>
                </w:p>
              </w:tc>
              <w:tc>
                <w:tcPr>
                  <w:tcW w:w="1724" w:type="pct"/>
                  <w:vMerge w:val="restart"/>
                  <w:noWrap w:val="0"/>
                  <w:vAlign w:val="center"/>
                </w:tcPr>
                <w:p w14:paraId="7A452633">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本项目生活污水接管至金坛茅东污水处理厂处理；项目废气经处理后达标排放，废气排放总量不会突破园区环评报告及批复的总量。</w:t>
                  </w:r>
                </w:p>
              </w:tc>
              <w:tc>
                <w:tcPr>
                  <w:tcW w:w="511" w:type="pct"/>
                  <w:vMerge w:val="restart"/>
                  <w:noWrap w:val="0"/>
                  <w:vAlign w:val="center"/>
                </w:tcPr>
                <w:p w14:paraId="0A350EFB">
                  <w:pPr>
                    <w:pStyle w:val="96"/>
                    <w:rPr>
                      <w:rFonts w:hint="default" w:ascii="Times New Roman" w:hAnsi="Times New Roman" w:eastAsia="仿宋" w:cs="Times New Roman"/>
                      <w:b/>
                      <w:bCs/>
                      <w:color w:val="auto"/>
                      <w:szCs w:val="21"/>
                    </w:rPr>
                  </w:pPr>
                  <w:r>
                    <w:rPr>
                      <w:rFonts w:hint="default" w:ascii="Times New Roman" w:hAnsi="Times New Roman" w:eastAsia="仿宋" w:cs="Times New Roman"/>
                      <w:color w:val="auto"/>
                      <w:szCs w:val="21"/>
                    </w:rPr>
                    <w:t>符合</w:t>
                  </w:r>
                </w:p>
              </w:tc>
            </w:tr>
            <w:tr w14:paraId="0DF2BE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07488E6E">
                  <w:pPr>
                    <w:pStyle w:val="96"/>
                    <w:rPr>
                      <w:rFonts w:hint="default" w:ascii="Times New Roman" w:hAnsi="Times New Roman" w:eastAsia="仿宋" w:cs="Times New Roman"/>
                      <w:color w:val="auto"/>
                      <w:szCs w:val="21"/>
                    </w:rPr>
                  </w:pPr>
                </w:p>
              </w:tc>
              <w:tc>
                <w:tcPr>
                  <w:tcW w:w="2094" w:type="pct"/>
                  <w:noWrap w:val="0"/>
                  <w:vAlign w:val="center"/>
                </w:tcPr>
                <w:p w14:paraId="4CB11C37">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2.园区污染物排放总量不得突破环评报告及批复的总量。</w:t>
                  </w:r>
                </w:p>
              </w:tc>
              <w:tc>
                <w:tcPr>
                  <w:tcW w:w="1724" w:type="pct"/>
                  <w:vMerge w:val="continue"/>
                  <w:noWrap w:val="0"/>
                  <w:vAlign w:val="center"/>
                </w:tcPr>
                <w:p w14:paraId="127A8BF1">
                  <w:pPr>
                    <w:pStyle w:val="96"/>
                    <w:rPr>
                      <w:rFonts w:hint="default" w:ascii="Times New Roman" w:hAnsi="Times New Roman" w:eastAsia="仿宋" w:cs="Times New Roman"/>
                      <w:color w:val="auto"/>
                      <w:szCs w:val="21"/>
                    </w:rPr>
                  </w:pPr>
                </w:p>
              </w:tc>
              <w:tc>
                <w:tcPr>
                  <w:tcW w:w="511" w:type="pct"/>
                  <w:vMerge w:val="continue"/>
                  <w:noWrap w:val="0"/>
                  <w:vAlign w:val="center"/>
                </w:tcPr>
                <w:p w14:paraId="47CA0478">
                  <w:pPr>
                    <w:pStyle w:val="96"/>
                    <w:rPr>
                      <w:rFonts w:hint="default" w:ascii="Times New Roman" w:hAnsi="Times New Roman" w:eastAsia="仿宋" w:cs="Times New Roman"/>
                      <w:b/>
                      <w:bCs/>
                      <w:color w:val="auto"/>
                      <w:szCs w:val="21"/>
                    </w:rPr>
                  </w:pPr>
                </w:p>
              </w:tc>
            </w:tr>
            <w:tr w14:paraId="5C461C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44F23E84">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环境风险防控</w:t>
                  </w:r>
                </w:p>
              </w:tc>
              <w:tc>
                <w:tcPr>
                  <w:tcW w:w="2094" w:type="pct"/>
                  <w:noWrap w:val="0"/>
                  <w:vAlign w:val="center"/>
                </w:tcPr>
                <w:p w14:paraId="2CF949D7">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1.园区建立环境应急体系，完善事故应急救援体系，加强应急物资装备储备，编制突发环境事件应急预案，定期开展演练。</w:t>
                  </w:r>
                </w:p>
              </w:tc>
              <w:tc>
                <w:tcPr>
                  <w:tcW w:w="1724" w:type="pct"/>
                  <w:vMerge w:val="restart"/>
                  <w:noWrap w:val="0"/>
                  <w:vAlign w:val="center"/>
                </w:tcPr>
                <w:p w14:paraId="4735A3B9">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所在园区已建立环境应急体系，已加强应急物资装备储备，已编制突发环境事件应急预案并定期开展演练；项目建设单位已委托专业单位编制突发环境事件应急预案并在金坛生态环境局备案；项目建成后将加强环境影响跟踪监测，建立健全各环境要素监控体系，完善并落实园区日常环境监测与污染源监控计划。</w:t>
                  </w:r>
                </w:p>
              </w:tc>
              <w:tc>
                <w:tcPr>
                  <w:tcW w:w="511" w:type="pct"/>
                  <w:vMerge w:val="restart"/>
                  <w:noWrap w:val="0"/>
                  <w:vAlign w:val="center"/>
                </w:tcPr>
                <w:p w14:paraId="16AAA9CF">
                  <w:pPr>
                    <w:pStyle w:val="96"/>
                    <w:rPr>
                      <w:rFonts w:hint="default" w:ascii="Times New Roman" w:hAnsi="Times New Roman" w:eastAsia="仿宋" w:cs="Times New Roman"/>
                      <w:b/>
                      <w:bCs/>
                      <w:color w:val="auto"/>
                      <w:szCs w:val="21"/>
                    </w:rPr>
                  </w:pPr>
                  <w:r>
                    <w:rPr>
                      <w:rFonts w:hint="default" w:ascii="Times New Roman" w:hAnsi="Times New Roman" w:eastAsia="仿宋" w:cs="Times New Roman"/>
                      <w:color w:val="auto"/>
                      <w:szCs w:val="21"/>
                    </w:rPr>
                    <w:t>符合</w:t>
                  </w:r>
                </w:p>
              </w:tc>
            </w:tr>
            <w:tr w14:paraId="2D31F9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695D76CC">
                  <w:pPr>
                    <w:pStyle w:val="96"/>
                    <w:rPr>
                      <w:rFonts w:hint="default" w:ascii="Times New Roman" w:hAnsi="Times New Roman" w:eastAsia="仿宋" w:cs="Times New Roman"/>
                      <w:color w:val="auto"/>
                      <w:szCs w:val="21"/>
                    </w:rPr>
                  </w:pPr>
                </w:p>
              </w:tc>
              <w:tc>
                <w:tcPr>
                  <w:tcW w:w="2094" w:type="pct"/>
                  <w:noWrap w:val="0"/>
                  <w:vAlign w:val="center"/>
                </w:tcPr>
                <w:p w14:paraId="38C3C06C">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2.生产、使用、储存危险化学品或其他存在环境风险的企事业单位，应当制定风险防范措施，编制完善突发环境事件应急预案，防止发生环境污染事故。</w:t>
                  </w:r>
                </w:p>
              </w:tc>
              <w:tc>
                <w:tcPr>
                  <w:tcW w:w="1724" w:type="pct"/>
                  <w:vMerge w:val="continue"/>
                  <w:noWrap w:val="0"/>
                  <w:vAlign w:val="center"/>
                </w:tcPr>
                <w:p w14:paraId="14B6E7DE">
                  <w:pPr>
                    <w:pStyle w:val="96"/>
                    <w:rPr>
                      <w:rFonts w:hint="default" w:ascii="Times New Roman" w:hAnsi="Times New Roman" w:eastAsia="仿宋" w:cs="Times New Roman"/>
                      <w:b/>
                      <w:bCs/>
                      <w:color w:val="auto"/>
                      <w:szCs w:val="21"/>
                    </w:rPr>
                  </w:pPr>
                </w:p>
              </w:tc>
              <w:tc>
                <w:tcPr>
                  <w:tcW w:w="511" w:type="pct"/>
                  <w:vMerge w:val="continue"/>
                  <w:noWrap w:val="0"/>
                  <w:vAlign w:val="center"/>
                </w:tcPr>
                <w:p w14:paraId="3978093E">
                  <w:pPr>
                    <w:pStyle w:val="96"/>
                    <w:rPr>
                      <w:rFonts w:hint="default" w:ascii="Times New Roman" w:hAnsi="Times New Roman" w:eastAsia="仿宋" w:cs="Times New Roman"/>
                      <w:b/>
                      <w:bCs/>
                      <w:color w:val="auto"/>
                      <w:szCs w:val="21"/>
                    </w:rPr>
                  </w:pPr>
                </w:p>
              </w:tc>
            </w:tr>
            <w:tr w14:paraId="397886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3FA2C40B">
                  <w:pPr>
                    <w:pStyle w:val="96"/>
                    <w:rPr>
                      <w:rFonts w:hint="default" w:ascii="Times New Roman" w:hAnsi="Times New Roman" w:eastAsia="仿宋" w:cs="Times New Roman"/>
                      <w:color w:val="auto"/>
                      <w:szCs w:val="21"/>
                    </w:rPr>
                  </w:pPr>
                </w:p>
              </w:tc>
              <w:tc>
                <w:tcPr>
                  <w:tcW w:w="2094" w:type="pct"/>
                  <w:noWrap w:val="0"/>
                  <w:vAlign w:val="center"/>
                </w:tcPr>
                <w:p w14:paraId="729E3C2D">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3.加强环境影响跟踪监测，建立健全各环境要素监控体系，完善并落实园区日常环境监测与污染源监控计划。</w:t>
                  </w:r>
                </w:p>
              </w:tc>
              <w:tc>
                <w:tcPr>
                  <w:tcW w:w="1724" w:type="pct"/>
                  <w:vMerge w:val="continue"/>
                  <w:noWrap w:val="0"/>
                  <w:vAlign w:val="center"/>
                </w:tcPr>
                <w:p w14:paraId="69153295">
                  <w:pPr>
                    <w:pStyle w:val="96"/>
                    <w:rPr>
                      <w:rFonts w:hint="default" w:ascii="Times New Roman" w:hAnsi="Times New Roman" w:eastAsia="仿宋" w:cs="Times New Roman"/>
                      <w:b/>
                      <w:bCs/>
                      <w:color w:val="auto"/>
                      <w:szCs w:val="21"/>
                    </w:rPr>
                  </w:pPr>
                </w:p>
              </w:tc>
              <w:tc>
                <w:tcPr>
                  <w:tcW w:w="511" w:type="pct"/>
                  <w:vMerge w:val="continue"/>
                  <w:noWrap w:val="0"/>
                  <w:vAlign w:val="center"/>
                </w:tcPr>
                <w:p w14:paraId="2026409B">
                  <w:pPr>
                    <w:pStyle w:val="96"/>
                    <w:rPr>
                      <w:rFonts w:hint="default" w:ascii="Times New Roman" w:hAnsi="Times New Roman" w:eastAsia="仿宋" w:cs="Times New Roman"/>
                      <w:b/>
                      <w:bCs/>
                      <w:color w:val="auto"/>
                      <w:szCs w:val="21"/>
                    </w:rPr>
                  </w:pPr>
                </w:p>
              </w:tc>
            </w:tr>
            <w:tr w14:paraId="67EAE6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53AF15C2">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资源开发效率要求</w:t>
                  </w:r>
                </w:p>
              </w:tc>
              <w:tc>
                <w:tcPr>
                  <w:tcW w:w="2094" w:type="pct"/>
                  <w:noWrap w:val="0"/>
                  <w:vAlign w:val="center"/>
                </w:tcPr>
                <w:p w14:paraId="7E0C97EB">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1.大力倡导使用清洁能源。</w:t>
                  </w:r>
                </w:p>
              </w:tc>
              <w:tc>
                <w:tcPr>
                  <w:tcW w:w="1724" w:type="pct"/>
                  <w:vMerge w:val="restart"/>
                  <w:noWrap w:val="0"/>
                  <w:vAlign w:val="center"/>
                </w:tcPr>
                <w:p w14:paraId="6E344386">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本项目使用清洁能源电力；项目</w:t>
                  </w:r>
                  <w:r>
                    <w:rPr>
                      <w:rFonts w:hint="default" w:ascii="Times New Roman" w:hAnsi="Times New Roman" w:eastAsia="仿宋" w:cs="Times New Roman"/>
                      <w:color w:val="auto"/>
                      <w:szCs w:val="21"/>
                      <w:lang w:val="en-US" w:eastAsia="zh-CN"/>
                    </w:rPr>
                    <w:t>无工艺废水产生</w:t>
                  </w:r>
                  <w:r>
                    <w:rPr>
                      <w:rFonts w:hint="default" w:ascii="Times New Roman" w:hAnsi="Times New Roman" w:eastAsia="仿宋" w:cs="Times New Roman"/>
                      <w:color w:val="auto"/>
                      <w:szCs w:val="21"/>
                    </w:rPr>
                    <w:t>；项目无燃煤设施。</w:t>
                  </w:r>
                </w:p>
              </w:tc>
              <w:tc>
                <w:tcPr>
                  <w:tcW w:w="511" w:type="pct"/>
                  <w:vMerge w:val="restart"/>
                  <w:noWrap w:val="0"/>
                  <w:vAlign w:val="center"/>
                </w:tcPr>
                <w:p w14:paraId="4AFAF4B0">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14:paraId="1101E8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74DB84D1">
                  <w:pPr>
                    <w:pStyle w:val="96"/>
                    <w:rPr>
                      <w:rFonts w:hint="default" w:ascii="Times New Roman" w:hAnsi="Times New Roman" w:eastAsia="仿宋" w:cs="Times New Roman"/>
                      <w:color w:val="auto"/>
                      <w:szCs w:val="21"/>
                    </w:rPr>
                  </w:pPr>
                </w:p>
              </w:tc>
              <w:tc>
                <w:tcPr>
                  <w:tcW w:w="2094" w:type="pct"/>
                  <w:noWrap w:val="0"/>
                  <w:vAlign w:val="center"/>
                </w:tcPr>
                <w:p w14:paraId="6D568461">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2.提升废水资源化技术，提高水资源回用率。</w:t>
                  </w:r>
                </w:p>
              </w:tc>
              <w:tc>
                <w:tcPr>
                  <w:tcW w:w="1724" w:type="pct"/>
                  <w:vMerge w:val="continue"/>
                  <w:noWrap w:val="0"/>
                  <w:vAlign w:val="center"/>
                </w:tcPr>
                <w:p w14:paraId="428B7377">
                  <w:pPr>
                    <w:pStyle w:val="96"/>
                    <w:rPr>
                      <w:rFonts w:hint="default" w:ascii="Times New Roman" w:hAnsi="Times New Roman" w:eastAsia="仿宋" w:cs="Times New Roman"/>
                      <w:color w:val="auto"/>
                      <w:szCs w:val="21"/>
                    </w:rPr>
                  </w:pPr>
                </w:p>
              </w:tc>
              <w:tc>
                <w:tcPr>
                  <w:tcW w:w="511" w:type="pct"/>
                  <w:vMerge w:val="continue"/>
                  <w:noWrap w:val="0"/>
                  <w:vAlign w:val="center"/>
                </w:tcPr>
                <w:p w14:paraId="31B38033">
                  <w:pPr>
                    <w:pStyle w:val="96"/>
                    <w:rPr>
                      <w:rFonts w:hint="default" w:ascii="Times New Roman" w:hAnsi="Times New Roman" w:eastAsia="仿宋" w:cs="Times New Roman"/>
                      <w:color w:val="auto"/>
                      <w:szCs w:val="21"/>
                    </w:rPr>
                  </w:pPr>
                </w:p>
              </w:tc>
            </w:tr>
            <w:tr w14:paraId="0422A8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767B619A">
                  <w:pPr>
                    <w:pStyle w:val="96"/>
                    <w:rPr>
                      <w:rFonts w:hint="default" w:ascii="Times New Roman" w:hAnsi="Times New Roman" w:eastAsia="仿宋" w:cs="Times New Roman"/>
                      <w:color w:val="auto"/>
                      <w:szCs w:val="21"/>
                    </w:rPr>
                  </w:pPr>
                </w:p>
              </w:tc>
              <w:tc>
                <w:tcPr>
                  <w:tcW w:w="2094" w:type="pct"/>
                  <w:noWrap w:val="0"/>
                  <w:vAlign w:val="center"/>
                </w:tcPr>
                <w:p w14:paraId="1BF406A8">
                  <w:pPr>
                    <w:pStyle w:val="96"/>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3.严禁自建燃煤设施。</w:t>
                  </w:r>
                </w:p>
              </w:tc>
              <w:tc>
                <w:tcPr>
                  <w:tcW w:w="1724" w:type="pct"/>
                  <w:vMerge w:val="continue"/>
                  <w:noWrap w:val="0"/>
                  <w:vAlign w:val="center"/>
                </w:tcPr>
                <w:p w14:paraId="2F169F04">
                  <w:pPr>
                    <w:pStyle w:val="96"/>
                    <w:rPr>
                      <w:rFonts w:hint="default" w:ascii="Times New Roman" w:hAnsi="Times New Roman" w:eastAsia="仿宋" w:cs="Times New Roman"/>
                      <w:color w:val="auto"/>
                      <w:szCs w:val="21"/>
                    </w:rPr>
                  </w:pPr>
                </w:p>
              </w:tc>
              <w:tc>
                <w:tcPr>
                  <w:tcW w:w="511" w:type="pct"/>
                  <w:vMerge w:val="continue"/>
                  <w:noWrap w:val="0"/>
                  <w:vAlign w:val="center"/>
                </w:tcPr>
                <w:p w14:paraId="6172DF84">
                  <w:pPr>
                    <w:pStyle w:val="96"/>
                    <w:rPr>
                      <w:rFonts w:hint="default" w:ascii="Times New Roman" w:hAnsi="Times New Roman" w:eastAsia="仿宋" w:cs="Times New Roman"/>
                      <w:color w:val="auto"/>
                      <w:szCs w:val="21"/>
                    </w:rPr>
                  </w:pPr>
                </w:p>
              </w:tc>
            </w:tr>
          </w:tbl>
          <w:p w14:paraId="020EDC46">
            <w:pPr>
              <w:autoSpaceDE w:val="0"/>
              <w:autoSpaceDN w:val="0"/>
              <w:adjustRightInd w:val="0"/>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综上，本项目与《关于印发常州市</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三线一单</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生态环境分区管控实施方案的通知》（常环〔2020〕95号）的要求相符。</w:t>
            </w:r>
          </w:p>
          <w:p w14:paraId="63E6D439">
            <w:pPr>
              <w:autoSpaceDE w:val="0"/>
              <w:autoSpaceDN w:val="0"/>
              <w:adjustRightInd w:val="0"/>
              <w:snapToGrid w:val="0"/>
              <w:spacing w:line="500" w:lineRule="exac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val="en-US" w:eastAsia="zh-CN"/>
              </w:rPr>
              <w:t>3</w:t>
            </w:r>
            <w:r>
              <w:rPr>
                <w:rFonts w:hint="default" w:ascii="Times New Roman" w:hAnsi="Times New Roman" w:eastAsia="仿宋" w:cs="Times New Roman"/>
                <w:b/>
                <w:bCs/>
                <w:color w:val="auto"/>
                <w:sz w:val="24"/>
              </w:rPr>
              <w:t>、产业政策相符性分析</w:t>
            </w:r>
          </w:p>
          <w:p w14:paraId="50E4A3A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eastAsia" w:eastAsia="仿宋" w:cs="Times New Roman"/>
                <w:b/>
                <w:bCs/>
                <w:color w:val="auto"/>
                <w:sz w:val="21"/>
                <w:szCs w:val="21"/>
                <w:lang w:val="en-US" w:eastAsia="zh-CN"/>
              </w:rPr>
              <w:t>5</w:t>
            </w:r>
            <w:r>
              <w:rPr>
                <w:rFonts w:hint="default"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产业政策相符性分析</w:t>
            </w:r>
          </w:p>
          <w:tbl>
            <w:tblPr>
              <w:tblStyle w:val="27"/>
              <w:tblW w:w="488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79" w:type="dxa"/>
                <w:bottom w:w="28" w:type="dxa"/>
                <w:right w:w="79" w:type="dxa"/>
              </w:tblCellMar>
            </w:tblPr>
            <w:tblGrid>
              <w:gridCol w:w="640"/>
              <w:gridCol w:w="6117"/>
              <w:gridCol w:w="1156"/>
            </w:tblGrid>
            <w:tr w14:paraId="6896A2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404" w:type="pct"/>
                  <w:vAlign w:val="center"/>
                </w:tcPr>
                <w:p w14:paraId="20CBA38A">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序号</w:t>
                  </w:r>
                </w:p>
              </w:tc>
              <w:tc>
                <w:tcPr>
                  <w:tcW w:w="3865" w:type="pct"/>
                  <w:vAlign w:val="center"/>
                </w:tcPr>
                <w:p w14:paraId="0B3F4ECB">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对照分析</w:t>
                  </w:r>
                </w:p>
              </w:tc>
              <w:tc>
                <w:tcPr>
                  <w:tcW w:w="730" w:type="pct"/>
                  <w:vAlign w:val="center"/>
                </w:tcPr>
                <w:p w14:paraId="54785D88">
                  <w:pPr>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是否符合</w:t>
                  </w:r>
                </w:p>
              </w:tc>
            </w:tr>
            <w:tr w14:paraId="786716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404" w:type="pct"/>
                  <w:vAlign w:val="center"/>
                </w:tcPr>
                <w:p w14:paraId="31F4F69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3865" w:type="pct"/>
                  <w:vAlign w:val="center"/>
                </w:tcPr>
                <w:p w14:paraId="4B8C9BC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《产业结构调整指导目录（202</w:t>
                  </w:r>
                  <w:r>
                    <w:rPr>
                      <w:rFonts w:hint="default" w:ascii="Times New Roman" w:hAnsi="Times New Roman" w:eastAsia="仿宋" w:cs="Times New Roman"/>
                      <w:color w:val="auto"/>
                      <w:szCs w:val="21"/>
                      <w:lang w:val="en-US" w:eastAsia="zh-CN"/>
                    </w:rPr>
                    <w:t>4</w:t>
                  </w:r>
                  <w:r>
                    <w:rPr>
                      <w:rFonts w:hint="default" w:ascii="Times New Roman" w:hAnsi="Times New Roman" w:eastAsia="仿宋" w:cs="Times New Roman"/>
                      <w:color w:val="auto"/>
                      <w:szCs w:val="21"/>
                    </w:rPr>
                    <w:t>年本）》</w:t>
                  </w:r>
                </w:p>
              </w:tc>
              <w:tc>
                <w:tcPr>
                  <w:tcW w:w="730" w:type="pct"/>
                  <w:vAlign w:val="center"/>
                </w:tcPr>
                <w:p w14:paraId="249BAC1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w:t>
                  </w:r>
                </w:p>
              </w:tc>
            </w:tr>
            <w:tr w14:paraId="509A73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404" w:type="pct"/>
                  <w:vAlign w:val="center"/>
                </w:tcPr>
                <w:p w14:paraId="1C1E5EB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3865" w:type="pct"/>
                  <w:vAlign w:val="center"/>
                </w:tcPr>
                <w:p w14:paraId="59F51126">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《江苏省产业结构调整限制、淘汰和禁止目录（2018年本）》</w:t>
                  </w:r>
                </w:p>
              </w:tc>
              <w:tc>
                <w:tcPr>
                  <w:tcW w:w="730" w:type="pct"/>
                  <w:vAlign w:val="center"/>
                </w:tcPr>
                <w:p w14:paraId="38662E5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w:t>
                  </w:r>
                </w:p>
              </w:tc>
            </w:tr>
            <w:tr w14:paraId="45D3DA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404" w:type="pct"/>
                  <w:vAlign w:val="center"/>
                </w:tcPr>
                <w:p w14:paraId="0208AC29">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3</w:t>
                  </w:r>
                </w:p>
              </w:tc>
              <w:tc>
                <w:tcPr>
                  <w:tcW w:w="3865" w:type="pct"/>
                  <w:vAlign w:val="center"/>
                </w:tcPr>
                <w:p w14:paraId="4696C78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eastAsia="zh-CN"/>
                    </w:rPr>
                    <w:t>项目于202</w:t>
                  </w:r>
                  <w:r>
                    <w:rPr>
                      <w:rFonts w:hint="default" w:ascii="Times New Roman" w:hAnsi="Times New Roman" w:eastAsia="仿宋" w:cs="Times New Roman"/>
                      <w:color w:val="auto"/>
                      <w:sz w:val="21"/>
                      <w:szCs w:val="21"/>
                      <w:lang w:val="en-US" w:eastAsia="zh-CN"/>
                    </w:rPr>
                    <w:t>4</w:t>
                  </w:r>
                  <w:r>
                    <w:rPr>
                      <w:rFonts w:hint="default" w:ascii="Times New Roman" w:hAnsi="Times New Roman" w:eastAsia="仿宋" w:cs="Times New Roman"/>
                      <w:color w:val="auto"/>
                      <w:sz w:val="21"/>
                      <w:szCs w:val="21"/>
                      <w:lang w:eastAsia="zh-CN"/>
                    </w:rPr>
                    <w:t>年</w:t>
                  </w: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lang w:eastAsia="zh-CN"/>
                    </w:rPr>
                    <w:t>月</w:t>
                  </w:r>
                  <w:r>
                    <w:rPr>
                      <w:rFonts w:hint="default" w:ascii="Times New Roman" w:hAnsi="Times New Roman" w:eastAsia="仿宋" w:cs="Times New Roman"/>
                      <w:color w:val="auto"/>
                      <w:sz w:val="21"/>
                      <w:szCs w:val="21"/>
                      <w:lang w:val="en-US" w:eastAsia="zh-CN"/>
                    </w:rPr>
                    <w:t>24</w:t>
                  </w:r>
                  <w:r>
                    <w:rPr>
                      <w:rFonts w:hint="default" w:ascii="Times New Roman" w:hAnsi="Times New Roman" w:eastAsia="仿宋" w:cs="Times New Roman"/>
                      <w:color w:val="auto"/>
                      <w:sz w:val="21"/>
                      <w:szCs w:val="21"/>
                      <w:lang w:eastAsia="zh-CN"/>
                    </w:rPr>
                    <w:t>日取得了常州市金坛区发展和改革局的项目备案证明，备案证号：坛发改备</w:t>
                  </w:r>
                  <w:r>
                    <w:rPr>
                      <w:rFonts w:hint="eastAsia" w:eastAsia="仿宋" w:cs="Times New Roman"/>
                      <w:color w:val="auto"/>
                      <w:sz w:val="21"/>
                      <w:szCs w:val="21"/>
                      <w:lang w:eastAsia="zh-CN"/>
                    </w:rPr>
                    <w:t>〔2024〕25号</w:t>
                  </w:r>
                  <w:r>
                    <w:rPr>
                      <w:rFonts w:hint="default" w:ascii="Times New Roman" w:hAnsi="Times New Roman" w:eastAsia="仿宋" w:cs="Times New Roman"/>
                      <w:color w:val="auto"/>
                      <w:sz w:val="21"/>
                      <w:szCs w:val="21"/>
                      <w:lang w:eastAsia="zh-CN"/>
                    </w:rPr>
                    <w:t>，项</w:t>
                  </w:r>
                  <w:r>
                    <w:rPr>
                      <w:rFonts w:hint="default" w:ascii="Times New Roman" w:hAnsi="Times New Roman" w:eastAsia="仿宋" w:cs="Times New Roman"/>
                      <w:color w:val="auto"/>
                      <w:sz w:val="21"/>
                      <w:szCs w:val="21"/>
                    </w:rPr>
                    <w:t>目代码：</w:t>
                  </w:r>
                  <w:r>
                    <w:rPr>
                      <w:rFonts w:hint="default" w:ascii="Times New Roman" w:hAnsi="Times New Roman" w:eastAsia="仿宋" w:cs="Times New Roman"/>
                      <w:color w:val="auto"/>
                      <w:sz w:val="21"/>
                      <w:szCs w:val="21"/>
                      <w:lang w:eastAsia="zh-CN"/>
                    </w:rPr>
                    <w:t>2401-320413-04-01-907026</w:t>
                  </w:r>
                </w:p>
              </w:tc>
              <w:tc>
                <w:tcPr>
                  <w:tcW w:w="730" w:type="pct"/>
                  <w:vAlign w:val="center"/>
                </w:tcPr>
                <w:p w14:paraId="2A84A60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是</w:t>
                  </w:r>
                </w:p>
              </w:tc>
            </w:tr>
          </w:tbl>
          <w:p w14:paraId="307E678B">
            <w:pPr>
              <w:autoSpaceDE w:val="0"/>
              <w:autoSpaceDN w:val="0"/>
              <w:adjustRightInd w:val="0"/>
              <w:snapToGrid w:val="0"/>
              <w:spacing w:line="500" w:lineRule="exac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val="en-US" w:eastAsia="zh-CN"/>
              </w:rPr>
              <w:t>4</w:t>
            </w:r>
            <w:r>
              <w:rPr>
                <w:rFonts w:hint="default" w:ascii="Times New Roman" w:hAnsi="Times New Roman" w:eastAsia="仿宋" w:cs="Times New Roman"/>
                <w:b/>
                <w:bCs/>
                <w:color w:val="auto"/>
                <w:sz w:val="24"/>
              </w:rPr>
              <w:t>、与太湖流域环境政策相符性分析</w:t>
            </w:r>
          </w:p>
          <w:p w14:paraId="7295B9D1">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（1）对照《江苏省太湖流域三级保护区范围》（苏政办发〔2012〕221号），本项目位于太湖流域三级保护区内。</w:t>
            </w:r>
          </w:p>
          <w:p w14:paraId="1A00A9B1">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（2）与《太湖流域管理条例》（国务院令第604号）相符性分析</w:t>
            </w:r>
          </w:p>
          <w:p w14:paraId="129D998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eastAsia" w:eastAsia="仿宋" w:cs="Times New Roman"/>
                <w:b/>
                <w:bCs/>
                <w:color w:val="auto"/>
                <w:sz w:val="21"/>
                <w:szCs w:val="21"/>
                <w:lang w:val="en-US" w:eastAsia="zh-CN"/>
              </w:rPr>
              <w:t>6</w:t>
            </w:r>
            <w:r>
              <w:rPr>
                <w:rFonts w:hint="default" w:ascii="Times New Roman" w:hAnsi="Times New Roman" w:eastAsia="仿宋" w:cs="Times New Roman"/>
                <w:b/>
                <w:bCs/>
                <w:color w:val="auto"/>
                <w:sz w:val="21"/>
                <w:szCs w:val="21"/>
              </w:rPr>
              <w:t xml:space="preserve"> 与国务院令第604号的相符性分析</w:t>
            </w:r>
          </w:p>
          <w:tbl>
            <w:tblPr>
              <w:tblStyle w:val="28"/>
              <w:tblW w:w="488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6082"/>
              <w:gridCol w:w="1132"/>
            </w:tblGrid>
            <w:tr w14:paraId="051F41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14:paraId="507C5E1D">
                  <w:pPr>
                    <w:adjustRightInd w:val="0"/>
                    <w:snapToGrid w:val="0"/>
                    <w:jc w:val="center"/>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rPr>
                    <w:t>条款</w:t>
                  </w:r>
                </w:p>
              </w:tc>
              <w:tc>
                <w:tcPr>
                  <w:tcW w:w="3841" w:type="pct"/>
                  <w:vAlign w:val="center"/>
                </w:tcPr>
                <w:p w14:paraId="3DCF8202">
                  <w:pPr>
                    <w:adjustRightInd w:val="0"/>
                    <w:snapToGrid w:val="0"/>
                    <w:jc w:val="center"/>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rPr>
                    <w:t>内容</w:t>
                  </w:r>
                </w:p>
              </w:tc>
              <w:tc>
                <w:tcPr>
                  <w:tcW w:w="714" w:type="pct"/>
                  <w:vAlign w:val="center"/>
                </w:tcPr>
                <w:p w14:paraId="08DB95A8">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相符性分析</w:t>
                  </w:r>
                </w:p>
              </w:tc>
            </w:tr>
            <w:tr w14:paraId="5A482A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44" w:type="pct"/>
                  <w:tcBorders>
                    <w:bottom w:val="single" w:color="auto" w:sz="2" w:space="0"/>
                  </w:tcBorders>
                  <w:vAlign w:val="center"/>
                </w:tcPr>
                <w:p w14:paraId="3B186E5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第二十八条</w:t>
                  </w:r>
                </w:p>
              </w:tc>
              <w:tc>
                <w:tcPr>
                  <w:tcW w:w="3841" w:type="pct"/>
                  <w:tcBorders>
                    <w:bottom w:val="single" w:color="auto" w:sz="2" w:space="0"/>
                  </w:tcBorders>
                  <w:vAlign w:val="center"/>
                </w:tcPr>
                <w:p w14:paraId="22E71A57">
                  <w:pPr>
                    <w:adjustRightInd w:val="0"/>
                    <w:snapToGrid w:val="0"/>
                    <w:ind w:firstLine="420" w:firstLineChars="2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排污单位排放水污染物，不得超过经核定的水污染物排放总量，并应当按照规定设置便于检查、采样的规范化排污口，悬挂标志牌；不得私设暗管或者采取其他规避监管的方式排放水污染物。</w:t>
                  </w:r>
                </w:p>
                <w:p w14:paraId="7BAFDC8D">
                  <w:pPr>
                    <w:adjustRightInd w:val="0"/>
                    <w:snapToGrid w:val="0"/>
                    <w:ind w:firstLine="420" w:firstLineChars="2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禁止在太湖流域设置不符合国家产业政策和水环境综合治理要求的造纸、制革、酒精、淀粉、冶金、酿造、印染、电镀等排放水污染物的生产项目，现有的生产项目不能实现达标排放的，应当依法关闭。</w:t>
                  </w:r>
                </w:p>
                <w:p w14:paraId="2D81FCFD">
                  <w:pPr>
                    <w:ind w:firstLine="420" w:firstLineChars="200"/>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szCs w:val="21"/>
                    </w:rPr>
                    <w:t>在太湖流域新设企业应当符合国家规定的清洁生产要求，现有的企业尚未达到清洁生产要求的，应当按照清洁生产规划要求进行技术改造，两省一市人民政府应当加强监督检查。</w:t>
                  </w:r>
                </w:p>
              </w:tc>
              <w:tc>
                <w:tcPr>
                  <w:tcW w:w="714" w:type="pct"/>
                  <w:tcBorders>
                    <w:bottom w:val="single" w:color="auto" w:sz="2" w:space="0"/>
                  </w:tcBorders>
                  <w:vAlign w:val="center"/>
                </w:tcPr>
                <w:p w14:paraId="031BA9EF">
                  <w:pPr>
                    <w:rPr>
                      <w:rFonts w:hint="default" w:ascii="Times New Roman" w:hAnsi="Times New Roman" w:eastAsia="仿宋" w:cs="Times New Roman"/>
                      <w:color w:val="auto"/>
                    </w:rPr>
                  </w:pPr>
                  <w:r>
                    <w:rPr>
                      <w:rFonts w:hint="default" w:ascii="Times New Roman" w:hAnsi="Times New Roman" w:eastAsia="仿宋" w:cs="Times New Roman"/>
                      <w:color w:val="auto"/>
                    </w:rPr>
                    <w:t>本项目属于</w:t>
                  </w:r>
                  <w:r>
                    <w:rPr>
                      <w:rFonts w:hint="default" w:ascii="Times New Roman" w:hAnsi="Times New Roman" w:eastAsia="仿宋" w:cs="Times New Roman"/>
                      <w:color w:val="auto"/>
                      <w:lang w:eastAsia="zh-CN"/>
                    </w:rPr>
                    <w:t>C3499其他未列明通用设备制造业</w:t>
                  </w:r>
                  <w:r>
                    <w:rPr>
                      <w:rFonts w:hint="default" w:ascii="Times New Roman" w:hAnsi="Times New Roman" w:eastAsia="仿宋" w:cs="Times New Roman"/>
                      <w:color w:val="auto"/>
                    </w:rPr>
                    <w:t>，不属于禁止类项目。</w:t>
                  </w:r>
                </w:p>
              </w:tc>
            </w:tr>
            <w:tr w14:paraId="700218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444" w:type="pct"/>
                  <w:tcBorders>
                    <w:top w:val="single" w:color="auto" w:sz="2" w:space="0"/>
                    <w:bottom w:val="single" w:color="auto" w:sz="2" w:space="0"/>
                  </w:tcBorders>
                  <w:vAlign w:val="center"/>
                </w:tcPr>
                <w:p w14:paraId="2A3D8EC8">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第二十九条</w:t>
                  </w:r>
                </w:p>
              </w:tc>
              <w:tc>
                <w:tcPr>
                  <w:tcW w:w="3841" w:type="pct"/>
                  <w:tcBorders>
                    <w:top w:val="single" w:color="auto" w:sz="2" w:space="0"/>
                    <w:bottom w:val="single" w:color="auto" w:sz="2" w:space="0"/>
                  </w:tcBorders>
                  <w:vAlign w:val="center"/>
                </w:tcPr>
                <w:p w14:paraId="75DD7B7E">
                  <w:pPr>
                    <w:ind w:firstLine="42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新孟河、望虞河以外的其他主要入太湖河道，自河口1万米上溯至5万米河道岸线内及其岸线两侧各1000米范围内，禁止下列行为：</w:t>
                  </w:r>
                </w:p>
                <w:p w14:paraId="6FCC2490">
                  <w:pPr>
                    <w:ind w:firstLine="42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（一）新建、扩建化工、医药生产项目；</w:t>
                  </w:r>
                </w:p>
                <w:p w14:paraId="466582E7">
                  <w:pPr>
                    <w:ind w:firstLine="42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（二）新建、扩建污水集中处理设施排污口以外的排污口；</w:t>
                  </w:r>
                </w:p>
                <w:p w14:paraId="086C90FD">
                  <w:pPr>
                    <w:ind w:firstLine="420" w:firstLineChars="200"/>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rPr>
                    <w:t>（三）扩大水产养殖规模。</w:t>
                  </w:r>
                </w:p>
              </w:tc>
              <w:tc>
                <w:tcPr>
                  <w:tcW w:w="714" w:type="pct"/>
                  <w:tcBorders>
                    <w:top w:val="single" w:color="auto" w:sz="2" w:space="0"/>
                    <w:bottom w:val="single" w:color="auto" w:sz="2" w:space="0"/>
                  </w:tcBorders>
                  <w:vAlign w:val="center"/>
                </w:tcPr>
                <w:p w14:paraId="69D27645">
                  <w:pPr>
                    <w:rPr>
                      <w:rFonts w:hint="default" w:ascii="Times New Roman" w:hAnsi="Times New Roman" w:eastAsia="仿宋" w:cs="Times New Roman"/>
                      <w:color w:val="auto"/>
                    </w:rPr>
                  </w:pPr>
                  <w:r>
                    <w:rPr>
                      <w:rFonts w:hint="default" w:ascii="Times New Roman" w:hAnsi="Times New Roman" w:eastAsia="仿宋" w:cs="Times New Roman"/>
                      <w:color w:val="auto"/>
                    </w:rPr>
                    <w:t>本项目周边不涉及入太湖河道</w:t>
                  </w:r>
                  <w:r>
                    <w:rPr>
                      <w:rFonts w:hint="default" w:ascii="Times New Roman" w:hAnsi="Times New Roman" w:eastAsia="仿宋" w:cs="Times New Roman"/>
                      <w:color w:val="auto"/>
                      <w:lang w:eastAsia="zh-CN"/>
                    </w:rPr>
                    <w:t>且不属于禁止建设类项目</w:t>
                  </w:r>
                  <w:r>
                    <w:rPr>
                      <w:rFonts w:hint="default" w:ascii="Times New Roman" w:hAnsi="Times New Roman" w:eastAsia="仿宋" w:cs="Times New Roman"/>
                      <w:color w:val="auto"/>
                    </w:rPr>
                    <w:t>。</w:t>
                  </w:r>
                </w:p>
              </w:tc>
            </w:tr>
            <w:tr w14:paraId="37414A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444" w:type="pct"/>
                  <w:tcBorders>
                    <w:top w:val="single" w:color="auto" w:sz="2" w:space="0"/>
                  </w:tcBorders>
                  <w:vAlign w:val="center"/>
                </w:tcPr>
                <w:p w14:paraId="5D2F1ED5">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第三十条</w:t>
                  </w:r>
                </w:p>
              </w:tc>
              <w:tc>
                <w:tcPr>
                  <w:tcW w:w="3841" w:type="pct"/>
                  <w:tcBorders>
                    <w:top w:val="single" w:color="auto" w:sz="2" w:space="0"/>
                  </w:tcBorders>
                  <w:vAlign w:val="center"/>
                </w:tcPr>
                <w:p w14:paraId="40EB52F7">
                  <w:pPr>
                    <w:ind w:firstLine="420" w:firstLineChars="200"/>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已经设置前款第一项、第二项规定设施的，当地县级人民政府应当责令拆除或者关闭的项目。</w:t>
                  </w:r>
                </w:p>
              </w:tc>
              <w:tc>
                <w:tcPr>
                  <w:tcW w:w="714" w:type="pct"/>
                  <w:tcBorders>
                    <w:top w:val="single" w:color="auto" w:sz="2" w:space="0"/>
                  </w:tcBorders>
                  <w:vAlign w:val="center"/>
                </w:tcPr>
                <w:p w14:paraId="10112B82">
                  <w:pPr>
                    <w:rPr>
                      <w:rFonts w:hint="default" w:ascii="Times New Roman" w:hAnsi="Times New Roman" w:eastAsia="仿宋" w:cs="Times New Roman"/>
                      <w:color w:val="auto"/>
                    </w:rPr>
                  </w:pPr>
                  <w:r>
                    <w:rPr>
                      <w:rFonts w:hint="default" w:ascii="Times New Roman" w:hAnsi="Times New Roman" w:eastAsia="仿宋" w:cs="Times New Roman"/>
                      <w:color w:val="auto"/>
                    </w:rPr>
                    <w:t>本项目不属于上述区域内。</w:t>
                  </w:r>
                </w:p>
              </w:tc>
            </w:tr>
          </w:tbl>
          <w:p w14:paraId="1C455FC7">
            <w:pPr>
              <w:autoSpaceDE w:val="0"/>
              <w:autoSpaceDN w:val="0"/>
              <w:adjustRightInd w:val="0"/>
              <w:snapToGrid w:val="0"/>
              <w:spacing w:line="500" w:lineRule="exact"/>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综上，本项目与《太湖流域管理条例》（国务院令第604号）的要求相符。</w:t>
            </w:r>
          </w:p>
          <w:p w14:paraId="39143C43">
            <w:pPr>
              <w:autoSpaceDE w:val="0"/>
              <w:autoSpaceDN w:val="0"/>
              <w:adjustRightInd w:val="0"/>
              <w:snapToGrid w:val="0"/>
              <w:spacing w:line="500" w:lineRule="exact"/>
              <w:ind w:firstLine="482" w:firstLineChars="200"/>
              <w:jc w:val="left"/>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（3）与《江苏省太湖水污染防治条例》（2021年修订）相符性分析</w:t>
            </w:r>
          </w:p>
          <w:p w14:paraId="4053C9AD">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eastAsia" w:eastAsia="仿宋" w:cs="Times New Roman"/>
                <w:b/>
                <w:bCs/>
                <w:color w:val="auto"/>
                <w:sz w:val="21"/>
                <w:szCs w:val="21"/>
                <w:lang w:val="en-US" w:eastAsia="zh-CN"/>
              </w:rPr>
              <w:t>7</w:t>
            </w:r>
            <w:r>
              <w:rPr>
                <w:rFonts w:hint="default" w:ascii="Times New Roman" w:hAnsi="Times New Roman" w:eastAsia="仿宋" w:cs="Times New Roman"/>
                <w:b/>
                <w:bCs/>
                <w:color w:val="auto"/>
                <w:sz w:val="21"/>
                <w:szCs w:val="21"/>
              </w:rPr>
              <w:t xml:space="preserve"> 《江苏省太湖水污染防治条例》分析对照表</w:t>
            </w:r>
          </w:p>
          <w:tbl>
            <w:tblPr>
              <w:tblStyle w:val="27"/>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5996"/>
              <w:gridCol w:w="1366"/>
            </w:tblGrid>
            <w:tr w14:paraId="58A0A8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pct"/>
                  <w:noWrap w:val="0"/>
                  <w:vAlign w:val="center"/>
                </w:tcPr>
                <w:p w14:paraId="1D3FB5F2">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条款</w:t>
                  </w:r>
                </w:p>
              </w:tc>
              <w:tc>
                <w:tcPr>
                  <w:tcW w:w="3703" w:type="pct"/>
                  <w:noWrap w:val="0"/>
                  <w:vAlign w:val="center"/>
                </w:tcPr>
                <w:p w14:paraId="0D0189C2">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内容</w:t>
                  </w:r>
                </w:p>
              </w:tc>
              <w:tc>
                <w:tcPr>
                  <w:tcW w:w="843" w:type="pct"/>
                  <w:noWrap w:val="0"/>
                  <w:vAlign w:val="center"/>
                </w:tcPr>
                <w:p w14:paraId="263B19F0">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相符性分析</w:t>
                  </w:r>
                </w:p>
              </w:tc>
            </w:tr>
            <w:tr w14:paraId="21A303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53" w:type="pct"/>
                  <w:noWrap w:val="0"/>
                  <w:vAlign w:val="center"/>
                </w:tcPr>
                <w:p w14:paraId="0B70B1B6">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第四十三条</w:t>
                  </w:r>
                </w:p>
              </w:tc>
              <w:tc>
                <w:tcPr>
                  <w:tcW w:w="3703" w:type="pct"/>
                  <w:noWrap w:val="0"/>
                  <w:vAlign w:val="center"/>
                </w:tcPr>
                <w:p w14:paraId="34CE1A6C">
                  <w:pPr>
                    <w:spacing w:line="240" w:lineRule="auto"/>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太湖流域一、二、三级保护区禁止下列行为：</w:t>
                  </w:r>
                </w:p>
                <w:p w14:paraId="581147B8">
                  <w:pPr>
                    <w:spacing w:line="240" w:lineRule="auto"/>
                    <w:ind w:firstLine="420" w:firstLineChars="200"/>
                    <w:rPr>
                      <w:rFonts w:hint="default" w:ascii="Times New Roman" w:hAnsi="Times New Roman" w:eastAsia="仿宋" w:cs="Times New Roman"/>
                      <w:i w:val="0"/>
                      <w:iCs w:val="0"/>
                      <w:caps w:val="0"/>
                      <w:color w:val="auto"/>
                      <w:spacing w:val="0"/>
                      <w:kern w:val="0"/>
                      <w:sz w:val="21"/>
                      <w:szCs w:val="21"/>
                      <w:lang w:val="en-US" w:eastAsia="zh-CN" w:bidi="ar"/>
                    </w:rPr>
                  </w:pPr>
                  <w:r>
                    <w:rPr>
                      <w:rFonts w:hint="default" w:ascii="Times New Roman" w:hAnsi="Times New Roman" w:eastAsia="仿宋" w:cs="Times New Roman"/>
                      <w:color w:val="auto"/>
                      <w:sz w:val="21"/>
                      <w:szCs w:val="21"/>
                    </w:rPr>
                    <w:t>（一）</w:t>
                  </w:r>
                  <w:r>
                    <w:rPr>
                      <w:rFonts w:hint="default" w:ascii="Times New Roman" w:hAnsi="Times New Roman" w:eastAsia="仿宋" w:cs="Times New Roman"/>
                      <w:i w:val="0"/>
                      <w:iCs w:val="0"/>
                      <w:caps w:val="0"/>
                      <w:color w:val="auto"/>
                      <w:spacing w:val="0"/>
                      <w:kern w:val="0"/>
                      <w:sz w:val="21"/>
                      <w:szCs w:val="21"/>
                      <w:lang w:val="en-US" w:eastAsia="zh-CN" w:bidi="ar"/>
                    </w:rPr>
                    <w:t>新建、改建、扩建化学制浆造纸、制革、酿造、染料、印染、电镀以及其他排放含磷、氮等污染物的企业和项目，城镇污水集中处理等环境基础设施项目和第四十六条规定的情形除外；</w:t>
                  </w:r>
                </w:p>
                <w:p w14:paraId="7496B45D">
                  <w:pPr>
                    <w:spacing w:line="240" w:lineRule="auto"/>
                    <w:ind w:firstLine="420" w:firstLineChars="200"/>
                    <w:rPr>
                      <w:rFonts w:hint="default" w:ascii="Times New Roman" w:hAnsi="Times New Roman" w:eastAsia="仿宋" w:cs="Times New Roman"/>
                      <w:i w:val="0"/>
                      <w:iCs w:val="0"/>
                      <w:caps w:val="0"/>
                      <w:color w:val="auto"/>
                      <w:spacing w:val="0"/>
                      <w:kern w:val="0"/>
                      <w:sz w:val="21"/>
                      <w:szCs w:val="21"/>
                      <w:lang w:val="en-US" w:eastAsia="zh-CN" w:bidi="ar"/>
                    </w:rPr>
                  </w:pPr>
                  <w:r>
                    <w:rPr>
                      <w:rFonts w:hint="default" w:ascii="Times New Roman" w:hAnsi="Times New Roman" w:eastAsia="仿宋" w:cs="Times New Roman"/>
                      <w:i w:val="0"/>
                      <w:iCs w:val="0"/>
                      <w:caps w:val="0"/>
                      <w:color w:val="auto"/>
                      <w:spacing w:val="0"/>
                      <w:kern w:val="0"/>
                      <w:sz w:val="21"/>
                      <w:szCs w:val="21"/>
                      <w:lang w:val="en-US" w:eastAsia="zh-CN" w:bidi="ar"/>
                    </w:rPr>
                    <w:t>（二）销售、使用含磷洗涤用品；</w:t>
                  </w:r>
                </w:p>
                <w:p w14:paraId="53FF41E2">
                  <w:pPr>
                    <w:spacing w:line="240" w:lineRule="auto"/>
                    <w:ind w:firstLine="420" w:firstLineChars="200"/>
                    <w:rPr>
                      <w:rFonts w:hint="default" w:ascii="Times New Roman" w:hAnsi="Times New Roman" w:eastAsia="仿宋" w:cs="Times New Roman"/>
                      <w:i w:val="0"/>
                      <w:iCs w:val="0"/>
                      <w:caps w:val="0"/>
                      <w:color w:val="auto"/>
                      <w:spacing w:val="0"/>
                      <w:kern w:val="0"/>
                      <w:sz w:val="21"/>
                      <w:szCs w:val="21"/>
                      <w:lang w:val="en-US" w:eastAsia="zh-CN" w:bidi="ar"/>
                    </w:rPr>
                  </w:pPr>
                  <w:r>
                    <w:rPr>
                      <w:rFonts w:hint="default" w:ascii="Times New Roman" w:hAnsi="Times New Roman" w:eastAsia="仿宋" w:cs="Times New Roman"/>
                      <w:i w:val="0"/>
                      <w:iCs w:val="0"/>
                      <w:caps w:val="0"/>
                      <w:color w:val="auto"/>
                      <w:spacing w:val="0"/>
                      <w:kern w:val="0"/>
                      <w:sz w:val="21"/>
                      <w:szCs w:val="21"/>
                      <w:lang w:val="en-US" w:eastAsia="zh-CN" w:bidi="ar"/>
                    </w:rPr>
                    <w:t>（三）向水体排放或者倾倒油类、酸液、碱液、剧毒废渣废液、含放射性废渣废液、含病原体污水、工业废渣以及其他废弃物；</w:t>
                  </w:r>
                </w:p>
                <w:p w14:paraId="260A7603">
                  <w:pPr>
                    <w:spacing w:line="240" w:lineRule="auto"/>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aps w:val="0"/>
                      <w:color w:val="auto"/>
                      <w:spacing w:val="0"/>
                      <w:kern w:val="0"/>
                      <w:sz w:val="21"/>
                      <w:szCs w:val="21"/>
                      <w:lang w:val="en-US" w:eastAsia="zh-CN" w:bidi="ar"/>
                    </w:rPr>
                    <w:t>（四）在水体清洗装贮过油类或者有毒有害污染物的车辆、船舶和容器等</w:t>
                  </w:r>
                  <w:r>
                    <w:rPr>
                      <w:rFonts w:hint="default" w:ascii="Times New Roman" w:hAnsi="Times New Roman" w:eastAsia="仿宋" w:cs="Times New Roman"/>
                      <w:color w:val="auto"/>
                      <w:sz w:val="21"/>
                      <w:szCs w:val="21"/>
                    </w:rPr>
                    <w:t>；</w:t>
                  </w:r>
                </w:p>
                <w:p w14:paraId="3FD7743D">
                  <w:pPr>
                    <w:spacing w:line="240" w:lineRule="auto"/>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（五）使用农药等有毒物毒杀水生生物；</w:t>
                  </w:r>
                </w:p>
                <w:p w14:paraId="5FB66E26">
                  <w:pPr>
                    <w:spacing w:line="240" w:lineRule="auto"/>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（六）向水体直接排放人畜粪便、倾倒垃圾；</w:t>
                  </w:r>
                </w:p>
                <w:p w14:paraId="4189B0E5">
                  <w:pPr>
                    <w:spacing w:line="240" w:lineRule="auto"/>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（七）围湖造地；</w:t>
                  </w:r>
                </w:p>
                <w:p w14:paraId="6DF4F080">
                  <w:pPr>
                    <w:spacing w:line="240" w:lineRule="auto"/>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（八）违法开山采石，或者进行破坏林木、植被、水生生物的活动；</w:t>
                  </w:r>
                </w:p>
                <w:p w14:paraId="55BD50AA">
                  <w:pPr>
                    <w:adjustRightInd w:val="0"/>
                    <w:snapToGrid w:val="0"/>
                    <w:spacing w:line="240" w:lineRule="auto"/>
                    <w:ind w:firstLine="420" w:firstLineChars="2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（九）法律、法规禁止的其他行为。</w:t>
                  </w:r>
                </w:p>
              </w:tc>
              <w:tc>
                <w:tcPr>
                  <w:tcW w:w="843" w:type="pct"/>
                  <w:noWrap w:val="0"/>
                  <w:vAlign w:val="center"/>
                </w:tcPr>
                <w:p w14:paraId="6ECA26D3">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本项目</w:t>
                  </w:r>
                  <w:r>
                    <w:rPr>
                      <w:rFonts w:hint="default" w:ascii="Times New Roman" w:hAnsi="Times New Roman" w:eastAsia="仿宋" w:cs="Times New Roman"/>
                      <w:color w:val="auto"/>
                    </w:rPr>
                    <w:t>属于</w:t>
                  </w:r>
                  <w:r>
                    <w:rPr>
                      <w:rFonts w:hint="default" w:ascii="Times New Roman" w:hAnsi="Times New Roman" w:eastAsia="仿宋" w:cs="Times New Roman"/>
                      <w:color w:val="auto"/>
                      <w:szCs w:val="21"/>
                      <w:lang w:eastAsia="zh-CN"/>
                    </w:rPr>
                    <w:t>C3499其他未列明通用设备制造业</w:t>
                  </w:r>
                  <w:r>
                    <w:rPr>
                      <w:rFonts w:hint="default" w:ascii="Times New Roman" w:hAnsi="Times New Roman" w:eastAsia="仿宋" w:cs="Times New Roman"/>
                      <w:color w:val="auto"/>
                    </w:rPr>
                    <w:t>，</w:t>
                  </w:r>
                  <w:r>
                    <w:rPr>
                      <w:rFonts w:hint="default" w:ascii="Times New Roman" w:hAnsi="Times New Roman" w:eastAsia="仿宋" w:cs="Times New Roman"/>
                      <w:color w:val="auto"/>
                      <w:sz w:val="21"/>
                      <w:szCs w:val="21"/>
                    </w:rPr>
                    <w:t>位于太湖流域三级保护区内，生产过程中无含磷、氮生产废水排放</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不属于禁止类。</w:t>
                  </w:r>
                </w:p>
              </w:tc>
            </w:tr>
          </w:tbl>
          <w:p w14:paraId="09CBDFD0">
            <w:pPr>
              <w:keepNext w:val="0"/>
              <w:keepLines w:val="0"/>
              <w:pageBreakBefore w:val="0"/>
              <w:widowControl w:val="0"/>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color w:val="auto"/>
                <w:sz w:val="24"/>
                <w:lang w:val="en-US" w:eastAsia="zh-CN"/>
              </w:rPr>
              <w:t>5</w:t>
            </w:r>
            <w:r>
              <w:rPr>
                <w:rFonts w:hint="default" w:ascii="Times New Roman" w:hAnsi="Times New Roman" w:eastAsia="仿宋" w:cs="Times New Roman"/>
                <w:b/>
                <w:color w:val="auto"/>
                <w:sz w:val="24"/>
              </w:rPr>
              <w:t>、</w:t>
            </w:r>
            <w:r>
              <w:rPr>
                <w:rFonts w:hint="default" w:ascii="Times New Roman" w:hAnsi="Times New Roman" w:eastAsia="仿宋" w:cs="Times New Roman"/>
                <w:b/>
                <w:bCs/>
                <w:color w:val="auto"/>
                <w:sz w:val="24"/>
              </w:rPr>
              <w:t>与其他环境保护管理要求的相符性分析</w:t>
            </w:r>
          </w:p>
          <w:p w14:paraId="06DF6023">
            <w:pPr>
              <w:keepNext w:val="0"/>
              <w:keepLines w:val="0"/>
              <w:pageBreakBefore w:val="0"/>
              <w:widowControl/>
              <w:kinsoku/>
              <w:wordWrap/>
              <w:overflowPunct/>
              <w:topLinePunct w:val="0"/>
              <w:autoSpaceDE/>
              <w:autoSpaceDN/>
              <w:bidi w:val="0"/>
              <w:adjustRightInd w:val="0"/>
              <w:snapToGrid/>
              <w:spacing w:line="500" w:lineRule="exact"/>
              <w:ind w:firstLine="482" w:firstLineChars="200"/>
              <w:textAlignment w:val="auto"/>
              <w:rPr>
                <w:rFonts w:hint="default" w:ascii="Times New Roman" w:hAnsi="Times New Roman" w:eastAsia="仿宋" w:cs="Times New Roman"/>
                <w:b/>
                <w:bCs w:val="0"/>
                <w:color w:val="auto"/>
                <w:sz w:val="24"/>
              </w:rPr>
            </w:pPr>
            <w:r>
              <w:rPr>
                <w:rFonts w:hint="default" w:ascii="Times New Roman" w:hAnsi="Times New Roman" w:eastAsia="仿宋" w:cs="Times New Roman"/>
                <w:b/>
                <w:bCs w:val="0"/>
                <w:color w:val="auto"/>
                <w:sz w:val="24"/>
              </w:rPr>
              <w:t>（1）与《江苏省大气污染防治条例》（2018年修正）相符性分析</w:t>
            </w:r>
          </w:p>
          <w:p w14:paraId="787B6F63">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eastAsia" w:eastAsia="仿宋" w:cs="Times New Roman"/>
                <w:b/>
                <w:bCs/>
                <w:color w:val="auto"/>
                <w:sz w:val="21"/>
                <w:szCs w:val="21"/>
                <w:lang w:val="en-US" w:eastAsia="zh-CN"/>
              </w:rPr>
              <w:t>8</w:t>
            </w:r>
            <w:r>
              <w:rPr>
                <w:rFonts w:hint="default" w:ascii="Times New Roman" w:hAnsi="Times New Roman" w:eastAsia="仿宋" w:cs="Times New Roman"/>
                <w:b/>
                <w:bCs/>
                <w:color w:val="auto"/>
                <w:sz w:val="21"/>
                <w:szCs w:val="21"/>
              </w:rPr>
              <w:t xml:space="preserve">  与《江苏省大气污染防治条例》（2018年修正）相符性分析</w:t>
            </w:r>
          </w:p>
          <w:tbl>
            <w:tblPr>
              <w:tblStyle w:val="28"/>
              <w:tblW w:w="48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43"/>
              <w:gridCol w:w="3087"/>
            </w:tblGrid>
            <w:tr w14:paraId="729847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vAlign w:val="center"/>
                </w:tcPr>
                <w:p w14:paraId="769D4C3B">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要求</w:t>
                  </w:r>
                </w:p>
              </w:tc>
              <w:tc>
                <w:tcPr>
                  <w:tcW w:w="1946" w:type="pct"/>
                  <w:vAlign w:val="center"/>
                </w:tcPr>
                <w:p w14:paraId="151D8422">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相符性分析</w:t>
                  </w:r>
                </w:p>
              </w:tc>
            </w:tr>
            <w:tr w14:paraId="6024BD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vAlign w:val="center"/>
                </w:tcPr>
                <w:p w14:paraId="7398DF14">
                  <w:pPr>
                    <w:autoSpaceDE w:val="0"/>
                    <w:autoSpaceDN w:val="0"/>
                    <w:snapToGrid w:val="0"/>
                    <w:ind w:firstLine="420" w:firstLineChars="200"/>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第三十九条  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1946" w:type="pct"/>
                  <w:vAlign w:val="center"/>
                </w:tcPr>
                <w:p w14:paraId="08BB6E83">
                  <w:pPr>
                    <w:autoSpaceDE w:val="0"/>
                    <w:autoSpaceDN w:val="0"/>
                    <w:snapToGrid w:val="0"/>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highlight w:val="none"/>
                    </w:rPr>
                    <w:t>本项目</w:t>
                  </w:r>
                  <w:r>
                    <w:rPr>
                      <w:rFonts w:hint="default" w:ascii="Times New Roman" w:hAnsi="Times New Roman" w:eastAsia="仿宋" w:cs="Times New Roman"/>
                      <w:color w:val="auto"/>
                      <w:kern w:val="0"/>
                      <w:szCs w:val="21"/>
                      <w:highlight w:val="none"/>
                      <w:lang w:eastAsia="zh-CN"/>
                    </w:rPr>
                    <w:t>喷漆在相对密闭的空间进行，喷漆有机</w:t>
                  </w:r>
                  <w:r>
                    <w:rPr>
                      <w:rFonts w:hint="default" w:ascii="Times New Roman" w:hAnsi="Times New Roman" w:eastAsia="仿宋" w:cs="Times New Roman"/>
                      <w:color w:val="auto"/>
                      <w:kern w:val="0"/>
                      <w:szCs w:val="21"/>
                      <w:highlight w:val="none"/>
                      <w:lang w:val="en-US" w:eastAsia="zh-CN"/>
                    </w:rPr>
                    <w:t>废气采用二级活性炭吸附设备处理</w:t>
                  </w:r>
                  <w:r>
                    <w:rPr>
                      <w:rFonts w:hint="default" w:ascii="Times New Roman" w:hAnsi="Times New Roman" w:eastAsia="仿宋" w:cs="Times New Roman"/>
                      <w:color w:val="auto"/>
                      <w:kern w:val="0"/>
                      <w:szCs w:val="21"/>
                      <w:highlight w:val="none"/>
                    </w:rPr>
                    <w:t>，可有效减少挥发性</w:t>
                  </w:r>
                  <w:r>
                    <w:rPr>
                      <w:rFonts w:hint="default" w:ascii="Times New Roman" w:hAnsi="Times New Roman" w:eastAsia="仿宋" w:cs="Times New Roman"/>
                      <w:color w:val="auto"/>
                      <w:szCs w:val="21"/>
                      <w:highlight w:val="none"/>
                    </w:rPr>
                    <w:t>有机物</w:t>
                  </w:r>
                  <w:r>
                    <w:rPr>
                      <w:rFonts w:hint="default" w:ascii="Times New Roman" w:hAnsi="Times New Roman" w:eastAsia="仿宋" w:cs="Times New Roman"/>
                      <w:color w:val="auto"/>
                      <w:kern w:val="0"/>
                      <w:szCs w:val="21"/>
                      <w:highlight w:val="none"/>
                    </w:rPr>
                    <w:t>排放量。</w:t>
                  </w:r>
                </w:p>
              </w:tc>
            </w:tr>
          </w:tbl>
          <w:p w14:paraId="2407B07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综上，本项目建设与《江苏省大气污染防治条例》（2018年修正）相符。</w:t>
            </w:r>
          </w:p>
          <w:p w14:paraId="4F23D121">
            <w:pPr>
              <w:keepNext w:val="0"/>
              <w:keepLines w:val="0"/>
              <w:pageBreakBefore w:val="0"/>
              <w:widowControl/>
              <w:kinsoku/>
              <w:wordWrap/>
              <w:overflowPunct/>
              <w:topLinePunct w:val="0"/>
              <w:autoSpaceDE/>
              <w:autoSpaceDN/>
              <w:bidi w:val="0"/>
              <w:adjustRightInd w:val="0"/>
              <w:snapToGrid/>
              <w:spacing w:line="500" w:lineRule="exact"/>
              <w:ind w:firstLine="482" w:firstLineChars="200"/>
              <w:textAlignment w:val="auto"/>
              <w:rPr>
                <w:rFonts w:hint="default" w:ascii="Times New Roman" w:hAnsi="Times New Roman" w:eastAsia="仿宋" w:cs="Times New Roman"/>
                <w:b/>
                <w:bCs w:val="0"/>
                <w:color w:val="auto"/>
                <w:sz w:val="24"/>
              </w:rPr>
            </w:pPr>
            <w:r>
              <w:rPr>
                <w:rFonts w:hint="default" w:ascii="Times New Roman" w:hAnsi="Times New Roman" w:eastAsia="仿宋" w:cs="Times New Roman"/>
                <w:b/>
                <w:bCs w:val="0"/>
                <w:color w:val="auto"/>
                <w:sz w:val="24"/>
              </w:rPr>
              <w:t>（</w:t>
            </w:r>
            <w:r>
              <w:rPr>
                <w:rFonts w:hint="default" w:ascii="Times New Roman" w:hAnsi="Times New Roman" w:eastAsia="仿宋" w:cs="Times New Roman"/>
                <w:b/>
                <w:bCs w:val="0"/>
                <w:color w:val="auto"/>
                <w:sz w:val="24"/>
                <w:lang w:val="en-US" w:eastAsia="zh-CN"/>
              </w:rPr>
              <w:t>2</w:t>
            </w:r>
            <w:r>
              <w:rPr>
                <w:rFonts w:hint="default" w:ascii="Times New Roman" w:hAnsi="Times New Roman" w:eastAsia="仿宋" w:cs="Times New Roman"/>
                <w:b/>
                <w:bCs w:val="0"/>
                <w:color w:val="auto"/>
                <w:sz w:val="24"/>
              </w:rPr>
              <w:t>）与《江苏省挥发性有机物污染物防治管理办法》（省政府令第119号）相符性分析</w:t>
            </w:r>
          </w:p>
          <w:p w14:paraId="2F9A400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eastAsia" w:eastAsia="仿宋" w:cs="Times New Roman"/>
                <w:b/>
                <w:bCs/>
                <w:color w:val="auto"/>
                <w:sz w:val="21"/>
                <w:szCs w:val="21"/>
                <w:lang w:val="en-US" w:eastAsia="zh-CN"/>
              </w:rPr>
              <w:t>9</w:t>
            </w:r>
            <w:r>
              <w:rPr>
                <w:rFonts w:hint="default" w:ascii="Times New Roman" w:hAnsi="Times New Roman" w:eastAsia="仿宋" w:cs="Times New Roman"/>
                <w:b/>
                <w:bCs/>
                <w:color w:val="auto"/>
                <w:sz w:val="21"/>
                <w:szCs w:val="21"/>
              </w:rPr>
              <w:t xml:space="preserve"> 与省政府令第119号的相符性分析</w:t>
            </w:r>
          </w:p>
          <w:tbl>
            <w:tblPr>
              <w:tblStyle w:val="28"/>
              <w:tblW w:w="77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79"/>
              <w:gridCol w:w="2517"/>
            </w:tblGrid>
            <w:tr w14:paraId="533E5A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9" w:type="dxa"/>
                  <w:vAlign w:val="center"/>
                </w:tcPr>
                <w:p w14:paraId="083CF802">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要求</w:t>
                  </w:r>
                </w:p>
              </w:tc>
              <w:tc>
                <w:tcPr>
                  <w:tcW w:w="2517" w:type="dxa"/>
                  <w:vAlign w:val="center"/>
                </w:tcPr>
                <w:p w14:paraId="116D7706">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相符性分析</w:t>
                  </w:r>
                </w:p>
              </w:tc>
            </w:tr>
            <w:tr w14:paraId="202902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5279" w:type="dxa"/>
                  <w:tcBorders>
                    <w:bottom w:val="single" w:color="auto" w:sz="2" w:space="0"/>
                  </w:tcBorders>
                  <w:vAlign w:val="center"/>
                </w:tcPr>
                <w:p w14:paraId="09F4408B">
                  <w:pPr>
                    <w:ind w:firstLine="42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根据《江苏省挥发性有机物污染物防治管理办法》：</w:t>
                  </w:r>
                </w:p>
                <w:p w14:paraId="774B1563">
                  <w:pPr>
                    <w:rPr>
                      <w:rFonts w:hint="default" w:ascii="Times New Roman" w:hAnsi="Times New Roman" w:eastAsia="仿宋" w:cs="Times New Roman"/>
                      <w:color w:val="auto"/>
                    </w:rPr>
                  </w:pPr>
                  <w:r>
                    <w:rPr>
                      <w:rFonts w:hint="default" w:ascii="Times New Roman" w:hAnsi="Times New Roman" w:eastAsia="仿宋" w:cs="Times New Roman"/>
                      <w:color w:val="auto"/>
                    </w:rPr>
                    <w:t>第十三条：新建、改建、扩建排放挥发性有机物的建设项目，应当依法进行环境影响评价。新增挥发性有机物排放总量指标的不足部分，可以依照有关规定通过排污权交易取得。</w:t>
                  </w:r>
                </w:p>
                <w:p w14:paraId="76958FAD">
                  <w:pPr>
                    <w:ind w:firstLine="42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建设项目的环境影响评价文件未经审查或者审查后未予批准的，建设单位不得开工建设。</w:t>
                  </w:r>
                </w:p>
              </w:tc>
              <w:tc>
                <w:tcPr>
                  <w:tcW w:w="2517" w:type="dxa"/>
                  <w:tcBorders>
                    <w:bottom w:val="single" w:color="auto" w:sz="2" w:space="0"/>
                  </w:tcBorders>
                  <w:vAlign w:val="center"/>
                </w:tcPr>
                <w:p w14:paraId="3AD1F4C7">
                  <w:pPr>
                    <w:rPr>
                      <w:rFonts w:hint="default" w:ascii="Times New Roman" w:hAnsi="Times New Roman" w:eastAsia="仿宋" w:cs="Times New Roman"/>
                      <w:color w:val="auto"/>
                    </w:rPr>
                  </w:pPr>
                  <w:r>
                    <w:rPr>
                      <w:rFonts w:hint="default" w:ascii="Times New Roman" w:hAnsi="Times New Roman" w:eastAsia="仿宋" w:cs="Times New Roman"/>
                      <w:color w:val="auto"/>
                    </w:rPr>
                    <w:t>本项目建设性质为</w:t>
                  </w:r>
                  <w:r>
                    <w:rPr>
                      <w:rFonts w:hint="default" w:ascii="Times New Roman" w:hAnsi="Times New Roman" w:eastAsia="仿宋" w:cs="Times New Roman"/>
                      <w:color w:val="auto"/>
                      <w:lang w:val="en-US" w:eastAsia="zh-CN"/>
                    </w:rPr>
                    <w:t>扩建</w:t>
                  </w:r>
                  <w:r>
                    <w:rPr>
                      <w:rFonts w:hint="default" w:ascii="Times New Roman" w:hAnsi="Times New Roman" w:eastAsia="仿宋" w:cs="Times New Roman"/>
                      <w:color w:val="auto"/>
                    </w:rPr>
                    <w:t>，正在进行环境影响评价流程，在环评审批前将严格落实主要污染物排放总量指标控制制度，取得主要污染物排放总量的控制指标和平衡方案，故符合文件要求。</w:t>
                  </w:r>
                </w:p>
              </w:tc>
            </w:tr>
            <w:tr w14:paraId="437673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5279" w:type="dxa"/>
                  <w:tcBorders>
                    <w:top w:val="single" w:color="auto" w:sz="2" w:space="0"/>
                  </w:tcBorders>
                  <w:vAlign w:val="center"/>
                </w:tcPr>
                <w:p w14:paraId="59E110DC">
                  <w:pPr>
                    <w:ind w:firstLine="42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第二十一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4967DF21">
                  <w:pPr>
                    <w:ind w:firstLine="42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无法在密闭空间进行的生产经营活动应当采取有效措施，减少挥发性有机物排放量。</w:t>
                  </w:r>
                </w:p>
              </w:tc>
              <w:tc>
                <w:tcPr>
                  <w:tcW w:w="2517" w:type="dxa"/>
                  <w:tcBorders>
                    <w:top w:val="single" w:color="auto" w:sz="2" w:space="0"/>
                  </w:tcBorders>
                  <w:vAlign w:val="center"/>
                </w:tcPr>
                <w:p w14:paraId="6A1ADCDE">
                  <w:pPr>
                    <w:rPr>
                      <w:rFonts w:hint="default" w:ascii="Times New Roman" w:hAnsi="Times New Roman" w:eastAsia="仿宋" w:cs="Times New Roman"/>
                      <w:color w:val="auto"/>
                    </w:rPr>
                  </w:pPr>
                  <w:r>
                    <w:rPr>
                      <w:rFonts w:hint="default" w:ascii="Times New Roman" w:hAnsi="Times New Roman" w:eastAsia="仿宋" w:cs="Times New Roman"/>
                      <w:color w:val="auto"/>
                      <w:kern w:val="0"/>
                      <w:szCs w:val="21"/>
                      <w:highlight w:val="none"/>
                    </w:rPr>
                    <w:t>本项目</w:t>
                  </w:r>
                  <w:r>
                    <w:rPr>
                      <w:rFonts w:hint="default" w:ascii="Times New Roman" w:hAnsi="Times New Roman" w:eastAsia="仿宋" w:cs="Times New Roman"/>
                      <w:color w:val="auto"/>
                      <w:kern w:val="0"/>
                      <w:szCs w:val="21"/>
                      <w:highlight w:val="none"/>
                      <w:lang w:eastAsia="zh-CN"/>
                    </w:rPr>
                    <w:t>喷漆在相对密闭的空间进行，喷漆有机</w:t>
                  </w:r>
                  <w:r>
                    <w:rPr>
                      <w:rFonts w:hint="default" w:ascii="Times New Roman" w:hAnsi="Times New Roman" w:eastAsia="仿宋" w:cs="Times New Roman"/>
                      <w:color w:val="auto"/>
                      <w:kern w:val="0"/>
                      <w:szCs w:val="21"/>
                      <w:highlight w:val="none"/>
                      <w:lang w:val="en-US" w:eastAsia="zh-CN"/>
                    </w:rPr>
                    <w:t>废气采用二级活性炭吸附设备处理</w:t>
                  </w:r>
                  <w:r>
                    <w:rPr>
                      <w:rFonts w:hint="default" w:ascii="Times New Roman" w:hAnsi="Times New Roman" w:eastAsia="仿宋" w:cs="Times New Roman"/>
                      <w:color w:val="auto"/>
                      <w:kern w:val="0"/>
                      <w:szCs w:val="21"/>
                      <w:highlight w:val="none"/>
                      <w:lang w:eastAsia="zh-CN"/>
                    </w:rPr>
                    <w:t>后可达标排放</w:t>
                  </w:r>
                  <w:r>
                    <w:rPr>
                      <w:rFonts w:hint="default" w:ascii="Times New Roman" w:hAnsi="Times New Roman" w:eastAsia="仿宋" w:cs="Times New Roman"/>
                      <w:color w:val="auto"/>
                    </w:rPr>
                    <w:t>，符合相关要求。</w:t>
                  </w:r>
                </w:p>
              </w:tc>
            </w:tr>
          </w:tbl>
          <w:p w14:paraId="17C1308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color w:val="auto"/>
                <w:sz w:val="24"/>
              </w:rPr>
              <w:t>综上，本项目与</w:t>
            </w:r>
            <w:r>
              <w:rPr>
                <w:rFonts w:hint="default" w:ascii="Times New Roman" w:hAnsi="Times New Roman" w:eastAsia="仿宋" w:cs="Times New Roman"/>
                <w:bCs/>
                <w:color w:val="auto"/>
                <w:sz w:val="24"/>
              </w:rPr>
              <w:t>《江苏省挥发性有机物污染物防治管理办法》（省政府令第119号）</w:t>
            </w:r>
            <w:r>
              <w:rPr>
                <w:rFonts w:hint="default" w:ascii="Times New Roman" w:hAnsi="Times New Roman" w:eastAsia="仿宋" w:cs="Times New Roman"/>
                <w:color w:val="auto"/>
                <w:sz w:val="24"/>
              </w:rPr>
              <w:t>的要求相符。</w:t>
            </w:r>
          </w:p>
          <w:p w14:paraId="6A7F6083">
            <w:pPr>
              <w:keepNext w:val="0"/>
              <w:keepLines w:val="0"/>
              <w:pageBreakBefore w:val="0"/>
              <w:widowControl/>
              <w:kinsoku/>
              <w:wordWrap/>
              <w:overflowPunct/>
              <w:topLinePunct w:val="0"/>
              <w:autoSpaceDE/>
              <w:autoSpaceDN/>
              <w:bidi w:val="0"/>
              <w:adjustRightInd w:val="0"/>
              <w:snapToGrid/>
              <w:spacing w:line="500" w:lineRule="exact"/>
              <w:ind w:firstLine="482" w:firstLineChars="20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w:t>
            </w:r>
            <w:r>
              <w:rPr>
                <w:rFonts w:hint="default" w:ascii="Times New Roman" w:hAnsi="Times New Roman" w:eastAsia="仿宋" w:cs="Times New Roman"/>
                <w:b/>
                <w:bCs/>
                <w:color w:val="auto"/>
                <w:sz w:val="24"/>
                <w:lang w:val="en-US" w:eastAsia="zh-CN"/>
              </w:rPr>
              <w:t>3</w:t>
            </w:r>
            <w:r>
              <w:rPr>
                <w:rFonts w:hint="default" w:ascii="Times New Roman" w:hAnsi="Times New Roman" w:eastAsia="仿宋" w:cs="Times New Roman"/>
                <w:b/>
                <w:bCs/>
                <w:color w:val="auto"/>
                <w:sz w:val="24"/>
              </w:rPr>
              <w:t>）与《江苏省重点行业挥发性有机物污染控制指南》（苏环办〔2014〕128号）的相符性分析</w:t>
            </w:r>
          </w:p>
          <w:p w14:paraId="400E8286">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default" w:ascii="Times New Roman" w:hAnsi="Times New Roman" w:eastAsia="仿宋" w:cs="Times New Roman"/>
                <w:b/>
                <w:bCs/>
                <w:color w:val="auto"/>
                <w:sz w:val="21"/>
                <w:szCs w:val="21"/>
                <w:lang w:val="en-US" w:eastAsia="zh-CN"/>
              </w:rPr>
              <w:t>1</w:t>
            </w:r>
            <w:r>
              <w:rPr>
                <w:rFonts w:hint="eastAsia" w:eastAsia="仿宋" w:cs="Times New Roman"/>
                <w:b/>
                <w:bCs/>
                <w:color w:val="auto"/>
                <w:sz w:val="21"/>
                <w:szCs w:val="21"/>
                <w:lang w:val="en-US" w:eastAsia="zh-CN"/>
              </w:rPr>
              <w:t>0</w:t>
            </w:r>
            <w:r>
              <w:rPr>
                <w:rFonts w:hint="default"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 xml:space="preserve"> 与苏环办</w:t>
            </w:r>
            <w:r>
              <w:rPr>
                <w:rFonts w:hint="eastAsia" w:eastAsia="仿宋" w:cs="Times New Roman"/>
                <w:b/>
                <w:bCs/>
                <w:color w:val="auto"/>
                <w:sz w:val="21"/>
                <w:szCs w:val="21"/>
                <w:lang w:eastAsia="zh-CN"/>
              </w:rPr>
              <w:t>〔2014〕128号</w:t>
            </w:r>
            <w:r>
              <w:rPr>
                <w:rFonts w:hint="default" w:ascii="Times New Roman" w:hAnsi="Times New Roman" w:eastAsia="仿宋" w:cs="Times New Roman"/>
                <w:b/>
                <w:bCs/>
                <w:color w:val="auto"/>
                <w:sz w:val="21"/>
                <w:szCs w:val="21"/>
              </w:rPr>
              <w:t>的相符性分析</w:t>
            </w:r>
          </w:p>
          <w:tbl>
            <w:tblPr>
              <w:tblStyle w:val="27"/>
              <w:tblW w:w="79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95"/>
              <w:gridCol w:w="3359"/>
            </w:tblGrid>
            <w:tr w14:paraId="56B6A7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595" w:type="dxa"/>
                  <w:vAlign w:val="center"/>
                </w:tcPr>
                <w:p w14:paraId="1D47DDCA">
                  <w:pPr>
                    <w:autoSpaceDE w:val="0"/>
                    <w:autoSpaceDN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总体要求</w:t>
                  </w:r>
                </w:p>
              </w:tc>
              <w:tc>
                <w:tcPr>
                  <w:tcW w:w="3359" w:type="dxa"/>
                  <w:vAlign w:val="center"/>
                </w:tcPr>
                <w:p w14:paraId="0E9A218C">
                  <w:pPr>
                    <w:autoSpaceDE w:val="0"/>
                    <w:autoSpaceDN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相符性分析</w:t>
                  </w:r>
                </w:p>
              </w:tc>
            </w:tr>
            <w:tr w14:paraId="4295C2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595" w:type="dxa"/>
                  <w:vAlign w:val="center"/>
                </w:tcPr>
                <w:p w14:paraId="7B584631">
                  <w:pPr>
                    <w:autoSpaceDE w:val="0"/>
                    <w:autoSpaceDN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所有产生有机废气污染的企业，应优先采用环保型原辅料、生产工艺和装备，对相应生产单元或设施进行密闭，从源头控制VOCs的产生，减少废气污染物排放。</w:t>
                  </w:r>
                </w:p>
              </w:tc>
              <w:tc>
                <w:tcPr>
                  <w:tcW w:w="3359" w:type="dxa"/>
                  <w:vAlign w:val="center"/>
                </w:tcPr>
                <w:p w14:paraId="183A03D2">
                  <w:pPr>
                    <w:autoSpaceDE w:val="0"/>
                    <w:autoSpaceDN w:val="0"/>
                    <w:snapToGrid w:val="0"/>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本项目</w:t>
                  </w:r>
                  <w:r>
                    <w:rPr>
                      <w:rFonts w:hint="default" w:ascii="Times New Roman" w:hAnsi="Times New Roman" w:eastAsia="仿宋" w:cs="Times New Roman"/>
                      <w:color w:val="auto"/>
                      <w:szCs w:val="21"/>
                      <w:lang w:val="en-US" w:eastAsia="zh-CN"/>
                    </w:rPr>
                    <w:t>水性漆等</w:t>
                  </w:r>
                  <w:r>
                    <w:rPr>
                      <w:rFonts w:hint="default" w:ascii="Times New Roman" w:hAnsi="Times New Roman" w:eastAsia="仿宋" w:cs="Times New Roman"/>
                      <w:color w:val="auto"/>
                      <w:szCs w:val="21"/>
                    </w:rPr>
                    <w:t>VOCs</w:t>
                  </w:r>
                  <w:r>
                    <w:rPr>
                      <w:rFonts w:hint="default" w:ascii="Times New Roman" w:hAnsi="Times New Roman" w:eastAsia="仿宋" w:cs="Times New Roman"/>
                      <w:color w:val="auto"/>
                      <w:szCs w:val="21"/>
                      <w:lang w:val="en-US" w:eastAsia="zh-CN"/>
                    </w:rPr>
                    <w:t>物料储存于密闭的桶中，存放于室内，非取用状态时密闭</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kern w:val="0"/>
                      <w:szCs w:val="21"/>
                      <w:highlight w:val="none"/>
                      <w:lang w:eastAsia="zh-CN"/>
                    </w:rPr>
                    <w:t>喷漆在相对密闭的空间进行。</w:t>
                  </w:r>
                </w:p>
              </w:tc>
            </w:tr>
            <w:tr w14:paraId="3BDE7C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595" w:type="dxa"/>
                  <w:vAlign w:val="center"/>
                </w:tcPr>
                <w:p w14:paraId="55206C9B">
                  <w:pPr>
                    <w:autoSpaceDE w:val="0"/>
                    <w:autoSpaceDN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p>
              </w:tc>
              <w:tc>
                <w:tcPr>
                  <w:tcW w:w="3359" w:type="dxa"/>
                  <w:vAlign w:val="center"/>
                </w:tcPr>
                <w:p w14:paraId="44F08A70">
                  <w:pPr>
                    <w:autoSpaceDE w:val="0"/>
                    <w:autoSpaceDN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w:t>
                  </w:r>
                  <w:r>
                    <w:rPr>
                      <w:rFonts w:hint="default" w:ascii="Times New Roman" w:hAnsi="Times New Roman" w:eastAsia="仿宋" w:cs="Times New Roman"/>
                      <w:color w:val="auto"/>
                      <w:szCs w:val="21"/>
                      <w:lang w:eastAsia="zh-CN"/>
                    </w:rPr>
                    <w:t>采用低</w:t>
                  </w:r>
                  <w:r>
                    <w:rPr>
                      <w:rFonts w:hint="default" w:ascii="Times New Roman" w:hAnsi="Times New Roman" w:eastAsia="仿宋" w:cs="Times New Roman"/>
                      <w:color w:val="auto"/>
                      <w:szCs w:val="21"/>
                    </w:rPr>
                    <w:t>VOCs</w:t>
                  </w:r>
                  <w:r>
                    <w:rPr>
                      <w:rFonts w:hint="default" w:ascii="Times New Roman" w:hAnsi="Times New Roman" w:eastAsia="仿宋" w:cs="Times New Roman"/>
                      <w:color w:val="auto"/>
                      <w:szCs w:val="21"/>
                      <w:lang w:eastAsia="zh-CN"/>
                    </w:rPr>
                    <w:t>含量的水性漆</w:t>
                  </w:r>
                  <w:r>
                    <w:rPr>
                      <w:rFonts w:hint="default" w:ascii="Times New Roman" w:hAnsi="Times New Roman" w:eastAsia="仿宋" w:cs="Times New Roman"/>
                      <w:color w:val="auto"/>
                      <w:szCs w:val="21"/>
                    </w:rPr>
                    <w:t>，</w:t>
                  </w:r>
                  <w:r>
                    <w:rPr>
                      <w:rFonts w:hint="default" w:ascii="Times New Roman" w:hAnsi="Times New Roman" w:eastAsia="仿宋" w:cs="Times New Roman"/>
                      <w:color w:val="auto"/>
                      <w:kern w:val="0"/>
                      <w:szCs w:val="21"/>
                      <w:highlight w:val="none"/>
                    </w:rPr>
                    <w:t>项目</w:t>
                  </w:r>
                  <w:r>
                    <w:rPr>
                      <w:rFonts w:hint="default" w:ascii="Times New Roman" w:hAnsi="Times New Roman" w:eastAsia="仿宋" w:cs="Times New Roman"/>
                      <w:color w:val="auto"/>
                      <w:kern w:val="0"/>
                      <w:szCs w:val="21"/>
                      <w:highlight w:val="none"/>
                      <w:lang w:val="en-US" w:eastAsia="zh-CN"/>
                    </w:rPr>
                    <w:t>有机废气采用密闭空间收集后进入二级活性炭吸附设备处理</w:t>
                  </w:r>
                  <w:r>
                    <w:rPr>
                      <w:rFonts w:hint="default" w:ascii="Times New Roman" w:hAnsi="Times New Roman" w:eastAsia="仿宋" w:cs="Times New Roman"/>
                      <w:color w:val="auto"/>
                      <w:szCs w:val="21"/>
                      <w:highlight w:val="none"/>
                    </w:rPr>
                    <w:t>，废气收集为</w:t>
                  </w:r>
                  <w:r>
                    <w:rPr>
                      <w:rFonts w:hint="default" w:ascii="Times New Roman" w:hAnsi="Times New Roman" w:eastAsia="仿宋" w:cs="Times New Roman"/>
                      <w:color w:val="auto"/>
                      <w:szCs w:val="21"/>
                      <w:highlight w:val="none"/>
                      <w:lang w:val="en-US" w:eastAsia="zh-CN"/>
                    </w:rPr>
                    <w:t>95</w:t>
                  </w:r>
                  <w:r>
                    <w:rPr>
                      <w:rFonts w:hint="default" w:ascii="Times New Roman" w:hAnsi="Times New Roman" w:eastAsia="仿宋" w:cs="Times New Roman"/>
                      <w:color w:val="auto"/>
                      <w:szCs w:val="21"/>
                      <w:highlight w:val="none"/>
                    </w:rPr>
                    <w:t>%，处理效率为</w:t>
                  </w:r>
                  <w:r>
                    <w:rPr>
                      <w:rFonts w:hint="default" w:ascii="Times New Roman" w:hAnsi="Times New Roman" w:eastAsia="仿宋" w:cs="Times New Roman"/>
                      <w:color w:val="auto"/>
                      <w:szCs w:val="21"/>
                      <w:highlight w:val="none"/>
                      <w:lang w:val="en-US" w:eastAsia="zh-CN"/>
                    </w:rPr>
                    <w:t>90</w:t>
                  </w:r>
                  <w:r>
                    <w:rPr>
                      <w:rFonts w:hint="default" w:ascii="Times New Roman" w:hAnsi="Times New Roman" w:eastAsia="仿宋" w:cs="Times New Roman"/>
                      <w:color w:val="auto"/>
                      <w:szCs w:val="21"/>
                      <w:highlight w:val="none"/>
                    </w:rPr>
                    <w:t>%</w:t>
                  </w:r>
                  <w:r>
                    <w:rPr>
                      <w:rFonts w:hint="default" w:ascii="Times New Roman" w:hAnsi="Times New Roman" w:eastAsia="仿宋" w:cs="Times New Roman"/>
                      <w:color w:val="auto"/>
                      <w:szCs w:val="21"/>
                    </w:rPr>
                    <w:t>，符合相关要求。</w:t>
                  </w:r>
                </w:p>
              </w:tc>
            </w:tr>
          </w:tbl>
          <w:p w14:paraId="0DF5ED4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综上，本项目建设与《江苏省重点行业挥发性有机物污染控制指南》（苏环办〔2014〕128号）相符。</w:t>
            </w:r>
          </w:p>
          <w:p w14:paraId="3191268A">
            <w:pPr>
              <w:keepNext w:val="0"/>
              <w:keepLines w:val="0"/>
              <w:pageBreakBefore w:val="0"/>
              <w:widowControl/>
              <w:kinsoku/>
              <w:wordWrap/>
              <w:overflowPunct/>
              <w:topLinePunct w:val="0"/>
              <w:autoSpaceDE/>
              <w:autoSpaceDN/>
              <w:bidi w:val="0"/>
              <w:adjustRightInd w:val="0"/>
              <w:snapToGrid/>
              <w:spacing w:line="500" w:lineRule="exact"/>
              <w:ind w:firstLine="482" w:firstLineChars="200"/>
              <w:textAlignment w:val="auto"/>
              <w:rPr>
                <w:rFonts w:hint="default" w:ascii="Times New Roman" w:hAnsi="Times New Roman" w:eastAsia="仿宋" w:cs="Times New Roman"/>
                <w:b/>
                <w:bCs/>
                <w:color w:val="auto"/>
                <w:sz w:val="24"/>
                <w:lang w:eastAsia="zh-CN"/>
              </w:rPr>
            </w:pPr>
            <w:r>
              <w:rPr>
                <w:rFonts w:hint="default" w:ascii="Times New Roman" w:hAnsi="Times New Roman" w:eastAsia="仿宋" w:cs="Times New Roman"/>
                <w:b/>
                <w:bCs/>
                <w:color w:val="auto"/>
                <w:sz w:val="24"/>
                <w:lang w:eastAsia="zh-CN"/>
              </w:rPr>
              <w:t>（</w:t>
            </w:r>
            <w:r>
              <w:rPr>
                <w:rFonts w:hint="default" w:ascii="Times New Roman" w:hAnsi="Times New Roman" w:eastAsia="仿宋" w:cs="Times New Roman"/>
                <w:b/>
                <w:bCs/>
                <w:color w:val="auto"/>
                <w:sz w:val="24"/>
                <w:lang w:val="en-US" w:eastAsia="zh-CN"/>
              </w:rPr>
              <w:t>4</w:t>
            </w:r>
            <w:r>
              <w:rPr>
                <w:rFonts w:hint="default" w:ascii="Times New Roman" w:hAnsi="Times New Roman" w:eastAsia="仿宋" w:cs="Times New Roman"/>
                <w:b/>
                <w:bCs/>
                <w:color w:val="auto"/>
                <w:sz w:val="24"/>
                <w:lang w:eastAsia="zh-CN"/>
              </w:rPr>
              <w:t>）与关于印发《2020年挥发性有机物治理攻坚方案》的通知（环大气〔2020〕33号）相符性分析</w:t>
            </w:r>
          </w:p>
          <w:p w14:paraId="11CB3D92">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default" w:ascii="Times New Roman" w:hAnsi="Times New Roman" w:eastAsia="仿宋" w:cs="Times New Roman"/>
                <w:b/>
                <w:bCs/>
                <w:color w:val="auto"/>
                <w:sz w:val="21"/>
                <w:szCs w:val="21"/>
                <w:lang w:val="en-US" w:eastAsia="zh-CN"/>
              </w:rPr>
              <w:t>1</w:t>
            </w:r>
            <w:r>
              <w:rPr>
                <w:rFonts w:hint="eastAsia" w:eastAsia="仿宋" w:cs="Times New Roman"/>
                <w:b/>
                <w:bCs/>
                <w:color w:val="auto"/>
                <w:sz w:val="21"/>
                <w:szCs w:val="21"/>
                <w:lang w:val="en-US" w:eastAsia="zh-CN"/>
              </w:rPr>
              <w:t>1</w:t>
            </w:r>
            <w:r>
              <w:rPr>
                <w:rFonts w:hint="default" w:ascii="Times New Roman" w:hAnsi="Times New Roman" w:eastAsia="仿宋" w:cs="Times New Roman"/>
                <w:b/>
                <w:bCs/>
                <w:color w:val="auto"/>
                <w:sz w:val="21"/>
                <w:szCs w:val="21"/>
              </w:rPr>
              <w:t xml:space="preserve"> 与环大气</w:t>
            </w:r>
            <w:r>
              <w:rPr>
                <w:rFonts w:hint="eastAsia" w:eastAsia="仿宋" w:cs="Times New Roman"/>
                <w:b/>
                <w:bCs/>
                <w:color w:val="auto"/>
                <w:sz w:val="21"/>
                <w:szCs w:val="21"/>
                <w:lang w:eastAsia="zh-CN"/>
              </w:rPr>
              <w:t>〔2020〕33号</w:t>
            </w:r>
            <w:r>
              <w:rPr>
                <w:rFonts w:hint="default" w:ascii="Times New Roman" w:hAnsi="Times New Roman" w:eastAsia="仿宋" w:cs="Times New Roman"/>
                <w:b/>
                <w:bCs/>
                <w:color w:val="auto"/>
                <w:sz w:val="21"/>
                <w:szCs w:val="21"/>
              </w:rPr>
              <w:t>相符性分析</w:t>
            </w:r>
          </w:p>
          <w:tbl>
            <w:tblPr>
              <w:tblStyle w:val="2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75"/>
              <w:gridCol w:w="1823"/>
            </w:tblGrid>
            <w:tr w14:paraId="0EA208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4" w:type="pct"/>
                  <w:noWrap w:val="0"/>
                  <w:vAlign w:val="center"/>
                </w:tcPr>
                <w:p w14:paraId="3AE84DE2">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要求</w:t>
                  </w:r>
                </w:p>
              </w:tc>
              <w:tc>
                <w:tcPr>
                  <w:tcW w:w="1125" w:type="pct"/>
                  <w:noWrap w:val="0"/>
                  <w:vAlign w:val="center"/>
                </w:tcPr>
                <w:p w14:paraId="45549C3E">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相符性分析</w:t>
                  </w:r>
                </w:p>
              </w:tc>
            </w:tr>
            <w:tr w14:paraId="1B81E7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4" w:type="pct"/>
                  <w:noWrap w:val="0"/>
                  <w:vAlign w:val="center"/>
                </w:tcPr>
                <w:p w14:paraId="5531E1AD">
                  <w:pPr>
                    <w:rPr>
                      <w:rFonts w:hint="default" w:ascii="Times New Roman" w:hAnsi="Times New Roman" w:eastAsia="仿宋" w:cs="Times New Roman"/>
                      <w:color w:val="auto"/>
                    </w:rPr>
                  </w:pPr>
                  <w:r>
                    <w:rPr>
                      <w:rFonts w:hint="default" w:ascii="Times New Roman" w:hAnsi="Times New Roman" w:eastAsia="仿宋" w:cs="Times New Roman"/>
                      <w:color w:val="auto"/>
                    </w:rPr>
                    <w:t>（三）聚焦治污设施</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三率</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，提升综合治理效率</w:t>
                  </w:r>
                </w:p>
                <w:p w14:paraId="02442E31">
                  <w:pPr>
                    <w:rPr>
                      <w:rFonts w:hint="default" w:ascii="Times New Roman" w:hAnsi="Times New Roman" w:eastAsia="仿宋" w:cs="Times New Roman"/>
                      <w:color w:val="auto"/>
                    </w:rPr>
                  </w:pPr>
                  <w:r>
                    <w:rPr>
                      <w:rFonts w:hint="default" w:ascii="Times New Roman" w:hAnsi="Times New Roman" w:eastAsia="仿宋" w:cs="Times New Roman"/>
                      <w:color w:val="auto"/>
                    </w:rPr>
                    <w:t>组织企业对现有VOCs废气收集率、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125" w:type="pct"/>
                  <w:noWrap w:val="0"/>
                  <w:vAlign w:val="center"/>
                </w:tcPr>
                <w:p w14:paraId="045FA798">
                  <w:pPr>
                    <w:rPr>
                      <w:rFonts w:hint="default" w:ascii="Times New Roman" w:hAnsi="Times New Roman" w:eastAsia="仿宋" w:cs="Times New Roman"/>
                      <w:color w:val="auto"/>
                    </w:rPr>
                  </w:pPr>
                  <w:r>
                    <w:rPr>
                      <w:rFonts w:hint="default" w:ascii="Times New Roman" w:hAnsi="Times New Roman" w:eastAsia="仿宋" w:cs="Times New Roman"/>
                      <w:color w:val="auto"/>
                      <w:kern w:val="0"/>
                      <w:szCs w:val="21"/>
                      <w:highlight w:val="none"/>
                    </w:rPr>
                    <w:t>本项目</w:t>
                  </w:r>
                  <w:r>
                    <w:rPr>
                      <w:rFonts w:hint="default" w:ascii="Times New Roman" w:hAnsi="Times New Roman" w:eastAsia="仿宋" w:cs="Times New Roman"/>
                      <w:color w:val="auto"/>
                      <w:kern w:val="0"/>
                      <w:szCs w:val="21"/>
                      <w:highlight w:val="none"/>
                      <w:lang w:val="en-US" w:eastAsia="zh-CN"/>
                    </w:rPr>
                    <w:t>非甲烷总烃废气收集后进入二级活性炭吸附设备处理</w:t>
                  </w:r>
                  <w:r>
                    <w:rPr>
                      <w:rFonts w:hint="default" w:ascii="Times New Roman" w:hAnsi="Times New Roman" w:eastAsia="仿宋" w:cs="Times New Roman"/>
                      <w:color w:val="auto"/>
                    </w:rPr>
                    <w:t>，与上述内容相符。</w:t>
                  </w:r>
                </w:p>
              </w:tc>
            </w:tr>
          </w:tbl>
          <w:p w14:paraId="3E648ECB">
            <w:pPr>
              <w:keepNext w:val="0"/>
              <w:keepLines w:val="0"/>
              <w:pageBreakBefore w:val="0"/>
              <w:widowControl w:val="0"/>
              <w:kinsoku/>
              <w:wordWrap/>
              <w:overflowPunct/>
              <w:topLinePunct w:val="0"/>
              <w:autoSpaceDE w:val="0"/>
              <w:autoSpaceDN w:val="0"/>
              <w:bidi w:val="0"/>
              <w:adjustRightInd/>
              <w:snapToGrid w:val="0"/>
              <w:spacing w:line="500" w:lineRule="exact"/>
              <w:ind w:firstLine="480" w:firstLineChars="200"/>
              <w:textAlignment w:val="auto"/>
              <w:rPr>
                <w:rFonts w:hint="default" w:ascii="Times New Roman" w:hAnsi="Times New Roman" w:eastAsia="仿宋" w:cs="Times New Roman"/>
                <w:b w:val="0"/>
                <w:bCs w:val="0"/>
                <w:color w:val="auto"/>
                <w:sz w:val="24"/>
                <w:lang w:eastAsia="zh-CN"/>
              </w:rPr>
            </w:pPr>
            <w:r>
              <w:rPr>
                <w:rFonts w:hint="default" w:ascii="Times New Roman" w:hAnsi="Times New Roman" w:eastAsia="仿宋" w:cs="Times New Roman"/>
                <w:b w:val="0"/>
                <w:bCs w:val="0"/>
                <w:color w:val="auto"/>
                <w:sz w:val="24"/>
                <w:lang w:eastAsia="zh-CN"/>
              </w:rPr>
              <w:t>综上，本项目与《2020年挥发性有机物治理攻坚方案》的通知（环大气〔2020〕33号）的要求相符。</w:t>
            </w:r>
          </w:p>
          <w:p w14:paraId="67FACF93">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w:t>
            </w:r>
            <w:r>
              <w:rPr>
                <w:rFonts w:hint="default" w:ascii="Times New Roman" w:hAnsi="Times New Roman" w:eastAsia="仿宋" w:cs="Times New Roman"/>
                <w:b/>
                <w:bCs/>
                <w:color w:val="auto"/>
                <w:sz w:val="24"/>
                <w:lang w:val="en-US" w:eastAsia="zh-CN"/>
              </w:rPr>
              <w:t>5</w:t>
            </w:r>
            <w:r>
              <w:rPr>
                <w:rFonts w:hint="default" w:ascii="Times New Roman" w:hAnsi="Times New Roman" w:eastAsia="仿宋" w:cs="Times New Roman"/>
                <w:b/>
                <w:bCs/>
                <w:color w:val="auto"/>
                <w:sz w:val="24"/>
                <w:lang w:eastAsia="zh-CN"/>
              </w:rPr>
              <w:t>）</w:t>
            </w:r>
            <w:r>
              <w:rPr>
                <w:rFonts w:hint="default" w:ascii="Times New Roman" w:hAnsi="Times New Roman" w:eastAsia="仿宋" w:cs="Times New Roman"/>
                <w:b/>
                <w:bCs/>
                <w:color w:val="auto"/>
                <w:sz w:val="24"/>
                <w:lang w:val="en-US" w:eastAsia="zh-CN"/>
              </w:rPr>
              <w:t>与</w:t>
            </w:r>
            <w:r>
              <w:rPr>
                <w:rFonts w:hint="default" w:ascii="Times New Roman" w:hAnsi="Times New Roman" w:eastAsia="仿宋" w:cs="Times New Roman"/>
                <w:b/>
                <w:bCs/>
                <w:color w:val="auto"/>
                <w:sz w:val="24"/>
              </w:rPr>
              <w:t>《挥发性有机物无组织排放控制标准》（GB37822-2019）相符性分析</w:t>
            </w:r>
          </w:p>
          <w:p w14:paraId="052694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表1-1</w:t>
            </w:r>
            <w:r>
              <w:rPr>
                <w:rFonts w:hint="eastAsia" w:eastAsia="仿宋" w:cs="Times New Roman"/>
                <w:b/>
                <w:bCs/>
                <w:color w:val="auto"/>
                <w:sz w:val="21"/>
                <w:szCs w:val="21"/>
                <w:lang w:val="en-US" w:eastAsia="zh-CN"/>
              </w:rPr>
              <w:t>2</w:t>
            </w:r>
            <w:r>
              <w:rPr>
                <w:rFonts w:hint="default" w:ascii="Times New Roman" w:hAnsi="Times New Roman" w:eastAsia="仿宋" w:cs="Times New Roman"/>
                <w:b/>
                <w:bCs/>
                <w:color w:val="auto"/>
                <w:sz w:val="21"/>
                <w:szCs w:val="21"/>
              </w:rPr>
              <w:t xml:space="preserve"> 与《挥发性有机物无组织排放控制标准》相符性分析</w:t>
            </w:r>
          </w:p>
          <w:tbl>
            <w:tblPr>
              <w:tblStyle w:val="28"/>
              <w:tblW w:w="496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77"/>
              <w:gridCol w:w="2558"/>
            </w:tblGrid>
            <w:tr w14:paraId="57BED0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pct"/>
                  <w:vAlign w:val="center"/>
                </w:tcPr>
                <w:p w14:paraId="57562104">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要求</w:t>
                  </w:r>
                </w:p>
              </w:tc>
              <w:tc>
                <w:tcPr>
                  <w:tcW w:w="1591" w:type="pct"/>
                  <w:vAlign w:val="center"/>
                </w:tcPr>
                <w:p w14:paraId="4F010AEC">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相符性分析</w:t>
                  </w:r>
                </w:p>
              </w:tc>
            </w:tr>
            <w:tr w14:paraId="0BEA43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pct"/>
                  <w:vAlign w:val="center"/>
                </w:tcPr>
                <w:p w14:paraId="471127FB">
                  <w:pPr>
                    <w:rPr>
                      <w:rFonts w:hint="default" w:ascii="Times New Roman" w:hAnsi="Times New Roman" w:eastAsia="仿宋" w:cs="Times New Roman"/>
                      <w:color w:val="auto"/>
                    </w:rPr>
                  </w:pPr>
                  <w:r>
                    <w:rPr>
                      <w:rFonts w:hint="default" w:ascii="Times New Roman" w:hAnsi="Times New Roman" w:eastAsia="仿宋" w:cs="Times New Roman"/>
                      <w:color w:val="auto"/>
                      <w:szCs w:val="21"/>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tc>
              <w:tc>
                <w:tcPr>
                  <w:tcW w:w="1591" w:type="pct"/>
                  <w:vAlign w:val="center"/>
                </w:tcPr>
                <w:p w14:paraId="693FFA27">
                  <w:pPr>
                    <w:rPr>
                      <w:rFonts w:hint="default" w:ascii="Times New Roman" w:hAnsi="Times New Roman" w:eastAsia="仿宋" w:cs="Times New Roman"/>
                      <w:color w:val="auto"/>
                    </w:rPr>
                  </w:pPr>
                  <w:r>
                    <w:rPr>
                      <w:rFonts w:hint="default" w:ascii="Times New Roman" w:hAnsi="Times New Roman" w:eastAsia="仿宋" w:cs="Times New Roman"/>
                      <w:color w:val="auto"/>
                      <w:szCs w:val="21"/>
                    </w:rPr>
                    <w:t>本项目VOCs</w:t>
                  </w:r>
                  <w:r>
                    <w:rPr>
                      <w:rFonts w:hint="default" w:ascii="Times New Roman" w:hAnsi="Times New Roman" w:eastAsia="仿宋" w:cs="Times New Roman"/>
                      <w:color w:val="auto"/>
                      <w:szCs w:val="21"/>
                      <w:lang w:val="en-US" w:eastAsia="zh-CN"/>
                    </w:rPr>
                    <w:t>物料储存于密闭的桶中，存放于室内，非取用状态时密闭</w:t>
                  </w:r>
                  <w:r>
                    <w:rPr>
                      <w:rFonts w:hint="default" w:ascii="Times New Roman" w:hAnsi="Times New Roman" w:eastAsia="仿宋" w:cs="Times New Roman"/>
                      <w:color w:val="auto"/>
                      <w:szCs w:val="21"/>
                    </w:rPr>
                    <w:t>。</w:t>
                  </w:r>
                </w:p>
              </w:tc>
            </w:tr>
            <w:tr w14:paraId="439F21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pct"/>
                  <w:vAlign w:val="center"/>
                </w:tcPr>
                <w:p w14:paraId="07192DBC">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VOCs占比大于等于10%的含VOCs产品，其使用过程应采用密闭设备或在密闭空间内操作，废气应排放至VOCs废气收集处理系统；无法密闭的，应采取局部气体收集措施，废气应排放至VOCs废气收集处理系统</w:t>
                  </w:r>
                </w:p>
              </w:tc>
              <w:tc>
                <w:tcPr>
                  <w:tcW w:w="1591" w:type="pct"/>
                  <w:vMerge w:val="restart"/>
                  <w:vAlign w:val="center"/>
                </w:tcPr>
                <w:p w14:paraId="287E769C">
                  <w:pPr>
                    <w:rPr>
                      <w:rFonts w:hint="default" w:ascii="Times New Roman" w:hAnsi="Times New Roman" w:eastAsia="仿宋" w:cs="Times New Roman"/>
                      <w:color w:val="auto"/>
                    </w:rPr>
                  </w:pPr>
                  <w:r>
                    <w:rPr>
                      <w:rFonts w:hint="default" w:ascii="Times New Roman" w:hAnsi="Times New Roman" w:eastAsia="仿宋" w:cs="Times New Roman"/>
                      <w:color w:val="auto"/>
                      <w:kern w:val="0"/>
                      <w:szCs w:val="21"/>
                      <w:highlight w:val="none"/>
                    </w:rPr>
                    <w:t>本项目</w:t>
                  </w:r>
                  <w:r>
                    <w:rPr>
                      <w:rFonts w:hint="eastAsia" w:eastAsia="仿宋" w:cs="Times New Roman"/>
                      <w:color w:val="auto"/>
                      <w:kern w:val="0"/>
                      <w:szCs w:val="21"/>
                      <w:highlight w:val="none"/>
                      <w:lang w:val="en-US" w:eastAsia="zh-CN"/>
                    </w:rPr>
                    <w:t>使用的水性漆</w:t>
                  </w:r>
                  <w:r>
                    <w:rPr>
                      <w:rFonts w:hint="default" w:ascii="Times New Roman" w:hAnsi="Times New Roman" w:eastAsia="仿宋" w:cs="Times New Roman"/>
                      <w:color w:val="auto"/>
                      <w:szCs w:val="21"/>
                    </w:rPr>
                    <w:t>VOCs</w:t>
                  </w:r>
                  <w:r>
                    <w:rPr>
                      <w:rFonts w:hint="eastAsia" w:eastAsia="仿宋" w:cs="Times New Roman"/>
                      <w:color w:val="auto"/>
                      <w:szCs w:val="21"/>
                      <w:lang w:val="en-US" w:eastAsia="zh-CN"/>
                    </w:rPr>
                    <w:t>含量低于10%，</w:t>
                  </w:r>
                  <w:r>
                    <w:rPr>
                      <w:rFonts w:hint="default" w:ascii="Times New Roman" w:hAnsi="Times New Roman" w:eastAsia="仿宋" w:cs="Times New Roman"/>
                      <w:color w:val="auto"/>
                      <w:kern w:val="0"/>
                      <w:szCs w:val="21"/>
                      <w:highlight w:val="none"/>
                      <w:lang w:eastAsia="zh-CN"/>
                    </w:rPr>
                    <w:t>喷漆</w:t>
                  </w:r>
                  <w:r>
                    <w:rPr>
                      <w:rFonts w:hint="eastAsia" w:eastAsia="仿宋" w:cs="Times New Roman"/>
                      <w:color w:val="auto"/>
                      <w:kern w:val="0"/>
                      <w:szCs w:val="21"/>
                      <w:highlight w:val="none"/>
                      <w:lang w:eastAsia="zh-CN"/>
                    </w:rPr>
                    <w:t>、</w:t>
                  </w:r>
                  <w:r>
                    <w:rPr>
                      <w:rFonts w:hint="eastAsia" w:eastAsia="仿宋" w:cs="Times New Roman"/>
                      <w:color w:val="auto"/>
                      <w:kern w:val="0"/>
                      <w:szCs w:val="21"/>
                      <w:highlight w:val="none"/>
                      <w:lang w:val="en-US" w:eastAsia="zh-CN"/>
                    </w:rPr>
                    <w:t>调漆均</w:t>
                  </w:r>
                  <w:r>
                    <w:rPr>
                      <w:rFonts w:hint="default" w:ascii="Times New Roman" w:hAnsi="Times New Roman" w:eastAsia="仿宋" w:cs="Times New Roman"/>
                      <w:color w:val="auto"/>
                      <w:kern w:val="0"/>
                      <w:szCs w:val="21"/>
                      <w:highlight w:val="none"/>
                      <w:lang w:eastAsia="zh-CN"/>
                    </w:rPr>
                    <w:t>在密闭的</w:t>
                  </w:r>
                  <w:r>
                    <w:rPr>
                      <w:rFonts w:hint="eastAsia" w:eastAsia="仿宋" w:cs="Times New Roman"/>
                      <w:color w:val="auto"/>
                      <w:kern w:val="0"/>
                      <w:szCs w:val="21"/>
                      <w:highlight w:val="none"/>
                      <w:lang w:val="en-US" w:eastAsia="zh-CN"/>
                    </w:rPr>
                    <w:t>喷漆房</w:t>
                  </w:r>
                  <w:r>
                    <w:rPr>
                      <w:rFonts w:hint="default" w:ascii="Times New Roman" w:hAnsi="Times New Roman" w:eastAsia="仿宋" w:cs="Times New Roman"/>
                      <w:color w:val="auto"/>
                      <w:kern w:val="0"/>
                      <w:szCs w:val="21"/>
                      <w:highlight w:val="none"/>
                      <w:lang w:eastAsia="zh-CN"/>
                    </w:rPr>
                    <w:t>进行，喷漆有机</w:t>
                  </w:r>
                  <w:r>
                    <w:rPr>
                      <w:rFonts w:hint="default" w:ascii="Times New Roman" w:hAnsi="Times New Roman" w:eastAsia="仿宋" w:cs="Times New Roman"/>
                      <w:color w:val="auto"/>
                      <w:kern w:val="0"/>
                      <w:szCs w:val="21"/>
                      <w:highlight w:val="none"/>
                      <w:lang w:val="en-US" w:eastAsia="zh-CN"/>
                    </w:rPr>
                    <w:t>废气采用二级活性炭吸附设备处理</w:t>
                  </w:r>
                  <w:r>
                    <w:rPr>
                      <w:rFonts w:hint="default" w:ascii="Times New Roman" w:hAnsi="Times New Roman" w:eastAsia="仿宋" w:cs="Times New Roman"/>
                      <w:color w:val="auto"/>
                      <w:kern w:val="0"/>
                      <w:szCs w:val="21"/>
                      <w:highlight w:val="none"/>
                      <w:lang w:eastAsia="zh-CN"/>
                    </w:rPr>
                    <w:t>后可达标排放</w:t>
                  </w:r>
                  <w:r>
                    <w:rPr>
                      <w:rFonts w:hint="default" w:ascii="Times New Roman" w:hAnsi="Times New Roman" w:eastAsia="仿宋" w:cs="Times New Roman"/>
                      <w:color w:val="auto"/>
                      <w:szCs w:val="21"/>
                    </w:rPr>
                    <w:t>，废气收集</w:t>
                  </w:r>
                  <w:r>
                    <w:rPr>
                      <w:rFonts w:hint="eastAsia" w:eastAsia="仿宋" w:cs="Times New Roman"/>
                      <w:color w:val="auto"/>
                      <w:szCs w:val="21"/>
                      <w:lang w:val="en-US" w:eastAsia="zh-CN"/>
                    </w:rPr>
                    <w:t>约</w:t>
                  </w:r>
                  <w:r>
                    <w:rPr>
                      <w:rFonts w:hint="default" w:ascii="Times New Roman" w:hAnsi="Times New Roman" w:eastAsia="仿宋" w:cs="Times New Roman"/>
                      <w:color w:val="auto"/>
                      <w:szCs w:val="21"/>
                    </w:rPr>
                    <w:t>9</w:t>
                  </w:r>
                  <w:r>
                    <w:rPr>
                      <w:rFonts w:hint="eastAsia" w:eastAsia="仿宋" w:cs="Times New Roman"/>
                      <w:color w:val="auto"/>
                      <w:szCs w:val="21"/>
                      <w:lang w:val="en-US" w:eastAsia="zh-CN"/>
                    </w:rPr>
                    <w:t>5</w:t>
                  </w:r>
                  <w:r>
                    <w:rPr>
                      <w:rFonts w:hint="default" w:ascii="Times New Roman" w:hAnsi="Times New Roman" w:eastAsia="仿宋" w:cs="Times New Roman"/>
                      <w:color w:val="auto"/>
                      <w:szCs w:val="21"/>
                    </w:rPr>
                    <w:t>%，处理效率为</w:t>
                  </w:r>
                  <w:r>
                    <w:rPr>
                      <w:rFonts w:hint="default" w:ascii="Times New Roman" w:hAnsi="Times New Roman" w:eastAsia="仿宋" w:cs="Times New Roman"/>
                      <w:color w:val="auto"/>
                      <w:szCs w:val="21"/>
                      <w:lang w:val="en-US" w:eastAsia="zh-CN"/>
                    </w:rPr>
                    <w:t>90</w:t>
                  </w:r>
                  <w:r>
                    <w:rPr>
                      <w:rFonts w:hint="default" w:ascii="Times New Roman" w:hAnsi="Times New Roman" w:eastAsia="仿宋" w:cs="Times New Roman"/>
                      <w:color w:val="auto"/>
                      <w:szCs w:val="21"/>
                    </w:rPr>
                    <w:t>%，符合相关要求。</w:t>
                  </w:r>
                </w:p>
              </w:tc>
            </w:tr>
            <w:tr w14:paraId="176F97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pct"/>
                  <w:vAlign w:val="center"/>
                </w:tcPr>
                <w:p w14:paraId="12811C73">
                  <w:pP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VOCs废气收集处理系统应与生产工艺设备同步运行；VOCs废气收集处理系统污染物排放应符合GB16297或相关行业排放标准的规定；对于重点地区，收集的废气中NMHC初始排放速率≥2kg/h时，应配置VOCs处理设施，处理效率不应低于80%</w:t>
                  </w:r>
                </w:p>
              </w:tc>
              <w:tc>
                <w:tcPr>
                  <w:tcW w:w="1591" w:type="pct"/>
                  <w:vMerge w:val="continue"/>
                  <w:vAlign w:val="center"/>
                </w:tcPr>
                <w:p w14:paraId="4D812B99">
                  <w:pPr>
                    <w:ind w:firstLine="420" w:firstLineChars="200"/>
                    <w:rPr>
                      <w:rFonts w:hint="default" w:ascii="Times New Roman" w:hAnsi="Times New Roman" w:eastAsia="仿宋" w:cs="Times New Roman"/>
                      <w:color w:val="auto"/>
                    </w:rPr>
                  </w:pPr>
                </w:p>
              </w:tc>
            </w:tr>
          </w:tbl>
          <w:p w14:paraId="710200E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综上，本项目建设与《挥发性有机物无组织排放控制标准》（GB37822-2019）相符。</w:t>
            </w:r>
          </w:p>
          <w:p w14:paraId="4969C815">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w:t>
            </w:r>
            <w:r>
              <w:rPr>
                <w:rFonts w:hint="default" w:ascii="Times New Roman" w:hAnsi="Times New Roman" w:eastAsia="仿宋" w:cs="Times New Roman"/>
                <w:b/>
                <w:bCs/>
                <w:color w:val="auto"/>
                <w:sz w:val="24"/>
                <w:lang w:val="en-US" w:eastAsia="zh-CN"/>
              </w:rPr>
              <w:t>6</w:t>
            </w:r>
            <w:r>
              <w:rPr>
                <w:rFonts w:hint="default" w:ascii="Times New Roman" w:hAnsi="Times New Roman" w:eastAsia="仿宋" w:cs="Times New Roman"/>
                <w:b/>
                <w:bCs/>
                <w:color w:val="auto"/>
                <w:sz w:val="24"/>
                <w:lang w:eastAsia="zh-CN"/>
              </w:rPr>
              <w:t>）</w:t>
            </w:r>
            <w:r>
              <w:rPr>
                <w:rFonts w:hint="default" w:ascii="Times New Roman" w:hAnsi="Times New Roman" w:eastAsia="仿宋" w:cs="Times New Roman"/>
                <w:b/>
                <w:bCs/>
                <w:color w:val="auto"/>
                <w:sz w:val="24"/>
                <w:lang w:val="en-US" w:eastAsia="zh-CN"/>
              </w:rPr>
              <w:t>与《</w:t>
            </w:r>
            <w:r>
              <w:rPr>
                <w:rFonts w:hint="default" w:ascii="Times New Roman" w:hAnsi="Times New Roman" w:eastAsia="仿宋" w:cs="Times New Roman"/>
                <w:b/>
                <w:bCs/>
                <w:color w:val="auto"/>
                <w:sz w:val="24"/>
              </w:rPr>
              <w:t>关于印发</w:t>
            </w:r>
            <w:r>
              <w:rPr>
                <w:rFonts w:hint="default" w:ascii="Times New Roman" w:hAnsi="Times New Roman" w:eastAsia="仿宋" w:cs="Times New Roman"/>
                <w:b/>
                <w:bCs/>
                <w:color w:val="auto"/>
                <w:sz w:val="24"/>
                <w:lang w:val="en-US" w:eastAsia="zh-CN"/>
              </w:rPr>
              <w:t>&lt;</w:t>
            </w:r>
            <w:r>
              <w:rPr>
                <w:rFonts w:hint="default" w:ascii="Times New Roman" w:hAnsi="Times New Roman" w:eastAsia="仿宋" w:cs="Times New Roman"/>
                <w:b/>
                <w:bCs/>
                <w:color w:val="auto"/>
                <w:sz w:val="24"/>
              </w:rPr>
              <w:t>深入打好重污染天气消除、臭氧污染防治和柴油货车污染治理攻坚战行动方案</w:t>
            </w:r>
            <w:r>
              <w:rPr>
                <w:rFonts w:hint="default" w:ascii="Times New Roman" w:hAnsi="Times New Roman" w:eastAsia="仿宋" w:cs="Times New Roman"/>
                <w:b/>
                <w:bCs/>
                <w:color w:val="auto"/>
                <w:sz w:val="24"/>
                <w:lang w:val="en-US" w:eastAsia="zh-CN"/>
              </w:rPr>
              <w:t>&gt;</w:t>
            </w:r>
            <w:r>
              <w:rPr>
                <w:rFonts w:hint="default" w:ascii="Times New Roman" w:hAnsi="Times New Roman" w:eastAsia="仿宋" w:cs="Times New Roman"/>
                <w:b/>
                <w:bCs/>
                <w:color w:val="auto"/>
                <w:sz w:val="24"/>
              </w:rPr>
              <w:t>的通知</w:t>
            </w:r>
            <w:r>
              <w:rPr>
                <w:rFonts w:hint="default" w:ascii="Times New Roman" w:hAnsi="Times New Roman" w:eastAsia="仿宋" w:cs="Times New Roman"/>
                <w:b/>
                <w:bCs/>
                <w:color w:val="auto"/>
                <w:sz w:val="24"/>
                <w:lang w:val="en-US" w:eastAsia="zh-CN"/>
              </w:rPr>
              <w:t>》（</w:t>
            </w:r>
            <w:r>
              <w:rPr>
                <w:rFonts w:hint="default" w:ascii="Times New Roman" w:hAnsi="Times New Roman" w:eastAsia="仿宋" w:cs="Times New Roman"/>
                <w:b/>
                <w:bCs/>
                <w:color w:val="auto"/>
                <w:sz w:val="24"/>
              </w:rPr>
              <w:t>环大气〔2022〕68号</w:t>
            </w:r>
            <w:r>
              <w:rPr>
                <w:rFonts w:hint="default" w:ascii="Times New Roman" w:hAnsi="Times New Roman" w:eastAsia="仿宋" w:cs="Times New Roman"/>
                <w:b/>
                <w:bCs/>
                <w:color w:val="auto"/>
                <w:sz w:val="24"/>
                <w:lang w:val="en-US" w:eastAsia="zh-CN"/>
              </w:rPr>
              <w:t>）</w:t>
            </w:r>
            <w:r>
              <w:rPr>
                <w:rFonts w:hint="default" w:ascii="Times New Roman" w:hAnsi="Times New Roman" w:eastAsia="仿宋" w:cs="Times New Roman"/>
                <w:b/>
                <w:bCs/>
                <w:color w:val="auto"/>
                <w:sz w:val="24"/>
              </w:rPr>
              <w:t>相符性分析</w:t>
            </w:r>
          </w:p>
          <w:p w14:paraId="06AE3DCA">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default" w:ascii="Times New Roman" w:hAnsi="Times New Roman" w:eastAsia="仿宋" w:cs="Times New Roman"/>
                <w:b/>
                <w:bCs/>
                <w:color w:val="auto"/>
                <w:sz w:val="21"/>
                <w:szCs w:val="21"/>
                <w:lang w:val="en-US" w:eastAsia="zh-CN"/>
              </w:rPr>
              <w:t>1</w:t>
            </w:r>
            <w:r>
              <w:rPr>
                <w:rFonts w:hint="eastAsia" w:eastAsia="仿宋" w:cs="Times New Roman"/>
                <w:b/>
                <w:bCs/>
                <w:color w:val="auto"/>
                <w:sz w:val="21"/>
                <w:szCs w:val="21"/>
                <w:lang w:val="en-US" w:eastAsia="zh-CN"/>
              </w:rPr>
              <w:t>3</w:t>
            </w:r>
            <w:r>
              <w:rPr>
                <w:rFonts w:hint="default"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与环大气〔2022〕68号</w:t>
            </w:r>
            <w:r>
              <w:rPr>
                <w:rFonts w:hint="default" w:ascii="Times New Roman" w:hAnsi="Times New Roman" w:eastAsia="仿宋" w:cs="Times New Roman"/>
                <w:b/>
                <w:bCs/>
                <w:color w:val="auto"/>
                <w:sz w:val="21"/>
                <w:szCs w:val="21"/>
                <w:lang w:eastAsia="zh-CN"/>
              </w:rPr>
              <w:t>文</w:t>
            </w:r>
            <w:r>
              <w:rPr>
                <w:rFonts w:hint="default" w:ascii="Times New Roman" w:hAnsi="Times New Roman" w:eastAsia="仿宋" w:cs="Times New Roman"/>
                <w:b/>
                <w:bCs/>
                <w:color w:val="auto"/>
                <w:sz w:val="21"/>
                <w:szCs w:val="21"/>
              </w:rPr>
              <w:t>的相符性分析</w:t>
            </w:r>
          </w:p>
          <w:tbl>
            <w:tblPr>
              <w:tblStyle w:val="28"/>
              <w:tblW w:w="494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4095"/>
              <w:gridCol w:w="3458"/>
            </w:tblGrid>
            <w:tr w14:paraId="2CE4CB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2" w:type="pct"/>
                  <w:gridSpan w:val="2"/>
                  <w:noWrap w:val="0"/>
                  <w:vAlign w:val="center"/>
                </w:tcPr>
                <w:p w14:paraId="25B5A2FD">
                  <w:pPr>
                    <w:keepNext w:val="0"/>
                    <w:keepLines w:val="0"/>
                    <w:suppressLineNumbers w:val="0"/>
                    <w:spacing w:before="0" w:beforeAutospacing="0" w:after="0" w:afterAutospacing="0"/>
                    <w:ind w:left="0" w:right="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要求</w:t>
                  </w:r>
                </w:p>
              </w:tc>
              <w:tc>
                <w:tcPr>
                  <w:tcW w:w="2157" w:type="pct"/>
                  <w:noWrap w:val="0"/>
                  <w:vAlign w:val="center"/>
                </w:tcPr>
                <w:p w14:paraId="4A61861B">
                  <w:pPr>
                    <w:keepNext w:val="0"/>
                    <w:keepLines w:val="0"/>
                    <w:suppressLineNumbers w:val="0"/>
                    <w:spacing w:before="0" w:beforeAutospacing="0" w:after="0" w:afterAutospacing="0"/>
                    <w:ind w:left="0" w:right="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相符性分析</w:t>
                  </w:r>
                </w:p>
              </w:tc>
            </w:tr>
            <w:tr w14:paraId="1C6208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restart"/>
                  <w:noWrap w:val="0"/>
                  <w:vAlign w:val="center"/>
                </w:tcPr>
                <w:p w14:paraId="5B299C53">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推进重点工程</w:t>
                  </w:r>
                </w:p>
              </w:tc>
              <w:tc>
                <w:tcPr>
                  <w:tcW w:w="2553" w:type="pct"/>
                  <w:noWrap w:val="0"/>
                  <w:vAlign w:val="center"/>
                </w:tcPr>
                <w:p w14:paraId="33265BA1">
                  <w:pPr>
                    <w:keepNext w:val="0"/>
                    <w:keepLines w:val="0"/>
                    <w:widowControl/>
                    <w:suppressLineNumbers w:val="0"/>
                    <w:adjustRightInd w:val="0"/>
                    <w:snapToGrid w:val="0"/>
                    <w:spacing w:before="0" w:beforeAutospacing="0" w:after="0" w:afterAutospacing="0"/>
                    <w:ind w:right="0"/>
                    <w:jc w:val="both"/>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促进产业绿色转型升级，坚决遏制高耗能、高排放、低水平项目盲目发展，开展传统产业集群升级改造。推动能源清洁低碳转型，开展分散、低效煤炭综合治理。</w:t>
                  </w:r>
                </w:p>
              </w:tc>
              <w:tc>
                <w:tcPr>
                  <w:tcW w:w="2157" w:type="pct"/>
                  <w:noWrap w:val="0"/>
                  <w:vAlign w:val="center"/>
                </w:tcPr>
                <w:p w14:paraId="682238EF">
                  <w:pPr>
                    <w:keepNext w:val="0"/>
                    <w:keepLines w:val="0"/>
                    <w:widowControl/>
                    <w:suppressLineNumbers w:val="0"/>
                    <w:adjustRightInd w:val="0"/>
                    <w:snapToGrid w:val="0"/>
                    <w:spacing w:before="0" w:beforeAutospacing="0" w:after="0" w:afterAutospacing="0"/>
                    <w:ind w:right="0"/>
                    <w:jc w:val="both"/>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本项目</w:t>
                  </w:r>
                  <w:r>
                    <w:rPr>
                      <w:rFonts w:hint="default" w:ascii="Times New Roman" w:hAnsi="Times New Roman" w:eastAsia="仿宋" w:cs="Times New Roman"/>
                      <w:bCs/>
                      <w:color w:val="auto"/>
                      <w:szCs w:val="21"/>
                      <w:lang w:val="en-US" w:eastAsia="zh-CN"/>
                    </w:rPr>
                    <w:t>采用清洁能源，不属于</w:t>
                  </w:r>
                  <w:r>
                    <w:rPr>
                      <w:rFonts w:hint="default" w:ascii="Times New Roman" w:hAnsi="Times New Roman" w:eastAsia="仿宋" w:cs="Times New Roman"/>
                      <w:bCs/>
                      <w:color w:val="auto"/>
                      <w:szCs w:val="21"/>
                    </w:rPr>
                    <w:t>高耗能、高排放、低水平</w:t>
                  </w:r>
                  <w:r>
                    <w:rPr>
                      <w:rFonts w:hint="default" w:ascii="Times New Roman" w:hAnsi="Times New Roman" w:eastAsia="仿宋" w:cs="Times New Roman"/>
                      <w:bCs/>
                      <w:color w:val="auto"/>
                      <w:szCs w:val="21"/>
                      <w:lang w:val="en-US" w:eastAsia="zh-CN"/>
                    </w:rPr>
                    <w:t>项目</w:t>
                  </w:r>
                  <w:r>
                    <w:rPr>
                      <w:rFonts w:hint="default" w:ascii="Times New Roman" w:hAnsi="Times New Roman" w:eastAsia="仿宋" w:cs="Times New Roman"/>
                      <w:bCs/>
                      <w:color w:val="auto"/>
                      <w:szCs w:val="21"/>
                    </w:rPr>
                    <w:t>，符合相关要求。</w:t>
                  </w:r>
                </w:p>
              </w:tc>
            </w:tr>
            <w:tr w14:paraId="5EE3E4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noWrap w:val="0"/>
                  <w:vAlign w:val="center"/>
                </w:tcPr>
                <w:p w14:paraId="468571E7">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 w:cs="Times New Roman"/>
                      <w:color w:val="auto"/>
                      <w:szCs w:val="21"/>
                    </w:rPr>
                  </w:pPr>
                </w:p>
              </w:tc>
              <w:tc>
                <w:tcPr>
                  <w:tcW w:w="2553" w:type="pct"/>
                  <w:noWrap w:val="0"/>
                  <w:vAlign w:val="center"/>
                </w:tcPr>
                <w:p w14:paraId="56C2E243">
                  <w:pPr>
                    <w:keepNext w:val="0"/>
                    <w:keepLines w:val="0"/>
                    <w:widowControl/>
                    <w:suppressLineNumbers w:val="0"/>
                    <w:adjustRightInd w:val="0"/>
                    <w:snapToGrid w:val="0"/>
                    <w:spacing w:before="0" w:beforeAutospacing="0" w:after="0" w:afterAutospacing="0"/>
                    <w:ind w:right="0"/>
                    <w:jc w:val="both"/>
                    <w:rPr>
                      <w:rFonts w:hint="default" w:ascii="Times New Roman" w:hAnsi="Times New Roman" w:eastAsia="仿宋" w:cs="Times New Roman"/>
                      <w:bCs/>
                      <w:color w:val="auto"/>
                      <w:szCs w:val="21"/>
                      <w:lang w:eastAsia="zh-CN"/>
                    </w:rPr>
                  </w:pPr>
                  <w:r>
                    <w:rPr>
                      <w:rFonts w:hint="default" w:ascii="Times New Roman" w:hAnsi="Times New Roman" w:eastAsia="仿宋" w:cs="Times New Roman"/>
                      <w:bCs/>
                      <w:color w:val="auto"/>
                      <w:szCs w:val="21"/>
                    </w:rPr>
                    <w:t>强化挥发性有机物（VOCs）、氮氧化物等多污染物协同减排，以石化、化工、涂装、制药、包装印刷和油品储运销等为重点，加强VOCs源头、过程、末端全流程治理</w:t>
                  </w:r>
                  <w:r>
                    <w:rPr>
                      <w:rFonts w:hint="default" w:ascii="Times New Roman" w:hAnsi="Times New Roman" w:eastAsia="仿宋" w:cs="Times New Roman"/>
                      <w:bCs/>
                      <w:color w:val="auto"/>
                      <w:szCs w:val="21"/>
                      <w:lang w:eastAsia="zh-CN"/>
                    </w:rPr>
                    <w:t>。</w:t>
                  </w:r>
                </w:p>
              </w:tc>
              <w:tc>
                <w:tcPr>
                  <w:tcW w:w="2157" w:type="pct"/>
                  <w:noWrap w:val="0"/>
                  <w:vAlign w:val="center"/>
                </w:tcPr>
                <w:p w14:paraId="0B0FAF00">
                  <w:pPr>
                    <w:keepNext w:val="0"/>
                    <w:keepLines w:val="0"/>
                    <w:widowControl/>
                    <w:suppressLineNumbers w:val="0"/>
                    <w:adjustRightInd w:val="0"/>
                    <w:snapToGrid w:val="0"/>
                    <w:spacing w:before="0" w:beforeAutospacing="0" w:after="0" w:afterAutospacing="0"/>
                    <w:ind w:right="0"/>
                    <w:jc w:val="both"/>
                    <w:rPr>
                      <w:rFonts w:hint="default" w:ascii="Times New Roman" w:hAnsi="Times New Roman" w:eastAsia="仿宋" w:cs="Times New Roman"/>
                      <w:bCs/>
                      <w:color w:val="auto"/>
                      <w:szCs w:val="21"/>
                    </w:rPr>
                  </w:pPr>
                  <w:r>
                    <w:rPr>
                      <w:rFonts w:hint="default" w:ascii="Times New Roman" w:hAnsi="Times New Roman" w:eastAsia="仿宋" w:cs="Times New Roman"/>
                      <w:color w:val="auto"/>
                    </w:rPr>
                    <w:t>本项目</w:t>
                  </w:r>
                  <w:r>
                    <w:rPr>
                      <w:rFonts w:hint="default" w:ascii="Times New Roman" w:hAnsi="Times New Roman" w:eastAsia="仿宋" w:cs="Times New Roman"/>
                      <w:color w:val="auto"/>
                      <w:lang w:eastAsia="zh-CN"/>
                    </w:rPr>
                    <w:t>使用低</w:t>
                  </w:r>
                  <w:r>
                    <w:rPr>
                      <w:rFonts w:hint="default" w:ascii="Times New Roman" w:hAnsi="Times New Roman" w:eastAsia="仿宋" w:cs="Times New Roman"/>
                      <w:color w:val="auto"/>
                      <w:lang w:val="en-US" w:eastAsia="zh-CN"/>
                    </w:rPr>
                    <w:t>VOCs含量的水性漆</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kern w:val="0"/>
                      <w:szCs w:val="21"/>
                      <w:highlight w:val="none"/>
                    </w:rPr>
                    <w:t>项目</w:t>
                  </w:r>
                  <w:r>
                    <w:rPr>
                      <w:rFonts w:hint="default" w:ascii="Times New Roman" w:hAnsi="Times New Roman" w:eastAsia="仿宋" w:cs="Times New Roman"/>
                      <w:color w:val="auto"/>
                      <w:kern w:val="0"/>
                      <w:szCs w:val="21"/>
                      <w:highlight w:val="none"/>
                      <w:lang w:val="en-US" w:eastAsia="zh-CN"/>
                    </w:rPr>
                    <w:t>非甲烷总烃废气收集后采用二级活性炭吸附设备处理</w:t>
                  </w:r>
                  <w:r>
                    <w:rPr>
                      <w:rFonts w:hint="default" w:ascii="Times New Roman" w:hAnsi="Times New Roman" w:eastAsia="仿宋" w:cs="Times New Roman"/>
                      <w:color w:val="auto"/>
                    </w:rPr>
                    <w:t>。</w:t>
                  </w:r>
                </w:p>
              </w:tc>
            </w:tr>
          </w:tbl>
          <w:p w14:paraId="10E4150B">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val="en-US" w:eastAsia="zh-CN"/>
              </w:rPr>
              <w:t>（7）与《江苏省</w:t>
            </w:r>
            <w:r>
              <w:rPr>
                <w:rFonts w:hint="default" w:ascii="Times New Roman" w:hAnsi="Times New Roman" w:eastAsia="仿宋" w:cs="Times New Roman"/>
                <w:b/>
                <w:bCs/>
                <w:color w:val="auto"/>
                <w:sz w:val="24"/>
              </w:rPr>
              <w:t>深入打好重污染天气消除、臭氧污染防治和柴油货车污染治理攻坚战行动</w:t>
            </w:r>
            <w:r>
              <w:rPr>
                <w:rFonts w:hint="default" w:ascii="Times New Roman" w:hAnsi="Times New Roman" w:eastAsia="仿宋" w:cs="Times New Roman"/>
                <w:b/>
                <w:bCs/>
                <w:color w:val="auto"/>
                <w:sz w:val="24"/>
                <w:lang w:eastAsia="zh-CN"/>
              </w:rPr>
              <w:t>实施</w:t>
            </w:r>
            <w:r>
              <w:rPr>
                <w:rFonts w:hint="default" w:ascii="Times New Roman" w:hAnsi="Times New Roman" w:eastAsia="仿宋" w:cs="Times New Roman"/>
                <w:b/>
                <w:bCs/>
                <w:color w:val="auto"/>
                <w:sz w:val="24"/>
              </w:rPr>
              <w:t>方案</w:t>
            </w:r>
            <w:r>
              <w:rPr>
                <w:rFonts w:hint="default" w:ascii="Times New Roman" w:hAnsi="Times New Roman" w:eastAsia="仿宋" w:cs="Times New Roman"/>
                <w:b/>
                <w:bCs/>
                <w:color w:val="auto"/>
                <w:sz w:val="24"/>
                <w:lang w:val="en-US" w:eastAsia="zh-CN"/>
              </w:rPr>
              <w:t>》（</w:t>
            </w:r>
            <w:r>
              <w:rPr>
                <w:rFonts w:hint="default" w:ascii="Times New Roman" w:hAnsi="Times New Roman" w:eastAsia="仿宋" w:cs="Times New Roman"/>
                <w:b/>
                <w:bCs/>
                <w:color w:val="auto"/>
                <w:sz w:val="24"/>
              </w:rPr>
              <w:t>苏环办</w:t>
            </w:r>
            <w:r>
              <w:rPr>
                <w:rFonts w:hint="eastAsia" w:eastAsia="仿宋" w:cs="Times New Roman"/>
                <w:b/>
                <w:bCs/>
                <w:color w:val="auto"/>
                <w:sz w:val="24"/>
                <w:lang w:eastAsia="zh-CN"/>
              </w:rPr>
              <w:t>〔2023〕35号</w:t>
            </w:r>
            <w:r>
              <w:rPr>
                <w:rFonts w:hint="default" w:ascii="Times New Roman" w:hAnsi="Times New Roman" w:eastAsia="仿宋" w:cs="Times New Roman"/>
                <w:b/>
                <w:bCs/>
                <w:color w:val="auto"/>
                <w:sz w:val="24"/>
              </w:rPr>
              <w:t>文</w:t>
            </w:r>
            <w:r>
              <w:rPr>
                <w:rFonts w:hint="default" w:ascii="Times New Roman" w:hAnsi="Times New Roman" w:eastAsia="仿宋" w:cs="Times New Roman"/>
                <w:b/>
                <w:bCs/>
                <w:color w:val="auto"/>
                <w:sz w:val="24"/>
                <w:lang w:val="en-US" w:eastAsia="zh-CN"/>
              </w:rPr>
              <w:t>）</w:t>
            </w:r>
            <w:r>
              <w:rPr>
                <w:rFonts w:hint="default" w:ascii="Times New Roman" w:hAnsi="Times New Roman" w:eastAsia="仿宋" w:cs="Times New Roman"/>
                <w:b/>
                <w:bCs/>
                <w:color w:val="auto"/>
                <w:sz w:val="24"/>
              </w:rPr>
              <w:t>相符性分析</w:t>
            </w:r>
          </w:p>
          <w:p w14:paraId="0C05A650">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default" w:ascii="Times New Roman" w:hAnsi="Times New Roman" w:eastAsia="仿宋" w:cs="Times New Roman"/>
                <w:b/>
                <w:bCs/>
                <w:color w:val="auto"/>
                <w:sz w:val="21"/>
                <w:szCs w:val="21"/>
                <w:lang w:val="en-US" w:eastAsia="zh-CN"/>
              </w:rPr>
              <w:t>1</w:t>
            </w:r>
            <w:r>
              <w:rPr>
                <w:rFonts w:hint="eastAsia" w:eastAsia="仿宋" w:cs="Times New Roman"/>
                <w:b/>
                <w:bCs/>
                <w:color w:val="auto"/>
                <w:sz w:val="21"/>
                <w:szCs w:val="21"/>
                <w:lang w:val="en-US" w:eastAsia="zh-CN"/>
              </w:rPr>
              <w:t>4</w:t>
            </w:r>
            <w:r>
              <w:rPr>
                <w:rFonts w:hint="default"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与苏环办</w:t>
            </w:r>
            <w:r>
              <w:rPr>
                <w:rFonts w:hint="eastAsia" w:eastAsia="仿宋" w:cs="Times New Roman"/>
                <w:b/>
                <w:bCs/>
                <w:color w:val="auto"/>
                <w:sz w:val="21"/>
                <w:szCs w:val="21"/>
                <w:lang w:eastAsia="zh-CN"/>
              </w:rPr>
              <w:t>〔2023〕35号</w:t>
            </w:r>
            <w:r>
              <w:rPr>
                <w:rFonts w:hint="default" w:ascii="Times New Roman" w:hAnsi="Times New Roman" w:eastAsia="仿宋" w:cs="Times New Roman"/>
                <w:b/>
                <w:bCs/>
                <w:color w:val="auto"/>
                <w:sz w:val="21"/>
                <w:szCs w:val="21"/>
                <w:lang w:eastAsia="zh-CN"/>
              </w:rPr>
              <w:t>文</w:t>
            </w:r>
            <w:r>
              <w:rPr>
                <w:rFonts w:hint="default" w:ascii="Times New Roman" w:hAnsi="Times New Roman" w:eastAsia="仿宋" w:cs="Times New Roman"/>
                <w:b/>
                <w:bCs/>
                <w:color w:val="auto"/>
                <w:sz w:val="21"/>
                <w:szCs w:val="21"/>
              </w:rPr>
              <w:t>的相符性分析</w:t>
            </w:r>
          </w:p>
          <w:tbl>
            <w:tblPr>
              <w:tblStyle w:val="28"/>
              <w:tblW w:w="494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56"/>
              <w:gridCol w:w="3459"/>
            </w:tblGrid>
            <w:tr w14:paraId="0123D0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2" w:type="pct"/>
                  <w:noWrap w:val="0"/>
                  <w:vAlign w:val="center"/>
                </w:tcPr>
                <w:p w14:paraId="499FD965">
                  <w:pPr>
                    <w:keepNext w:val="0"/>
                    <w:keepLines w:val="0"/>
                    <w:suppressLineNumbers w:val="0"/>
                    <w:spacing w:before="0" w:beforeAutospacing="0" w:after="0" w:afterAutospacing="0"/>
                    <w:ind w:left="0" w:right="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要求</w:t>
                  </w:r>
                </w:p>
              </w:tc>
              <w:tc>
                <w:tcPr>
                  <w:tcW w:w="2157" w:type="pct"/>
                  <w:noWrap w:val="0"/>
                  <w:vAlign w:val="center"/>
                </w:tcPr>
                <w:p w14:paraId="5A4AE612">
                  <w:pPr>
                    <w:keepNext w:val="0"/>
                    <w:keepLines w:val="0"/>
                    <w:suppressLineNumbers w:val="0"/>
                    <w:spacing w:before="0" w:beforeAutospacing="0" w:after="0" w:afterAutospacing="0"/>
                    <w:ind w:left="0" w:right="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相符性分析</w:t>
                  </w:r>
                </w:p>
              </w:tc>
            </w:tr>
            <w:tr w14:paraId="4418B4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2842" w:type="pct"/>
                  <w:noWrap w:val="0"/>
                  <w:vAlign w:val="center"/>
                </w:tcPr>
                <w:p w14:paraId="462EB8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 xml:space="preserve">大气减污降碳协同增效行动。大力推动产业转型升级和布局调整优化。坚决遏制高耗能、高排放、低水平项目盲目发展，严格落实国家和省产业规划、产业政策、“三线一单”、规划环评，以及 </w:t>
                  </w:r>
                </w:p>
                <w:p w14:paraId="1034FF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仿宋" w:cs="Times New Roman"/>
                      <w:bCs/>
                      <w:color w:val="auto"/>
                      <w:szCs w:val="21"/>
                      <w:lang w:eastAsia="zh-CN"/>
                    </w:rPr>
                  </w:pPr>
                  <w:r>
                    <w:rPr>
                      <w:rFonts w:hint="default" w:ascii="Times New Roman" w:hAnsi="Times New Roman" w:eastAsia="仿宋" w:cs="Times New Roman"/>
                      <w:bCs/>
                      <w:color w:val="auto"/>
                      <w:szCs w:val="21"/>
                      <w:lang w:val="en-US" w:eastAsia="zh-CN"/>
                    </w:rPr>
                    <w:t>产能置换、煤炭消费减量替代、污染物排放总量控制、区域污染物削减、碳排放达峰目标等要求，坚决叫停不符合要求的高耗能、高排放、低水平项目。…… 严格依法依规淘汰落后产能。强化法规 标准等约束，利用能耗、环保、安全、 质量、技术等综合标准，依法依规淘汰落后产能、落后工艺、落后产品，持续推进化工行业安全环保整治提升，大幅提升行业整体绿色发展水平</w:t>
                  </w:r>
                </w:p>
              </w:tc>
              <w:tc>
                <w:tcPr>
                  <w:tcW w:w="2157" w:type="pct"/>
                  <w:noWrap w:val="0"/>
                  <w:vAlign w:val="center"/>
                </w:tcPr>
                <w:p w14:paraId="457D091C">
                  <w:pPr>
                    <w:keepNext w:val="0"/>
                    <w:keepLines w:val="0"/>
                    <w:widowControl/>
                    <w:suppressLineNumbers w:val="0"/>
                    <w:adjustRightInd w:val="0"/>
                    <w:snapToGrid w:val="0"/>
                    <w:spacing w:before="0" w:beforeAutospacing="0" w:after="0" w:afterAutospacing="0"/>
                    <w:ind w:right="0"/>
                    <w:jc w:val="both"/>
                    <w:rPr>
                      <w:rFonts w:hint="default" w:ascii="Times New Roman" w:hAnsi="Times New Roman" w:eastAsia="仿宋" w:cs="Times New Roman"/>
                      <w:bCs/>
                      <w:color w:val="auto"/>
                      <w:szCs w:val="21"/>
                    </w:rPr>
                  </w:pPr>
                  <w:r>
                    <w:rPr>
                      <w:rFonts w:hint="eastAsia" w:eastAsia="仿宋" w:cs="Times New Roman"/>
                      <w:bCs/>
                      <w:color w:val="auto"/>
                      <w:szCs w:val="21"/>
                      <w:lang w:val="en-US" w:eastAsia="zh-CN"/>
                    </w:rPr>
                    <w:t>本项目</w:t>
                  </w:r>
                  <w:r>
                    <w:rPr>
                      <w:rFonts w:hint="default" w:ascii="Times New Roman" w:hAnsi="Times New Roman" w:eastAsia="仿宋" w:cs="Times New Roman"/>
                      <w:bCs/>
                      <w:color w:val="auto"/>
                      <w:szCs w:val="21"/>
                      <w:lang w:val="en-US" w:eastAsia="zh-CN"/>
                    </w:rPr>
                    <w:t>属于C3499其他未列明通用设备制造业，不属于高耗能、高排放、低水平项目，符合规划要求。本项目产品为太阳能铸锭炉，不涉及落后工艺、落后产品。</w:t>
                  </w:r>
                </w:p>
              </w:tc>
            </w:tr>
          </w:tbl>
          <w:p w14:paraId="1C3AD532">
            <w:pPr>
              <w:keepNext w:val="0"/>
              <w:keepLines w:val="0"/>
              <w:suppressLineNumbers w:val="0"/>
              <w:autoSpaceDE w:val="0"/>
              <w:autoSpaceDN w:val="0"/>
              <w:adjustRightInd w:val="0"/>
              <w:snapToGrid w:val="0"/>
              <w:spacing w:before="0" w:beforeAutospacing="0" w:after="0" w:afterAutospacing="0" w:line="500" w:lineRule="exact"/>
              <w:ind w:right="0" w:firstLine="482" w:firstLineChars="200"/>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w:t>
            </w:r>
            <w:r>
              <w:rPr>
                <w:rFonts w:hint="default" w:ascii="Times New Roman" w:hAnsi="Times New Roman" w:eastAsia="仿宋" w:cs="Times New Roman"/>
                <w:b/>
                <w:bCs/>
                <w:color w:val="auto"/>
                <w:sz w:val="24"/>
                <w:lang w:val="en-US" w:eastAsia="zh-CN"/>
              </w:rPr>
              <w:t>8</w:t>
            </w:r>
            <w:r>
              <w:rPr>
                <w:rFonts w:hint="default" w:ascii="Times New Roman" w:hAnsi="Times New Roman" w:eastAsia="仿宋" w:cs="Times New Roman"/>
                <w:b/>
                <w:bCs/>
                <w:color w:val="auto"/>
                <w:sz w:val="24"/>
              </w:rPr>
              <w:t>）与《江苏省大气颗粒物污染防治管理办法》（省政府令第91号）相符性分析</w:t>
            </w:r>
          </w:p>
          <w:p w14:paraId="17FA94F4">
            <w:pPr>
              <w:keepNext w:val="0"/>
              <w:keepLines w:val="0"/>
              <w:widowControl/>
              <w:suppressLineNumbers w:val="0"/>
              <w:shd w:val="clear" w:color="auto" w:fill="FFFFFF"/>
              <w:adjustRightInd w:val="0"/>
              <w:snapToGrid w:val="0"/>
              <w:spacing w:before="0" w:beforeAutospacing="0" w:after="0" w:afterAutospacing="0" w:line="500" w:lineRule="exact"/>
              <w:ind w:left="0" w:right="0"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第八条：大气污染防治分重点控制区和一般控制区，实施差异化管理和控制要求。沿江设区的市（南京、无锡、常州、苏州、南通、扬州、镇江、泰州市）为重点控制区，其他设区的市（徐州、淮安、连云港、盐城、宿迁市）为一般控制区。</w:t>
            </w:r>
          </w:p>
          <w:p w14:paraId="1A739354">
            <w:pPr>
              <w:keepNext w:val="0"/>
              <w:keepLines w:val="0"/>
              <w:widowControl/>
              <w:suppressLineNumbers w:val="0"/>
              <w:shd w:val="clear" w:color="auto" w:fill="FFFFFF"/>
              <w:adjustRightInd w:val="0"/>
              <w:snapToGrid w:val="0"/>
              <w:spacing w:before="0" w:beforeAutospacing="0" w:after="0" w:afterAutospacing="0" w:line="500" w:lineRule="exact"/>
              <w:ind w:left="0" w:right="0"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第九条：县级以上地方人民政府应当推进产业结构调整，淘汰落后生产工艺、设备，提高大气颗粒物污染防治和监督管理水平，削减工业烟尘、粉尘排放总量。重点控制区严格限制火电、钢铁、水泥等行业的高污染项目。</w:t>
            </w:r>
          </w:p>
          <w:p w14:paraId="412FF821">
            <w:pPr>
              <w:keepNext w:val="0"/>
              <w:keepLines w:val="0"/>
              <w:widowControl/>
              <w:suppressLineNumbers w:val="0"/>
              <w:shd w:val="clear" w:color="auto" w:fill="FFFFFF"/>
              <w:adjustRightInd w:val="0"/>
              <w:snapToGrid w:val="0"/>
              <w:spacing w:before="0" w:beforeAutospacing="0" w:after="0" w:afterAutospacing="0" w:line="500" w:lineRule="exact"/>
              <w:ind w:left="0" w:right="0"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第十条：新建、扩建、改建向大气排放颗粒物的项目，应当遵守国家有关建设项目环境保护管理的规定，积极推行环境监理制度。鼓励、引导建设单位委托环境监理单位对大气颗粒物污染防治设施的设计、施工进行监理。</w:t>
            </w:r>
          </w:p>
          <w:p w14:paraId="731238E7">
            <w:pPr>
              <w:keepNext w:val="0"/>
              <w:keepLines w:val="0"/>
              <w:widowControl/>
              <w:suppressLineNumbers w:val="0"/>
              <w:shd w:val="clear" w:color="auto" w:fill="FFFFFF"/>
              <w:adjustRightInd w:val="0"/>
              <w:snapToGrid w:val="0"/>
              <w:spacing w:before="0" w:beforeAutospacing="0" w:after="0" w:afterAutospacing="0" w:line="500" w:lineRule="exact"/>
              <w:ind w:left="0" w:right="0"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第十一条：向大气排放烟尘、粉尘的工业企业，应当采取有效的污染防治措施，确保污染物达标排放。</w:t>
            </w:r>
          </w:p>
          <w:p w14:paraId="2A8EBFA4">
            <w:pPr>
              <w:keepNext w:val="0"/>
              <w:keepLines w:val="0"/>
              <w:widowControl/>
              <w:suppressLineNumbers w:val="0"/>
              <w:shd w:val="clear" w:color="auto" w:fill="FFFFFF"/>
              <w:adjustRightInd w:val="0"/>
              <w:snapToGrid w:val="0"/>
              <w:spacing w:before="0" w:beforeAutospacing="0" w:after="0" w:afterAutospacing="0" w:line="500" w:lineRule="exact"/>
              <w:ind w:left="0" w:right="0"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产生烟尘、粉尘的生产和物料运输等环节，应当采取密闭、吸尘、除尘等有效措施，将无组织排放转变为有组织达标排放。</w:t>
            </w:r>
          </w:p>
          <w:p w14:paraId="5A49FD16">
            <w:pPr>
              <w:autoSpaceDE w:val="0"/>
              <w:autoSpaceDN w:val="0"/>
              <w:adjustRightInd w:val="0"/>
              <w:snapToGrid w:val="0"/>
              <w:spacing w:line="500" w:lineRule="exact"/>
              <w:ind w:firstLine="482" w:firstLineChars="200"/>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eastAsia="仿宋" w:cs="Times New Roman"/>
                <w:b/>
                <w:bCs/>
                <w:color w:val="auto"/>
                <w:kern w:val="2"/>
                <w:sz w:val="24"/>
                <w:szCs w:val="24"/>
                <w:lang w:val="en-US" w:eastAsia="zh-CN" w:bidi="ar-SA"/>
              </w:rPr>
              <w:t>本项目位于重点控制区，遵守国家有关建设项目环境保护管理的规定，生产过程中产生颗粒物经袋式除尘器处理后由15m高排气筒排放，大气颗粒物污染较小；因此本项目符合《江苏省大气颗粒物污染防治管理办法》（省政府令第91号）要求。</w:t>
            </w:r>
          </w:p>
          <w:p w14:paraId="010EED77">
            <w:pPr>
              <w:autoSpaceDE w:val="0"/>
              <w:autoSpaceDN w:val="0"/>
              <w:adjustRightInd w:val="0"/>
              <w:snapToGrid w:val="0"/>
              <w:spacing w:line="500" w:lineRule="exact"/>
              <w:ind w:firstLine="482" w:firstLineChars="200"/>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w:t>
            </w:r>
            <w:r>
              <w:rPr>
                <w:rFonts w:hint="default" w:ascii="Times New Roman" w:hAnsi="Times New Roman" w:eastAsia="仿宋" w:cs="Times New Roman"/>
                <w:b/>
                <w:bCs/>
                <w:color w:val="auto"/>
                <w:sz w:val="24"/>
                <w:lang w:val="en-US" w:eastAsia="zh-CN"/>
              </w:rPr>
              <w:t>9</w:t>
            </w:r>
            <w:r>
              <w:rPr>
                <w:rFonts w:hint="default" w:ascii="Times New Roman" w:hAnsi="Times New Roman" w:eastAsia="仿宋" w:cs="Times New Roman"/>
                <w:b/>
                <w:bCs/>
                <w:color w:val="auto"/>
                <w:sz w:val="24"/>
              </w:rPr>
              <w:t>）</w:t>
            </w:r>
            <w:r>
              <w:rPr>
                <w:rFonts w:hint="default" w:ascii="Times New Roman" w:hAnsi="Times New Roman" w:eastAsia="仿宋" w:cs="Times New Roman"/>
                <w:b/>
                <w:bCs/>
                <w:color w:val="auto"/>
                <w:sz w:val="24"/>
                <w:lang w:val="en-US" w:eastAsia="zh-CN"/>
              </w:rPr>
              <w:t>与</w:t>
            </w:r>
            <w:r>
              <w:rPr>
                <w:rFonts w:hint="default" w:ascii="Times New Roman" w:hAnsi="Times New Roman" w:eastAsia="仿宋" w:cs="Times New Roman"/>
                <w:b/>
                <w:bCs/>
                <w:color w:val="auto"/>
                <w:sz w:val="24"/>
              </w:rPr>
              <w:t>《市生态环境局关于建设项目的审批指导意见（试行）》（常州市生态环境局，2021年</w:t>
            </w:r>
            <w:r>
              <w:rPr>
                <w:rFonts w:hint="default" w:ascii="Times New Roman" w:hAnsi="Times New Roman" w:eastAsia="仿宋" w:cs="Times New Roman"/>
                <w:b/>
                <w:bCs/>
                <w:color w:val="auto"/>
                <w:sz w:val="24"/>
                <w:lang w:val="en-US" w:eastAsia="zh-CN"/>
              </w:rPr>
              <w:t>11</w:t>
            </w:r>
            <w:r>
              <w:rPr>
                <w:rFonts w:hint="default" w:ascii="Times New Roman" w:hAnsi="Times New Roman" w:eastAsia="仿宋" w:cs="Times New Roman"/>
                <w:b/>
                <w:bCs/>
                <w:color w:val="auto"/>
                <w:sz w:val="24"/>
              </w:rPr>
              <w:t>月</w:t>
            </w:r>
            <w:r>
              <w:rPr>
                <w:rFonts w:hint="default" w:ascii="Times New Roman" w:hAnsi="Times New Roman" w:eastAsia="仿宋" w:cs="Times New Roman"/>
                <w:b/>
                <w:bCs/>
                <w:color w:val="auto"/>
                <w:sz w:val="24"/>
                <w:lang w:val="en-US" w:eastAsia="zh-CN"/>
              </w:rPr>
              <w:t>10</w:t>
            </w:r>
            <w:r>
              <w:rPr>
                <w:rFonts w:hint="default" w:ascii="Times New Roman" w:hAnsi="Times New Roman" w:eastAsia="仿宋" w:cs="Times New Roman"/>
                <w:b/>
                <w:bCs/>
                <w:color w:val="auto"/>
                <w:sz w:val="24"/>
              </w:rPr>
              <w:t>日</w:t>
            </w:r>
            <w:r>
              <w:rPr>
                <w:rFonts w:hint="default" w:ascii="Times New Roman" w:hAnsi="Times New Roman" w:eastAsia="仿宋" w:cs="Times New Roman"/>
                <w:b/>
                <w:bCs/>
                <w:color w:val="auto"/>
                <w:sz w:val="24"/>
                <w:lang w:eastAsia="zh-CN"/>
              </w:rPr>
              <w:t>调整</w:t>
            </w:r>
            <w:r>
              <w:rPr>
                <w:rFonts w:hint="default" w:ascii="Times New Roman" w:hAnsi="Times New Roman" w:eastAsia="仿宋" w:cs="Times New Roman"/>
                <w:b/>
                <w:bCs/>
                <w:color w:val="auto"/>
                <w:sz w:val="24"/>
              </w:rPr>
              <w:t>）</w:t>
            </w:r>
            <w:r>
              <w:rPr>
                <w:rFonts w:hint="default" w:ascii="Times New Roman" w:hAnsi="Times New Roman" w:eastAsia="仿宋" w:cs="Times New Roman"/>
                <w:b/>
                <w:bCs/>
                <w:color w:val="auto"/>
                <w:sz w:val="24"/>
                <w:lang w:val="en-US" w:eastAsia="zh-CN"/>
              </w:rPr>
              <w:t>的对照</w:t>
            </w:r>
            <w:r>
              <w:rPr>
                <w:rFonts w:hint="default" w:ascii="Times New Roman" w:hAnsi="Times New Roman" w:eastAsia="仿宋" w:cs="Times New Roman"/>
                <w:b/>
                <w:bCs/>
                <w:color w:val="auto"/>
                <w:sz w:val="24"/>
              </w:rPr>
              <w:t>分析</w:t>
            </w:r>
          </w:p>
          <w:p w14:paraId="2803F426">
            <w:pPr>
              <w:autoSpaceDE w:val="0"/>
              <w:autoSpaceDN w:val="0"/>
              <w:adjustRightInd w:val="0"/>
              <w:snapToGrid w:val="0"/>
              <w:spacing w:line="500" w:lineRule="exact"/>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bCs/>
                <w:color w:val="auto"/>
                <w:sz w:val="24"/>
              </w:rPr>
              <w:t>本项目位于</w:t>
            </w:r>
            <w:r>
              <w:rPr>
                <w:rFonts w:hint="default" w:ascii="Times New Roman" w:hAnsi="Times New Roman" w:eastAsia="仿宋" w:cs="Times New Roman"/>
                <w:color w:val="auto"/>
                <w:sz w:val="24"/>
                <w:lang w:eastAsia="zh-CN"/>
              </w:rPr>
              <w:t>常州市金坛区薛埠镇工业园区南环路3号</w:t>
            </w:r>
            <w:r>
              <w:rPr>
                <w:rFonts w:hint="default" w:ascii="Times New Roman" w:hAnsi="Times New Roman" w:eastAsia="仿宋" w:cs="Times New Roman"/>
                <w:bCs/>
                <w:color w:val="auto"/>
                <w:sz w:val="24"/>
              </w:rPr>
              <w:t>，</w:t>
            </w:r>
            <w:r>
              <w:rPr>
                <w:rFonts w:hint="default" w:ascii="Times New Roman" w:hAnsi="Times New Roman" w:eastAsia="仿宋" w:cs="Times New Roman"/>
                <w:color w:val="auto"/>
                <w:sz w:val="24"/>
                <w:lang w:val="en-US" w:eastAsia="zh-CN"/>
              </w:rPr>
              <w:t>不属于大气质量国控站点周边3公里范围，不属于文件中重点区域范围；同时项目不属于文件中所列的高能耗项目。项目将按照环保审批要求申请总量。</w:t>
            </w:r>
          </w:p>
          <w:p w14:paraId="13E76AE6">
            <w:pPr>
              <w:autoSpaceDE w:val="0"/>
              <w:autoSpaceDN w:val="0"/>
              <w:snapToGrid w:val="0"/>
              <w:spacing w:line="500" w:lineRule="exact"/>
              <w:ind w:firstLine="482" w:firstLineChars="200"/>
              <w:jc w:val="left"/>
              <w:rPr>
                <w:rFonts w:hint="default" w:ascii="Times New Roman" w:hAnsi="Times New Roman" w:eastAsia="仿宋" w:cs="Times New Roman"/>
                <w:b/>
                <w:bCs/>
                <w:color w:val="auto"/>
                <w:sz w:val="24"/>
                <w:lang w:val="en-US" w:eastAsia="zh-CN"/>
              </w:rPr>
            </w:pPr>
            <w:r>
              <w:rPr>
                <w:rFonts w:hint="default" w:ascii="Times New Roman" w:hAnsi="Times New Roman" w:eastAsia="仿宋" w:cs="Times New Roman"/>
                <w:b/>
                <w:bCs/>
                <w:color w:val="auto"/>
                <w:sz w:val="24"/>
                <w:szCs w:val="24"/>
                <w:lang w:val="en-US" w:eastAsia="zh-CN"/>
              </w:rPr>
              <w:t>（10）</w:t>
            </w:r>
            <w:r>
              <w:rPr>
                <w:rFonts w:hint="default" w:ascii="Times New Roman" w:hAnsi="Times New Roman" w:eastAsia="仿宋" w:cs="Times New Roman"/>
                <w:b/>
                <w:bCs/>
                <w:color w:val="auto"/>
                <w:sz w:val="24"/>
                <w:lang w:val="en-US" w:eastAsia="zh-CN"/>
              </w:rPr>
              <w:t>与《关于印发&lt;环境保护综合名录（2021）年版&gt;的通知》（环办综合函〔2021〕495号）的对照分析</w:t>
            </w:r>
          </w:p>
          <w:p w14:paraId="7CDF924F">
            <w:pPr>
              <w:autoSpaceDE w:val="0"/>
              <w:autoSpaceDN w:val="0"/>
              <w:adjustRightInd w:val="0"/>
              <w:snapToGrid w:val="0"/>
              <w:spacing w:line="500" w:lineRule="exact"/>
              <w:ind w:firstLine="480" w:firstLineChars="200"/>
              <w:rPr>
                <w:rFonts w:hint="default" w:ascii="Times New Roman" w:hAnsi="Times New Roman" w:eastAsia="仿宋" w:cs="Times New Roman"/>
                <w:b w:val="0"/>
                <w:bCs/>
                <w:color w:val="auto"/>
                <w:sz w:val="24"/>
                <w:lang w:val="en-US" w:eastAsia="zh-CN"/>
              </w:rPr>
            </w:pPr>
            <w:r>
              <w:rPr>
                <w:rFonts w:hint="default" w:ascii="Times New Roman" w:hAnsi="Times New Roman" w:eastAsia="仿宋" w:cs="Times New Roman"/>
                <w:b w:val="0"/>
                <w:bCs/>
                <w:color w:val="auto"/>
                <w:sz w:val="24"/>
                <w:lang w:val="en-US" w:eastAsia="zh-CN"/>
              </w:rPr>
              <w:t>本项目产品为太阳能铸锭炉，不属于文件中所列的“高污染、高环境风险”产品。</w:t>
            </w:r>
          </w:p>
          <w:p w14:paraId="36C2F1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2" w:firstLineChars="200"/>
              <w:jc w:val="left"/>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w:t>
            </w:r>
            <w:r>
              <w:rPr>
                <w:rFonts w:hint="default" w:ascii="Times New Roman" w:hAnsi="Times New Roman" w:eastAsia="仿宋" w:cs="Times New Roman"/>
                <w:b/>
                <w:bCs/>
                <w:color w:val="auto"/>
                <w:sz w:val="24"/>
                <w:lang w:val="en-US" w:eastAsia="zh-CN"/>
              </w:rPr>
              <w:t>11</w:t>
            </w:r>
            <w:r>
              <w:rPr>
                <w:rFonts w:hint="default" w:ascii="Times New Roman" w:hAnsi="Times New Roman" w:eastAsia="仿宋" w:cs="Times New Roman"/>
                <w:b/>
                <w:bCs/>
                <w:color w:val="auto"/>
                <w:sz w:val="24"/>
              </w:rPr>
              <w:t>）与《关于印发&lt;长江经济带发展负面清单指南(试行，2022年版)江苏省实施细则&gt;的通知》(苏长江办发</w:t>
            </w:r>
            <w:r>
              <w:rPr>
                <w:rFonts w:hint="eastAsia" w:eastAsia="仿宋" w:cs="Times New Roman"/>
                <w:b/>
                <w:bCs/>
                <w:color w:val="auto"/>
                <w:sz w:val="24"/>
                <w:lang w:eastAsia="zh-CN"/>
              </w:rPr>
              <w:t>〔2022〕55号</w:t>
            </w:r>
            <w:r>
              <w:rPr>
                <w:rFonts w:hint="default" w:ascii="Times New Roman" w:hAnsi="Times New Roman" w:eastAsia="仿宋" w:cs="Times New Roman"/>
                <w:b/>
                <w:bCs/>
                <w:color w:val="auto"/>
                <w:sz w:val="24"/>
              </w:rPr>
              <w:t>)的相符性分析</w:t>
            </w:r>
          </w:p>
          <w:p w14:paraId="4D819F65">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表1-1</w:t>
            </w:r>
            <w:r>
              <w:rPr>
                <w:rFonts w:hint="eastAsia" w:eastAsia="仿宋" w:cs="Times New Roman"/>
                <w:b/>
                <w:bCs/>
                <w:color w:val="auto"/>
                <w:sz w:val="21"/>
                <w:szCs w:val="21"/>
                <w:lang w:val="en-US" w:eastAsia="zh-CN"/>
              </w:rPr>
              <w:t xml:space="preserve">5 </w:t>
            </w:r>
            <w:r>
              <w:rPr>
                <w:rFonts w:hint="default" w:ascii="Times New Roman" w:hAnsi="Times New Roman" w:eastAsia="仿宋" w:cs="Times New Roman"/>
                <w:b/>
                <w:bCs/>
                <w:color w:val="auto"/>
                <w:sz w:val="21"/>
                <w:szCs w:val="21"/>
              </w:rPr>
              <w:t>与苏长江办发</w:t>
            </w:r>
            <w:r>
              <w:rPr>
                <w:rFonts w:hint="eastAsia" w:eastAsia="仿宋" w:cs="Times New Roman"/>
                <w:b/>
                <w:bCs/>
                <w:color w:val="auto"/>
                <w:sz w:val="21"/>
                <w:szCs w:val="21"/>
                <w:lang w:eastAsia="zh-CN"/>
              </w:rPr>
              <w:t>〔2022〕55号</w:t>
            </w:r>
            <w:r>
              <w:rPr>
                <w:rFonts w:hint="default" w:ascii="Times New Roman" w:hAnsi="Times New Roman" w:eastAsia="仿宋" w:cs="Times New Roman"/>
                <w:b/>
                <w:bCs/>
                <w:color w:val="auto"/>
                <w:sz w:val="21"/>
                <w:szCs w:val="21"/>
              </w:rPr>
              <w:t>相符性分析</w:t>
            </w:r>
          </w:p>
          <w:tbl>
            <w:tblPr>
              <w:tblStyle w:val="28"/>
              <w:tblW w:w="490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21"/>
              <w:gridCol w:w="1923"/>
            </w:tblGrid>
            <w:tr w14:paraId="1ECCE5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789" w:type="pct"/>
                  <w:vAlign w:val="center"/>
                </w:tcPr>
                <w:p w14:paraId="44F443CC">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要求</w:t>
                  </w:r>
                </w:p>
              </w:tc>
              <w:tc>
                <w:tcPr>
                  <w:tcW w:w="1210" w:type="pct"/>
                  <w:vAlign w:val="center"/>
                </w:tcPr>
                <w:p w14:paraId="588321B9">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相符性分析</w:t>
                  </w:r>
                </w:p>
              </w:tc>
            </w:tr>
            <w:tr w14:paraId="0B6256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9" w:type="pct"/>
                  <w:vAlign w:val="center"/>
                </w:tcPr>
                <w:p w14:paraId="2DC294BB">
                  <w:pPr>
                    <w:ind w:firstLine="42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禁止新建、扩建不符合国家和省产业政策的尿素、磷铵、电石、烧碱、聚氯乙烯、纯碱等行业新增产能项目。</w:t>
                  </w:r>
                </w:p>
              </w:tc>
              <w:tc>
                <w:tcPr>
                  <w:tcW w:w="1210" w:type="pct"/>
                  <w:vMerge w:val="restart"/>
                  <w:vAlign w:val="center"/>
                </w:tcPr>
                <w:p w14:paraId="6BFEB24B">
                  <w:pP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本项目不属于上述禁止行业或项目。</w:t>
                  </w:r>
                </w:p>
              </w:tc>
            </w:tr>
            <w:tr w14:paraId="327070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9" w:type="pct"/>
                  <w:vAlign w:val="center"/>
                </w:tcPr>
                <w:p w14:paraId="717C75B4">
                  <w:pPr>
                    <w:ind w:firstLine="42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禁止新建、改建、扩建高毒、高残留以及对环境影响大的农药原药</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化学合成类</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项目</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禁止新建、扩建不符合国家和省产业政策的农药、医药和染料中间体化工项目。</w:t>
                  </w:r>
                </w:p>
              </w:tc>
              <w:tc>
                <w:tcPr>
                  <w:tcW w:w="1210" w:type="pct"/>
                  <w:vMerge w:val="continue"/>
                  <w:vAlign w:val="center"/>
                </w:tcPr>
                <w:p w14:paraId="4EC81E3F">
                  <w:pPr>
                    <w:ind w:firstLine="420" w:firstLineChars="200"/>
                    <w:rPr>
                      <w:rFonts w:hint="default" w:ascii="Times New Roman" w:hAnsi="Times New Roman" w:eastAsia="仿宋" w:cs="Times New Roman"/>
                      <w:color w:val="auto"/>
                    </w:rPr>
                  </w:pPr>
                </w:p>
              </w:tc>
            </w:tr>
            <w:tr w14:paraId="5B25F6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9" w:type="pct"/>
                  <w:vAlign w:val="center"/>
                </w:tcPr>
                <w:p w14:paraId="55B3973B">
                  <w:pPr>
                    <w:ind w:firstLine="42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禁止新建、扩建不符合国家石化、现代煤化工等产业布局规划的项目</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禁止新建独立焦化项目。</w:t>
                  </w:r>
                </w:p>
              </w:tc>
              <w:tc>
                <w:tcPr>
                  <w:tcW w:w="1210" w:type="pct"/>
                  <w:vMerge w:val="continue"/>
                  <w:vAlign w:val="center"/>
                </w:tcPr>
                <w:p w14:paraId="5E5B175F">
                  <w:pPr>
                    <w:ind w:firstLine="420" w:firstLineChars="200"/>
                    <w:rPr>
                      <w:rFonts w:hint="default" w:ascii="Times New Roman" w:hAnsi="Times New Roman" w:eastAsia="仿宋" w:cs="Times New Roman"/>
                      <w:color w:val="auto"/>
                    </w:rPr>
                  </w:pPr>
                </w:p>
              </w:tc>
            </w:tr>
            <w:tr w14:paraId="10B118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9" w:type="pct"/>
                  <w:vAlign w:val="center"/>
                </w:tcPr>
                <w:p w14:paraId="1FA78A94">
                  <w:pPr>
                    <w:ind w:firstLine="42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禁止新建、扩建国家《产业结构调整指导目录》《江苏省产业结构调整限制、淘汰和禁止目录》明确的限制类、</w:t>
                  </w:r>
                  <w:r>
                    <w:rPr>
                      <w:rFonts w:hint="default" w:ascii="Times New Roman" w:hAnsi="Times New Roman" w:eastAsia="仿宋" w:cs="Times New Roman"/>
                      <w:color w:val="auto"/>
                      <w:lang w:val="en-US" w:eastAsia="zh-CN"/>
                    </w:rPr>
                    <w:t>淘汰</w:t>
                  </w:r>
                  <w:r>
                    <w:rPr>
                      <w:rFonts w:hint="default" w:ascii="Times New Roman" w:hAnsi="Times New Roman" w:eastAsia="仿宋" w:cs="Times New Roman"/>
                      <w:color w:val="auto"/>
                    </w:rPr>
                    <w:t>类、禁止类项目</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法律法规和相关政策明令禁止的落后产能项目</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以及明令淘汰的安全生产落后工艺及装备项目。</w:t>
                  </w:r>
                </w:p>
              </w:tc>
              <w:tc>
                <w:tcPr>
                  <w:tcW w:w="1210" w:type="pct"/>
                  <w:vMerge w:val="continue"/>
                  <w:vAlign w:val="center"/>
                </w:tcPr>
                <w:p w14:paraId="161D3C8F">
                  <w:pPr>
                    <w:ind w:firstLine="420" w:firstLineChars="200"/>
                    <w:rPr>
                      <w:rFonts w:hint="default" w:ascii="Times New Roman" w:hAnsi="Times New Roman" w:eastAsia="仿宋" w:cs="Times New Roman"/>
                      <w:color w:val="auto"/>
                    </w:rPr>
                  </w:pPr>
                </w:p>
              </w:tc>
            </w:tr>
            <w:tr w14:paraId="2F9BDC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9" w:type="pct"/>
                  <w:vAlign w:val="center"/>
                </w:tcPr>
                <w:p w14:paraId="13DAE6A9">
                  <w:pPr>
                    <w:ind w:firstLine="420" w:firstLineChars="20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禁止新建、扩建不符合国家产能置换要求的严重过剩产能行业的项目。禁止新建、扩建不符合要求的高耗能高排放项目。</w:t>
                  </w:r>
                </w:p>
              </w:tc>
              <w:tc>
                <w:tcPr>
                  <w:tcW w:w="1210" w:type="pct"/>
                  <w:vMerge w:val="continue"/>
                  <w:vAlign w:val="center"/>
                </w:tcPr>
                <w:p w14:paraId="13761EBC">
                  <w:pPr>
                    <w:ind w:firstLine="420" w:firstLineChars="200"/>
                    <w:rPr>
                      <w:rFonts w:hint="default" w:ascii="Times New Roman" w:hAnsi="Times New Roman" w:eastAsia="仿宋" w:cs="Times New Roman"/>
                      <w:color w:val="auto"/>
                      <w:lang w:val="en-US" w:eastAsia="zh-CN"/>
                    </w:rPr>
                  </w:pPr>
                </w:p>
              </w:tc>
            </w:tr>
            <w:tr w14:paraId="3274D8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9" w:type="pct"/>
                  <w:vAlign w:val="center"/>
                </w:tcPr>
                <w:p w14:paraId="49014491">
                  <w:pPr>
                    <w:ind w:firstLine="42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法律法规及相关政策文件有更加严格规定的从其规定。</w:t>
                  </w:r>
                </w:p>
              </w:tc>
              <w:tc>
                <w:tcPr>
                  <w:tcW w:w="1210" w:type="pct"/>
                  <w:vMerge w:val="continue"/>
                  <w:vAlign w:val="center"/>
                </w:tcPr>
                <w:p w14:paraId="2B7EB425">
                  <w:pPr>
                    <w:ind w:firstLine="420" w:firstLineChars="200"/>
                    <w:rPr>
                      <w:rFonts w:hint="default" w:ascii="Times New Roman" w:hAnsi="Times New Roman" w:eastAsia="仿宋" w:cs="Times New Roman"/>
                      <w:color w:val="auto"/>
                    </w:rPr>
                  </w:pPr>
                </w:p>
              </w:tc>
            </w:tr>
          </w:tbl>
          <w:p w14:paraId="2B5DD7FC">
            <w:pPr>
              <w:keepNext w:val="0"/>
              <w:keepLines w:val="0"/>
              <w:pageBreakBefore w:val="0"/>
              <w:widowControl w:val="0"/>
              <w:kinsoku/>
              <w:wordWrap/>
              <w:overflowPunct/>
              <w:topLinePunct w:val="0"/>
              <w:autoSpaceDE w:val="0"/>
              <w:autoSpaceDN w:val="0"/>
              <w:bidi w:val="0"/>
              <w:adjustRightInd/>
              <w:snapToGrid w:val="0"/>
              <w:spacing w:line="500" w:lineRule="exact"/>
              <w:ind w:firstLine="482" w:firstLineChars="200"/>
              <w:jc w:val="left"/>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val="en-US" w:eastAsia="zh-CN"/>
              </w:rPr>
              <w:t>(1</w:t>
            </w:r>
            <w:r>
              <w:rPr>
                <w:rFonts w:hint="eastAsia" w:eastAsia="仿宋" w:cs="Times New Roman"/>
                <w:b/>
                <w:bCs/>
                <w:color w:val="auto"/>
                <w:sz w:val="24"/>
                <w:lang w:val="en-US" w:eastAsia="zh-CN"/>
              </w:rPr>
              <w:t>2</w:t>
            </w:r>
            <w:r>
              <w:rPr>
                <w:rFonts w:hint="default" w:ascii="Times New Roman" w:hAnsi="Times New Roman" w:eastAsia="仿宋" w:cs="Times New Roman"/>
                <w:b/>
                <w:bCs/>
                <w:color w:val="auto"/>
                <w:sz w:val="24"/>
                <w:lang w:val="en-US" w:eastAsia="zh-CN"/>
              </w:rPr>
              <w:t xml:space="preserve">)与《省大气办关于印发&lt;江苏省挥发性有机物清洁原料替代工作方案&gt; </w:t>
            </w:r>
          </w:p>
          <w:p w14:paraId="647FAA4D">
            <w:pPr>
              <w:keepNext w:val="0"/>
              <w:keepLines w:val="0"/>
              <w:pageBreakBefore w:val="0"/>
              <w:widowControl w:val="0"/>
              <w:kinsoku/>
              <w:wordWrap/>
              <w:overflowPunct/>
              <w:topLinePunct w:val="0"/>
              <w:autoSpaceDE w:val="0"/>
              <w:autoSpaceDN w:val="0"/>
              <w:bidi w:val="0"/>
              <w:adjustRightInd/>
              <w:snapToGrid w:val="0"/>
              <w:spacing w:line="500" w:lineRule="exact"/>
              <w:jc w:val="left"/>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val="en-US" w:eastAsia="zh-CN"/>
              </w:rPr>
              <w:t>的通知》（苏大气办</w:t>
            </w:r>
            <w:r>
              <w:rPr>
                <w:rFonts w:hint="eastAsia" w:eastAsia="仿宋" w:cs="Times New Roman"/>
                <w:b/>
                <w:bCs/>
                <w:color w:val="auto"/>
                <w:sz w:val="24"/>
                <w:lang w:val="en-US" w:eastAsia="zh-CN"/>
              </w:rPr>
              <w:t>〔2021〕2号</w:t>
            </w:r>
            <w:r>
              <w:rPr>
                <w:rFonts w:hint="default" w:ascii="Times New Roman" w:hAnsi="Times New Roman" w:eastAsia="仿宋" w:cs="Times New Roman"/>
                <w:b/>
                <w:bCs/>
                <w:color w:val="auto"/>
                <w:sz w:val="24"/>
                <w:lang w:val="en-US" w:eastAsia="zh-CN"/>
              </w:rPr>
              <w:t>）相符性分析</w:t>
            </w:r>
          </w:p>
          <w:p w14:paraId="771FBB5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lang w:val="zh-CN" w:eastAsia="zh-CN"/>
              </w:rPr>
            </w:pPr>
            <w:r>
              <w:rPr>
                <w:rFonts w:hint="default" w:ascii="Times New Roman" w:hAnsi="Times New Roman" w:eastAsia="仿宋" w:cs="Times New Roman"/>
                <w:b/>
                <w:bCs/>
                <w:color w:val="auto"/>
                <w:sz w:val="21"/>
                <w:szCs w:val="21"/>
                <w:lang w:val="zh-CN" w:eastAsia="zh-CN"/>
              </w:rPr>
              <w:t>表</w:t>
            </w:r>
            <w:r>
              <w:rPr>
                <w:rFonts w:hint="default" w:ascii="Times New Roman" w:hAnsi="Times New Roman" w:eastAsia="仿宋" w:cs="Times New Roman"/>
                <w:b/>
                <w:bCs/>
                <w:color w:val="auto"/>
                <w:sz w:val="21"/>
                <w:szCs w:val="21"/>
                <w:lang w:val="en-US" w:eastAsia="zh-CN"/>
              </w:rPr>
              <w:t>1-1</w:t>
            </w:r>
            <w:r>
              <w:rPr>
                <w:rFonts w:hint="eastAsia" w:eastAsia="仿宋" w:cs="Times New Roman"/>
                <w:b/>
                <w:bCs/>
                <w:color w:val="auto"/>
                <w:sz w:val="21"/>
                <w:szCs w:val="21"/>
                <w:lang w:val="en-US" w:eastAsia="zh-CN"/>
              </w:rPr>
              <w:t>6</w:t>
            </w:r>
            <w:r>
              <w:rPr>
                <w:rFonts w:hint="default"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lang w:val="zh-CN" w:eastAsia="zh-CN"/>
              </w:rPr>
              <w:t xml:space="preserve"> 与</w:t>
            </w:r>
            <w:r>
              <w:rPr>
                <w:rFonts w:hint="default" w:ascii="Times New Roman" w:hAnsi="Times New Roman" w:eastAsia="仿宋" w:cs="Times New Roman"/>
                <w:b/>
                <w:bCs/>
                <w:color w:val="auto"/>
                <w:sz w:val="21"/>
                <w:szCs w:val="21"/>
                <w:lang w:val="en-US" w:eastAsia="zh-CN"/>
              </w:rPr>
              <w:t>苏大气办</w:t>
            </w:r>
            <w:r>
              <w:rPr>
                <w:rFonts w:hint="eastAsia" w:eastAsia="仿宋" w:cs="Times New Roman"/>
                <w:b/>
                <w:bCs/>
                <w:color w:val="auto"/>
                <w:sz w:val="21"/>
                <w:szCs w:val="21"/>
                <w:lang w:val="en-US" w:eastAsia="zh-CN"/>
              </w:rPr>
              <w:t>〔2021〕2号</w:t>
            </w:r>
            <w:r>
              <w:rPr>
                <w:rFonts w:hint="default" w:ascii="Times New Roman" w:hAnsi="Times New Roman" w:eastAsia="仿宋" w:cs="Times New Roman"/>
                <w:b/>
                <w:bCs/>
                <w:color w:val="auto"/>
                <w:sz w:val="21"/>
                <w:szCs w:val="21"/>
                <w:lang w:val="zh-CN" w:eastAsia="zh-CN"/>
              </w:rPr>
              <w:t>文对照分析</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4641"/>
              <w:gridCol w:w="2813"/>
              <w:gridCol w:w="641"/>
            </w:tblGrid>
            <w:tr w14:paraId="17D6AF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2866" w:type="pct"/>
                  <w:vAlign w:val="center"/>
                </w:tcPr>
                <w:p w14:paraId="31FB6A3B">
                  <w:pPr>
                    <w:autoSpaceDE w:val="0"/>
                    <w:autoSpaceDN w:val="0"/>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文件要求</w:t>
                  </w:r>
                </w:p>
              </w:tc>
              <w:tc>
                <w:tcPr>
                  <w:tcW w:w="1737" w:type="pct"/>
                  <w:vAlign w:val="center"/>
                </w:tcPr>
                <w:p w14:paraId="70DA95AF">
                  <w:pPr>
                    <w:autoSpaceDE w:val="0"/>
                    <w:autoSpaceDN w:val="0"/>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本项目</w:t>
                  </w:r>
                </w:p>
              </w:tc>
              <w:tc>
                <w:tcPr>
                  <w:tcW w:w="396" w:type="pct"/>
                  <w:vAlign w:val="center"/>
                </w:tcPr>
                <w:p w14:paraId="4708546E">
                  <w:pPr>
                    <w:autoSpaceDE w:val="0"/>
                    <w:autoSpaceDN w:val="0"/>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是否相符</w:t>
                  </w:r>
                </w:p>
              </w:tc>
            </w:tr>
            <w:tr w14:paraId="0E41A0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2866" w:type="pct"/>
                  <w:vAlign w:val="center"/>
                </w:tcPr>
                <w:p w14:paraId="67B98FC1">
                  <w:pPr>
                    <w:keepNext w:val="0"/>
                    <w:keepLines w:val="0"/>
                    <w:widowControl/>
                    <w:suppressLineNumbers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 w:val="21"/>
                      <w:szCs w:val="21"/>
                      <w:lang w:val="en-US" w:eastAsia="zh-CN" w:bidi="ar"/>
                    </w:rPr>
                    <w:t xml:space="preserve">明确替代要求，以工业涂装、包装印刷、木材加工、纺织（附件1）等行业为重点，分阶段推进 3130 家企业（附件2）清洁原料替代工作。实施替代的企业要使用符合《低挥发性有机化合物含量涂料产品技术要求》 （GB/T38597-2020）规定的粉末、水性、无溶剂、辐射固化涂料产品；符合《油墨中可挥发性有机化合物（VOCs）含量的限值》 （GB38507-2020）规定的水性油墨和能量固化油墨产品；符合《清洗剂挥发性有机化合物含量限值》（GB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 </w:t>
                  </w:r>
                </w:p>
              </w:tc>
              <w:tc>
                <w:tcPr>
                  <w:tcW w:w="1737" w:type="pct"/>
                  <w:vAlign w:val="center"/>
                </w:tcPr>
                <w:p w14:paraId="26260320">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1"/>
                      <w:szCs w:val="21"/>
                      <w:lang w:val="en-US" w:eastAsia="zh-CN"/>
                    </w:rPr>
                    <w:t>根据建设单位提供的原料MSDS，</w:t>
                  </w:r>
                  <w:r>
                    <w:rPr>
                      <w:rFonts w:hint="default" w:ascii="Times New Roman" w:hAnsi="Times New Roman" w:eastAsia="仿宋" w:cs="Times New Roman"/>
                      <w:color w:val="auto"/>
                      <w:kern w:val="0"/>
                      <w:sz w:val="21"/>
                      <w:szCs w:val="21"/>
                      <w:lang w:val="en-US" w:eastAsia="zh-CN" w:bidi="ar"/>
                    </w:rPr>
                    <w:t>项目水性漆</w:t>
                  </w:r>
                  <w:r>
                    <w:rPr>
                      <w:rFonts w:hint="default" w:ascii="Times New Roman" w:hAnsi="Times New Roman" w:eastAsia="仿宋" w:cs="Times New Roman"/>
                      <w:color w:val="auto"/>
                      <w:szCs w:val="21"/>
                    </w:rPr>
                    <w:t>VOCs含量满足《低挥发性有机化合物含量涂料产品技术要求》（GB/T 38597—2020）</w:t>
                  </w:r>
                  <w:r>
                    <w:rPr>
                      <w:rFonts w:hint="default" w:ascii="Times New Roman" w:hAnsi="Times New Roman" w:eastAsia="仿宋" w:cs="Times New Roman"/>
                      <w:color w:val="auto"/>
                      <w:szCs w:val="21"/>
                      <w:lang w:eastAsia="zh-CN"/>
                    </w:rPr>
                    <w:t>要求</w:t>
                  </w:r>
                  <w:r>
                    <w:rPr>
                      <w:rFonts w:hint="default" w:ascii="Times New Roman" w:hAnsi="Times New Roman" w:eastAsia="仿宋" w:cs="Times New Roman"/>
                      <w:color w:val="auto"/>
                      <w:sz w:val="21"/>
                      <w:szCs w:val="21"/>
                      <w:lang w:val="en-US" w:eastAsia="zh-CN"/>
                    </w:rPr>
                    <w:t>。</w:t>
                  </w:r>
                </w:p>
                <w:p w14:paraId="0D5D0255">
                  <w:pPr>
                    <w:keepNext w:val="0"/>
                    <w:keepLines w:val="0"/>
                    <w:widowControl/>
                    <w:suppressLineNumbers w:val="0"/>
                    <w:jc w:val="left"/>
                    <w:rPr>
                      <w:rFonts w:hint="default" w:ascii="Times New Roman" w:hAnsi="Times New Roman" w:eastAsia="仿宋" w:cs="Times New Roman"/>
                      <w:color w:val="auto"/>
                      <w:szCs w:val="21"/>
                    </w:rPr>
                  </w:pPr>
                </w:p>
              </w:tc>
              <w:tc>
                <w:tcPr>
                  <w:tcW w:w="396" w:type="pct"/>
                  <w:vAlign w:val="center"/>
                </w:tcPr>
                <w:p w14:paraId="2CE3F3B4">
                  <w:pPr>
                    <w:autoSpaceDE w:val="0"/>
                    <w:autoSpaceDN w:val="0"/>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bl>
          <w:p w14:paraId="6EE4430C">
            <w:pPr>
              <w:pStyle w:val="6"/>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仿宋" w:cs="Times New Roman"/>
                <w:b/>
                <w:color w:val="auto"/>
                <w:kern w:val="2"/>
                <w:sz w:val="24"/>
                <w:szCs w:val="24"/>
                <w:lang w:val="zh-CN" w:eastAsia="zh-CN" w:bidi="ar-SA"/>
              </w:rPr>
            </w:pPr>
            <w:r>
              <w:rPr>
                <w:rFonts w:hint="default" w:ascii="Times New Roman" w:hAnsi="Times New Roman" w:eastAsia="仿宋" w:cs="Times New Roman"/>
                <w:b/>
                <w:color w:val="auto"/>
                <w:kern w:val="2"/>
                <w:sz w:val="24"/>
                <w:szCs w:val="24"/>
                <w:lang w:val="en-US" w:eastAsia="zh-CN" w:bidi="ar-SA"/>
              </w:rPr>
              <w:t>(1</w:t>
            </w:r>
            <w:r>
              <w:rPr>
                <w:rFonts w:hint="eastAsia" w:eastAsia="仿宋" w:cs="Times New Roman"/>
                <w:b/>
                <w:color w:val="auto"/>
                <w:kern w:val="2"/>
                <w:sz w:val="24"/>
                <w:szCs w:val="24"/>
                <w:lang w:val="en-US" w:eastAsia="zh-CN" w:bidi="ar-SA"/>
              </w:rPr>
              <w:t>3</w:t>
            </w:r>
            <w:r>
              <w:rPr>
                <w:rFonts w:hint="default" w:ascii="Times New Roman" w:hAnsi="Times New Roman" w:eastAsia="仿宋" w:cs="Times New Roman"/>
                <w:b/>
                <w:color w:val="auto"/>
                <w:kern w:val="2"/>
                <w:sz w:val="24"/>
                <w:szCs w:val="24"/>
                <w:lang w:val="en-US" w:eastAsia="zh-CN" w:bidi="ar-SA"/>
              </w:rPr>
              <w:t>)与</w:t>
            </w:r>
            <w:r>
              <w:rPr>
                <w:rFonts w:hint="default" w:ascii="Times New Roman" w:hAnsi="Times New Roman" w:eastAsia="仿宋" w:cs="Times New Roman"/>
                <w:b/>
                <w:color w:val="auto"/>
                <w:kern w:val="2"/>
                <w:sz w:val="24"/>
                <w:szCs w:val="24"/>
                <w:lang w:val="zh-CN" w:eastAsia="zh-CN" w:bidi="ar-SA"/>
              </w:rPr>
              <w:t>《</w:t>
            </w:r>
            <w:r>
              <w:rPr>
                <w:rFonts w:hint="default" w:ascii="Times New Roman" w:hAnsi="Times New Roman" w:eastAsia="仿宋" w:cs="Times New Roman"/>
                <w:b/>
                <w:color w:val="auto"/>
                <w:kern w:val="2"/>
                <w:sz w:val="24"/>
                <w:szCs w:val="24"/>
                <w:lang w:val="en-US" w:eastAsia="zh-CN" w:bidi="ar-SA"/>
              </w:rPr>
              <w:t>常州市挥发性有机物清洁原料替代工作方案》（常污防攻坚指办</w:t>
            </w:r>
            <w:r>
              <w:rPr>
                <w:rFonts w:hint="eastAsia" w:eastAsia="仿宋" w:cs="Times New Roman"/>
                <w:b/>
                <w:color w:val="auto"/>
                <w:kern w:val="2"/>
                <w:sz w:val="24"/>
                <w:szCs w:val="24"/>
                <w:lang w:val="en-US" w:eastAsia="zh-CN" w:bidi="ar-SA"/>
              </w:rPr>
              <w:t>〔2021〕32号</w:t>
            </w:r>
            <w:r>
              <w:rPr>
                <w:rFonts w:hint="default" w:ascii="Times New Roman" w:hAnsi="Times New Roman" w:eastAsia="仿宋" w:cs="Times New Roman"/>
                <w:b/>
                <w:color w:val="auto"/>
                <w:kern w:val="2"/>
                <w:sz w:val="24"/>
                <w:szCs w:val="24"/>
                <w:lang w:val="en-US" w:eastAsia="zh-CN" w:bidi="ar-SA"/>
              </w:rPr>
              <w:t>）相符性分析</w:t>
            </w:r>
          </w:p>
          <w:p w14:paraId="5C0DD665">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lang w:val="zh-CN" w:eastAsia="zh-CN"/>
              </w:rPr>
            </w:pPr>
            <w:r>
              <w:rPr>
                <w:rFonts w:hint="default" w:ascii="Times New Roman" w:hAnsi="Times New Roman" w:eastAsia="仿宋" w:cs="Times New Roman"/>
                <w:b/>
                <w:bCs/>
                <w:color w:val="auto"/>
                <w:sz w:val="21"/>
                <w:szCs w:val="21"/>
                <w:lang w:val="zh-CN" w:eastAsia="zh-CN"/>
              </w:rPr>
              <w:t>表</w:t>
            </w:r>
            <w:r>
              <w:rPr>
                <w:rFonts w:hint="default" w:ascii="Times New Roman" w:hAnsi="Times New Roman" w:eastAsia="仿宋" w:cs="Times New Roman"/>
                <w:b/>
                <w:bCs/>
                <w:color w:val="auto"/>
                <w:sz w:val="21"/>
                <w:szCs w:val="21"/>
                <w:lang w:val="en-US" w:eastAsia="zh-CN"/>
              </w:rPr>
              <w:t>1-</w:t>
            </w:r>
            <w:r>
              <w:rPr>
                <w:rFonts w:hint="eastAsia" w:eastAsia="仿宋" w:cs="Times New Roman"/>
                <w:b/>
                <w:bCs/>
                <w:color w:val="auto"/>
                <w:sz w:val="21"/>
                <w:szCs w:val="21"/>
                <w:lang w:val="en-US" w:eastAsia="zh-CN"/>
              </w:rPr>
              <w:t>17</w:t>
            </w:r>
            <w:r>
              <w:rPr>
                <w:rFonts w:hint="default" w:ascii="Times New Roman" w:hAnsi="Times New Roman" w:eastAsia="仿宋" w:cs="Times New Roman"/>
                <w:b/>
                <w:bCs/>
                <w:color w:val="auto"/>
                <w:sz w:val="21"/>
                <w:szCs w:val="21"/>
                <w:lang w:val="zh-CN" w:eastAsia="zh-CN"/>
              </w:rPr>
              <w:t xml:space="preserve"> 与</w:t>
            </w:r>
            <w:r>
              <w:rPr>
                <w:rFonts w:hint="default" w:ascii="Times New Roman" w:hAnsi="Times New Roman" w:eastAsia="仿宋" w:cs="Times New Roman"/>
                <w:b/>
                <w:color w:val="auto"/>
                <w:kern w:val="2"/>
                <w:sz w:val="21"/>
                <w:szCs w:val="21"/>
                <w:lang w:val="en-US" w:eastAsia="zh-CN" w:bidi="ar-SA"/>
              </w:rPr>
              <w:t>常污防攻坚指办</w:t>
            </w:r>
            <w:r>
              <w:rPr>
                <w:rFonts w:hint="eastAsia" w:eastAsia="仿宋" w:cs="Times New Roman"/>
                <w:b/>
                <w:color w:val="auto"/>
                <w:kern w:val="2"/>
                <w:sz w:val="21"/>
                <w:szCs w:val="21"/>
                <w:lang w:val="en-US" w:eastAsia="zh-CN" w:bidi="ar-SA"/>
              </w:rPr>
              <w:t>〔2021〕32号</w:t>
            </w:r>
            <w:r>
              <w:rPr>
                <w:rFonts w:hint="default" w:ascii="Times New Roman" w:hAnsi="Times New Roman" w:eastAsia="仿宋" w:cs="Times New Roman"/>
                <w:b/>
                <w:bCs/>
                <w:color w:val="auto"/>
                <w:sz w:val="21"/>
                <w:szCs w:val="21"/>
                <w:lang w:val="zh-CN" w:eastAsia="zh-CN"/>
              </w:rPr>
              <w:t>文对照分析</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4641"/>
              <w:gridCol w:w="2813"/>
              <w:gridCol w:w="641"/>
            </w:tblGrid>
            <w:tr w14:paraId="4C6DCE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2866" w:type="pct"/>
                  <w:vAlign w:val="center"/>
                </w:tcPr>
                <w:p w14:paraId="3F53677A">
                  <w:pPr>
                    <w:autoSpaceDE w:val="0"/>
                    <w:autoSpaceDN w:val="0"/>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文件要求</w:t>
                  </w:r>
                </w:p>
              </w:tc>
              <w:tc>
                <w:tcPr>
                  <w:tcW w:w="1737" w:type="pct"/>
                  <w:vAlign w:val="center"/>
                </w:tcPr>
                <w:p w14:paraId="50C8227B">
                  <w:pPr>
                    <w:autoSpaceDE w:val="0"/>
                    <w:autoSpaceDN w:val="0"/>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本项目</w:t>
                  </w:r>
                </w:p>
              </w:tc>
              <w:tc>
                <w:tcPr>
                  <w:tcW w:w="396" w:type="pct"/>
                  <w:vAlign w:val="center"/>
                </w:tcPr>
                <w:p w14:paraId="4072AEBA">
                  <w:pPr>
                    <w:autoSpaceDE w:val="0"/>
                    <w:autoSpaceDN w:val="0"/>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是否相符</w:t>
                  </w:r>
                </w:p>
              </w:tc>
            </w:tr>
            <w:tr w14:paraId="3F0BE5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2866" w:type="pct"/>
                  <w:vAlign w:val="center"/>
                </w:tcPr>
                <w:p w14:paraId="23952ABE">
                  <w:pPr>
                    <w:keepNext w:val="0"/>
                    <w:keepLines w:val="0"/>
                    <w:widowControl/>
                    <w:suppressLineNumbers w:val="0"/>
                    <w:jc w:val="left"/>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 xml:space="preserve">以工业涂装、包装印刷、木材加工、纺织等行业为重点，按照省大气办《关于印发江苏省挥发性有机 </w:t>
                  </w:r>
                </w:p>
                <w:p w14:paraId="453F9251">
                  <w:pPr>
                    <w:keepNext w:val="0"/>
                    <w:keepLines w:val="0"/>
                    <w:widowControl/>
                    <w:suppressLineNumbers w:val="0"/>
                    <w:jc w:val="left"/>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 xml:space="preserve">物清洁原料替代工作方案的通知》中源头替代具体要求，加快推进182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 </w:t>
                  </w:r>
                </w:p>
                <w:p w14:paraId="5C03B29B">
                  <w:pPr>
                    <w:keepNext w:val="0"/>
                    <w:keepLines w:val="0"/>
                    <w:widowControl/>
                    <w:suppressLineNumbers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 w:val="21"/>
                      <w:szCs w:val="21"/>
                      <w:lang w:val="en-US" w:eastAsia="zh-CN" w:bidi="ar"/>
                    </w:rPr>
                    <w:t>（GB 33372-2020）规定的水基型、本体型胶粘剂产品。若确实无法达到上述要求，应提供相应的论证说明，相关涂料、油墨、清洗剂、胶粘剂等产品应符合相关标准中 VOCs 含量的限值要求。</w:t>
                  </w:r>
                </w:p>
              </w:tc>
              <w:tc>
                <w:tcPr>
                  <w:tcW w:w="2803" w:type="dxa"/>
                  <w:vAlign w:val="center"/>
                </w:tcPr>
                <w:p w14:paraId="29CBCD39">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1"/>
                      <w:szCs w:val="21"/>
                      <w:lang w:val="en-US" w:eastAsia="zh-CN"/>
                    </w:rPr>
                    <w:t>根据建设单位提供的原料MSDS，</w:t>
                  </w:r>
                  <w:r>
                    <w:rPr>
                      <w:rFonts w:hint="default" w:ascii="Times New Roman" w:hAnsi="Times New Roman" w:eastAsia="仿宋" w:cs="Times New Roman"/>
                      <w:color w:val="auto"/>
                      <w:kern w:val="0"/>
                      <w:sz w:val="21"/>
                      <w:szCs w:val="21"/>
                      <w:lang w:val="en-US" w:eastAsia="zh-CN" w:bidi="ar"/>
                    </w:rPr>
                    <w:t>项目水性漆</w:t>
                  </w:r>
                  <w:r>
                    <w:rPr>
                      <w:rFonts w:hint="default" w:ascii="Times New Roman" w:hAnsi="Times New Roman" w:eastAsia="仿宋" w:cs="Times New Roman"/>
                      <w:color w:val="auto"/>
                      <w:szCs w:val="21"/>
                    </w:rPr>
                    <w:t>VOCs含量满足《低挥发性有机化合物含量涂料产品技术要求》（GB/T 38597—2020）</w:t>
                  </w:r>
                  <w:r>
                    <w:rPr>
                      <w:rFonts w:hint="default" w:ascii="Times New Roman" w:hAnsi="Times New Roman" w:eastAsia="仿宋" w:cs="Times New Roman"/>
                      <w:color w:val="auto"/>
                      <w:szCs w:val="21"/>
                      <w:lang w:eastAsia="zh-CN"/>
                    </w:rPr>
                    <w:t>要求</w:t>
                  </w:r>
                  <w:r>
                    <w:rPr>
                      <w:rFonts w:hint="default" w:ascii="Times New Roman" w:hAnsi="Times New Roman" w:eastAsia="仿宋" w:cs="Times New Roman"/>
                      <w:color w:val="auto"/>
                      <w:sz w:val="21"/>
                      <w:szCs w:val="21"/>
                      <w:lang w:val="en-US" w:eastAsia="zh-CN"/>
                    </w:rPr>
                    <w:t>。</w:t>
                  </w:r>
                </w:p>
                <w:p w14:paraId="0F09EB3F">
                  <w:pPr>
                    <w:keepNext w:val="0"/>
                    <w:keepLines w:val="0"/>
                    <w:widowControl/>
                    <w:suppressLineNumbers w:val="0"/>
                    <w:jc w:val="left"/>
                    <w:rPr>
                      <w:rFonts w:hint="default" w:ascii="Times New Roman" w:hAnsi="Times New Roman" w:eastAsia="仿宋" w:cs="Times New Roman"/>
                      <w:color w:val="auto"/>
                      <w:szCs w:val="21"/>
                    </w:rPr>
                  </w:pPr>
                </w:p>
              </w:tc>
              <w:tc>
                <w:tcPr>
                  <w:tcW w:w="639" w:type="dxa"/>
                  <w:vAlign w:val="center"/>
                </w:tcPr>
                <w:p w14:paraId="4563D26B">
                  <w:pPr>
                    <w:autoSpaceDE w:val="0"/>
                    <w:autoSpaceDN w:val="0"/>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bl>
          <w:p w14:paraId="3D5DD0B9">
            <w:pPr>
              <w:autoSpaceDE w:val="0"/>
              <w:autoSpaceDN w:val="0"/>
              <w:snapToGrid w:val="0"/>
              <w:spacing w:line="360" w:lineRule="auto"/>
              <w:ind w:firstLine="482" w:firstLineChars="200"/>
              <w:jc w:val="left"/>
              <w:rPr>
                <w:rFonts w:eastAsia="仿宋"/>
                <w:b/>
                <w:color w:val="auto"/>
                <w:sz w:val="24"/>
                <w:lang w:val="zh-CN"/>
              </w:rPr>
            </w:pPr>
            <w:r>
              <w:rPr>
                <w:rFonts w:eastAsia="仿宋"/>
                <w:b/>
                <w:color w:val="auto"/>
                <w:sz w:val="24"/>
                <w:lang w:val="zh-CN"/>
              </w:rPr>
              <w:t>（</w:t>
            </w:r>
            <w:r>
              <w:rPr>
                <w:rFonts w:hint="eastAsia" w:eastAsia="仿宋"/>
                <w:b/>
                <w:color w:val="auto"/>
                <w:sz w:val="24"/>
                <w:lang w:val="en-US" w:eastAsia="zh-CN"/>
              </w:rPr>
              <w:t>14</w:t>
            </w:r>
            <w:r>
              <w:rPr>
                <w:rFonts w:eastAsia="仿宋"/>
                <w:b/>
                <w:color w:val="auto"/>
                <w:sz w:val="24"/>
                <w:lang w:val="zh-CN"/>
              </w:rPr>
              <w:t>）与国家发展改革委等部门《关于印发太湖流域水环境综合治理总体方案的通知》（发改地区</w:t>
            </w:r>
            <w:r>
              <w:rPr>
                <w:rFonts w:hint="eastAsia" w:eastAsia="仿宋"/>
                <w:b/>
                <w:color w:val="auto"/>
                <w:sz w:val="24"/>
                <w:lang w:val="zh-CN"/>
              </w:rPr>
              <w:t>〔2022〕959号</w:t>
            </w:r>
            <w:r>
              <w:rPr>
                <w:rFonts w:eastAsia="仿宋"/>
                <w:b/>
                <w:color w:val="auto"/>
                <w:sz w:val="24"/>
                <w:lang w:val="zh-CN"/>
              </w:rPr>
              <w:t>）相符性分析</w:t>
            </w:r>
          </w:p>
          <w:p w14:paraId="41E0A3B7">
            <w:pPr>
              <w:jc w:val="center"/>
              <w:rPr>
                <w:rFonts w:eastAsia="仿宋"/>
                <w:b/>
                <w:color w:val="auto"/>
                <w:szCs w:val="21"/>
              </w:rPr>
            </w:pPr>
            <w:r>
              <w:rPr>
                <w:rFonts w:eastAsia="仿宋"/>
                <w:b/>
                <w:color w:val="auto"/>
                <w:szCs w:val="21"/>
              </w:rPr>
              <w:t>表1-1</w:t>
            </w:r>
            <w:r>
              <w:rPr>
                <w:rFonts w:hint="eastAsia" w:eastAsia="仿宋"/>
                <w:b/>
                <w:color w:val="auto"/>
                <w:szCs w:val="21"/>
                <w:lang w:val="en-US" w:eastAsia="zh-CN"/>
              </w:rPr>
              <w:t>8</w:t>
            </w:r>
            <w:r>
              <w:rPr>
                <w:rFonts w:eastAsia="仿宋"/>
                <w:b/>
                <w:color w:val="auto"/>
                <w:szCs w:val="21"/>
              </w:rPr>
              <w:t>与发改地区</w:t>
            </w:r>
            <w:r>
              <w:rPr>
                <w:rFonts w:hint="eastAsia" w:eastAsia="仿宋"/>
                <w:b/>
                <w:color w:val="auto"/>
                <w:szCs w:val="21"/>
                <w:lang w:eastAsia="zh-CN"/>
              </w:rPr>
              <w:t>〔2022〕959号</w:t>
            </w:r>
            <w:r>
              <w:rPr>
                <w:rFonts w:eastAsia="仿宋"/>
                <w:b/>
                <w:color w:val="auto"/>
                <w:szCs w:val="21"/>
              </w:rPr>
              <w:t>相符性分析</w:t>
            </w:r>
          </w:p>
          <w:tbl>
            <w:tblPr>
              <w:tblStyle w:val="27"/>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7"/>
              <w:gridCol w:w="4973"/>
              <w:gridCol w:w="1946"/>
              <w:gridCol w:w="610"/>
            </w:tblGrid>
            <w:tr w14:paraId="2CF7E7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9" w:type="pct"/>
                  <w:noWrap w:val="0"/>
                  <w:tcMar>
                    <w:top w:w="0" w:type="dxa"/>
                    <w:left w:w="11" w:type="dxa"/>
                    <w:bottom w:w="0" w:type="dxa"/>
                    <w:right w:w="11" w:type="dxa"/>
                  </w:tcMar>
                  <w:vAlign w:val="center"/>
                </w:tcPr>
                <w:p w14:paraId="1E9AC70E">
                  <w:pPr>
                    <w:jc w:val="center"/>
                    <w:rPr>
                      <w:rFonts w:eastAsia="仿宋"/>
                      <w:b/>
                      <w:color w:val="auto"/>
                      <w:szCs w:val="21"/>
                    </w:rPr>
                  </w:pPr>
                  <w:r>
                    <w:rPr>
                      <w:rFonts w:eastAsia="仿宋"/>
                      <w:b/>
                      <w:color w:val="auto"/>
                      <w:szCs w:val="21"/>
                    </w:rPr>
                    <w:t>条款</w:t>
                  </w:r>
                </w:p>
              </w:tc>
              <w:tc>
                <w:tcPr>
                  <w:tcW w:w="3071" w:type="pct"/>
                  <w:noWrap w:val="0"/>
                  <w:tcMar>
                    <w:top w:w="0" w:type="dxa"/>
                    <w:left w:w="11" w:type="dxa"/>
                    <w:bottom w:w="0" w:type="dxa"/>
                    <w:right w:w="11" w:type="dxa"/>
                  </w:tcMar>
                  <w:vAlign w:val="center"/>
                </w:tcPr>
                <w:p w14:paraId="37D6B228">
                  <w:pPr>
                    <w:jc w:val="center"/>
                    <w:rPr>
                      <w:rFonts w:eastAsia="仿宋"/>
                      <w:b/>
                      <w:color w:val="auto"/>
                      <w:szCs w:val="21"/>
                    </w:rPr>
                  </w:pPr>
                  <w:r>
                    <w:rPr>
                      <w:rFonts w:eastAsia="仿宋"/>
                      <w:b/>
                      <w:color w:val="auto"/>
                      <w:szCs w:val="21"/>
                    </w:rPr>
                    <w:t>文件要求</w:t>
                  </w:r>
                </w:p>
              </w:tc>
              <w:tc>
                <w:tcPr>
                  <w:tcW w:w="1202" w:type="pct"/>
                  <w:noWrap w:val="0"/>
                  <w:tcMar>
                    <w:top w:w="0" w:type="dxa"/>
                    <w:left w:w="11" w:type="dxa"/>
                    <w:bottom w:w="0" w:type="dxa"/>
                    <w:right w:w="11" w:type="dxa"/>
                  </w:tcMar>
                  <w:vAlign w:val="center"/>
                </w:tcPr>
                <w:p w14:paraId="07833AA8">
                  <w:pPr>
                    <w:jc w:val="center"/>
                    <w:rPr>
                      <w:rFonts w:eastAsia="仿宋"/>
                      <w:b/>
                      <w:color w:val="auto"/>
                      <w:szCs w:val="21"/>
                    </w:rPr>
                  </w:pPr>
                  <w:r>
                    <w:rPr>
                      <w:rFonts w:eastAsia="仿宋"/>
                      <w:b/>
                      <w:color w:val="auto"/>
                      <w:szCs w:val="21"/>
                    </w:rPr>
                    <w:t>对照分析</w:t>
                  </w:r>
                </w:p>
              </w:tc>
              <w:tc>
                <w:tcPr>
                  <w:tcW w:w="376" w:type="pct"/>
                  <w:noWrap w:val="0"/>
                  <w:tcMar>
                    <w:top w:w="0" w:type="dxa"/>
                    <w:left w:w="11" w:type="dxa"/>
                    <w:bottom w:w="0" w:type="dxa"/>
                    <w:right w:w="11" w:type="dxa"/>
                  </w:tcMar>
                  <w:vAlign w:val="center"/>
                </w:tcPr>
                <w:p w14:paraId="3760A62E">
                  <w:pPr>
                    <w:jc w:val="center"/>
                    <w:rPr>
                      <w:rFonts w:eastAsia="仿宋"/>
                      <w:b/>
                      <w:color w:val="auto"/>
                      <w:szCs w:val="21"/>
                    </w:rPr>
                  </w:pPr>
                  <w:r>
                    <w:rPr>
                      <w:rFonts w:eastAsia="仿宋"/>
                      <w:b/>
                      <w:color w:val="auto"/>
                      <w:szCs w:val="21"/>
                    </w:rPr>
                    <w:t>相符性</w:t>
                  </w:r>
                </w:p>
              </w:tc>
            </w:tr>
            <w:tr w14:paraId="0036D5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9" w:type="pct"/>
                  <w:noWrap w:val="0"/>
                  <w:tcMar>
                    <w:top w:w="0" w:type="dxa"/>
                    <w:left w:w="11" w:type="dxa"/>
                    <w:bottom w:w="0" w:type="dxa"/>
                    <w:right w:w="11" w:type="dxa"/>
                  </w:tcMar>
                  <w:vAlign w:val="center"/>
                </w:tcPr>
                <w:p w14:paraId="17E779C9">
                  <w:pPr>
                    <w:rPr>
                      <w:rFonts w:eastAsia="仿宋"/>
                      <w:bCs/>
                      <w:color w:val="auto"/>
                      <w:szCs w:val="21"/>
                    </w:rPr>
                  </w:pPr>
                  <w:r>
                    <w:rPr>
                      <w:rFonts w:eastAsia="仿宋"/>
                      <w:bCs/>
                      <w:color w:val="auto"/>
                      <w:szCs w:val="21"/>
                    </w:rPr>
                    <w:t>第三章第一节深化工业污染治理</w:t>
                  </w:r>
                </w:p>
              </w:tc>
              <w:tc>
                <w:tcPr>
                  <w:tcW w:w="3071" w:type="pct"/>
                  <w:noWrap w:val="0"/>
                  <w:tcMar>
                    <w:top w:w="0" w:type="dxa"/>
                    <w:left w:w="11" w:type="dxa"/>
                    <w:bottom w:w="0" w:type="dxa"/>
                    <w:right w:w="11" w:type="dxa"/>
                  </w:tcMar>
                  <w:vAlign w:val="center"/>
                </w:tcPr>
                <w:p w14:paraId="65C2F467">
                  <w:pPr>
                    <w:rPr>
                      <w:rFonts w:eastAsia="仿宋"/>
                      <w:bCs/>
                      <w:color w:val="auto"/>
                      <w:szCs w:val="21"/>
                    </w:rPr>
                  </w:pPr>
                  <w:r>
                    <w:rPr>
                      <w:rFonts w:eastAsia="仿宋"/>
                      <w:bCs/>
                      <w:color w:val="auto"/>
                      <w:szCs w:val="21"/>
                    </w:rPr>
                    <w:t>督促企业依法持证排污、按证排污，严格落实总磷许可排放浓度和许可排放量要求。持续强化涉水行业污染整治，基于水生态环境质量改善需要，大力推进印染、化工、造纸、钢铁、电镀、食品（啤酒、味精）等重点行业企业废水深度处理。实施工业园区限值限量管理，全面推进工业园区污水管网排查整治和污水收集处理设施建设，加快实施管网混错接改造、管网更新、破损修复改造等，依法推动园区生产废水应纳尽纳。推进化工园区雨污分流改造和 初期雨水收集处理，鼓励有条件的园区实施化工企业废水分类收集、分质处理、一企一管、明管输送、实时监测。</w:t>
                  </w:r>
                </w:p>
              </w:tc>
              <w:tc>
                <w:tcPr>
                  <w:tcW w:w="1202" w:type="pct"/>
                  <w:noWrap w:val="0"/>
                  <w:tcMar>
                    <w:top w:w="0" w:type="dxa"/>
                    <w:left w:w="11" w:type="dxa"/>
                    <w:bottom w:w="0" w:type="dxa"/>
                    <w:right w:w="11" w:type="dxa"/>
                  </w:tcMar>
                  <w:vAlign w:val="center"/>
                </w:tcPr>
                <w:p w14:paraId="78DA6A11">
                  <w:pPr>
                    <w:pStyle w:val="86"/>
                    <w:adjustRightInd w:val="0"/>
                    <w:snapToGrid w:val="0"/>
                    <w:jc w:val="center"/>
                    <w:rPr>
                      <w:rFonts w:eastAsia="仿宋"/>
                      <w:bCs/>
                      <w:color w:val="auto"/>
                      <w:sz w:val="21"/>
                      <w:szCs w:val="21"/>
                    </w:rPr>
                  </w:pPr>
                  <w:r>
                    <w:rPr>
                      <w:rFonts w:eastAsia="仿宋"/>
                      <w:bCs/>
                      <w:color w:val="auto"/>
                      <w:sz w:val="21"/>
                      <w:szCs w:val="21"/>
                    </w:rPr>
                    <w:t>本项目不属于禁止生产项目，</w:t>
                  </w:r>
                  <w:r>
                    <w:rPr>
                      <w:rFonts w:eastAsia="仿宋"/>
                      <w:color w:val="auto"/>
                      <w:sz w:val="21"/>
                      <w:szCs w:val="21"/>
                    </w:rPr>
                    <w:t>项目生活污水接管至</w:t>
                  </w:r>
                  <w:r>
                    <w:rPr>
                      <w:rFonts w:hint="default" w:ascii="Times New Roman" w:hAnsi="Times New Roman" w:eastAsia="仿宋" w:cs="Times New Roman"/>
                      <w:color w:val="auto"/>
                      <w:sz w:val="21"/>
                      <w:szCs w:val="21"/>
                      <w:lang w:val="en-US" w:eastAsia="zh-CN"/>
                    </w:rPr>
                    <w:t>金坛区茅东污水处理厂</w:t>
                  </w:r>
                  <w:r>
                    <w:rPr>
                      <w:rFonts w:eastAsia="仿宋"/>
                      <w:color w:val="auto"/>
                      <w:sz w:val="21"/>
                      <w:szCs w:val="21"/>
                    </w:rPr>
                    <w:t>处理</w:t>
                  </w:r>
                  <w:r>
                    <w:rPr>
                      <w:rFonts w:eastAsia="仿宋"/>
                      <w:bCs/>
                      <w:color w:val="auto"/>
                      <w:sz w:val="21"/>
                      <w:szCs w:val="21"/>
                    </w:rPr>
                    <w:t>，无生产废水外排；</w:t>
                  </w:r>
                </w:p>
              </w:tc>
              <w:tc>
                <w:tcPr>
                  <w:tcW w:w="376" w:type="pct"/>
                  <w:noWrap w:val="0"/>
                  <w:tcMar>
                    <w:top w:w="0" w:type="dxa"/>
                    <w:left w:w="11" w:type="dxa"/>
                    <w:bottom w:w="0" w:type="dxa"/>
                    <w:right w:w="11" w:type="dxa"/>
                  </w:tcMar>
                  <w:vAlign w:val="center"/>
                </w:tcPr>
                <w:p w14:paraId="1BB0EE0D">
                  <w:pPr>
                    <w:jc w:val="center"/>
                    <w:rPr>
                      <w:rFonts w:eastAsia="仿宋"/>
                      <w:bCs/>
                      <w:color w:val="auto"/>
                      <w:szCs w:val="21"/>
                    </w:rPr>
                  </w:pPr>
                  <w:r>
                    <w:rPr>
                      <w:rFonts w:eastAsia="仿宋"/>
                      <w:bCs/>
                      <w:color w:val="auto"/>
                      <w:szCs w:val="21"/>
                    </w:rPr>
                    <w:t>相符</w:t>
                  </w:r>
                </w:p>
              </w:tc>
            </w:tr>
            <w:tr w14:paraId="50CA20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9" w:type="pct"/>
                  <w:noWrap w:val="0"/>
                  <w:tcMar>
                    <w:top w:w="0" w:type="dxa"/>
                    <w:left w:w="11" w:type="dxa"/>
                    <w:bottom w:w="0" w:type="dxa"/>
                    <w:right w:w="11" w:type="dxa"/>
                  </w:tcMar>
                  <w:vAlign w:val="center"/>
                </w:tcPr>
                <w:p w14:paraId="2D1AA263">
                  <w:pPr>
                    <w:rPr>
                      <w:rFonts w:eastAsia="仿宋"/>
                      <w:bCs/>
                      <w:color w:val="auto"/>
                      <w:szCs w:val="21"/>
                    </w:rPr>
                  </w:pPr>
                  <w:r>
                    <w:rPr>
                      <w:rFonts w:eastAsia="仿宋"/>
                      <w:bCs/>
                      <w:color w:val="auto"/>
                      <w:szCs w:val="21"/>
                    </w:rPr>
                    <w:t>第六章第一节引导产业合理布局</w:t>
                  </w:r>
                </w:p>
              </w:tc>
              <w:tc>
                <w:tcPr>
                  <w:tcW w:w="3071" w:type="pct"/>
                  <w:noWrap w:val="0"/>
                  <w:tcMar>
                    <w:top w:w="0" w:type="dxa"/>
                    <w:left w:w="11" w:type="dxa"/>
                    <w:bottom w:w="0" w:type="dxa"/>
                    <w:right w:w="11" w:type="dxa"/>
                  </w:tcMar>
                  <w:vAlign w:val="center"/>
                </w:tcPr>
                <w:p w14:paraId="00CC5CAD">
                  <w:pPr>
                    <w:rPr>
                      <w:rFonts w:eastAsia="仿宋"/>
                      <w:bCs/>
                      <w:color w:val="auto"/>
                      <w:szCs w:val="21"/>
                    </w:rPr>
                  </w:pPr>
                  <w:r>
                    <w:rPr>
                      <w:rFonts w:eastAsia="仿宋"/>
                      <w:bCs/>
                      <w:color w:val="auto"/>
                      <w:szCs w:val="21"/>
                    </w:rPr>
                    <w:t>严禁落地国家和本地产业结构调整目录明确的限制类、淘汰类工艺、装备、产品与项目，依法推动污染企业退出。继续推进城市建成区内造纸、印染、化工等污染较重企业有序搬迁改造或依法关闭，推动环太湖生态环境敏感区内不符合产业发展政策、存在重大安全隐患且不具备整治条件的企业依法关闭或搬迁至合规工业园。推进太湖流域等重要饮用水水源地300米范围内重点排污企业逐步退出。除战略性新兴产业项目外，太湖流域原则上不再审批其他生产性新增氮磷污染物的工业类建设项目。环太湖地区重点布局总部经济、研发设计、高端制造、销售等产业链环节，大力发展创新经济、服务经济、绿色经济，打造具有全球竞争力的产业创新高地。全面拓展沿太湖科技研发创新带，高水平规划建设太湖科学城、“两湖”创新区。引进产业应符合“三线一单”管控要求、相关规划和环境影响评价要求，符合区域主导生态功能，鼓励工业企业项目采用国际国内行业先进的生产工艺与装备，提高污染物排放控制水平。</w:t>
                  </w:r>
                </w:p>
              </w:tc>
              <w:tc>
                <w:tcPr>
                  <w:tcW w:w="1202" w:type="pct"/>
                  <w:noWrap w:val="0"/>
                  <w:tcMar>
                    <w:top w:w="0" w:type="dxa"/>
                    <w:left w:w="11" w:type="dxa"/>
                    <w:bottom w:w="0" w:type="dxa"/>
                    <w:right w:w="11" w:type="dxa"/>
                  </w:tcMar>
                  <w:vAlign w:val="center"/>
                </w:tcPr>
                <w:p w14:paraId="59F0DC98">
                  <w:pPr>
                    <w:rPr>
                      <w:rFonts w:eastAsia="仿宋"/>
                      <w:bCs/>
                      <w:color w:val="auto"/>
                      <w:szCs w:val="21"/>
                    </w:rPr>
                  </w:pPr>
                  <w:r>
                    <w:rPr>
                      <w:rFonts w:eastAsia="仿宋"/>
                      <w:bCs/>
                      <w:color w:val="auto"/>
                      <w:szCs w:val="21"/>
                    </w:rPr>
                    <w:t>本项目不涉及文件中限制、淘汰类工艺、装备、产品与项目</w:t>
                  </w:r>
                </w:p>
              </w:tc>
              <w:tc>
                <w:tcPr>
                  <w:tcW w:w="376" w:type="pct"/>
                  <w:noWrap w:val="0"/>
                  <w:tcMar>
                    <w:top w:w="0" w:type="dxa"/>
                    <w:left w:w="11" w:type="dxa"/>
                    <w:bottom w:w="0" w:type="dxa"/>
                    <w:right w:w="11" w:type="dxa"/>
                  </w:tcMar>
                  <w:vAlign w:val="center"/>
                </w:tcPr>
                <w:p w14:paraId="06045EDF">
                  <w:pPr>
                    <w:jc w:val="center"/>
                    <w:rPr>
                      <w:rFonts w:eastAsia="仿宋"/>
                      <w:bCs/>
                      <w:color w:val="auto"/>
                      <w:szCs w:val="21"/>
                    </w:rPr>
                  </w:pPr>
                  <w:r>
                    <w:rPr>
                      <w:rFonts w:eastAsia="仿宋"/>
                      <w:bCs/>
                      <w:color w:val="auto"/>
                      <w:szCs w:val="21"/>
                    </w:rPr>
                    <w:t>相符</w:t>
                  </w:r>
                </w:p>
              </w:tc>
            </w:tr>
          </w:tbl>
          <w:p w14:paraId="79ECA618">
            <w:pPr>
              <w:autoSpaceDE w:val="0"/>
              <w:autoSpaceDN w:val="0"/>
              <w:adjustRightInd w:val="0"/>
              <w:snapToGrid w:val="0"/>
              <w:rPr>
                <w:rFonts w:hint="default" w:ascii="Times New Roman" w:hAnsi="Times New Roman" w:eastAsia="仿宋" w:cs="Times New Roman"/>
                <w:color w:val="auto"/>
                <w:kern w:val="0"/>
                <w:szCs w:val="21"/>
              </w:rPr>
            </w:pPr>
          </w:p>
          <w:p w14:paraId="60531D4A">
            <w:pPr>
              <w:autoSpaceDE w:val="0"/>
              <w:autoSpaceDN w:val="0"/>
              <w:snapToGrid w:val="0"/>
              <w:spacing w:line="500" w:lineRule="exact"/>
              <w:ind w:firstLine="482" w:firstLineChars="200"/>
              <w:jc w:val="left"/>
              <w:rPr>
                <w:rFonts w:hint="default" w:ascii="Times New Roman" w:hAnsi="Times New Roman" w:eastAsia="仿宋" w:cs="Times New Roman"/>
                <w:b/>
                <w:color w:val="auto"/>
                <w:sz w:val="24"/>
              </w:rPr>
            </w:pPr>
            <w:r>
              <w:rPr>
                <w:rFonts w:hint="default" w:ascii="Times New Roman" w:hAnsi="Times New Roman" w:eastAsia="仿宋" w:cs="Times New Roman"/>
                <w:b/>
                <w:bCs/>
                <w:color w:val="auto"/>
                <w:sz w:val="24"/>
              </w:rPr>
              <w:t>（</w:t>
            </w:r>
            <w:r>
              <w:rPr>
                <w:rFonts w:hint="default" w:ascii="Times New Roman" w:hAnsi="Times New Roman" w:eastAsia="仿宋" w:cs="Times New Roman"/>
                <w:b/>
                <w:bCs/>
                <w:color w:val="auto"/>
                <w:sz w:val="24"/>
                <w:lang w:val="en-US" w:eastAsia="zh-CN"/>
              </w:rPr>
              <w:t>1</w:t>
            </w:r>
            <w:r>
              <w:rPr>
                <w:rFonts w:hint="eastAsia" w:eastAsia="仿宋" w:cs="Times New Roman"/>
                <w:b/>
                <w:bCs/>
                <w:color w:val="auto"/>
                <w:sz w:val="24"/>
                <w:lang w:val="en-US" w:eastAsia="zh-CN"/>
              </w:rPr>
              <w:t>5</w:t>
            </w:r>
            <w:r>
              <w:rPr>
                <w:rFonts w:hint="default" w:ascii="Times New Roman" w:hAnsi="Times New Roman" w:eastAsia="仿宋" w:cs="Times New Roman"/>
                <w:b/>
                <w:bCs/>
                <w:color w:val="auto"/>
                <w:sz w:val="24"/>
              </w:rPr>
              <w:t>）与</w:t>
            </w:r>
            <w:r>
              <w:rPr>
                <w:rFonts w:hint="default" w:ascii="Times New Roman" w:hAnsi="Times New Roman" w:eastAsia="仿宋" w:cs="Times New Roman"/>
                <w:b/>
                <w:color w:val="auto"/>
                <w:sz w:val="24"/>
                <w:lang w:val="zh-CN"/>
              </w:rPr>
              <w:t>《省生态环境厅关于进一步做好建设项目环评审批工作的通知》（苏环办</w:t>
            </w:r>
            <w:r>
              <w:rPr>
                <w:rFonts w:hint="eastAsia" w:eastAsia="仿宋" w:cs="Times New Roman"/>
                <w:b/>
                <w:color w:val="auto"/>
                <w:sz w:val="24"/>
                <w:lang w:val="zh-CN"/>
              </w:rPr>
              <w:t>〔2019〕36号</w:t>
            </w:r>
            <w:r>
              <w:rPr>
                <w:rFonts w:hint="default" w:ascii="Times New Roman" w:hAnsi="Times New Roman" w:eastAsia="仿宋" w:cs="Times New Roman"/>
                <w:b/>
                <w:color w:val="auto"/>
                <w:sz w:val="24"/>
                <w:lang w:val="zh-CN"/>
              </w:rPr>
              <w:t>）相符性分析</w:t>
            </w:r>
          </w:p>
          <w:p w14:paraId="7DDD8449">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bCs/>
                <w:color w:val="auto"/>
                <w:sz w:val="21"/>
                <w:szCs w:val="21"/>
                <w:lang w:val="zh-CN" w:eastAsia="zh-CN"/>
              </w:rPr>
            </w:pPr>
            <w:r>
              <w:rPr>
                <w:rFonts w:hint="default" w:ascii="Times New Roman" w:hAnsi="Times New Roman" w:eastAsia="仿宋" w:cs="Times New Roman"/>
                <w:b/>
                <w:bCs/>
                <w:color w:val="auto"/>
                <w:sz w:val="21"/>
                <w:szCs w:val="21"/>
                <w:lang w:val="zh-CN" w:eastAsia="zh-CN"/>
              </w:rPr>
              <w:t>表</w:t>
            </w:r>
            <w:r>
              <w:rPr>
                <w:rFonts w:hint="default" w:ascii="Times New Roman" w:hAnsi="Times New Roman" w:eastAsia="仿宋" w:cs="Times New Roman"/>
                <w:b/>
                <w:bCs/>
                <w:color w:val="auto"/>
                <w:sz w:val="21"/>
                <w:szCs w:val="21"/>
                <w:lang w:val="en-US" w:eastAsia="zh-CN"/>
              </w:rPr>
              <w:t>1-1</w:t>
            </w:r>
            <w:r>
              <w:rPr>
                <w:rFonts w:hint="eastAsia" w:eastAsia="仿宋" w:cs="Times New Roman"/>
                <w:b/>
                <w:bCs/>
                <w:color w:val="auto"/>
                <w:sz w:val="21"/>
                <w:szCs w:val="21"/>
                <w:lang w:val="en-US" w:eastAsia="zh-CN"/>
              </w:rPr>
              <w:t>9</w:t>
            </w:r>
            <w:r>
              <w:rPr>
                <w:rFonts w:hint="default" w:ascii="Times New Roman" w:hAnsi="Times New Roman" w:eastAsia="仿宋" w:cs="Times New Roman"/>
                <w:b/>
                <w:bCs/>
                <w:color w:val="auto"/>
                <w:sz w:val="21"/>
                <w:szCs w:val="21"/>
                <w:lang w:val="zh-CN" w:eastAsia="zh-CN"/>
              </w:rPr>
              <w:t xml:space="preserve"> 与苏环办</w:t>
            </w:r>
            <w:r>
              <w:rPr>
                <w:rFonts w:hint="eastAsia" w:eastAsia="仿宋" w:cs="Times New Roman"/>
                <w:b/>
                <w:bCs/>
                <w:color w:val="auto"/>
                <w:sz w:val="21"/>
                <w:szCs w:val="21"/>
                <w:lang w:val="zh-CN" w:eastAsia="zh-CN"/>
              </w:rPr>
              <w:t>〔2019〕36号</w:t>
            </w:r>
            <w:r>
              <w:rPr>
                <w:rFonts w:hint="default" w:ascii="Times New Roman" w:hAnsi="Times New Roman" w:eastAsia="仿宋" w:cs="Times New Roman"/>
                <w:b/>
                <w:bCs/>
                <w:color w:val="auto"/>
                <w:sz w:val="21"/>
                <w:szCs w:val="21"/>
                <w:lang w:val="zh-CN" w:eastAsia="zh-CN"/>
              </w:rPr>
              <w:t>文对照分析</w:t>
            </w:r>
          </w:p>
          <w:tbl>
            <w:tblPr>
              <w:tblStyle w:val="27"/>
              <w:tblW w:w="80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403"/>
              <w:gridCol w:w="4529"/>
              <w:gridCol w:w="1594"/>
              <w:gridCol w:w="529"/>
            </w:tblGrid>
            <w:tr w14:paraId="187757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1" w:type="pct"/>
                  <w:vAlign w:val="center"/>
                </w:tcPr>
                <w:p w14:paraId="47C1D3CA">
                  <w:pPr>
                    <w:autoSpaceDE w:val="0"/>
                    <w:autoSpaceDN w:val="0"/>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类别</w:t>
                  </w:r>
                </w:p>
              </w:tc>
              <w:tc>
                <w:tcPr>
                  <w:tcW w:w="2810" w:type="pct"/>
                  <w:vAlign w:val="center"/>
                </w:tcPr>
                <w:p w14:paraId="1FF24997">
                  <w:pPr>
                    <w:autoSpaceDE w:val="0"/>
                    <w:autoSpaceDN w:val="0"/>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文件要求（建设项目环评审批要点）</w:t>
                  </w:r>
                </w:p>
              </w:tc>
              <w:tc>
                <w:tcPr>
                  <w:tcW w:w="989" w:type="pct"/>
                  <w:vAlign w:val="center"/>
                </w:tcPr>
                <w:p w14:paraId="1F8F054D">
                  <w:pPr>
                    <w:autoSpaceDE w:val="0"/>
                    <w:autoSpaceDN w:val="0"/>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本项目</w:t>
                  </w:r>
                </w:p>
              </w:tc>
              <w:tc>
                <w:tcPr>
                  <w:tcW w:w="328" w:type="pct"/>
                  <w:vAlign w:val="center"/>
                </w:tcPr>
                <w:p w14:paraId="79464C2A">
                  <w:pPr>
                    <w:autoSpaceDE w:val="0"/>
                    <w:autoSpaceDN w:val="0"/>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是否相符</w:t>
                  </w:r>
                </w:p>
              </w:tc>
            </w:tr>
            <w:tr w14:paraId="4483B8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1" w:type="pct"/>
                  <w:vAlign w:val="center"/>
                </w:tcPr>
                <w:p w14:paraId="4B5EB342">
                  <w:pPr>
                    <w:autoSpaceDE w:val="0"/>
                    <w:autoSpaceDN w:val="0"/>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《建设项目环境保护管理条例》</w:t>
                  </w:r>
                </w:p>
              </w:tc>
              <w:tc>
                <w:tcPr>
                  <w:tcW w:w="2810" w:type="pct"/>
                  <w:vAlign w:val="center"/>
                </w:tcPr>
                <w:p w14:paraId="1BB8B037">
                  <w:pPr>
                    <w:autoSpaceDE w:val="0"/>
                    <w:autoSpaceDN w:val="0"/>
                    <w:adjustRightInd w:val="0"/>
                    <w:snapToGrid w:val="0"/>
                    <w:ind w:firstLine="420" w:firstLineChars="2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989" w:type="pct"/>
                  <w:vAlign w:val="center"/>
                </w:tcPr>
                <w:p w14:paraId="6C9B7371">
                  <w:pPr>
                    <w:autoSpaceDE w:val="0"/>
                    <w:autoSpaceDN w:val="0"/>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①本项目所在地规划符合环境保护法律法规和相关法定规划要求；②项目所在区域环境控制质量不达标，本项目采取的措施有效可行，确保污染物稳定达标，区域已经制定限期达标规划，项目建设满足区域环境质量改善目标管理要求；③项目污染物经处理后可稳定达到国家和地方排放标准；④本项目基础数据真实有效，评价结论合理可信。</w:t>
                  </w:r>
                </w:p>
              </w:tc>
              <w:tc>
                <w:tcPr>
                  <w:tcW w:w="328" w:type="pct"/>
                  <w:vAlign w:val="center"/>
                </w:tcPr>
                <w:p w14:paraId="23421165">
                  <w:pPr>
                    <w:autoSpaceDE w:val="0"/>
                    <w:autoSpaceDN w:val="0"/>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14:paraId="29FF9E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53" w:hRule="atLeast"/>
                <w:jc w:val="center"/>
              </w:trPr>
              <w:tc>
                <w:tcPr>
                  <w:tcW w:w="871" w:type="pct"/>
                  <w:vAlign w:val="center"/>
                </w:tcPr>
                <w:p w14:paraId="1995F0FD">
                  <w:pPr>
                    <w:autoSpaceDE w:val="0"/>
                    <w:autoSpaceDN w:val="0"/>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《农用地土壤环境管理办法（试行）》</w:t>
                  </w:r>
                </w:p>
              </w:tc>
              <w:tc>
                <w:tcPr>
                  <w:tcW w:w="2810" w:type="pct"/>
                  <w:vAlign w:val="center"/>
                </w:tcPr>
                <w:p w14:paraId="5D34248E">
                  <w:pPr>
                    <w:autoSpaceDE w:val="0"/>
                    <w:autoSpaceDN w:val="0"/>
                    <w:adjustRightInd w:val="0"/>
                    <w:snapToGrid w:val="0"/>
                    <w:ind w:firstLine="420" w:firstLineChars="2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989" w:type="pct"/>
                  <w:vAlign w:val="center"/>
                </w:tcPr>
                <w:p w14:paraId="6E54721E">
                  <w:pPr>
                    <w:autoSpaceDE w:val="0"/>
                    <w:autoSpaceDN w:val="0"/>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本项目位于</w:t>
                  </w:r>
                  <w:r>
                    <w:rPr>
                      <w:rFonts w:hint="default" w:ascii="Times New Roman" w:hAnsi="Times New Roman" w:eastAsia="仿宋" w:cs="Times New Roman"/>
                      <w:bCs/>
                      <w:color w:val="auto"/>
                      <w:szCs w:val="21"/>
                      <w:lang w:eastAsia="zh-CN"/>
                    </w:rPr>
                    <w:t>常州市金坛区薛埠镇工业园区南环路3号</w:t>
                  </w:r>
                  <w:r>
                    <w:rPr>
                      <w:rFonts w:hint="default" w:ascii="Times New Roman" w:hAnsi="Times New Roman" w:eastAsia="仿宋" w:cs="Times New Roman"/>
                      <w:color w:val="auto"/>
                      <w:szCs w:val="21"/>
                    </w:rPr>
                    <w:t>，用地性质为工业用地。</w:t>
                  </w:r>
                </w:p>
              </w:tc>
              <w:tc>
                <w:tcPr>
                  <w:tcW w:w="328" w:type="pct"/>
                  <w:vAlign w:val="center"/>
                </w:tcPr>
                <w:p w14:paraId="48E9BF42">
                  <w:pPr>
                    <w:autoSpaceDE w:val="0"/>
                    <w:autoSpaceDN w:val="0"/>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14:paraId="4B6151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871" w:type="pct"/>
                  <w:vAlign w:val="center"/>
                </w:tcPr>
                <w:p w14:paraId="688461EE">
                  <w:pPr>
                    <w:autoSpaceDE w:val="0"/>
                    <w:autoSpaceDN w:val="0"/>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《关于印发&lt;建设项目主要污染物排放总量指标审核及管理暂行办法&gt;的通知》</w:t>
                  </w:r>
                  <w:r>
                    <w:rPr>
                      <w:rFonts w:hint="default" w:ascii="Times New Roman" w:hAnsi="Times New Roman" w:eastAsia="仿宋" w:cs="Times New Roman"/>
                      <w:color w:val="auto"/>
                      <w:szCs w:val="21"/>
                      <w:lang w:val="en-US" w:eastAsia="zh-CN"/>
                    </w:rPr>
                    <w:t>(</w:t>
                  </w:r>
                  <w:r>
                    <w:rPr>
                      <w:rFonts w:hint="default" w:ascii="Times New Roman" w:hAnsi="Times New Roman" w:eastAsia="仿宋" w:cs="Times New Roman"/>
                      <w:color w:val="auto"/>
                      <w:szCs w:val="21"/>
                    </w:rPr>
                    <w:t>环发〔2014〕197号</w:t>
                  </w:r>
                  <w:r>
                    <w:rPr>
                      <w:rFonts w:hint="default" w:ascii="Times New Roman" w:hAnsi="Times New Roman" w:eastAsia="仿宋" w:cs="Times New Roman"/>
                      <w:color w:val="auto"/>
                      <w:szCs w:val="21"/>
                      <w:lang w:val="en-US" w:eastAsia="zh-CN"/>
                    </w:rPr>
                    <w:t>)</w:t>
                  </w:r>
                </w:p>
              </w:tc>
              <w:tc>
                <w:tcPr>
                  <w:tcW w:w="2810" w:type="pct"/>
                  <w:vAlign w:val="center"/>
                </w:tcPr>
                <w:p w14:paraId="47736F06">
                  <w:pPr>
                    <w:autoSpaceDE w:val="0"/>
                    <w:autoSpaceDN w:val="0"/>
                    <w:adjustRightInd w:val="0"/>
                    <w:snapToGrid w:val="0"/>
                    <w:ind w:firstLine="420" w:firstLineChars="2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989" w:type="pct"/>
                  <w:vAlign w:val="center"/>
                </w:tcPr>
                <w:p w14:paraId="7F82C527">
                  <w:pPr>
                    <w:autoSpaceDE w:val="0"/>
                    <w:autoSpaceDN w:val="0"/>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本项目拟在环境影响评价文件审批前，取得主要污染物排放总量指标。</w:t>
                  </w:r>
                </w:p>
              </w:tc>
              <w:tc>
                <w:tcPr>
                  <w:tcW w:w="328" w:type="pct"/>
                  <w:vAlign w:val="center"/>
                </w:tcPr>
                <w:p w14:paraId="4F18B988">
                  <w:pPr>
                    <w:autoSpaceDE w:val="0"/>
                    <w:autoSpaceDN w:val="0"/>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14:paraId="2F4F30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8" w:hRule="atLeast"/>
                <w:jc w:val="center"/>
              </w:trPr>
              <w:tc>
                <w:tcPr>
                  <w:tcW w:w="871" w:type="pct"/>
                  <w:vAlign w:val="center"/>
                </w:tcPr>
                <w:p w14:paraId="1DBB957E">
                  <w:pPr>
                    <w:autoSpaceDE w:val="0"/>
                    <w:autoSpaceDN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《关于以改善环境质量为核心加强环境影响评价管理的通知》（环环评〔2016〕150号）</w:t>
                  </w:r>
                </w:p>
              </w:tc>
              <w:tc>
                <w:tcPr>
                  <w:tcW w:w="2810" w:type="pct"/>
                  <w:vAlign w:val="center"/>
                </w:tcPr>
                <w:p w14:paraId="19BC24B4">
                  <w:pPr>
                    <w:autoSpaceDE w:val="0"/>
                    <w:autoSpaceDN w:val="0"/>
                    <w:snapToGrid w:val="0"/>
                    <w:ind w:firstLine="420" w:firstLineChars="2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w:t>
                  </w:r>
                  <w:r>
                    <w:rPr>
                      <w:rFonts w:hint="default" w:ascii="Times New Roman" w:hAnsi="Times New Roman" w:eastAsia="仿宋" w:cs="Times New Roman"/>
                      <w:color w:val="auto"/>
                      <w:szCs w:val="21"/>
                    </w:rPr>
                    <w:t>规划环评要作为规划所包含项目环评的重要依据，对于不符合规划环评结论及审查意见的项目环评，依法不予审批。</w:t>
                  </w:r>
                  <w:r>
                    <w:rPr>
                      <w:rFonts w:hint="default" w:ascii="Times New Roman" w:hAnsi="Times New Roman" w:eastAsia="仿宋" w:cs="Times New Roman"/>
                      <w:color w:val="auto"/>
                      <w:szCs w:val="21"/>
                      <w:lang w:val="en-US" w:eastAsia="zh-CN"/>
                    </w:rPr>
                    <w:t>(2)</w:t>
                  </w:r>
                  <w:r>
                    <w:rPr>
                      <w:rFonts w:hint="default" w:ascii="Times New Roman" w:hAnsi="Times New Roman" w:eastAsia="仿宋" w:cs="Times New Roman"/>
                      <w:color w:val="auto"/>
                      <w:szCs w:val="21"/>
                    </w:rPr>
                    <w:t>对于现有同类型项目环境污染或生态破坏严重、环境违法违规现象多发，致使环境容量接近或超过承载能力的地区，在现有问题整改到位前，依法暂停审批该地区同类行业的项目环评文件。</w:t>
                  </w:r>
                  <w:r>
                    <w:rPr>
                      <w:rFonts w:hint="default" w:ascii="Times New Roman" w:hAnsi="Times New Roman" w:eastAsia="仿宋" w:cs="Times New Roman"/>
                      <w:color w:val="auto"/>
                      <w:szCs w:val="21"/>
                      <w:lang w:val="en-US" w:eastAsia="zh-CN"/>
                    </w:rPr>
                    <w:t>(3)</w:t>
                  </w:r>
                  <w:r>
                    <w:rPr>
                      <w:rFonts w:hint="default" w:ascii="Times New Roman" w:hAnsi="Times New Roman" w:eastAsia="仿宋" w:cs="Times New Roman"/>
                      <w:color w:val="auto"/>
                      <w:szCs w:val="21"/>
                    </w:rPr>
                    <w:t>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989" w:type="pct"/>
                  <w:vAlign w:val="center"/>
                </w:tcPr>
                <w:p w14:paraId="01683C9B">
                  <w:pPr>
                    <w:autoSpaceDE w:val="0"/>
                    <w:autoSpaceDN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w:t>
                  </w:r>
                  <w:r>
                    <w:rPr>
                      <w:rFonts w:hint="default" w:ascii="Times New Roman" w:hAnsi="Times New Roman" w:eastAsia="仿宋" w:cs="Times New Roman"/>
                      <w:color w:val="auto"/>
                      <w:szCs w:val="21"/>
                    </w:rPr>
                    <w:t>本项目建设内容符合所在区域定位，且不在生态保护红线范围内；</w:t>
                  </w:r>
                </w:p>
                <w:p w14:paraId="4FE31610">
                  <w:pPr>
                    <w:autoSpaceDE w:val="0"/>
                    <w:autoSpaceDN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(2)</w:t>
                  </w:r>
                  <w:r>
                    <w:rPr>
                      <w:rFonts w:hint="default" w:ascii="Times New Roman" w:hAnsi="Times New Roman" w:eastAsia="仿宋" w:cs="Times New Roman"/>
                      <w:color w:val="auto"/>
                      <w:szCs w:val="21"/>
                    </w:rPr>
                    <w:t>项目所在地为非达标区，</w:t>
                  </w:r>
                  <w:r>
                    <w:rPr>
                      <w:rFonts w:hint="default" w:ascii="Times New Roman" w:hAnsi="Times New Roman" w:eastAsia="仿宋" w:cs="Times New Roman"/>
                      <w:color w:val="auto"/>
                      <w:szCs w:val="21"/>
                      <w:highlight w:val="none"/>
                    </w:rPr>
                    <w:t>本项目各废气因子排放量较小，</w:t>
                  </w:r>
                  <w:r>
                    <w:rPr>
                      <w:rFonts w:hint="default" w:ascii="Times New Roman" w:hAnsi="Times New Roman" w:eastAsia="仿宋" w:cs="Times New Roman"/>
                      <w:color w:val="auto"/>
                      <w:szCs w:val="21"/>
                    </w:rPr>
                    <w:t>对周围保护目标影响均较小，均未超过各因子的环境质量标准。因此，项目排放的大气污染物对周围空气环境影响较小。</w:t>
                  </w:r>
                </w:p>
              </w:tc>
              <w:tc>
                <w:tcPr>
                  <w:tcW w:w="328" w:type="pct"/>
                  <w:vAlign w:val="center"/>
                </w:tcPr>
                <w:p w14:paraId="01219042">
                  <w:pPr>
                    <w:autoSpaceDE w:val="0"/>
                    <w:autoSpaceDN w:val="0"/>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14:paraId="210407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94" w:hRule="atLeast"/>
                <w:jc w:val="center"/>
              </w:trPr>
              <w:tc>
                <w:tcPr>
                  <w:tcW w:w="871" w:type="pct"/>
                  <w:vAlign w:val="center"/>
                </w:tcPr>
                <w:p w14:paraId="44CB85EA">
                  <w:pPr>
                    <w:autoSpaceDE w:val="0"/>
                    <w:autoSpaceDN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《关于全面加强生态环境保护坚决打好污染防治攻坚战的实施意见》</w:t>
                  </w:r>
                  <w:r>
                    <w:rPr>
                      <w:rFonts w:hint="default" w:ascii="Times New Roman" w:hAnsi="Times New Roman" w:eastAsia="仿宋" w:cs="Times New Roman"/>
                      <w:color w:val="auto"/>
                      <w:szCs w:val="21"/>
                      <w:lang w:val="en-US" w:eastAsia="zh-CN"/>
                    </w:rPr>
                    <w:t>(</w:t>
                  </w:r>
                  <w:r>
                    <w:rPr>
                      <w:rFonts w:hint="default" w:ascii="Times New Roman" w:hAnsi="Times New Roman" w:eastAsia="仿宋" w:cs="Times New Roman"/>
                      <w:color w:val="auto"/>
                      <w:szCs w:val="21"/>
                    </w:rPr>
                    <w:t>苏发</w:t>
                  </w:r>
                  <w:r>
                    <w:rPr>
                      <w:rFonts w:hint="eastAsia" w:eastAsia="仿宋" w:cs="Times New Roman"/>
                      <w:color w:val="auto"/>
                      <w:szCs w:val="21"/>
                      <w:lang w:eastAsia="zh-CN"/>
                    </w:rPr>
                    <w:t>〔2018〕24号</w:t>
                  </w:r>
                  <w:r>
                    <w:rPr>
                      <w:rFonts w:hint="default" w:ascii="Times New Roman" w:hAnsi="Times New Roman" w:eastAsia="仿宋" w:cs="Times New Roman"/>
                      <w:color w:val="auto"/>
                      <w:szCs w:val="21"/>
                      <w:lang w:val="en-US" w:eastAsia="zh-CN"/>
                    </w:rPr>
                    <w:t>)</w:t>
                  </w:r>
                </w:p>
              </w:tc>
              <w:tc>
                <w:tcPr>
                  <w:tcW w:w="2810" w:type="pct"/>
                  <w:vAlign w:val="center"/>
                </w:tcPr>
                <w:p w14:paraId="2C97923A">
                  <w:pPr>
                    <w:autoSpaceDE w:val="0"/>
                    <w:autoSpaceDN w:val="0"/>
                    <w:snapToGrid w:val="0"/>
                    <w:ind w:firstLine="420" w:firstLineChars="2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989" w:type="pct"/>
                  <w:vAlign w:val="center"/>
                </w:tcPr>
                <w:p w14:paraId="67649D03">
                  <w:pPr>
                    <w:autoSpaceDE w:val="0"/>
                    <w:autoSpaceDN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本项目不属于化工企业。</w:t>
                  </w:r>
                </w:p>
              </w:tc>
              <w:tc>
                <w:tcPr>
                  <w:tcW w:w="328" w:type="pct"/>
                  <w:vAlign w:val="center"/>
                </w:tcPr>
                <w:p w14:paraId="18A32D52">
                  <w:pPr>
                    <w:autoSpaceDE w:val="0"/>
                    <w:autoSpaceDN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14:paraId="51A557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18" w:hRule="atLeast"/>
                <w:jc w:val="center"/>
              </w:trPr>
              <w:tc>
                <w:tcPr>
                  <w:tcW w:w="871" w:type="pct"/>
                  <w:vAlign w:val="center"/>
                </w:tcPr>
                <w:p w14:paraId="3908FB5F">
                  <w:pPr>
                    <w:autoSpaceDE w:val="0"/>
                    <w:autoSpaceDN w:val="0"/>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《省政府关于印发江苏省国家级生态保护红线规划的通知》</w:t>
                  </w:r>
                  <w:r>
                    <w:rPr>
                      <w:rFonts w:hint="default" w:ascii="Times New Roman" w:hAnsi="Times New Roman" w:eastAsia="仿宋" w:cs="Times New Roman"/>
                      <w:color w:val="auto"/>
                      <w:szCs w:val="21"/>
                      <w:lang w:val="en-US" w:eastAsia="zh-CN"/>
                    </w:rPr>
                    <w:t>(</w:t>
                  </w:r>
                  <w:r>
                    <w:rPr>
                      <w:rFonts w:hint="default" w:ascii="Times New Roman" w:hAnsi="Times New Roman" w:eastAsia="仿宋" w:cs="Times New Roman"/>
                      <w:color w:val="auto"/>
                      <w:szCs w:val="21"/>
                    </w:rPr>
                    <w:t>苏政发〔2018〕74号</w:t>
                  </w:r>
                  <w:r>
                    <w:rPr>
                      <w:rFonts w:hint="default" w:ascii="Times New Roman" w:hAnsi="Times New Roman" w:eastAsia="仿宋" w:cs="Times New Roman"/>
                      <w:color w:val="auto"/>
                      <w:szCs w:val="21"/>
                      <w:lang w:val="en-US" w:eastAsia="zh-CN"/>
                    </w:rPr>
                    <w:t>)</w:t>
                  </w:r>
                </w:p>
              </w:tc>
              <w:tc>
                <w:tcPr>
                  <w:tcW w:w="2810" w:type="pct"/>
                  <w:vAlign w:val="center"/>
                </w:tcPr>
                <w:p w14:paraId="5D28C6FB">
                  <w:pPr>
                    <w:autoSpaceDE w:val="0"/>
                    <w:autoSpaceDN w:val="0"/>
                    <w:adjustRightInd w:val="0"/>
                    <w:snapToGrid w:val="0"/>
                    <w:ind w:firstLine="420" w:firstLineChars="2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生态保护红线原则上按禁止开发区域的要求进行管理，严禁不符合主体功能定位的各类开发活动，严禁任意改变用途。</w:t>
                  </w:r>
                </w:p>
              </w:tc>
              <w:tc>
                <w:tcPr>
                  <w:tcW w:w="989" w:type="pct"/>
                  <w:vAlign w:val="center"/>
                </w:tcPr>
                <w:p w14:paraId="67E70D2A">
                  <w:pPr>
                    <w:autoSpaceDE w:val="0"/>
                    <w:autoSpaceDN w:val="0"/>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本项目不在生态保护红线内。</w:t>
                  </w:r>
                </w:p>
              </w:tc>
              <w:tc>
                <w:tcPr>
                  <w:tcW w:w="328" w:type="pct"/>
                  <w:vAlign w:val="center"/>
                </w:tcPr>
                <w:p w14:paraId="2416A0B2">
                  <w:pPr>
                    <w:autoSpaceDE w:val="0"/>
                    <w:autoSpaceDN w:val="0"/>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14:paraId="55B5F5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871" w:type="pct"/>
                  <w:vAlign w:val="center"/>
                </w:tcPr>
                <w:p w14:paraId="134D33DE">
                  <w:pPr>
                    <w:autoSpaceDE w:val="0"/>
                    <w:autoSpaceDN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推动长江经济带发展领导小组办公室关于印发《长江经济带发展负面清单指南（试行，2022年版）》的通知（长江办〔2022〕7号）</w:t>
                  </w:r>
                </w:p>
              </w:tc>
              <w:tc>
                <w:tcPr>
                  <w:tcW w:w="2810" w:type="pct"/>
                  <w:vAlign w:val="center"/>
                </w:tcPr>
                <w:p w14:paraId="4DE3C106">
                  <w:pPr>
                    <w:autoSpaceDE w:val="0"/>
                    <w:autoSpaceDN w:val="0"/>
                    <w:snapToGrid w:val="0"/>
                    <w:ind w:firstLine="420" w:firstLineChars="2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w:t>
                  </w:r>
                  <w:r>
                    <w:rPr>
                      <w:rFonts w:hint="eastAsia" w:eastAsia="仿宋" w:cs="Times New Roman"/>
                      <w:color w:val="auto"/>
                      <w:szCs w:val="21"/>
                      <w:lang w:val="en-US" w:eastAsia="zh-CN"/>
                    </w:rPr>
                    <w:t>湖泊</w:t>
                  </w:r>
                  <w:r>
                    <w:rPr>
                      <w:rFonts w:hint="default" w:ascii="Times New Roman" w:hAnsi="Times New Roman" w:eastAsia="仿宋" w:cs="Times New Roman"/>
                      <w:color w:val="auto"/>
                      <w:szCs w:val="21"/>
                    </w:rPr>
                    <w:t>水功能区划》划定的河段及湖泊保护区、保留区内投资建设不利于水资源及自然生态保护的项目。6．禁止未经许可在长江</w:t>
                  </w:r>
                  <w:r>
                    <w:rPr>
                      <w:rFonts w:hint="default" w:ascii="Times New Roman" w:hAnsi="Times New Roman" w:eastAsia="仿宋" w:cs="Times New Roman"/>
                      <w:color w:val="auto"/>
                      <w:lang w:val="en-US" w:eastAsia="zh-CN"/>
                    </w:rPr>
                    <w:t>干支流</w:t>
                  </w:r>
                  <w:r>
                    <w:rPr>
                      <w:rFonts w:hint="default" w:ascii="Times New Roman" w:hAnsi="Times New Roman" w:eastAsia="仿宋" w:cs="Times New Roman"/>
                      <w:color w:val="auto"/>
                      <w:szCs w:val="21"/>
                    </w:rPr>
                    <w:t>及湖泊新设、改设或扩大排污口。7．禁止在“一江一口两湖七河”和332个水生生物保护区开展生产性捕捞。8.禁止在长江</w:t>
                  </w:r>
                  <w:r>
                    <w:rPr>
                      <w:rFonts w:hint="default" w:ascii="Times New Roman" w:hAnsi="Times New Roman" w:eastAsia="仿宋" w:cs="Times New Roman"/>
                      <w:color w:val="auto"/>
                      <w:lang w:val="en-US" w:eastAsia="zh-CN"/>
                    </w:rPr>
                    <w:t>干</w:t>
                  </w:r>
                  <w:r>
                    <w:rPr>
                      <w:rFonts w:hint="default" w:ascii="Times New Roman" w:hAnsi="Times New Roman" w:eastAsia="仿宋" w:cs="Times New Roman"/>
                      <w:color w:val="auto"/>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tc>
              <w:tc>
                <w:tcPr>
                  <w:tcW w:w="989" w:type="pct"/>
                  <w:vAlign w:val="center"/>
                </w:tcPr>
                <w:p w14:paraId="23349ABD">
                  <w:pPr>
                    <w:autoSpaceDE w:val="0"/>
                    <w:autoSpaceDN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本项目不属于禁止建设项目。</w:t>
                  </w:r>
                </w:p>
              </w:tc>
              <w:tc>
                <w:tcPr>
                  <w:tcW w:w="328" w:type="pct"/>
                  <w:vAlign w:val="center"/>
                </w:tcPr>
                <w:p w14:paraId="3A1C9E19">
                  <w:pPr>
                    <w:autoSpaceDE w:val="0"/>
                    <w:autoSpaceDN w:val="0"/>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bl>
          <w:p w14:paraId="5B62A4BF">
            <w:pPr>
              <w:pStyle w:val="12"/>
              <w:widowControl w:val="0"/>
              <w:numPr>
                <w:ilvl w:val="0"/>
                <w:numId w:val="0"/>
              </w:numPr>
              <w:jc w:val="both"/>
              <w:rPr>
                <w:rFonts w:hint="default" w:ascii="Times New Roman" w:hAnsi="Times New Roman" w:eastAsia="仿宋" w:cs="Times New Roman"/>
                <w:color w:val="auto"/>
                <w:kern w:val="0"/>
                <w:szCs w:val="21"/>
              </w:rPr>
            </w:pPr>
          </w:p>
        </w:tc>
      </w:tr>
    </w:tbl>
    <w:p w14:paraId="62E2207D">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0"/>
        <w:rPr>
          <w:rFonts w:hint="default" w:ascii="Times New Roman" w:hAnsi="Times New Roman" w:eastAsia="仿宋" w:cs="Times New Roman"/>
          <w:color w:val="auto"/>
          <w:sz w:val="10"/>
          <w:szCs w:val="10"/>
        </w:rPr>
        <w:sectPr>
          <w:footerReference r:id="rId3"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0D249A4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仿宋" w:cs="Times New Roman"/>
          <w:snapToGrid w:val="0"/>
          <w:color w:val="auto"/>
          <w:sz w:val="30"/>
          <w:szCs w:val="30"/>
          <w:vertAlign w:val="baseline"/>
        </w:rPr>
      </w:pPr>
      <w:bookmarkStart w:id="2" w:name="_Toc19526"/>
      <w:r>
        <w:rPr>
          <w:rFonts w:hint="default" w:ascii="Times New Roman" w:hAnsi="Times New Roman" w:eastAsia="仿宋" w:cs="Times New Roman"/>
          <w:snapToGrid w:val="0"/>
          <w:color w:val="auto"/>
          <w:sz w:val="30"/>
          <w:szCs w:val="30"/>
        </w:rPr>
        <w:t>二、建设项目工程分析</w:t>
      </w:r>
      <w:bookmarkEnd w:id="2"/>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8225"/>
      </w:tblGrid>
      <w:tr w14:paraId="5C00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 w:type="dxa"/>
          </w:tcPr>
          <w:p w14:paraId="14A7F16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仿宋" w:cs="Times New Roman"/>
                <w:snapToGrid w:val="0"/>
                <w:color w:val="auto"/>
                <w:sz w:val="30"/>
                <w:szCs w:val="30"/>
                <w:vertAlign w:val="baseline"/>
              </w:rPr>
            </w:pPr>
            <w:r>
              <w:rPr>
                <w:rFonts w:hint="default" w:ascii="Times New Roman" w:hAnsi="Times New Roman" w:eastAsia="仿宋" w:cs="Times New Roman"/>
                <w:color w:val="auto"/>
                <w:szCs w:val="24"/>
              </w:rPr>
              <w:t>建设内容</w:t>
            </w:r>
          </w:p>
        </w:tc>
        <w:tc>
          <w:tcPr>
            <w:tcW w:w="8225" w:type="dxa"/>
          </w:tcPr>
          <w:p w14:paraId="1DE37A76">
            <w:pPr>
              <w:keepNext w:val="0"/>
              <w:keepLines w:val="0"/>
              <w:pageBreakBefore w:val="0"/>
              <w:kinsoku/>
              <w:wordWrap/>
              <w:overflowPunct/>
              <w:topLinePunct w:val="0"/>
              <w:bidi w:val="0"/>
              <w:adjustRightInd w:val="0"/>
              <w:snapToGrid w:val="0"/>
              <w:spacing w:line="360" w:lineRule="auto"/>
              <w:ind w:left="0" w:right="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1、项目由来</w:t>
            </w:r>
          </w:p>
          <w:p w14:paraId="07DF8D49">
            <w:pPr>
              <w:keepNext w:val="0"/>
              <w:keepLines w:val="0"/>
              <w:pageBreakBefore w:val="0"/>
              <w:widowControl/>
              <w:kinsoku/>
              <w:wordWrap/>
              <w:overflowPunct/>
              <w:topLinePunct w:val="0"/>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lang w:val="en-US" w:eastAsia="zh-CN"/>
              </w:rPr>
            </w:pPr>
            <w:bookmarkStart w:id="11" w:name="_GoBack"/>
            <w:r>
              <w:rPr>
                <w:rFonts w:hint="default" w:ascii="Times New Roman" w:hAnsi="Times New Roman" w:eastAsia="仿宋" w:cs="Times New Roman"/>
                <w:color w:val="auto"/>
                <w:sz w:val="24"/>
                <w:lang w:val="en-US" w:eastAsia="zh-CN"/>
              </w:rPr>
              <w:t>常州四杰机械科技有限公司</w:t>
            </w:r>
            <w:bookmarkEnd w:id="11"/>
            <w:r>
              <w:rPr>
                <w:rFonts w:hint="default" w:ascii="Times New Roman" w:hAnsi="Times New Roman" w:eastAsia="仿宋" w:cs="Times New Roman"/>
                <w:color w:val="auto"/>
                <w:sz w:val="24"/>
                <w:lang w:val="en-US" w:eastAsia="zh-CN"/>
              </w:rPr>
              <w:t>（以下简称“四杰机械”）成立于2016年7月，地址为常州市金坛区薛埠镇工业园区南环路3号，注册资金3000万元，主要从事太阳能铸锭炉、质子医疗仪的生产和销售。</w:t>
            </w:r>
          </w:p>
          <w:p w14:paraId="08F375D2">
            <w:pPr>
              <w:keepNext w:val="0"/>
              <w:keepLines w:val="0"/>
              <w:pageBreakBefore w:val="0"/>
              <w:widowControl/>
              <w:kinsoku/>
              <w:wordWrap/>
              <w:overflowPunct/>
              <w:topLinePunct w:val="0"/>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四杰机械于2017年5月申报“新建太阳能铸锭炉与质子医疗仪的制造项目”并于2017年6月12日取得常州市金坛区环境保护局审批意见（坛环审</w:t>
            </w:r>
            <w:r>
              <w:rPr>
                <w:rFonts w:hint="eastAsia" w:eastAsia="仿宋" w:cs="Times New Roman"/>
                <w:color w:val="auto"/>
                <w:sz w:val="24"/>
                <w:lang w:val="en-US" w:eastAsia="zh-CN"/>
              </w:rPr>
              <w:t>〔2017〕39号</w:t>
            </w:r>
            <w:r>
              <w:rPr>
                <w:rFonts w:hint="default" w:ascii="Times New Roman" w:hAnsi="Times New Roman" w:eastAsia="仿宋" w:cs="Times New Roman"/>
                <w:color w:val="auto"/>
                <w:sz w:val="24"/>
                <w:lang w:val="en-US" w:eastAsia="zh-CN"/>
              </w:rPr>
              <w:t>），于2021年1月通过环境保护“三同时”自主验收。企业于2020年5月16日取得了固定污染源排污登记回执，登记证书编号：91320413MA1MQAXY67001W。</w:t>
            </w:r>
          </w:p>
          <w:p w14:paraId="0BC55737">
            <w:pPr>
              <w:keepNext w:val="0"/>
              <w:keepLines w:val="0"/>
              <w:pageBreakBefore w:val="0"/>
              <w:widowControl/>
              <w:kinsoku/>
              <w:wordWrap/>
              <w:overflowPunct/>
              <w:topLinePunct w:val="0"/>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为扩大市场占有率，企业拟投资3000万元，利用现有厂房9500平方米，购置卷圆机、立式车床、抛光机、喷砂机、喷漆房等设施，建设年产3000套太阳能铸锭炉项目。项目建成后全厂可形成年产太阳能铸锭炉3330套</w:t>
            </w:r>
            <w:r>
              <w:rPr>
                <w:rFonts w:hint="default" w:ascii="Times New Roman" w:hAnsi="Times New Roman" w:eastAsia="仿宋" w:cs="Times New Roman"/>
                <w:color w:val="auto"/>
                <w:sz w:val="24"/>
              </w:rPr>
              <w:t>的生产规模。</w:t>
            </w:r>
            <w:r>
              <w:rPr>
                <w:rFonts w:hint="default" w:ascii="Times New Roman" w:hAnsi="Times New Roman" w:eastAsia="仿宋" w:cs="Times New Roman"/>
                <w:color w:val="auto"/>
                <w:sz w:val="24"/>
                <w:lang w:val="en-US" w:eastAsia="zh-CN"/>
              </w:rPr>
              <w:t>考虑车间物料周转运输路线合理，管理方便，拟对原有项目设备重新布局，项目建成后现有项目厂区平面布局及污染防治设施均发生变化，</w:t>
            </w:r>
            <w:r>
              <w:rPr>
                <w:rFonts w:hint="default" w:ascii="Times New Roman" w:hAnsi="Times New Roman" w:eastAsia="仿宋" w:cs="Times New Roman"/>
                <w:color w:val="auto"/>
                <w:sz w:val="24"/>
              </w:rPr>
              <w:t>本次环评对全厂进行评价</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szCs w:val="24"/>
                <w:lang w:eastAsia="zh-TW"/>
              </w:rPr>
              <w:t xml:space="preserve"> </w:t>
            </w:r>
          </w:p>
          <w:p w14:paraId="7D37FD19">
            <w:pPr>
              <w:keepNext w:val="0"/>
              <w:keepLines w:val="0"/>
              <w:pageBreakBefore w:val="0"/>
              <w:widowControl/>
              <w:kinsoku/>
              <w:wordWrap/>
              <w:overflowPunct/>
              <w:topLinePunct w:val="0"/>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根据《中华人民共和国环境保护法》（2014年修订）、《中华人民共和国环境影响评价法》（2018年修订）和《建设项目环境影响评价分类管理名录》（2021年）的有关规定，本项目应进行环境影响评价。根据《建设项目环境影响评价分类管理名录》（2021年），本项目属于“</w:t>
            </w:r>
            <w:r>
              <w:rPr>
                <w:rFonts w:hint="default" w:ascii="Times New Roman" w:hAnsi="Times New Roman" w:eastAsia="仿宋" w:cs="Times New Roman"/>
                <w:color w:val="auto"/>
                <w:sz w:val="24"/>
                <w:szCs w:val="24"/>
              </w:rPr>
              <w:t>三十</w:t>
            </w:r>
            <w:r>
              <w:rPr>
                <w:rFonts w:hint="default" w:ascii="Times New Roman" w:hAnsi="Times New Roman" w:eastAsia="仿宋" w:cs="Times New Roman"/>
                <w:color w:val="auto"/>
                <w:sz w:val="24"/>
                <w:szCs w:val="24"/>
                <w:lang w:val="en-US" w:eastAsia="zh-CN"/>
              </w:rPr>
              <w:t>一</w:t>
            </w:r>
            <w:r>
              <w:rPr>
                <w:rFonts w:hint="default" w:ascii="Times New Roman" w:hAnsi="Times New Roman" w:eastAsia="仿宋" w:cs="Times New Roman"/>
                <w:color w:val="auto"/>
                <w:sz w:val="24"/>
                <w:szCs w:val="24"/>
              </w:rPr>
              <w:t>、通用设备制造业</w:t>
            </w:r>
            <w:r>
              <w:rPr>
                <w:rFonts w:hint="default" w:ascii="Times New Roman" w:hAnsi="Times New Roman" w:eastAsia="仿宋" w:cs="Times New Roman"/>
                <w:color w:val="auto"/>
                <w:sz w:val="24"/>
                <w:szCs w:val="24"/>
                <w:lang w:val="en-US" w:eastAsia="zh-CN"/>
              </w:rPr>
              <w:t>34</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69其他</w:t>
            </w:r>
            <w:r>
              <w:rPr>
                <w:rFonts w:hint="default" w:ascii="Times New Roman" w:hAnsi="Times New Roman" w:eastAsia="仿宋" w:cs="Times New Roman"/>
                <w:color w:val="auto"/>
                <w:sz w:val="24"/>
                <w:szCs w:val="24"/>
              </w:rPr>
              <w:t>通用</w:t>
            </w:r>
            <w:r>
              <w:rPr>
                <w:rFonts w:hint="default" w:ascii="Times New Roman" w:hAnsi="Times New Roman" w:eastAsia="仿宋" w:cs="Times New Roman"/>
                <w:color w:val="auto"/>
                <w:sz w:val="24"/>
                <w:szCs w:val="24"/>
                <w:lang w:val="en-US" w:eastAsia="zh-CN"/>
              </w:rPr>
              <w:t>设备</w:t>
            </w:r>
            <w:r>
              <w:rPr>
                <w:rFonts w:hint="default" w:ascii="Times New Roman" w:hAnsi="Times New Roman" w:eastAsia="仿宋" w:cs="Times New Roman"/>
                <w:color w:val="auto"/>
                <w:sz w:val="24"/>
                <w:szCs w:val="24"/>
              </w:rPr>
              <w:t>制造</w:t>
            </w:r>
            <w:r>
              <w:rPr>
                <w:rFonts w:hint="default" w:ascii="Times New Roman" w:hAnsi="Times New Roman" w:eastAsia="仿宋" w:cs="Times New Roman"/>
                <w:color w:val="auto"/>
                <w:sz w:val="24"/>
                <w:szCs w:val="24"/>
                <w:lang w:val="en-US" w:eastAsia="zh-CN"/>
              </w:rPr>
              <w:t>业</w:t>
            </w:r>
            <w:r>
              <w:rPr>
                <w:rFonts w:hint="default" w:ascii="Times New Roman" w:hAnsi="Times New Roman" w:eastAsia="仿宋" w:cs="Times New Roman"/>
                <w:color w:val="auto"/>
                <w:sz w:val="24"/>
                <w:szCs w:val="24"/>
              </w:rPr>
              <w:t>中其他（仅分割、焊接、组装的除外，年用非溶剂型低VOCs含量涂料10吨以下的除外）</w:t>
            </w:r>
            <w:r>
              <w:rPr>
                <w:rFonts w:hint="default" w:ascii="Times New Roman" w:hAnsi="Times New Roman" w:eastAsia="仿宋" w:cs="Times New Roman"/>
                <w:color w:val="auto"/>
                <w:sz w:val="24"/>
                <w:lang w:val="en-US" w:eastAsia="zh-CN"/>
              </w:rPr>
              <w:t>”类别</w:t>
            </w:r>
            <w:r>
              <w:rPr>
                <w:rFonts w:hint="default" w:ascii="Times New Roman" w:hAnsi="Times New Roman" w:eastAsia="仿宋" w:cs="Times New Roman"/>
                <w:color w:val="auto"/>
                <w:sz w:val="24"/>
              </w:rPr>
              <w:t>，应编制环境影响评价报告表。</w:t>
            </w:r>
            <w:r>
              <w:rPr>
                <w:rFonts w:hint="default" w:ascii="Times New Roman" w:hAnsi="Times New Roman" w:eastAsia="仿宋" w:cs="Times New Roman"/>
                <w:color w:val="auto"/>
                <w:sz w:val="24"/>
                <w:lang w:eastAsia="zh-CN"/>
              </w:rPr>
              <w:t>常州四杰机械科技有限公司</w:t>
            </w:r>
            <w:r>
              <w:rPr>
                <w:rFonts w:hint="default" w:ascii="Times New Roman" w:hAnsi="Times New Roman" w:eastAsia="仿宋" w:cs="Times New Roman"/>
                <w:color w:val="auto"/>
                <w:sz w:val="24"/>
              </w:rPr>
              <w:t>委托专业环评单位承担该项目的环境影响评价工作。环评单位在现场踏勘、调查的基础上，通过对有关资料的收集、整理和分析计算，编制完成了该项目的环境影响报告表，报请审批。</w:t>
            </w:r>
          </w:p>
          <w:p w14:paraId="5C113695">
            <w:pPr>
              <w:keepNext w:val="0"/>
              <w:keepLines w:val="0"/>
              <w:pageBreakBefore w:val="0"/>
              <w:kinsoku/>
              <w:wordWrap/>
              <w:overflowPunct/>
              <w:topLinePunct w:val="0"/>
              <w:autoSpaceDE w:val="0"/>
              <w:autoSpaceDN w:val="0"/>
              <w:bidi w:val="0"/>
              <w:adjustRightInd w:val="0"/>
              <w:snapToGrid w:val="0"/>
              <w:spacing w:line="360" w:lineRule="auto"/>
              <w:ind w:left="0" w:right="0"/>
              <w:jc w:val="left"/>
              <w:textAlignment w:val="auto"/>
              <w:rPr>
                <w:rFonts w:hint="default" w:ascii="Times New Roman" w:hAnsi="Times New Roman" w:eastAsia="仿宋" w:cs="Times New Roman"/>
                <w:b/>
                <w:bCs/>
                <w:color w:val="auto"/>
                <w:kern w:val="0"/>
                <w:sz w:val="24"/>
              </w:rPr>
            </w:pPr>
            <w:r>
              <w:rPr>
                <w:rFonts w:hint="default" w:ascii="Times New Roman" w:hAnsi="Times New Roman" w:eastAsia="仿宋" w:cs="Times New Roman"/>
                <w:b/>
                <w:bCs/>
                <w:color w:val="auto"/>
                <w:kern w:val="0"/>
                <w:sz w:val="24"/>
                <w:lang w:val="en-US" w:eastAsia="zh-CN"/>
              </w:rPr>
              <w:t>2</w:t>
            </w:r>
            <w:r>
              <w:rPr>
                <w:rFonts w:hint="default" w:ascii="Times New Roman" w:hAnsi="Times New Roman" w:eastAsia="仿宋" w:cs="Times New Roman"/>
                <w:b/>
                <w:bCs/>
                <w:color w:val="auto"/>
                <w:kern w:val="0"/>
                <w:sz w:val="24"/>
              </w:rPr>
              <w:t>、产品方案</w:t>
            </w:r>
          </w:p>
          <w:p w14:paraId="6AC0BD2F">
            <w:pPr>
              <w:keepNext w:val="0"/>
              <w:keepLines w:val="0"/>
              <w:pageBreakBefore w:val="0"/>
              <w:widowControl w:val="0"/>
              <w:kinsoku/>
              <w:wordWrap/>
              <w:overflowPunct/>
              <w:topLinePunct w:val="0"/>
              <w:autoSpaceDE/>
              <w:autoSpaceDN/>
              <w:bidi w:val="0"/>
              <w:adjustRightInd w:val="0"/>
              <w:snapToGrid w:val="0"/>
              <w:spacing w:line="440" w:lineRule="exact"/>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表2-</w:t>
            </w:r>
            <w:r>
              <w:rPr>
                <w:rFonts w:hint="default" w:ascii="Times New Roman" w:hAnsi="Times New Roman" w:eastAsia="仿宋" w:cs="Times New Roman"/>
                <w:b/>
                <w:bCs/>
                <w:color w:val="auto"/>
                <w:sz w:val="21"/>
                <w:szCs w:val="21"/>
                <w:highlight w:val="none"/>
                <w:lang w:val="en-US" w:eastAsia="zh-CN"/>
              </w:rPr>
              <w:t xml:space="preserve">1 </w:t>
            </w:r>
            <w:r>
              <w:rPr>
                <w:rFonts w:hint="default" w:ascii="Times New Roman" w:hAnsi="Times New Roman" w:eastAsia="仿宋" w:cs="Times New Roman"/>
                <w:b/>
                <w:bCs/>
                <w:color w:val="auto"/>
                <w:sz w:val="21"/>
                <w:szCs w:val="21"/>
                <w:highlight w:val="none"/>
              </w:rPr>
              <w:t>本项目建成后全厂产品方案一览表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696"/>
              <w:gridCol w:w="870"/>
              <w:gridCol w:w="1261"/>
              <w:gridCol w:w="1070"/>
              <w:gridCol w:w="1008"/>
              <w:gridCol w:w="1470"/>
            </w:tblGrid>
            <w:tr w14:paraId="318D82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Merge w:val="restart"/>
                  <w:vAlign w:val="center"/>
                </w:tcPr>
                <w:p w14:paraId="4F1F6752">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1059" w:type="pct"/>
                  <w:vMerge w:val="restart"/>
                  <w:vAlign w:val="center"/>
                </w:tcPr>
                <w:p w14:paraId="00848EAF">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产品名称</w:t>
                  </w:r>
                </w:p>
              </w:tc>
              <w:tc>
                <w:tcPr>
                  <w:tcW w:w="2627" w:type="pct"/>
                  <w:gridSpan w:val="4"/>
                  <w:vAlign w:val="center"/>
                </w:tcPr>
                <w:p w14:paraId="4D9ECDAE">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生产能力</w:t>
                  </w:r>
                  <w:r>
                    <w:rPr>
                      <w:rFonts w:hint="default" w:ascii="Times New Roman" w:hAnsi="Times New Roman" w:eastAsia="仿宋" w:cs="Times New Roman"/>
                      <w:b/>
                      <w:bCs/>
                      <w:color w:val="auto"/>
                      <w:sz w:val="21"/>
                      <w:szCs w:val="21"/>
                      <w:lang w:val="en-US" w:eastAsia="zh-CN"/>
                    </w:rPr>
                    <w:t>(套</w:t>
                  </w:r>
                  <w:r>
                    <w:rPr>
                      <w:rFonts w:hint="default" w:ascii="Times New Roman" w:hAnsi="Times New Roman" w:eastAsia="仿宋" w:cs="Times New Roman"/>
                      <w:color w:val="auto"/>
                      <w:szCs w:val="21"/>
                      <w:highlight w:val="none"/>
                      <w:lang w:val="en-US" w:eastAsia="zh-CN"/>
                    </w:rPr>
                    <w:t>/a</w:t>
                  </w:r>
                  <w:r>
                    <w:rPr>
                      <w:rFonts w:hint="default" w:ascii="Times New Roman" w:hAnsi="Times New Roman" w:eastAsia="仿宋" w:cs="Times New Roman"/>
                      <w:b/>
                      <w:bCs/>
                      <w:color w:val="auto"/>
                      <w:sz w:val="21"/>
                      <w:szCs w:val="21"/>
                      <w:lang w:val="en-US" w:eastAsia="zh-CN"/>
                    </w:rPr>
                    <w:t>)</w:t>
                  </w:r>
                </w:p>
              </w:tc>
              <w:tc>
                <w:tcPr>
                  <w:tcW w:w="918" w:type="pct"/>
                  <w:vMerge w:val="restart"/>
                  <w:vAlign w:val="center"/>
                </w:tcPr>
                <w:p w14:paraId="4C50780F">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年运行时数</w:t>
                  </w:r>
                </w:p>
              </w:tc>
            </w:tr>
            <w:tr w14:paraId="020E5D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Merge w:val="continue"/>
                  <w:vAlign w:val="center"/>
                </w:tcPr>
                <w:p w14:paraId="6ACD280D">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p>
              </w:tc>
              <w:tc>
                <w:tcPr>
                  <w:tcW w:w="1059" w:type="pct"/>
                  <w:vMerge w:val="continue"/>
                  <w:vAlign w:val="center"/>
                </w:tcPr>
                <w:p w14:paraId="4C754602">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p>
              </w:tc>
              <w:tc>
                <w:tcPr>
                  <w:tcW w:w="543" w:type="pct"/>
                  <w:vAlign w:val="center"/>
                </w:tcPr>
                <w:p w14:paraId="62734C1D">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扩建前</w:t>
                  </w:r>
                </w:p>
              </w:tc>
              <w:tc>
                <w:tcPr>
                  <w:tcW w:w="787" w:type="pct"/>
                  <w:vAlign w:val="center"/>
                </w:tcPr>
                <w:p w14:paraId="6FA5936B">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本项目</w:t>
                  </w:r>
                </w:p>
              </w:tc>
              <w:tc>
                <w:tcPr>
                  <w:tcW w:w="668" w:type="pct"/>
                  <w:vAlign w:val="center"/>
                </w:tcPr>
                <w:p w14:paraId="4B764D01">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扩建后</w:t>
                  </w:r>
                </w:p>
              </w:tc>
              <w:tc>
                <w:tcPr>
                  <w:tcW w:w="628" w:type="pct"/>
                  <w:vAlign w:val="center"/>
                </w:tcPr>
                <w:p w14:paraId="255C4995">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变化量</w:t>
                  </w:r>
                </w:p>
              </w:tc>
              <w:tc>
                <w:tcPr>
                  <w:tcW w:w="918" w:type="pct"/>
                  <w:vMerge w:val="continue"/>
                  <w:vAlign w:val="center"/>
                </w:tcPr>
                <w:p w14:paraId="209C6BBF">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p>
              </w:tc>
            </w:tr>
            <w:tr w14:paraId="5520DE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Align w:val="center"/>
                </w:tcPr>
                <w:p w14:paraId="048AB167">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059" w:type="pct"/>
                  <w:vAlign w:val="center"/>
                </w:tcPr>
                <w:p w14:paraId="0643B9D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太阳能铸锭炉</w:t>
                  </w:r>
                </w:p>
              </w:tc>
              <w:tc>
                <w:tcPr>
                  <w:tcW w:w="543" w:type="pct"/>
                  <w:vAlign w:val="center"/>
                </w:tcPr>
                <w:p w14:paraId="5647986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330</w:t>
                  </w:r>
                </w:p>
              </w:tc>
              <w:tc>
                <w:tcPr>
                  <w:tcW w:w="787" w:type="pct"/>
                  <w:vAlign w:val="center"/>
                </w:tcPr>
                <w:p w14:paraId="4A565C07">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highlight w:val="none"/>
                      <w:lang w:val="en-US" w:eastAsia="zh-CN"/>
                    </w:rPr>
                    <w:t>3000</w:t>
                  </w:r>
                </w:p>
              </w:tc>
              <w:tc>
                <w:tcPr>
                  <w:tcW w:w="668" w:type="pct"/>
                  <w:vAlign w:val="center"/>
                </w:tcPr>
                <w:p w14:paraId="21D200B0">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3330</w:t>
                  </w:r>
                </w:p>
              </w:tc>
              <w:tc>
                <w:tcPr>
                  <w:tcW w:w="628" w:type="pct"/>
                  <w:vAlign w:val="center"/>
                </w:tcPr>
                <w:p w14:paraId="19A3BCE4">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highlight w:val="none"/>
                      <w:lang w:val="en-US" w:eastAsia="zh-CN"/>
                    </w:rPr>
                    <w:t>+3000</w:t>
                  </w:r>
                </w:p>
              </w:tc>
              <w:tc>
                <w:tcPr>
                  <w:tcW w:w="918" w:type="pct"/>
                  <w:vAlign w:val="center"/>
                </w:tcPr>
                <w:p w14:paraId="229C08F7">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2400h</w:t>
                  </w:r>
                </w:p>
              </w:tc>
            </w:tr>
            <w:tr w14:paraId="766F7B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Align w:val="center"/>
                </w:tcPr>
                <w:p w14:paraId="739DB1F3">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059" w:type="pct"/>
                  <w:vAlign w:val="center"/>
                </w:tcPr>
                <w:p w14:paraId="459F46CF">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质子医疗仪器</w:t>
                  </w:r>
                </w:p>
              </w:tc>
              <w:tc>
                <w:tcPr>
                  <w:tcW w:w="543" w:type="pct"/>
                  <w:vAlign w:val="center"/>
                </w:tcPr>
                <w:p w14:paraId="0A08448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2</w:t>
                  </w:r>
                </w:p>
              </w:tc>
              <w:tc>
                <w:tcPr>
                  <w:tcW w:w="787" w:type="pct"/>
                  <w:vAlign w:val="center"/>
                </w:tcPr>
                <w:p w14:paraId="6A878678">
                  <w:pPr>
                    <w:keepNext w:val="0"/>
                    <w:keepLines w:val="0"/>
                    <w:widowControl/>
                    <w:suppressLineNumbers w:val="0"/>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0</w:t>
                  </w:r>
                </w:p>
              </w:tc>
              <w:tc>
                <w:tcPr>
                  <w:tcW w:w="668" w:type="pct"/>
                  <w:vAlign w:val="center"/>
                </w:tcPr>
                <w:p w14:paraId="50411AF8">
                  <w:pPr>
                    <w:keepNext w:val="0"/>
                    <w:keepLines w:val="0"/>
                    <w:widowControl/>
                    <w:suppressLineNumbers w:val="0"/>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0</w:t>
                  </w:r>
                </w:p>
              </w:tc>
              <w:tc>
                <w:tcPr>
                  <w:tcW w:w="628" w:type="pct"/>
                  <w:vAlign w:val="center"/>
                </w:tcPr>
                <w:p w14:paraId="33A78D0F">
                  <w:pPr>
                    <w:keepNext w:val="0"/>
                    <w:keepLines w:val="0"/>
                    <w:widowControl/>
                    <w:suppressLineNumbers w:val="0"/>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-2</w:t>
                  </w:r>
                </w:p>
              </w:tc>
              <w:tc>
                <w:tcPr>
                  <w:tcW w:w="918" w:type="pct"/>
                  <w:vAlign w:val="center"/>
                </w:tcPr>
                <w:p w14:paraId="243A3F6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lang w:val="en-US" w:eastAsia="zh-CN"/>
                    </w:rPr>
                    <w:t>/</w:t>
                  </w:r>
                </w:p>
              </w:tc>
            </w:tr>
          </w:tbl>
          <w:p w14:paraId="5CC49BE0">
            <w:pPr>
              <w:keepNext w:val="0"/>
              <w:keepLines w:val="0"/>
              <w:pageBreakBefore w:val="0"/>
              <w:widowControl w:val="0"/>
              <w:kinsoku/>
              <w:wordWrap/>
              <w:overflowPunct/>
              <w:topLinePunct w:val="0"/>
              <w:autoSpaceDE/>
              <w:autoSpaceDN/>
              <w:bidi w:val="0"/>
              <w:adjustRightInd w:val="0"/>
              <w:snapToGrid w:val="0"/>
              <w:spacing w:line="440" w:lineRule="exact"/>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表2-</w:t>
            </w:r>
            <w:r>
              <w:rPr>
                <w:rFonts w:hint="default" w:ascii="Times New Roman" w:hAnsi="Times New Roman" w:eastAsia="仿宋" w:cs="Times New Roman"/>
                <w:b/>
                <w:bCs/>
                <w:color w:val="auto"/>
                <w:sz w:val="21"/>
                <w:szCs w:val="21"/>
                <w:highlight w:val="none"/>
                <w:lang w:val="en-US" w:eastAsia="zh-CN"/>
              </w:rPr>
              <w:t xml:space="preserve">2 </w:t>
            </w:r>
            <w:r>
              <w:rPr>
                <w:rFonts w:hint="default" w:ascii="Times New Roman" w:hAnsi="Times New Roman" w:eastAsia="仿宋" w:cs="Times New Roman"/>
                <w:b/>
                <w:bCs/>
                <w:color w:val="auto"/>
                <w:sz w:val="21"/>
                <w:szCs w:val="21"/>
                <w:highlight w:val="none"/>
              </w:rPr>
              <w:t>本项目</w:t>
            </w:r>
            <w:r>
              <w:rPr>
                <w:rFonts w:hint="default" w:ascii="Times New Roman" w:hAnsi="Times New Roman" w:eastAsia="仿宋" w:cs="Times New Roman"/>
                <w:b/>
                <w:bCs/>
                <w:color w:val="auto"/>
                <w:sz w:val="21"/>
                <w:szCs w:val="21"/>
                <w:highlight w:val="none"/>
                <w:lang w:eastAsia="zh-CN"/>
              </w:rPr>
              <w:t>典型尺寸、照片</w:t>
            </w:r>
            <w:r>
              <w:rPr>
                <w:rFonts w:hint="default" w:ascii="Times New Roman" w:hAnsi="Times New Roman" w:eastAsia="仿宋" w:cs="Times New Roman"/>
                <w:b/>
                <w:bCs/>
                <w:color w:val="auto"/>
                <w:sz w:val="21"/>
                <w:szCs w:val="21"/>
                <w:highlight w:val="none"/>
              </w:rPr>
              <w:t>一览表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561"/>
              <w:gridCol w:w="2898"/>
              <w:gridCol w:w="2683"/>
            </w:tblGrid>
            <w:tr w14:paraId="683647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4" w:type="dxa"/>
                  <w:vAlign w:val="center"/>
                </w:tcPr>
                <w:p w14:paraId="3B6A6269">
                  <w:pPr>
                    <w:pStyle w:val="54"/>
                    <w:keepNext w:val="0"/>
                    <w:keepLines w:val="0"/>
                    <w:pageBreakBefore w:val="0"/>
                    <w:kinsoku/>
                    <w:wordWrap/>
                    <w:overflowPunct/>
                    <w:topLinePunct w:val="0"/>
                    <w:bidi w:val="0"/>
                    <w:adjustRightInd w:val="0"/>
                    <w:snapToGrid w:val="0"/>
                    <w:ind w:left="0" w:leftChars="0" w:right="0" w:rightChars="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1561" w:type="dxa"/>
                  <w:vAlign w:val="center"/>
                </w:tcPr>
                <w:p w14:paraId="4220DE79">
                  <w:pPr>
                    <w:pStyle w:val="54"/>
                    <w:keepNext w:val="0"/>
                    <w:keepLines w:val="0"/>
                    <w:pageBreakBefore w:val="0"/>
                    <w:kinsoku/>
                    <w:wordWrap/>
                    <w:overflowPunct/>
                    <w:topLinePunct w:val="0"/>
                    <w:bidi w:val="0"/>
                    <w:adjustRightInd w:val="0"/>
                    <w:snapToGrid w:val="0"/>
                    <w:ind w:left="0" w:leftChars="0" w:right="0" w:rightChars="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产品名称</w:t>
                  </w:r>
                </w:p>
              </w:tc>
              <w:tc>
                <w:tcPr>
                  <w:tcW w:w="2898" w:type="dxa"/>
                  <w:vAlign w:val="center"/>
                </w:tcPr>
                <w:p w14:paraId="03DD17B1">
                  <w:pPr>
                    <w:pStyle w:val="54"/>
                    <w:keepNext w:val="0"/>
                    <w:keepLines w:val="0"/>
                    <w:pageBreakBefore w:val="0"/>
                    <w:kinsoku/>
                    <w:wordWrap/>
                    <w:overflowPunct/>
                    <w:topLinePunct w:val="0"/>
                    <w:bidi w:val="0"/>
                    <w:adjustRightInd w:val="0"/>
                    <w:snapToGrid w:val="0"/>
                    <w:ind w:left="0" w:leftChars="0" w:right="0" w:rightChars="0"/>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典型产品尺寸</w:t>
                  </w:r>
                </w:p>
              </w:tc>
              <w:tc>
                <w:tcPr>
                  <w:tcW w:w="2683" w:type="dxa"/>
                  <w:vAlign w:val="center"/>
                </w:tcPr>
                <w:p w14:paraId="231871E1">
                  <w:pPr>
                    <w:pStyle w:val="54"/>
                    <w:keepNext w:val="0"/>
                    <w:keepLines w:val="0"/>
                    <w:pageBreakBefore w:val="0"/>
                    <w:kinsoku/>
                    <w:wordWrap/>
                    <w:overflowPunct/>
                    <w:topLinePunct w:val="0"/>
                    <w:bidi w:val="0"/>
                    <w:adjustRightInd w:val="0"/>
                    <w:snapToGrid w:val="0"/>
                    <w:ind w:left="0" w:leftChars="0" w:right="0" w:rightChars="0"/>
                    <w:rPr>
                      <w:rFonts w:hint="default" w:ascii="Times New Roman" w:hAnsi="Times New Roman" w:eastAsia="仿宋" w:cs="Times New Roman"/>
                      <w:b/>
                      <w:bCs/>
                      <w:color w:val="auto"/>
                      <w:sz w:val="21"/>
                      <w:szCs w:val="21"/>
                      <w:lang w:eastAsia="zh-CN"/>
                    </w:rPr>
                  </w:pPr>
                  <w:r>
                    <w:rPr>
                      <w:rFonts w:hint="eastAsia" w:ascii="Times New Roman" w:hAnsi="Times New Roman" w:eastAsia="仿宋" w:cs="Times New Roman"/>
                      <w:b/>
                      <w:bCs/>
                      <w:color w:val="auto"/>
                      <w:sz w:val="21"/>
                      <w:szCs w:val="21"/>
                      <w:lang w:val="en-US" w:eastAsia="zh-CN"/>
                    </w:rPr>
                    <w:t>产品</w:t>
                  </w:r>
                  <w:r>
                    <w:rPr>
                      <w:rFonts w:hint="default" w:ascii="Times New Roman" w:hAnsi="Times New Roman" w:eastAsia="仿宋" w:cs="Times New Roman"/>
                      <w:b/>
                      <w:bCs/>
                      <w:color w:val="auto"/>
                      <w:sz w:val="21"/>
                      <w:szCs w:val="21"/>
                      <w:lang w:eastAsia="zh-CN"/>
                    </w:rPr>
                    <w:t>照片</w:t>
                  </w:r>
                </w:p>
              </w:tc>
            </w:tr>
            <w:tr w14:paraId="484D61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340" w:hRule="atLeast"/>
                <w:jc w:val="center"/>
              </w:trPr>
              <w:tc>
                <w:tcPr>
                  <w:tcW w:w="864" w:type="dxa"/>
                  <w:vAlign w:val="center"/>
                </w:tcPr>
                <w:p w14:paraId="720FEB09">
                  <w:pPr>
                    <w:pStyle w:val="54"/>
                    <w:keepNext w:val="0"/>
                    <w:keepLines w:val="0"/>
                    <w:pageBreakBefore w:val="0"/>
                    <w:kinsoku/>
                    <w:wordWrap/>
                    <w:overflowPunct/>
                    <w:topLinePunct w:val="0"/>
                    <w:bidi w:val="0"/>
                    <w:adjustRightInd w:val="0"/>
                    <w:snapToGrid w:val="0"/>
                    <w:ind w:left="0" w:leftChars="0" w:right="0" w:right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561" w:type="dxa"/>
                  <w:vAlign w:val="center"/>
                </w:tcPr>
                <w:p w14:paraId="20CFCB2D">
                  <w:pPr>
                    <w:keepNext w:val="0"/>
                    <w:keepLines w:val="0"/>
                    <w:widowControl/>
                    <w:suppressLineNumbers w:val="0"/>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szCs w:val="21"/>
                      <w:highlight w:val="none"/>
                      <w:lang w:val="en-US" w:eastAsia="zh-CN"/>
                    </w:rPr>
                    <w:t>太阳能铸锭炉</w:t>
                  </w:r>
                </w:p>
              </w:tc>
              <w:tc>
                <w:tcPr>
                  <w:tcW w:w="2898" w:type="dxa"/>
                  <w:vAlign w:val="center"/>
                </w:tcPr>
                <w:p w14:paraId="20321282">
                  <w:pPr>
                    <w:keepNext w:val="0"/>
                    <w:keepLines w:val="0"/>
                    <w:widowControl/>
                    <w:suppressLineNumbers w:val="0"/>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450*400*10mm</w:t>
                  </w:r>
                </w:p>
              </w:tc>
              <w:tc>
                <w:tcPr>
                  <w:tcW w:w="2683" w:type="dxa"/>
                  <w:vAlign w:val="center"/>
                </w:tcPr>
                <w:p w14:paraId="264717D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szCs w:val="21"/>
                      <w:highlight w:val="none"/>
                      <w:lang w:val="en-US" w:eastAsia="zh-CN"/>
                    </w:rPr>
                  </w:pPr>
                  <w:r>
                    <w:rPr>
                      <w:color w:val="auto"/>
                    </w:rPr>
                    <w:drawing>
                      <wp:inline distT="0" distB="0" distL="114300" distR="114300">
                        <wp:extent cx="721995" cy="720090"/>
                        <wp:effectExtent l="0" t="0" r="1905"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tretch>
                                  <a:fillRect/>
                                </a:stretch>
                              </pic:blipFill>
                              <pic:spPr>
                                <a:xfrm>
                                  <a:off x="0" y="0"/>
                                  <a:ext cx="721995" cy="720090"/>
                                </a:xfrm>
                                <a:prstGeom prst="rect">
                                  <a:avLst/>
                                </a:prstGeom>
                                <a:noFill/>
                                <a:ln>
                                  <a:noFill/>
                                </a:ln>
                              </pic:spPr>
                            </pic:pic>
                          </a:graphicData>
                        </a:graphic>
                      </wp:inline>
                    </w:drawing>
                  </w:r>
                </w:p>
              </w:tc>
            </w:tr>
          </w:tbl>
          <w:p w14:paraId="063C463C">
            <w:pPr>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注：本次扩建的</w:t>
            </w:r>
            <w:r>
              <w:rPr>
                <w:rFonts w:hint="eastAsia" w:ascii="Times New Roman" w:hAnsi="Times New Roman" w:eastAsia="仿宋" w:cs="Times New Roman"/>
                <w:b w:val="0"/>
                <w:bCs/>
                <w:color w:val="auto"/>
                <w:kern w:val="2"/>
                <w:sz w:val="21"/>
                <w:szCs w:val="21"/>
                <w:lang w:val="en-US" w:eastAsia="zh-CN" w:bidi="ar-SA"/>
              </w:rPr>
              <w:t>太阳能铸锭炉型号及品种与现有项目产品一致。</w:t>
            </w:r>
          </w:p>
          <w:p w14:paraId="3627DBEB">
            <w:pPr>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val="en-US" w:eastAsia="zh-CN"/>
              </w:rPr>
              <w:t>3</w:t>
            </w:r>
            <w:r>
              <w:rPr>
                <w:rFonts w:hint="default" w:ascii="Times New Roman" w:hAnsi="Times New Roman" w:eastAsia="仿宋" w:cs="Times New Roman"/>
                <w:b/>
                <w:color w:val="auto"/>
                <w:sz w:val="24"/>
              </w:rPr>
              <w:t>、原辅材料</w:t>
            </w:r>
          </w:p>
          <w:p w14:paraId="622C266A">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kern w:val="0"/>
                <w:sz w:val="24"/>
              </w:rPr>
              <w:t>本项目建成后全厂原辅料消耗情况见下表</w:t>
            </w:r>
            <w:r>
              <w:rPr>
                <w:rFonts w:hint="default" w:ascii="Times New Roman" w:hAnsi="Times New Roman" w:eastAsia="仿宋" w:cs="Times New Roman"/>
                <w:color w:val="auto"/>
                <w:sz w:val="24"/>
              </w:rPr>
              <w:t>。</w:t>
            </w:r>
          </w:p>
          <w:p w14:paraId="44825B4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表2-</w:t>
            </w:r>
            <w:r>
              <w:rPr>
                <w:rFonts w:hint="default" w:ascii="Times New Roman" w:hAnsi="Times New Roman" w:eastAsia="仿宋" w:cs="Times New Roman"/>
                <w:b/>
                <w:bCs/>
                <w:color w:val="auto"/>
                <w:sz w:val="21"/>
                <w:szCs w:val="21"/>
                <w:highlight w:val="none"/>
                <w:lang w:val="en-US" w:eastAsia="zh-CN"/>
              </w:rPr>
              <w:t>3</w:t>
            </w:r>
            <w:r>
              <w:rPr>
                <w:rFonts w:hint="default" w:ascii="Times New Roman" w:hAnsi="Times New Roman" w:eastAsia="仿宋" w:cs="Times New Roman"/>
                <w:b/>
                <w:bCs/>
                <w:color w:val="auto"/>
                <w:sz w:val="21"/>
                <w:szCs w:val="21"/>
                <w:highlight w:val="none"/>
              </w:rPr>
              <w:t xml:space="preserve"> 本项目建成后全厂原辅料消耗情况一览表</w:t>
            </w:r>
          </w:p>
          <w:tbl>
            <w:tblPr>
              <w:tblStyle w:val="27"/>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554"/>
              <w:gridCol w:w="1867"/>
              <w:gridCol w:w="996"/>
              <w:gridCol w:w="850"/>
              <w:gridCol w:w="1016"/>
              <w:gridCol w:w="699"/>
              <w:gridCol w:w="1008"/>
              <w:gridCol w:w="1009"/>
            </w:tblGrid>
            <w:tr w14:paraId="5BC8A9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Merge w:val="restart"/>
                  <w:vAlign w:val="center"/>
                </w:tcPr>
                <w:p w14:paraId="4BE444A2">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名称</w:t>
                  </w:r>
                </w:p>
              </w:tc>
              <w:tc>
                <w:tcPr>
                  <w:tcW w:w="1167" w:type="pct"/>
                  <w:vMerge w:val="restart"/>
                  <w:vAlign w:val="center"/>
                </w:tcPr>
                <w:p w14:paraId="4C399070">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规格、成分</w:t>
                  </w:r>
                </w:p>
              </w:tc>
              <w:tc>
                <w:tcPr>
                  <w:tcW w:w="1788" w:type="pct"/>
                  <w:gridSpan w:val="3"/>
                  <w:tcBorders>
                    <w:bottom w:val="single" w:color="auto" w:sz="4" w:space="0"/>
                  </w:tcBorders>
                  <w:vAlign w:val="center"/>
                </w:tcPr>
                <w:p w14:paraId="67B55180">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消耗量（</w:t>
                  </w:r>
                  <w:r>
                    <w:rPr>
                      <w:rFonts w:hint="default" w:ascii="Times New Roman" w:hAnsi="Times New Roman" w:eastAsia="仿宋" w:cs="Times New Roman"/>
                      <w:b/>
                      <w:bCs/>
                      <w:color w:val="auto"/>
                      <w:szCs w:val="21"/>
                      <w:lang w:val="en-US" w:eastAsia="zh-CN"/>
                    </w:rPr>
                    <w:t>t</w:t>
                  </w:r>
                  <w:r>
                    <w:rPr>
                      <w:rFonts w:hint="default" w:ascii="Times New Roman" w:hAnsi="Times New Roman" w:eastAsia="仿宋" w:cs="Times New Roman"/>
                      <w:b/>
                      <w:bCs/>
                      <w:color w:val="auto"/>
                      <w:szCs w:val="21"/>
                    </w:rPr>
                    <w:t>/a）</w:t>
                  </w:r>
                </w:p>
              </w:tc>
              <w:tc>
                <w:tcPr>
                  <w:tcW w:w="436" w:type="pct"/>
                  <w:vMerge w:val="restart"/>
                  <w:vAlign w:val="center"/>
                </w:tcPr>
                <w:p w14:paraId="56954D6F">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rPr>
                    <w:t>最大储量</w:t>
                  </w:r>
                </w:p>
              </w:tc>
              <w:tc>
                <w:tcPr>
                  <w:tcW w:w="630" w:type="pct"/>
                  <w:vMerge w:val="restart"/>
                  <w:vAlign w:val="center"/>
                </w:tcPr>
                <w:p w14:paraId="61976142">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eastAsia="zh-CN"/>
                    </w:rPr>
                    <w:t>包装规格</w:t>
                  </w:r>
                </w:p>
              </w:tc>
              <w:tc>
                <w:tcPr>
                  <w:tcW w:w="630" w:type="pct"/>
                  <w:vMerge w:val="restart"/>
                  <w:vAlign w:val="center"/>
                </w:tcPr>
                <w:p w14:paraId="5B9DA321">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来源及运输方式</w:t>
                  </w:r>
                </w:p>
              </w:tc>
            </w:tr>
            <w:tr w14:paraId="49174F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Merge w:val="continue"/>
                  <w:vAlign w:val="center"/>
                </w:tcPr>
                <w:p w14:paraId="4BD808A3">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p>
              </w:tc>
              <w:tc>
                <w:tcPr>
                  <w:tcW w:w="1167" w:type="pct"/>
                  <w:vMerge w:val="continue"/>
                  <w:tcBorders>
                    <w:bottom w:val="single" w:color="auto" w:sz="4" w:space="0"/>
                  </w:tcBorders>
                  <w:vAlign w:val="center"/>
                </w:tcPr>
                <w:p w14:paraId="2C657343">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p>
              </w:tc>
              <w:tc>
                <w:tcPr>
                  <w:tcW w:w="622" w:type="pct"/>
                  <w:tcBorders>
                    <w:top w:val="single" w:color="auto" w:sz="4" w:space="0"/>
                    <w:bottom w:val="single" w:color="auto" w:sz="4" w:space="0"/>
                    <w:right w:val="single" w:color="auto" w:sz="4" w:space="0"/>
                  </w:tcBorders>
                  <w:vAlign w:val="center"/>
                </w:tcPr>
                <w:p w14:paraId="0E2CB1B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扩建前</w:t>
                  </w:r>
                </w:p>
              </w:tc>
              <w:tc>
                <w:tcPr>
                  <w:tcW w:w="531" w:type="pct"/>
                  <w:tcBorders>
                    <w:top w:val="single" w:color="auto" w:sz="4" w:space="0"/>
                    <w:bottom w:val="single" w:color="auto" w:sz="4" w:space="0"/>
                    <w:right w:val="single" w:color="auto" w:sz="4" w:space="0"/>
                  </w:tcBorders>
                  <w:vAlign w:val="center"/>
                </w:tcPr>
                <w:p w14:paraId="4325DC4E">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扩建后</w:t>
                  </w:r>
                </w:p>
              </w:tc>
              <w:tc>
                <w:tcPr>
                  <w:tcW w:w="635" w:type="pct"/>
                  <w:tcBorders>
                    <w:top w:val="single" w:color="auto" w:sz="4" w:space="0"/>
                    <w:bottom w:val="single" w:color="auto" w:sz="4" w:space="0"/>
                    <w:right w:val="single" w:color="auto" w:sz="4" w:space="0"/>
                  </w:tcBorders>
                  <w:vAlign w:val="center"/>
                </w:tcPr>
                <w:p w14:paraId="6FF6605A">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变化量</w:t>
                  </w:r>
                </w:p>
              </w:tc>
              <w:tc>
                <w:tcPr>
                  <w:tcW w:w="436" w:type="pct"/>
                  <w:vMerge w:val="continue"/>
                  <w:vAlign w:val="center"/>
                </w:tcPr>
                <w:p w14:paraId="77ACBE65">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p>
              </w:tc>
              <w:tc>
                <w:tcPr>
                  <w:tcW w:w="630" w:type="pct"/>
                  <w:vMerge w:val="continue"/>
                  <w:vAlign w:val="center"/>
                </w:tcPr>
                <w:p w14:paraId="6319952B">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p>
              </w:tc>
              <w:tc>
                <w:tcPr>
                  <w:tcW w:w="630" w:type="pct"/>
                  <w:vMerge w:val="continue"/>
                  <w:vAlign w:val="center"/>
                </w:tcPr>
                <w:p w14:paraId="18210C7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b/>
                      <w:bCs/>
                      <w:color w:val="auto"/>
                      <w:szCs w:val="21"/>
                    </w:rPr>
                  </w:pPr>
                </w:p>
              </w:tc>
            </w:tr>
            <w:tr w14:paraId="1F82F8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01C93098">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不锈钢板</w:t>
                  </w:r>
                </w:p>
              </w:tc>
              <w:tc>
                <w:tcPr>
                  <w:tcW w:w="1167" w:type="pct"/>
                  <w:tcBorders>
                    <w:top w:val="single" w:color="auto" w:sz="4" w:space="0"/>
                  </w:tcBorders>
                  <w:vAlign w:val="center"/>
                </w:tcPr>
                <w:p w14:paraId="66A2F630">
                  <w:pPr>
                    <w:keepNext w:val="0"/>
                    <w:keepLines w:val="0"/>
                    <w:pageBreakBefore w:val="0"/>
                    <w:widowControl/>
                    <w:kinsoku/>
                    <w:wordWrap/>
                    <w:overflowPunct/>
                    <w:topLinePunct w:val="0"/>
                    <w:autoSpaceDE/>
                    <w:autoSpaceDN/>
                    <w:bidi w:val="0"/>
                    <w:adjustRightInd w:val="0"/>
                    <w:snapToGrid w:val="0"/>
                    <w:ind w:left="0" w:right="0"/>
                    <w:jc w:val="both"/>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304</w:t>
                  </w:r>
                  <w:r>
                    <w:rPr>
                      <w:rFonts w:hint="eastAsia" w:ascii="Times New Roman" w:hAnsi="Times New Roman" w:eastAsia="仿宋" w:cs="Times New Roman"/>
                      <w:color w:val="auto"/>
                      <w:kern w:val="2"/>
                      <w:sz w:val="21"/>
                      <w:szCs w:val="21"/>
                      <w:lang w:val="en-US" w:eastAsia="zh-CN" w:bidi="ar-SA"/>
                    </w:rPr>
                    <w:t>，</w:t>
                  </w:r>
                  <w:r>
                    <w:rPr>
                      <w:rFonts w:hint="eastAsia" w:eastAsia="仿宋" w:cs="Times New Roman"/>
                      <w:color w:val="auto"/>
                      <w:kern w:val="2"/>
                      <w:sz w:val="21"/>
                      <w:szCs w:val="21"/>
                      <w:lang w:val="en-US" w:eastAsia="zh-CN" w:bidi="ar-SA"/>
                    </w:rPr>
                    <w:t>Fe60-72</w:t>
                  </w:r>
                  <w:r>
                    <w:rPr>
                      <w:rFonts w:hint="default" w:ascii="Times New Roman" w:hAnsi="Times New Roman" w:eastAsia="仿宋" w:cs="Times New Roman"/>
                      <w:color w:val="auto"/>
                      <w:kern w:val="2"/>
                      <w:sz w:val="21"/>
                      <w:szCs w:val="21"/>
                      <w:lang w:val="en-US" w:eastAsia="zh-CN" w:bidi="ar-SA"/>
                    </w:rPr>
                    <w:t>%</w:t>
                  </w:r>
                  <w:r>
                    <w:rPr>
                      <w:rFonts w:hint="eastAsia"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C0.03-0.08%</w:t>
                  </w:r>
                  <w:r>
                    <w:rPr>
                      <w:rFonts w:hint="eastAsia"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Si</w:t>
                  </w:r>
                  <w:r>
                    <w:rPr>
                      <w:rFonts w:hint="eastAsia" w:eastAsia="仿宋" w:cs="Times New Roman"/>
                      <w:color w:val="auto"/>
                      <w:kern w:val="2"/>
                      <w:sz w:val="21"/>
                      <w:szCs w:val="21"/>
                      <w:lang w:val="en-US" w:eastAsia="zh-CN" w:bidi="ar-SA"/>
                    </w:rPr>
                    <w:t>1</w:t>
                  </w:r>
                  <w:r>
                    <w:rPr>
                      <w:rFonts w:hint="default" w:ascii="Times New Roman" w:hAnsi="Times New Roman" w:eastAsia="仿宋" w:cs="Times New Roman"/>
                      <w:color w:val="auto"/>
                      <w:kern w:val="2"/>
                      <w:sz w:val="21"/>
                      <w:szCs w:val="21"/>
                      <w:lang w:val="en-US" w:eastAsia="zh-CN" w:bidi="ar-SA"/>
                    </w:rPr>
                    <w:t>%</w:t>
                  </w:r>
                  <w:r>
                    <w:rPr>
                      <w:rFonts w:hint="eastAsia"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Mn2%</w:t>
                  </w:r>
                  <w:r>
                    <w:rPr>
                      <w:rFonts w:hint="eastAsia"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S0.03%</w:t>
                  </w:r>
                  <w:r>
                    <w:rPr>
                      <w:rFonts w:hint="eastAsia"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C</w:t>
                  </w:r>
                  <w:r>
                    <w:rPr>
                      <w:rFonts w:hint="eastAsia" w:eastAsia="仿宋" w:cs="Times New Roman"/>
                      <w:color w:val="auto"/>
                      <w:kern w:val="2"/>
                      <w:sz w:val="21"/>
                      <w:szCs w:val="21"/>
                      <w:lang w:val="en-US" w:eastAsia="zh-CN" w:bidi="ar-SA"/>
                    </w:rPr>
                    <w:t>r</w:t>
                  </w:r>
                  <w:r>
                    <w:rPr>
                      <w:rFonts w:hint="default" w:ascii="Times New Roman" w:hAnsi="Times New Roman" w:eastAsia="仿宋" w:cs="Times New Roman"/>
                      <w:color w:val="auto"/>
                      <w:kern w:val="2"/>
                      <w:sz w:val="21"/>
                      <w:szCs w:val="21"/>
                      <w:lang w:val="en-US" w:eastAsia="zh-CN" w:bidi="ar-SA"/>
                    </w:rPr>
                    <w:t>18-20%</w:t>
                  </w:r>
                  <w:r>
                    <w:rPr>
                      <w:rFonts w:hint="eastAsia"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Ni8-11%。</w:t>
                  </w:r>
                </w:p>
              </w:tc>
              <w:tc>
                <w:tcPr>
                  <w:tcW w:w="622" w:type="pct"/>
                  <w:tcBorders>
                    <w:top w:val="single" w:color="auto" w:sz="4" w:space="0"/>
                  </w:tcBorders>
                  <w:vAlign w:val="center"/>
                </w:tcPr>
                <w:p w14:paraId="751355E1">
                  <w:pPr>
                    <w:adjustRightInd w:val="0"/>
                    <w:snapToGrid w:val="0"/>
                    <w:ind w:firstLine="12" w:firstLineChars="6"/>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980</w:t>
                  </w:r>
                </w:p>
              </w:tc>
              <w:tc>
                <w:tcPr>
                  <w:tcW w:w="531" w:type="pct"/>
                  <w:tcBorders>
                    <w:top w:val="single" w:color="auto" w:sz="4" w:space="0"/>
                  </w:tcBorders>
                  <w:vAlign w:val="center"/>
                </w:tcPr>
                <w:p w14:paraId="7268841F">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8000</w:t>
                  </w:r>
                </w:p>
              </w:tc>
              <w:tc>
                <w:tcPr>
                  <w:tcW w:w="635" w:type="pct"/>
                  <w:tcBorders>
                    <w:top w:val="single" w:color="auto" w:sz="4" w:space="0"/>
                  </w:tcBorders>
                  <w:vAlign w:val="center"/>
                </w:tcPr>
                <w:p w14:paraId="085EA830">
                  <w:pPr>
                    <w:keepNext w:val="0"/>
                    <w:keepLines w:val="0"/>
                    <w:pageBreakBefore w:val="0"/>
                    <w:widowControl/>
                    <w:suppressLineNumbers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+7020</w:t>
                  </w:r>
                </w:p>
              </w:tc>
              <w:tc>
                <w:tcPr>
                  <w:tcW w:w="436" w:type="pct"/>
                  <w:vAlign w:val="center"/>
                </w:tcPr>
                <w:p w14:paraId="505BDE19">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500</w:t>
                  </w:r>
                  <w:r>
                    <w:rPr>
                      <w:rFonts w:hint="default" w:ascii="Times New Roman" w:hAnsi="Times New Roman" w:eastAsia="仿宋" w:cs="Times New Roman"/>
                      <w:color w:val="auto"/>
                      <w:szCs w:val="21"/>
                    </w:rPr>
                    <w:t>t</w:t>
                  </w:r>
                </w:p>
              </w:tc>
              <w:tc>
                <w:tcPr>
                  <w:tcW w:w="630" w:type="pct"/>
                  <w:vAlign w:val="center"/>
                </w:tcPr>
                <w:p w14:paraId="28F10030">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堆放</w:t>
                  </w:r>
                </w:p>
              </w:tc>
              <w:tc>
                <w:tcPr>
                  <w:tcW w:w="630" w:type="pct"/>
                  <w:vAlign w:val="center"/>
                </w:tcPr>
                <w:p w14:paraId="167FA70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国内汽运</w:t>
                  </w:r>
                </w:p>
              </w:tc>
            </w:tr>
            <w:tr w14:paraId="487487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183D368A">
                  <w:pPr>
                    <w:widowControl/>
                    <w:adjustRightInd w:val="0"/>
                    <w:snapToGrid w:val="0"/>
                    <w:jc w:val="center"/>
                    <w:textAlignment w:val="bottom"/>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角钢</w:t>
                  </w:r>
                </w:p>
              </w:tc>
              <w:tc>
                <w:tcPr>
                  <w:tcW w:w="1167" w:type="pct"/>
                  <w:vAlign w:val="center"/>
                </w:tcPr>
                <w:p w14:paraId="690E58CC">
                  <w:pPr>
                    <w:adjustRightInd w:val="0"/>
                    <w:snapToGrid w:val="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lang w:val="en-US" w:eastAsia="zh-CN"/>
                    </w:rPr>
                    <w:t>/</w:t>
                  </w:r>
                </w:p>
              </w:tc>
              <w:tc>
                <w:tcPr>
                  <w:tcW w:w="622" w:type="pct"/>
                  <w:vAlign w:val="center"/>
                </w:tcPr>
                <w:p w14:paraId="5DFDE34F">
                  <w:pPr>
                    <w:adjustRightInd w:val="0"/>
                    <w:snapToGrid w:val="0"/>
                    <w:ind w:firstLine="12" w:firstLineChars="6"/>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w:t>
                  </w:r>
                </w:p>
              </w:tc>
              <w:tc>
                <w:tcPr>
                  <w:tcW w:w="531" w:type="pct"/>
                  <w:vAlign w:val="center"/>
                </w:tcPr>
                <w:p w14:paraId="2C81AD96">
                  <w:pPr>
                    <w:adjustRightInd w:val="0"/>
                    <w:snapToGrid w:val="0"/>
                    <w:ind w:firstLine="12" w:firstLineChars="6"/>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w:t>
                  </w:r>
                </w:p>
              </w:tc>
              <w:tc>
                <w:tcPr>
                  <w:tcW w:w="635" w:type="pct"/>
                  <w:vAlign w:val="center"/>
                </w:tcPr>
                <w:p w14:paraId="652E6077">
                  <w:pPr>
                    <w:keepNext w:val="0"/>
                    <w:keepLines w:val="0"/>
                    <w:pageBreakBefore w:val="0"/>
                    <w:widowControl/>
                    <w:suppressLineNumbers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w:t>
                  </w:r>
                </w:p>
              </w:tc>
              <w:tc>
                <w:tcPr>
                  <w:tcW w:w="436" w:type="pct"/>
                  <w:vAlign w:val="center"/>
                </w:tcPr>
                <w:p w14:paraId="6AC3FD3A">
                  <w:pPr>
                    <w:keepNext w:val="0"/>
                    <w:keepLines w:val="0"/>
                    <w:pageBreakBefore w:val="0"/>
                    <w:widowControl/>
                    <w:tabs>
                      <w:tab w:val="left" w:pos="430"/>
                    </w:tabs>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highlight w:val="none"/>
                      <w:lang w:val="en-US" w:eastAsia="zh-CN"/>
                    </w:rPr>
                    <w:t>/</w:t>
                  </w:r>
                </w:p>
              </w:tc>
              <w:tc>
                <w:tcPr>
                  <w:tcW w:w="630" w:type="pct"/>
                  <w:vAlign w:val="center"/>
                </w:tcPr>
                <w:p w14:paraId="3032C5CD">
                  <w:pPr>
                    <w:keepNext w:val="0"/>
                    <w:keepLines w:val="0"/>
                    <w:pageBreakBefore w:val="0"/>
                    <w:widowControl/>
                    <w:tabs>
                      <w:tab w:val="left" w:pos="430"/>
                    </w:tabs>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szCs w:val="21"/>
                      <w:lang w:val="en-US" w:eastAsia="zh-CN"/>
                    </w:rPr>
                    <w:t>堆放</w:t>
                  </w:r>
                </w:p>
              </w:tc>
              <w:tc>
                <w:tcPr>
                  <w:tcW w:w="630" w:type="pct"/>
                  <w:vAlign w:val="center"/>
                </w:tcPr>
                <w:p w14:paraId="16FBB34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szCs w:val="21"/>
                    </w:rPr>
                    <w:t>国内汽运</w:t>
                  </w:r>
                </w:p>
              </w:tc>
            </w:tr>
            <w:tr w14:paraId="4EC9FF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2F276C4B">
                  <w:pPr>
                    <w:widowControl/>
                    <w:adjustRightInd w:val="0"/>
                    <w:snapToGrid w:val="0"/>
                    <w:jc w:val="center"/>
                    <w:textAlignment w:val="bottom"/>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圆钢</w:t>
                  </w:r>
                </w:p>
              </w:tc>
              <w:tc>
                <w:tcPr>
                  <w:tcW w:w="1167" w:type="pct"/>
                  <w:vAlign w:val="center"/>
                </w:tcPr>
                <w:p w14:paraId="6FFE3F6F">
                  <w:pPr>
                    <w:adjustRightInd w:val="0"/>
                    <w:snapToGrid w:val="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lang w:val="en-US" w:eastAsia="zh-CN"/>
                    </w:rPr>
                    <w:t>/</w:t>
                  </w:r>
                </w:p>
              </w:tc>
              <w:tc>
                <w:tcPr>
                  <w:tcW w:w="622" w:type="pct"/>
                  <w:vAlign w:val="center"/>
                </w:tcPr>
                <w:p w14:paraId="728DFDFE">
                  <w:pPr>
                    <w:adjustRightInd w:val="0"/>
                    <w:snapToGrid w:val="0"/>
                    <w:ind w:firstLine="12" w:firstLineChars="6"/>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531" w:type="pct"/>
                  <w:vAlign w:val="center"/>
                </w:tcPr>
                <w:p w14:paraId="18F97999">
                  <w:pPr>
                    <w:adjustRightInd w:val="0"/>
                    <w:snapToGrid w:val="0"/>
                    <w:ind w:firstLine="12" w:firstLineChars="6"/>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w:t>
                  </w:r>
                </w:p>
              </w:tc>
              <w:tc>
                <w:tcPr>
                  <w:tcW w:w="635" w:type="pct"/>
                  <w:vAlign w:val="center"/>
                </w:tcPr>
                <w:p w14:paraId="51B14AC8">
                  <w:pPr>
                    <w:keepNext w:val="0"/>
                    <w:keepLines w:val="0"/>
                    <w:pageBreakBefore w:val="0"/>
                    <w:widowControl/>
                    <w:suppressLineNumbers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436" w:type="pct"/>
                  <w:vAlign w:val="center"/>
                </w:tcPr>
                <w:p w14:paraId="55712A68">
                  <w:pPr>
                    <w:keepNext w:val="0"/>
                    <w:keepLines w:val="0"/>
                    <w:pageBreakBefore w:val="0"/>
                    <w:widowControl/>
                    <w:tabs>
                      <w:tab w:val="left" w:pos="430"/>
                    </w:tabs>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kern w:val="0"/>
                      <w:szCs w:val="21"/>
                      <w:highlight w:val="none"/>
                      <w:lang w:val="en-US" w:eastAsia="zh-CN"/>
                    </w:rPr>
                    <w:t>/</w:t>
                  </w:r>
                </w:p>
              </w:tc>
              <w:tc>
                <w:tcPr>
                  <w:tcW w:w="630" w:type="pct"/>
                  <w:vAlign w:val="center"/>
                </w:tcPr>
                <w:p w14:paraId="5D9809B5">
                  <w:pPr>
                    <w:keepNext w:val="0"/>
                    <w:keepLines w:val="0"/>
                    <w:pageBreakBefore w:val="0"/>
                    <w:widowControl/>
                    <w:tabs>
                      <w:tab w:val="left" w:pos="430"/>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堆放</w:t>
                  </w:r>
                </w:p>
              </w:tc>
              <w:tc>
                <w:tcPr>
                  <w:tcW w:w="630" w:type="pct"/>
                  <w:vAlign w:val="center"/>
                </w:tcPr>
                <w:p w14:paraId="65AE3932">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国内汽运</w:t>
                  </w:r>
                </w:p>
              </w:tc>
            </w:tr>
            <w:tr w14:paraId="4D266F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5471A81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碳钢板</w:t>
                  </w:r>
                </w:p>
              </w:tc>
              <w:tc>
                <w:tcPr>
                  <w:tcW w:w="1167" w:type="pct"/>
                  <w:vAlign w:val="center"/>
                </w:tcPr>
                <w:p w14:paraId="7B380E01">
                  <w:pPr>
                    <w:adjustRightInd w:val="0"/>
                    <w:snapToGrid w:val="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lang w:val="en-US" w:eastAsia="zh-CN"/>
                    </w:rPr>
                    <w:t>/</w:t>
                  </w:r>
                </w:p>
              </w:tc>
              <w:tc>
                <w:tcPr>
                  <w:tcW w:w="622" w:type="pct"/>
                  <w:vAlign w:val="center"/>
                </w:tcPr>
                <w:p w14:paraId="1B99B630">
                  <w:pPr>
                    <w:adjustRightInd w:val="0"/>
                    <w:snapToGrid w:val="0"/>
                    <w:ind w:firstLine="12" w:firstLineChars="6"/>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w:t>
                  </w:r>
                </w:p>
              </w:tc>
              <w:tc>
                <w:tcPr>
                  <w:tcW w:w="531" w:type="pct"/>
                  <w:vAlign w:val="center"/>
                </w:tcPr>
                <w:p w14:paraId="42F2C36B">
                  <w:pPr>
                    <w:adjustRightInd w:val="0"/>
                    <w:snapToGrid w:val="0"/>
                    <w:ind w:firstLine="12" w:firstLineChars="6"/>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1000</w:t>
                  </w:r>
                </w:p>
              </w:tc>
              <w:tc>
                <w:tcPr>
                  <w:tcW w:w="635" w:type="pct"/>
                  <w:vAlign w:val="center"/>
                </w:tcPr>
                <w:p w14:paraId="5D1E4230">
                  <w:pPr>
                    <w:adjustRightInd w:val="0"/>
                    <w:snapToGrid w:val="0"/>
                    <w:ind w:firstLine="12" w:firstLineChars="6"/>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+1000</w:t>
                  </w:r>
                </w:p>
              </w:tc>
              <w:tc>
                <w:tcPr>
                  <w:tcW w:w="436" w:type="pct"/>
                  <w:vAlign w:val="center"/>
                </w:tcPr>
                <w:p w14:paraId="53977A8F">
                  <w:pPr>
                    <w:keepNext w:val="0"/>
                    <w:keepLines w:val="0"/>
                    <w:pageBreakBefore w:val="0"/>
                    <w:widowControl/>
                    <w:tabs>
                      <w:tab w:val="left" w:pos="430"/>
                    </w:tabs>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highlight w:val="none"/>
                      <w:lang w:val="en-US" w:eastAsia="zh-CN"/>
                    </w:rPr>
                    <w:t>100t</w:t>
                  </w:r>
                </w:p>
              </w:tc>
              <w:tc>
                <w:tcPr>
                  <w:tcW w:w="630" w:type="pct"/>
                  <w:vAlign w:val="center"/>
                </w:tcPr>
                <w:p w14:paraId="5DF5A0D4">
                  <w:pPr>
                    <w:keepNext w:val="0"/>
                    <w:keepLines w:val="0"/>
                    <w:pageBreakBefore w:val="0"/>
                    <w:widowControl/>
                    <w:tabs>
                      <w:tab w:val="left" w:pos="430"/>
                    </w:tabs>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szCs w:val="21"/>
                      <w:lang w:val="en-US" w:eastAsia="zh-CN"/>
                    </w:rPr>
                    <w:t>堆放</w:t>
                  </w:r>
                </w:p>
              </w:tc>
              <w:tc>
                <w:tcPr>
                  <w:tcW w:w="630" w:type="pct"/>
                  <w:vAlign w:val="center"/>
                </w:tcPr>
                <w:p w14:paraId="113205F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szCs w:val="21"/>
                    </w:rPr>
                    <w:t>国内汽运</w:t>
                  </w:r>
                </w:p>
              </w:tc>
            </w:tr>
            <w:tr w14:paraId="736059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5310C210">
                  <w:pPr>
                    <w:adjustRightInd w:val="0"/>
                    <w:snapToGrid w:val="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 w:val="21"/>
                      <w:szCs w:val="21"/>
                      <w:lang w:val="en-US" w:eastAsia="zh-CN"/>
                    </w:rPr>
                    <w:t>焊丝</w:t>
                  </w:r>
                </w:p>
              </w:tc>
              <w:tc>
                <w:tcPr>
                  <w:tcW w:w="1167" w:type="pct"/>
                  <w:vAlign w:val="center"/>
                </w:tcPr>
                <w:p w14:paraId="31BE8000">
                  <w:pPr>
                    <w:adjustRightInd w:val="0"/>
                    <w:snapToGrid w:val="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2"/>
                      <w:sz w:val="21"/>
                      <w:szCs w:val="21"/>
                      <w:lang w:val="en-US" w:eastAsia="zh-CN" w:bidi="ar-SA"/>
                    </w:rPr>
                    <w:t>不含铅</w:t>
                  </w:r>
                  <w:r>
                    <w:rPr>
                      <w:rFonts w:hint="eastAsia" w:ascii="Times New Roman" w:hAnsi="Times New Roman" w:eastAsia="仿宋" w:cs="Times New Roman"/>
                      <w:color w:val="auto"/>
                      <w:kern w:val="2"/>
                      <w:sz w:val="21"/>
                      <w:szCs w:val="21"/>
                      <w:lang w:val="en-US" w:eastAsia="zh-CN" w:bidi="ar-SA"/>
                    </w:rPr>
                    <w:t>，主要成分为</w:t>
                  </w:r>
                  <w:r>
                    <w:rPr>
                      <w:rFonts w:hint="default" w:ascii="Times New Roman" w:hAnsi="Times New Roman" w:eastAsia="仿宋" w:cs="Times New Roman"/>
                      <w:color w:val="auto"/>
                      <w:kern w:val="2"/>
                      <w:sz w:val="21"/>
                      <w:szCs w:val="21"/>
                      <w:lang w:val="en-US" w:eastAsia="zh-CN" w:bidi="ar-SA"/>
                    </w:rPr>
                    <w:t>铁、碳、锰、硅、磷等</w:t>
                  </w:r>
                </w:p>
              </w:tc>
              <w:tc>
                <w:tcPr>
                  <w:tcW w:w="622" w:type="pct"/>
                  <w:vAlign w:val="center"/>
                </w:tcPr>
                <w:p w14:paraId="52898B75">
                  <w:pPr>
                    <w:adjustRightInd w:val="0"/>
                    <w:snapToGrid w:val="0"/>
                    <w:ind w:firstLine="12" w:firstLineChars="6"/>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13</w:t>
                  </w:r>
                </w:p>
              </w:tc>
              <w:tc>
                <w:tcPr>
                  <w:tcW w:w="531" w:type="pct"/>
                  <w:vAlign w:val="center"/>
                </w:tcPr>
                <w:p w14:paraId="4455F946">
                  <w:pPr>
                    <w:adjustRightInd w:val="0"/>
                    <w:snapToGrid w:val="0"/>
                    <w:ind w:firstLine="12" w:firstLineChars="6"/>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30</w:t>
                  </w:r>
                </w:p>
              </w:tc>
              <w:tc>
                <w:tcPr>
                  <w:tcW w:w="635" w:type="pct"/>
                  <w:vAlign w:val="center"/>
                </w:tcPr>
                <w:p w14:paraId="0455E9BD">
                  <w:pPr>
                    <w:adjustRightInd w:val="0"/>
                    <w:snapToGrid w:val="0"/>
                    <w:ind w:firstLine="12" w:firstLineChars="6"/>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w:t>
                  </w:r>
                  <w:r>
                    <w:rPr>
                      <w:rFonts w:hint="eastAsia" w:eastAsia="仿宋" w:cs="Times New Roman"/>
                      <w:color w:val="auto"/>
                      <w:sz w:val="21"/>
                      <w:szCs w:val="21"/>
                      <w:lang w:val="en-US" w:eastAsia="zh-CN"/>
                    </w:rPr>
                    <w:t>17</w:t>
                  </w:r>
                </w:p>
              </w:tc>
              <w:tc>
                <w:tcPr>
                  <w:tcW w:w="436" w:type="pct"/>
                  <w:vAlign w:val="center"/>
                </w:tcPr>
                <w:p w14:paraId="2F15208C">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 w:val="21"/>
                      <w:szCs w:val="21"/>
                      <w:highlight w:val="none"/>
                      <w:lang w:val="en-US" w:eastAsia="zh-CN" w:bidi="ar-SA"/>
                    </w:rPr>
                    <w:t>6t</w:t>
                  </w:r>
                </w:p>
              </w:tc>
              <w:tc>
                <w:tcPr>
                  <w:tcW w:w="630" w:type="pct"/>
                  <w:vAlign w:val="center"/>
                </w:tcPr>
                <w:p w14:paraId="75BF820C">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10kg/</w:t>
                  </w:r>
                  <w:r>
                    <w:rPr>
                      <w:rFonts w:hint="default" w:ascii="Times New Roman" w:hAnsi="Times New Roman" w:eastAsia="仿宋" w:cs="Times New Roman"/>
                      <w:color w:val="auto"/>
                      <w:kern w:val="0"/>
                      <w:szCs w:val="21"/>
                      <w:highlight w:val="none"/>
                      <w:lang w:val="en-US" w:eastAsia="zh-CN"/>
                    </w:rPr>
                    <w:t>盒</w:t>
                  </w:r>
                </w:p>
              </w:tc>
              <w:tc>
                <w:tcPr>
                  <w:tcW w:w="630" w:type="pct"/>
                  <w:vAlign w:val="center"/>
                </w:tcPr>
                <w:p w14:paraId="2CBAAE2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Cs w:val="21"/>
                    </w:rPr>
                    <w:t>国内汽运</w:t>
                  </w:r>
                </w:p>
              </w:tc>
            </w:tr>
            <w:tr w14:paraId="473D7C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407714E7">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sz w:val="21"/>
                      <w:szCs w:val="21"/>
                      <w:lang w:val="en-US" w:eastAsia="zh-CN"/>
                    </w:rPr>
                    <w:t>氩气</w:t>
                  </w:r>
                </w:p>
              </w:tc>
              <w:tc>
                <w:tcPr>
                  <w:tcW w:w="1167" w:type="pct"/>
                  <w:vAlign w:val="center"/>
                </w:tcPr>
                <w:p w14:paraId="72E9D81E">
                  <w:pPr>
                    <w:adjustRightInd w:val="0"/>
                    <w:snapToGrid w:val="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lang w:val="en-US" w:eastAsia="zh-CN"/>
                    </w:rPr>
                    <w:t>/</w:t>
                  </w:r>
                </w:p>
              </w:tc>
              <w:tc>
                <w:tcPr>
                  <w:tcW w:w="622" w:type="pct"/>
                  <w:vAlign w:val="center"/>
                </w:tcPr>
                <w:p w14:paraId="385CB8EF">
                  <w:pPr>
                    <w:adjustRightInd w:val="0"/>
                    <w:snapToGrid w:val="0"/>
                    <w:ind w:firstLine="12" w:firstLineChars="6"/>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w:t>
                  </w:r>
                  <w:r>
                    <w:rPr>
                      <w:rFonts w:hint="default" w:ascii="Times New Roman" w:hAnsi="Times New Roman" w:eastAsia="仿宋" w:cs="Times New Roman"/>
                      <w:color w:val="auto"/>
                      <w:sz w:val="21"/>
                      <w:szCs w:val="21"/>
                      <w:lang w:val="en-US" w:eastAsia="zh-CN"/>
                    </w:rPr>
                    <w:t>瓶</w:t>
                  </w:r>
                </w:p>
              </w:tc>
              <w:tc>
                <w:tcPr>
                  <w:tcW w:w="531" w:type="pct"/>
                  <w:vAlign w:val="center"/>
                </w:tcPr>
                <w:p w14:paraId="5D5DF3B6">
                  <w:pPr>
                    <w:adjustRightInd w:val="0"/>
                    <w:snapToGrid w:val="0"/>
                    <w:ind w:firstLine="12" w:firstLineChars="6"/>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450瓶</w:t>
                  </w:r>
                </w:p>
              </w:tc>
              <w:tc>
                <w:tcPr>
                  <w:tcW w:w="635" w:type="pct"/>
                  <w:vAlign w:val="center"/>
                </w:tcPr>
                <w:p w14:paraId="5D389F2A">
                  <w:pPr>
                    <w:adjustRightInd w:val="0"/>
                    <w:snapToGrid w:val="0"/>
                    <w:ind w:firstLine="12" w:firstLineChars="6"/>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+400瓶</w:t>
                  </w:r>
                </w:p>
              </w:tc>
              <w:tc>
                <w:tcPr>
                  <w:tcW w:w="436" w:type="pct"/>
                  <w:vAlign w:val="center"/>
                </w:tcPr>
                <w:p w14:paraId="61201EE7">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kern w:val="0"/>
                      <w:szCs w:val="21"/>
                      <w:highlight w:val="none"/>
                      <w:lang w:val="en-US" w:eastAsia="zh-CN"/>
                    </w:rPr>
                    <w:t>40</w:t>
                  </w:r>
                  <w:r>
                    <w:rPr>
                      <w:rFonts w:hint="default" w:ascii="Times New Roman" w:hAnsi="Times New Roman" w:eastAsia="仿宋" w:cs="Times New Roman"/>
                      <w:color w:val="auto"/>
                      <w:sz w:val="21"/>
                      <w:szCs w:val="21"/>
                      <w:lang w:val="en-US" w:eastAsia="zh-CN"/>
                    </w:rPr>
                    <w:t>瓶</w:t>
                  </w:r>
                </w:p>
              </w:tc>
              <w:tc>
                <w:tcPr>
                  <w:tcW w:w="630" w:type="pct"/>
                  <w:vAlign w:val="center"/>
                </w:tcPr>
                <w:p w14:paraId="0EE0410E">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kern w:val="0"/>
                      <w:szCs w:val="21"/>
                      <w:highlight w:val="none"/>
                      <w:lang w:val="en-US" w:eastAsia="zh-CN"/>
                    </w:rPr>
                    <w:t>40L/瓶</w:t>
                  </w:r>
                </w:p>
              </w:tc>
              <w:tc>
                <w:tcPr>
                  <w:tcW w:w="630" w:type="pct"/>
                  <w:vAlign w:val="center"/>
                </w:tcPr>
                <w:p w14:paraId="076E2372">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szCs w:val="21"/>
                    </w:rPr>
                    <w:t>国内汽运</w:t>
                  </w:r>
                </w:p>
              </w:tc>
            </w:tr>
            <w:tr w14:paraId="0A93FA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6464CF71">
                  <w:pPr>
                    <w:adjustRightInd w:val="0"/>
                    <w:snapToGrid w:val="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lang w:val="en-US" w:eastAsia="zh-CN"/>
                    </w:rPr>
                    <w:t>氧气</w:t>
                  </w:r>
                </w:p>
              </w:tc>
              <w:tc>
                <w:tcPr>
                  <w:tcW w:w="1167" w:type="pct"/>
                  <w:vAlign w:val="center"/>
                </w:tcPr>
                <w:p w14:paraId="23A5AB5D">
                  <w:pPr>
                    <w:adjustRightInd w:val="0"/>
                    <w:snapToGrid w:val="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lang w:val="en-US" w:eastAsia="zh-CN"/>
                    </w:rPr>
                    <w:t>/</w:t>
                  </w:r>
                </w:p>
              </w:tc>
              <w:tc>
                <w:tcPr>
                  <w:tcW w:w="622" w:type="pct"/>
                  <w:vAlign w:val="center"/>
                </w:tcPr>
                <w:p w14:paraId="68AAA8F1">
                  <w:pPr>
                    <w:adjustRightInd w:val="0"/>
                    <w:snapToGrid w:val="0"/>
                    <w:ind w:firstLine="12" w:firstLineChars="6"/>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sz w:val="21"/>
                      <w:szCs w:val="21"/>
                      <w:lang w:val="en-US" w:eastAsia="zh-CN"/>
                    </w:rPr>
                    <w:t>500瓶</w:t>
                  </w:r>
                </w:p>
              </w:tc>
              <w:tc>
                <w:tcPr>
                  <w:tcW w:w="531" w:type="pct"/>
                  <w:vAlign w:val="center"/>
                </w:tcPr>
                <w:p w14:paraId="734095A6">
                  <w:pPr>
                    <w:adjustRightInd w:val="0"/>
                    <w:snapToGrid w:val="0"/>
                    <w:ind w:firstLine="12" w:firstLineChars="6"/>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 w:val="21"/>
                      <w:szCs w:val="21"/>
                      <w:lang w:val="en-US" w:eastAsia="zh-CN"/>
                    </w:rPr>
                    <w:t>4500瓶</w:t>
                  </w:r>
                </w:p>
              </w:tc>
              <w:tc>
                <w:tcPr>
                  <w:tcW w:w="635" w:type="pct"/>
                  <w:vAlign w:val="center"/>
                </w:tcPr>
                <w:p w14:paraId="7F6BC102">
                  <w:pPr>
                    <w:adjustRightInd w:val="0"/>
                    <w:snapToGrid w:val="0"/>
                    <w:ind w:firstLine="12" w:firstLineChars="6"/>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sz w:val="21"/>
                      <w:szCs w:val="21"/>
                      <w:lang w:val="en-US" w:eastAsia="zh-CN"/>
                    </w:rPr>
                    <w:t>+4000瓶</w:t>
                  </w:r>
                </w:p>
              </w:tc>
              <w:tc>
                <w:tcPr>
                  <w:tcW w:w="436" w:type="pct"/>
                  <w:vAlign w:val="center"/>
                </w:tcPr>
                <w:p w14:paraId="138BE5CB">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kern w:val="0"/>
                      <w:szCs w:val="21"/>
                      <w:highlight w:val="none"/>
                      <w:lang w:val="en-US" w:eastAsia="zh-CN"/>
                    </w:rPr>
                    <w:t>100</w:t>
                  </w:r>
                  <w:r>
                    <w:rPr>
                      <w:rFonts w:hint="default" w:ascii="Times New Roman" w:hAnsi="Times New Roman" w:eastAsia="仿宋" w:cs="Times New Roman"/>
                      <w:color w:val="auto"/>
                      <w:sz w:val="21"/>
                      <w:szCs w:val="21"/>
                      <w:lang w:val="en-US" w:eastAsia="zh-CN"/>
                    </w:rPr>
                    <w:t>瓶</w:t>
                  </w:r>
                </w:p>
              </w:tc>
              <w:tc>
                <w:tcPr>
                  <w:tcW w:w="630" w:type="pct"/>
                  <w:vAlign w:val="center"/>
                </w:tcPr>
                <w:p w14:paraId="1BEC9047">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kern w:val="0"/>
                      <w:szCs w:val="21"/>
                      <w:highlight w:val="none"/>
                      <w:lang w:val="en-US" w:eastAsia="zh-CN"/>
                    </w:rPr>
                    <w:t>40L/瓶</w:t>
                  </w:r>
                </w:p>
              </w:tc>
              <w:tc>
                <w:tcPr>
                  <w:tcW w:w="630" w:type="pct"/>
                  <w:vAlign w:val="center"/>
                </w:tcPr>
                <w:p w14:paraId="6CF492D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szCs w:val="21"/>
                    </w:rPr>
                    <w:t>国内汽运</w:t>
                  </w:r>
                </w:p>
              </w:tc>
            </w:tr>
            <w:tr w14:paraId="778FCB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3806B867">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二氧化碳</w:t>
                  </w:r>
                </w:p>
              </w:tc>
              <w:tc>
                <w:tcPr>
                  <w:tcW w:w="1167" w:type="pct"/>
                  <w:vAlign w:val="center"/>
                </w:tcPr>
                <w:p w14:paraId="5874C2E0">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622" w:type="pct"/>
                  <w:vAlign w:val="center"/>
                </w:tcPr>
                <w:p w14:paraId="5FE08CE4">
                  <w:pPr>
                    <w:adjustRightInd w:val="0"/>
                    <w:snapToGrid w:val="0"/>
                    <w:ind w:firstLine="12" w:firstLineChars="6"/>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60瓶</w:t>
                  </w:r>
                </w:p>
              </w:tc>
              <w:tc>
                <w:tcPr>
                  <w:tcW w:w="531" w:type="pct"/>
                  <w:vAlign w:val="center"/>
                </w:tcPr>
                <w:p w14:paraId="3751FE47">
                  <w:pPr>
                    <w:adjustRightInd w:val="0"/>
                    <w:snapToGrid w:val="0"/>
                    <w:ind w:firstLine="12" w:firstLineChars="6"/>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600瓶</w:t>
                  </w:r>
                </w:p>
              </w:tc>
              <w:tc>
                <w:tcPr>
                  <w:tcW w:w="635" w:type="pct"/>
                  <w:vAlign w:val="center"/>
                </w:tcPr>
                <w:p w14:paraId="3BCD9DEB">
                  <w:pPr>
                    <w:adjustRightInd w:val="0"/>
                    <w:snapToGrid w:val="0"/>
                    <w:ind w:firstLine="12" w:firstLineChars="6"/>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+540瓶</w:t>
                  </w:r>
                </w:p>
              </w:tc>
              <w:tc>
                <w:tcPr>
                  <w:tcW w:w="436" w:type="pct"/>
                  <w:vAlign w:val="center"/>
                </w:tcPr>
                <w:p w14:paraId="4430575E">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kern w:val="0"/>
                      <w:szCs w:val="21"/>
                      <w:highlight w:val="none"/>
                      <w:lang w:val="en-US" w:eastAsia="zh-CN"/>
                    </w:rPr>
                    <w:t>60</w:t>
                  </w:r>
                  <w:r>
                    <w:rPr>
                      <w:rFonts w:hint="default" w:ascii="Times New Roman" w:hAnsi="Times New Roman" w:eastAsia="仿宋" w:cs="Times New Roman"/>
                      <w:color w:val="auto"/>
                      <w:sz w:val="21"/>
                      <w:szCs w:val="21"/>
                      <w:lang w:val="en-US" w:eastAsia="zh-CN"/>
                    </w:rPr>
                    <w:t>瓶</w:t>
                  </w:r>
                </w:p>
              </w:tc>
              <w:tc>
                <w:tcPr>
                  <w:tcW w:w="630" w:type="pct"/>
                  <w:vAlign w:val="center"/>
                </w:tcPr>
                <w:p w14:paraId="70ED5C57">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kern w:val="0"/>
                      <w:szCs w:val="21"/>
                      <w:highlight w:val="none"/>
                      <w:lang w:val="en-US" w:eastAsia="zh-CN"/>
                    </w:rPr>
                    <w:t>40L/瓶</w:t>
                  </w:r>
                </w:p>
              </w:tc>
              <w:tc>
                <w:tcPr>
                  <w:tcW w:w="630" w:type="pct"/>
                  <w:vAlign w:val="center"/>
                </w:tcPr>
                <w:p w14:paraId="4876DD1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szCs w:val="21"/>
                    </w:rPr>
                    <w:t>国内汽运</w:t>
                  </w:r>
                </w:p>
              </w:tc>
            </w:tr>
            <w:tr w14:paraId="5E121D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5CD086FB">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配件</w:t>
                  </w:r>
                </w:p>
              </w:tc>
              <w:tc>
                <w:tcPr>
                  <w:tcW w:w="1167" w:type="pct"/>
                  <w:vAlign w:val="center"/>
                </w:tcPr>
                <w:p w14:paraId="6359EFC6">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封头</w:t>
                  </w:r>
                  <w:r>
                    <w:rPr>
                      <w:rFonts w:hint="eastAsia" w:eastAsia="仿宋" w:cs="Times New Roman"/>
                      <w:color w:val="auto"/>
                      <w:sz w:val="21"/>
                      <w:szCs w:val="21"/>
                      <w:lang w:val="en-US" w:eastAsia="zh-CN"/>
                    </w:rPr>
                    <w:t>、</w:t>
                  </w:r>
                  <w:r>
                    <w:rPr>
                      <w:rFonts w:hint="default" w:ascii="Times New Roman" w:hAnsi="Times New Roman" w:eastAsia="仿宋" w:cs="Times New Roman"/>
                      <w:color w:val="auto"/>
                      <w:sz w:val="21"/>
                      <w:lang w:val="en-US" w:eastAsia="zh-CN"/>
                    </w:rPr>
                    <w:t>法兰</w:t>
                  </w:r>
                  <w:r>
                    <w:rPr>
                      <w:rFonts w:hint="eastAsia" w:eastAsia="仿宋" w:cs="Times New Roman"/>
                      <w:color w:val="auto"/>
                      <w:sz w:val="21"/>
                      <w:lang w:val="en-US" w:eastAsia="zh-CN"/>
                    </w:rPr>
                    <w:t>、</w:t>
                  </w:r>
                  <w:r>
                    <w:rPr>
                      <w:rFonts w:hint="eastAsia" w:ascii="Times New Roman" w:hAnsi="Times New Roman" w:eastAsia="仿宋" w:cs="Times New Roman"/>
                      <w:color w:val="auto"/>
                      <w:sz w:val="21"/>
                      <w:szCs w:val="21"/>
                      <w:lang w:val="en-US" w:eastAsia="zh-CN"/>
                    </w:rPr>
                    <w:t>电机、控制器等</w:t>
                  </w:r>
                </w:p>
              </w:tc>
              <w:tc>
                <w:tcPr>
                  <w:tcW w:w="622" w:type="pct"/>
                  <w:vAlign w:val="center"/>
                </w:tcPr>
                <w:p w14:paraId="6166FB1F">
                  <w:pPr>
                    <w:adjustRightInd w:val="0"/>
                    <w:snapToGrid w:val="0"/>
                    <w:ind w:firstLine="12" w:firstLineChars="6"/>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330套</w:t>
                  </w:r>
                </w:p>
              </w:tc>
              <w:tc>
                <w:tcPr>
                  <w:tcW w:w="531" w:type="pct"/>
                  <w:vAlign w:val="center"/>
                </w:tcPr>
                <w:p w14:paraId="1EF0C2A6">
                  <w:pPr>
                    <w:adjustRightInd w:val="0"/>
                    <w:snapToGrid w:val="0"/>
                    <w:ind w:firstLine="12" w:firstLineChars="6"/>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lang w:val="en-US" w:eastAsia="zh-CN"/>
                    </w:rPr>
                    <w:t>3330</w:t>
                  </w:r>
                  <w:r>
                    <w:rPr>
                      <w:rFonts w:hint="default" w:ascii="Times New Roman" w:hAnsi="Times New Roman" w:eastAsia="仿宋" w:cs="Times New Roman"/>
                      <w:color w:val="auto"/>
                      <w:sz w:val="21"/>
                      <w:szCs w:val="21"/>
                      <w:lang w:val="en-US" w:eastAsia="zh-CN"/>
                    </w:rPr>
                    <w:t>套</w:t>
                  </w:r>
                </w:p>
              </w:tc>
              <w:tc>
                <w:tcPr>
                  <w:tcW w:w="635" w:type="pct"/>
                  <w:vAlign w:val="center"/>
                </w:tcPr>
                <w:p w14:paraId="175A783A">
                  <w:pPr>
                    <w:adjustRightInd w:val="0"/>
                    <w:snapToGrid w:val="0"/>
                    <w:ind w:firstLine="12" w:firstLineChars="6"/>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+3000套</w:t>
                  </w:r>
                </w:p>
              </w:tc>
              <w:tc>
                <w:tcPr>
                  <w:tcW w:w="436" w:type="pct"/>
                  <w:vAlign w:val="center"/>
                </w:tcPr>
                <w:p w14:paraId="7C9DEAF9">
                  <w:pPr>
                    <w:keepNext w:val="0"/>
                    <w:keepLines w:val="0"/>
                    <w:pageBreakBefore w:val="0"/>
                    <w:widowControl/>
                    <w:tabs>
                      <w:tab w:val="left" w:pos="430"/>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sz w:val="21"/>
                      <w:szCs w:val="21"/>
                      <w:lang w:val="en-US" w:eastAsia="zh-CN"/>
                    </w:rPr>
                    <w:t>300套</w:t>
                  </w:r>
                </w:p>
              </w:tc>
              <w:tc>
                <w:tcPr>
                  <w:tcW w:w="630" w:type="pct"/>
                  <w:vAlign w:val="center"/>
                </w:tcPr>
                <w:p w14:paraId="2DFA7C83">
                  <w:pPr>
                    <w:keepNext w:val="0"/>
                    <w:keepLines w:val="0"/>
                    <w:pageBreakBefore w:val="0"/>
                    <w:widowControl/>
                    <w:tabs>
                      <w:tab w:val="left" w:pos="430"/>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szCs w:val="21"/>
                      <w:lang w:val="en-US" w:eastAsia="zh-CN"/>
                    </w:rPr>
                    <w:t>堆放</w:t>
                  </w:r>
                </w:p>
              </w:tc>
              <w:tc>
                <w:tcPr>
                  <w:tcW w:w="630" w:type="pct"/>
                  <w:vAlign w:val="center"/>
                </w:tcPr>
                <w:p w14:paraId="706FDA22">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国内汽运</w:t>
                  </w:r>
                </w:p>
              </w:tc>
            </w:tr>
            <w:tr w14:paraId="0B3582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23A9F747">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丙烷</w:t>
                  </w:r>
                </w:p>
              </w:tc>
              <w:tc>
                <w:tcPr>
                  <w:tcW w:w="1167" w:type="pct"/>
                  <w:vAlign w:val="center"/>
                </w:tcPr>
                <w:p w14:paraId="6ED67107">
                  <w:pPr>
                    <w:adjustRightInd w:val="0"/>
                    <w:snapToGrid w:val="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lang w:val="en-US" w:eastAsia="zh-CN"/>
                    </w:rPr>
                    <w:t>/</w:t>
                  </w:r>
                </w:p>
              </w:tc>
              <w:tc>
                <w:tcPr>
                  <w:tcW w:w="622" w:type="pct"/>
                  <w:vAlign w:val="center"/>
                </w:tcPr>
                <w:p w14:paraId="041370A2">
                  <w:pPr>
                    <w:adjustRightInd w:val="0"/>
                    <w:snapToGrid w:val="0"/>
                    <w:ind w:firstLine="12" w:firstLineChars="6"/>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w:t>
                  </w:r>
                </w:p>
              </w:tc>
              <w:tc>
                <w:tcPr>
                  <w:tcW w:w="531" w:type="pct"/>
                  <w:vAlign w:val="center"/>
                </w:tcPr>
                <w:p w14:paraId="0229AFEE">
                  <w:pPr>
                    <w:adjustRightInd w:val="0"/>
                    <w:snapToGrid w:val="0"/>
                    <w:ind w:firstLine="12" w:firstLineChars="6"/>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300瓶</w:t>
                  </w:r>
                </w:p>
              </w:tc>
              <w:tc>
                <w:tcPr>
                  <w:tcW w:w="635" w:type="pct"/>
                  <w:vAlign w:val="center"/>
                </w:tcPr>
                <w:p w14:paraId="7C78C1C7">
                  <w:pPr>
                    <w:adjustRightInd w:val="0"/>
                    <w:snapToGrid w:val="0"/>
                    <w:ind w:firstLine="12" w:firstLineChars="6"/>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+300瓶</w:t>
                  </w:r>
                </w:p>
              </w:tc>
              <w:tc>
                <w:tcPr>
                  <w:tcW w:w="436" w:type="pct"/>
                  <w:vAlign w:val="center"/>
                </w:tcPr>
                <w:p w14:paraId="27FB4EA1">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highlight w:val="none"/>
                      <w:lang w:val="en-US" w:eastAsia="zh-CN"/>
                    </w:rPr>
                    <w:t>0.13t</w:t>
                  </w:r>
                </w:p>
              </w:tc>
              <w:tc>
                <w:tcPr>
                  <w:tcW w:w="630" w:type="pct"/>
                  <w:vAlign w:val="center"/>
                </w:tcPr>
                <w:p w14:paraId="079002ED">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kern w:val="0"/>
                      <w:szCs w:val="21"/>
                      <w:highlight w:val="none"/>
                      <w:lang w:val="en-US" w:eastAsia="zh-CN"/>
                    </w:rPr>
                    <w:t>13kg/</w:t>
                  </w:r>
                  <w:r>
                    <w:rPr>
                      <w:rFonts w:hint="default" w:ascii="Times New Roman" w:hAnsi="Times New Roman" w:eastAsia="仿宋" w:cs="Times New Roman"/>
                      <w:color w:val="auto"/>
                      <w:sz w:val="21"/>
                      <w:szCs w:val="21"/>
                      <w:lang w:val="en-US" w:eastAsia="zh-CN"/>
                    </w:rPr>
                    <w:t>瓶</w:t>
                  </w:r>
                </w:p>
              </w:tc>
              <w:tc>
                <w:tcPr>
                  <w:tcW w:w="630" w:type="pct"/>
                  <w:vAlign w:val="center"/>
                </w:tcPr>
                <w:p w14:paraId="240F513F">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szCs w:val="21"/>
                    </w:rPr>
                    <w:t>国内汽运</w:t>
                  </w:r>
                </w:p>
              </w:tc>
            </w:tr>
            <w:tr w14:paraId="26789F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624A569C">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水性漆</w:t>
                  </w:r>
                </w:p>
              </w:tc>
              <w:tc>
                <w:tcPr>
                  <w:tcW w:w="1167" w:type="pct"/>
                  <w:vAlign w:val="center"/>
                </w:tcPr>
                <w:p w14:paraId="6DC683B9">
                  <w:pPr>
                    <w:adjustRightInd w:val="0"/>
                    <w:snapToGrid w:val="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lang w:val="en-US" w:eastAsia="zh-CN"/>
                    </w:rPr>
                    <w:t>环氧树脂20~25%、滑石粉等填料10~15%、钛白粉等颜料10~15%、水38~41%、丙二醇丁醚3~4%</w:t>
                  </w:r>
                </w:p>
              </w:tc>
              <w:tc>
                <w:tcPr>
                  <w:tcW w:w="622" w:type="pct"/>
                  <w:vAlign w:val="center"/>
                </w:tcPr>
                <w:p w14:paraId="3AE24C7E">
                  <w:pPr>
                    <w:adjustRightInd w:val="0"/>
                    <w:snapToGrid w:val="0"/>
                    <w:ind w:firstLine="12" w:firstLineChars="6"/>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531" w:type="pct"/>
                  <w:vAlign w:val="center"/>
                </w:tcPr>
                <w:p w14:paraId="637E79FB">
                  <w:pPr>
                    <w:adjustRightInd w:val="0"/>
                    <w:snapToGrid w:val="0"/>
                    <w:ind w:firstLine="12" w:firstLineChars="6"/>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12</w:t>
                  </w:r>
                </w:p>
              </w:tc>
              <w:tc>
                <w:tcPr>
                  <w:tcW w:w="635" w:type="pct"/>
                  <w:vAlign w:val="center"/>
                </w:tcPr>
                <w:p w14:paraId="36CD5A12">
                  <w:pPr>
                    <w:adjustRightInd w:val="0"/>
                    <w:snapToGrid w:val="0"/>
                    <w:ind w:firstLine="12" w:firstLineChars="6"/>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+12</w:t>
                  </w:r>
                </w:p>
              </w:tc>
              <w:tc>
                <w:tcPr>
                  <w:tcW w:w="436" w:type="pct"/>
                  <w:vAlign w:val="center"/>
                </w:tcPr>
                <w:p w14:paraId="202052E7">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Cs w:val="21"/>
                      <w:highlight w:val="none"/>
                      <w:lang w:val="en-US" w:eastAsia="zh-CN"/>
                    </w:rPr>
                    <w:t>1t</w:t>
                  </w:r>
                </w:p>
              </w:tc>
              <w:tc>
                <w:tcPr>
                  <w:tcW w:w="630" w:type="pct"/>
                  <w:vAlign w:val="center"/>
                </w:tcPr>
                <w:p w14:paraId="2F35BBE1">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kern w:val="0"/>
                      <w:szCs w:val="21"/>
                      <w:highlight w:val="none"/>
                      <w:lang w:val="en-US" w:eastAsia="zh-CN"/>
                    </w:rPr>
                    <w:t>20kg/</w:t>
                  </w:r>
                  <w:r>
                    <w:rPr>
                      <w:rFonts w:hint="default" w:ascii="Times New Roman" w:hAnsi="Times New Roman" w:eastAsia="仿宋" w:cs="Times New Roman"/>
                      <w:color w:val="auto"/>
                      <w:kern w:val="0"/>
                      <w:sz w:val="21"/>
                      <w:szCs w:val="21"/>
                      <w:highlight w:val="none"/>
                      <w:lang w:val="en-US" w:eastAsia="zh-CN" w:bidi="ar-SA"/>
                    </w:rPr>
                    <w:t>桶</w:t>
                  </w:r>
                </w:p>
              </w:tc>
              <w:tc>
                <w:tcPr>
                  <w:tcW w:w="630" w:type="pct"/>
                  <w:vAlign w:val="center"/>
                </w:tcPr>
                <w:p w14:paraId="2B39CF5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szCs w:val="21"/>
                    </w:rPr>
                    <w:t>国内汽运</w:t>
                  </w:r>
                </w:p>
              </w:tc>
            </w:tr>
            <w:tr w14:paraId="1647D5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241F9634">
                  <w:pPr>
                    <w:snapToGrid w:val="0"/>
                    <w:spacing w:line="240" w:lineRule="auto"/>
                    <w:ind w:firstLine="0" w:firstLineChars="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lang w:val="en-US" w:eastAsia="zh-CN"/>
                    </w:rPr>
                    <w:t>玻璃砂</w:t>
                  </w:r>
                </w:p>
              </w:tc>
              <w:tc>
                <w:tcPr>
                  <w:tcW w:w="1167" w:type="pct"/>
                  <w:vAlign w:val="center"/>
                </w:tcPr>
                <w:p w14:paraId="28738CF3">
                  <w:pPr>
                    <w:adjustRightInd w:val="0"/>
                    <w:snapToGrid w:val="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lang w:val="en-US" w:eastAsia="zh-CN"/>
                    </w:rPr>
                    <w:t>/</w:t>
                  </w:r>
                </w:p>
              </w:tc>
              <w:tc>
                <w:tcPr>
                  <w:tcW w:w="622" w:type="pct"/>
                  <w:vAlign w:val="center"/>
                </w:tcPr>
                <w:p w14:paraId="75D2AD3C">
                  <w:pPr>
                    <w:adjustRightInd w:val="0"/>
                    <w:snapToGrid w:val="0"/>
                    <w:ind w:firstLine="12" w:firstLineChars="6"/>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0</w:t>
                  </w:r>
                </w:p>
              </w:tc>
              <w:tc>
                <w:tcPr>
                  <w:tcW w:w="531" w:type="pct"/>
                  <w:vAlign w:val="center"/>
                </w:tcPr>
                <w:p w14:paraId="4B86D476">
                  <w:pPr>
                    <w:adjustRightInd w:val="0"/>
                    <w:snapToGrid w:val="0"/>
                    <w:ind w:firstLine="12" w:firstLineChars="6"/>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sz w:val="21"/>
                      <w:szCs w:val="21"/>
                      <w:lang w:val="en-US" w:eastAsia="zh-CN"/>
                    </w:rPr>
                    <w:t>24</w:t>
                  </w:r>
                </w:p>
              </w:tc>
              <w:tc>
                <w:tcPr>
                  <w:tcW w:w="635" w:type="pct"/>
                  <w:vAlign w:val="center"/>
                </w:tcPr>
                <w:p w14:paraId="4E403D1C">
                  <w:pPr>
                    <w:adjustRightInd w:val="0"/>
                    <w:snapToGrid w:val="0"/>
                    <w:ind w:firstLine="12" w:firstLineChars="6"/>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sz w:val="21"/>
                      <w:szCs w:val="21"/>
                      <w:lang w:val="en-US" w:eastAsia="zh-CN"/>
                    </w:rPr>
                    <w:t>+24</w:t>
                  </w:r>
                </w:p>
              </w:tc>
              <w:tc>
                <w:tcPr>
                  <w:tcW w:w="436" w:type="pct"/>
                  <w:vAlign w:val="center"/>
                </w:tcPr>
                <w:p w14:paraId="655877E4">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2t</w:t>
                  </w:r>
                </w:p>
              </w:tc>
              <w:tc>
                <w:tcPr>
                  <w:tcW w:w="630" w:type="pct"/>
                  <w:vAlign w:val="center"/>
                </w:tcPr>
                <w:p w14:paraId="646CCB62">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kern w:val="0"/>
                      <w:szCs w:val="21"/>
                      <w:highlight w:val="none"/>
                      <w:lang w:val="en-US" w:eastAsia="zh-CN"/>
                    </w:rPr>
                    <w:t>25kg/袋</w:t>
                  </w:r>
                </w:p>
              </w:tc>
              <w:tc>
                <w:tcPr>
                  <w:tcW w:w="630" w:type="pct"/>
                  <w:vAlign w:val="center"/>
                </w:tcPr>
                <w:p w14:paraId="5F4B81D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国内汽运</w:t>
                  </w:r>
                </w:p>
              </w:tc>
            </w:tr>
            <w:tr w14:paraId="593115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5A067040">
                  <w:pPr>
                    <w:snapToGrid w:val="0"/>
                    <w:spacing w:line="240" w:lineRule="auto"/>
                    <w:ind w:firstLine="0" w:firstLineChars="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切削液</w:t>
                  </w:r>
                </w:p>
              </w:tc>
              <w:tc>
                <w:tcPr>
                  <w:tcW w:w="1167" w:type="pct"/>
                  <w:vAlign w:val="center"/>
                </w:tcPr>
                <w:p w14:paraId="27E6FBFC">
                  <w:pPr>
                    <w:adjustRightInd w:val="0"/>
                    <w:snapToGrid w:val="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lang w:val="en-US" w:eastAsia="zh-CN"/>
                    </w:rPr>
                    <w:t>矿物油、水</w:t>
                  </w:r>
                </w:p>
              </w:tc>
              <w:tc>
                <w:tcPr>
                  <w:tcW w:w="622" w:type="pct"/>
                  <w:vAlign w:val="center"/>
                </w:tcPr>
                <w:p w14:paraId="09C3FCBA">
                  <w:pPr>
                    <w:adjustRightInd w:val="0"/>
                    <w:snapToGrid w:val="0"/>
                    <w:ind w:firstLine="12" w:firstLineChars="6"/>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w:t>
                  </w:r>
                </w:p>
              </w:tc>
              <w:tc>
                <w:tcPr>
                  <w:tcW w:w="531" w:type="pct"/>
                  <w:vAlign w:val="center"/>
                </w:tcPr>
                <w:p w14:paraId="20C40043">
                  <w:pPr>
                    <w:adjustRightInd w:val="0"/>
                    <w:snapToGrid w:val="0"/>
                    <w:ind w:firstLine="12" w:firstLineChars="6"/>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sz w:val="21"/>
                      <w:szCs w:val="21"/>
                      <w:lang w:val="en-US" w:eastAsia="zh-CN"/>
                    </w:rPr>
                    <w:t>2</w:t>
                  </w:r>
                </w:p>
              </w:tc>
              <w:tc>
                <w:tcPr>
                  <w:tcW w:w="635" w:type="pct"/>
                  <w:vAlign w:val="center"/>
                </w:tcPr>
                <w:p w14:paraId="068065F5">
                  <w:pPr>
                    <w:adjustRightInd w:val="0"/>
                    <w:snapToGrid w:val="0"/>
                    <w:ind w:firstLine="12" w:firstLineChars="6"/>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sz w:val="21"/>
                      <w:szCs w:val="21"/>
                      <w:lang w:val="en-US" w:eastAsia="zh-CN"/>
                    </w:rPr>
                    <w:t>+1</w:t>
                  </w:r>
                </w:p>
              </w:tc>
              <w:tc>
                <w:tcPr>
                  <w:tcW w:w="436" w:type="pct"/>
                  <w:vAlign w:val="center"/>
                </w:tcPr>
                <w:p w14:paraId="62BCED78">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0.34t</w:t>
                  </w:r>
                </w:p>
              </w:tc>
              <w:tc>
                <w:tcPr>
                  <w:tcW w:w="630" w:type="pct"/>
                  <w:vAlign w:val="center"/>
                </w:tcPr>
                <w:p w14:paraId="7E1A846C">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17</w:t>
                  </w:r>
                  <w:r>
                    <w:rPr>
                      <w:rFonts w:hint="default" w:ascii="Times New Roman" w:hAnsi="Times New Roman" w:eastAsia="仿宋" w:cs="Times New Roman"/>
                      <w:color w:val="auto"/>
                      <w:kern w:val="0"/>
                      <w:sz w:val="21"/>
                      <w:szCs w:val="21"/>
                      <w:highlight w:val="none"/>
                      <w:lang w:val="en-US" w:eastAsia="zh-CN" w:bidi="ar-SA"/>
                    </w:rPr>
                    <w:t>0kg/桶</w:t>
                  </w:r>
                </w:p>
              </w:tc>
              <w:tc>
                <w:tcPr>
                  <w:tcW w:w="630" w:type="pct"/>
                  <w:vAlign w:val="center"/>
                </w:tcPr>
                <w:p w14:paraId="3BF8592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国内汽运</w:t>
                  </w:r>
                </w:p>
              </w:tc>
            </w:tr>
            <w:tr w14:paraId="7F6EDE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46" w:type="pct"/>
                  <w:vAlign w:val="center"/>
                </w:tcPr>
                <w:p w14:paraId="00B616D5">
                  <w:pPr>
                    <w:snapToGrid w:val="0"/>
                    <w:spacing w:line="240" w:lineRule="auto"/>
                    <w:ind w:firstLine="0" w:firstLineChars="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机油</w:t>
                  </w:r>
                </w:p>
              </w:tc>
              <w:tc>
                <w:tcPr>
                  <w:tcW w:w="1167" w:type="pct"/>
                  <w:vAlign w:val="center"/>
                </w:tcPr>
                <w:p w14:paraId="38590697">
                  <w:pPr>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lang w:val="en-US" w:eastAsia="zh-CN"/>
                    </w:rPr>
                    <w:t>矿物油</w:t>
                  </w:r>
                </w:p>
              </w:tc>
              <w:tc>
                <w:tcPr>
                  <w:tcW w:w="622" w:type="pct"/>
                  <w:vAlign w:val="center"/>
                </w:tcPr>
                <w:p w14:paraId="3FFB9017">
                  <w:pPr>
                    <w:adjustRightInd w:val="0"/>
                    <w:snapToGrid w:val="0"/>
                    <w:ind w:firstLine="12" w:firstLineChars="6"/>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0</w:t>
                  </w:r>
                </w:p>
              </w:tc>
              <w:tc>
                <w:tcPr>
                  <w:tcW w:w="531" w:type="pct"/>
                  <w:vAlign w:val="center"/>
                </w:tcPr>
                <w:p w14:paraId="118A133E">
                  <w:pPr>
                    <w:adjustRightInd w:val="0"/>
                    <w:snapToGrid w:val="0"/>
                    <w:ind w:firstLine="12" w:firstLineChars="6"/>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sz w:val="21"/>
                      <w:szCs w:val="21"/>
                      <w:lang w:val="en-US" w:eastAsia="zh-CN"/>
                    </w:rPr>
                    <w:t>0.5</w:t>
                  </w:r>
                </w:p>
              </w:tc>
              <w:tc>
                <w:tcPr>
                  <w:tcW w:w="635" w:type="pct"/>
                  <w:vAlign w:val="center"/>
                </w:tcPr>
                <w:p w14:paraId="3C5F6A57">
                  <w:pPr>
                    <w:adjustRightInd w:val="0"/>
                    <w:snapToGrid w:val="0"/>
                    <w:ind w:firstLine="12" w:firstLineChars="6"/>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sz w:val="21"/>
                      <w:szCs w:val="21"/>
                      <w:lang w:val="en-US" w:eastAsia="zh-CN"/>
                    </w:rPr>
                    <w:t>+0.5</w:t>
                  </w:r>
                </w:p>
              </w:tc>
              <w:tc>
                <w:tcPr>
                  <w:tcW w:w="436" w:type="pct"/>
                  <w:vAlign w:val="center"/>
                </w:tcPr>
                <w:p w14:paraId="2F13673E">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0.34t</w:t>
                  </w:r>
                </w:p>
              </w:tc>
              <w:tc>
                <w:tcPr>
                  <w:tcW w:w="630" w:type="pct"/>
                  <w:vAlign w:val="center"/>
                </w:tcPr>
                <w:p w14:paraId="409ED792">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17</w:t>
                  </w:r>
                  <w:r>
                    <w:rPr>
                      <w:rFonts w:hint="default" w:ascii="Times New Roman" w:hAnsi="Times New Roman" w:eastAsia="仿宋" w:cs="Times New Roman"/>
                      <w:color w:val="auto"/>
                      <w:kern w:val="0"/>
                      <w:sz w:val="21"/>
                      <w:szCs w:val="21"/>
                      <w:highlight w:val="none"/>
                      <w:lang w:val="en-US" w:eastAsia="zh-CN" w:bidi="ar-SA"/>
                    </w:rPr>
                    <w:t>0kg/桶</w:t>
                  </w:r>
                </w:p>
              </w:tc>
              <w:tc>
                <w:tcPr>
                  <w:tcW w:w="630" w:type="pct"/>
                  <w:vAlign w:val="center"/>
                </w:tcPr>
                <w:p w14:paraId="16030A3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国内汽运</w:t>
                  </w:r>
                </w:p>
              </w:tc>
            </w:tr>
          </w:tbl>
          <w:p w14:paraId="4BF3F4FD">
            <w:pPr>
              <w:keepNext w:val="0"/>
              <w:keepLines w:val="0"/>
              <w:widowControl/>
              <w:suppressLineNumbers w:val="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注：</w:t>
            </w:r>
            <w:r>
              <w:rPr>
                <w:rFonts w:hint="default" w:ascii="Times New Roman" w:hAnsi="Times New Roman" w:eastAsia="仿宋" w:cs="Times New Roman"/>
                <w:color w:val="auto"/>
                <w:sz w:val="21"/>
                <w:szCs w:val="21"/>
                <w:lang w:val="en-US" w:eastAsia="zh-CN"/>
              </w:rPr>
              <w:fldChar w:fldCharType="begin"/>
            </w:r>
            <w:r>
              <w:rPr>
                <w:rFonts w:hint="default" w:ascii="Times New Roman" w:hAnsi="Times New Roman" w:eastAsia="仿宋" w:cs="Times New Roman"/>
                <w:color w:val="auto"/>
                <w:sz w:val="21"/>
                <w:szCs w:val="21"/>
                <w:lang w:val="en-US" w:eastAsia="zh-CN"/>
              </w:rPr>
              <w:instrText xml:space="preserve"> = 1 \* GB3 \* MERGEFORMAT </w:instrText>
            </w:r>
            <w:r>
              <w:rPr>
                <w:rFonts w:hint="default" w:ascii="Times New Roman" w:hAnsi="Times New Roman" w:eastAsia="仿宋" w:cs="Times New Roman"/>
                <w:color w:val="auto"/>
                <w:sz w:val="21"/>
                <w:szCs w:val="21"/>
                <w:lang w:val="en-US" w:eastAsia="zh-CN"/>
              </w:rPr>
              <w:fldChar w:fldCharType="separate"/>
            </w:r>
            <w:r>
              <w:rPr>
                <w:rFonts w:hint="default" w:ascii="Times New Roman" w:hAnsi="Times New Roman" w:eastAsia="仿宋" w:cs="Times New Roman"/>
                <w:color w:val="auto"/>
                <w:sz w:val="21"/>
                <w:szCs w:val="21"/>
                <w:lang w:val="en-US" w:eastAsia="zh-CN"/>
              </w:rPr>
              <w:t>①</w:t>
            </w:r>
            <w:r>
              <w:rPr>
                <w:rFonts w:hint="default" w:ascii="Times New Roman" w:hAnsi="Times New Roman" w:eastAsia="仿宋" w:cs="Times New Roman"/>
                <w:color w:val="auto"/>
                <w:sz w:val="21"/>
                <w:szCs w:val="21"/>
                <w:lang w:val="en-US" w:eastAsia="zh-CN"/>
              </w:rPr>
              <w:fldChar w:fldCharType="end"/>
            </w:r>
            <w:r>
              <w:rPr>
                <w:rFonts w:hint="default" w:ascii="Times New Roman" w:hAnsi="Times New Roman" w:eastAsia="仿宋" w:cs="Times New Roman"/>
                <w:color w:val="auto"/>
                <w:sz w:val="21"/>
                <w:szCs w:val="21"/>
                <w:lang w:val="en-US" w:eastAsia="zh-CN"/>
              </w:rPr>
              <w:t>根据水性漆MSDS，项目水性漆中VOCs约3~4%,本项目取4%，水性漆密度为1.2g/cm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，则水性漆中VOCs含量约48g/L，满足《低挥发性有机化合物含量产品技术要求》（GB/T 38597—2020）中表1中“工业防护涂料-机械设备涂料-工程机械和农业机械涂料”水性漆VOCs含量限值的相关要求（≤250g/L）。</w:t>
            </w:r>
          </w:p>
          <w:p w14:paraId="0B64773C">
            <w:pPr>
              <w:keepNext w:val="0"/>
              <w:keepLines w:val="0"/>
              <w:pageBreakBefore w:val="0"/>
              <w:kinsoku/>
              <w:wordWrap/>
              <w:overflowPunct/>
              <w:topLinePunct w:val="0"/>
              <w:bidi w:val="0"/>
              <w:adjustRightInd w:val="0"/>
              <w:snapToGrid w:val="0"/>
              <w:spacing w:line="500" w:lineRule="exact"/>
              <w:ind w:left="0" w:right="0" w:firstLine="480" w:firstLineChars="20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项目涂料用量核算详见下表。</w:t>
            </w:r>
          </w:p>
          <w:p w14:paraId="16368077">
            <w:pPr>
              <w:keepNext w:val="0"/>
              <w:keepLines w:val="0"/>
              <w:pageBreakBefore w:val="0"/>
              <w:kinsoku/>
              <w:wordWrap/>
              <w:overflowPunct/>
              <w:topLinePunct w:val="0"/>
              <w:bidi w:val="0"/>
              <w:adjustRightInd w:val="0"/>
              <w:snapToGrid w:val="0"/>
              <w:spacing w:line="500" w:lineRule="exact"/>
              <w:ind w:left="0" w:right="0"/>
              <w:jc w:val="center"/>
              <w:rPr>
                <w:rFonts w:hint="default" w:ascii="Times New Roman" w:hAnsi="Times New Roman" w:eastAsia="仿宋" w:cs="Times New Roman"/>
                <w:b/>
                <w:bCs/>
                <w:color w:val="auto"/>
                <w:sz w:val="21"/>
                <w:szCs w:val="21"/>
                <w:highlight w:val="none"/>
                <w:lang w:eastAsia="zh-CN"/>
              </w:rPr>
            </w:pPr>
            <w:r>
              <w:rPr>
                <w:rFonts w:hint="default" w:ascii="Times New Roman" w:hAnsi="Times New Roman" w:eastAsia="仿宋" w:cs="Times New Roman"/>
                <w:b/>
                <w:bCs/>
                <w:color w:val="auto"/>
                <w:sz w:val="21"/>
                <w:szCs w:val="21"/>
                <w:highlight w:val="none"/>
              </w:rPr>
              <w:t>表2-</w:t>
            </w:r>
            <w:r>
              <w:rPr>
                <w:rFonts w:hint="default" w:ascii="Times New Roman" w:hAnsi="Times New Roman" w:eastAsia="仿宋" w:cs="Times New Roman"/>
                <w:b/>
                <w:bCs/>
                <w:color w:val="auto"/>
                <w:sz w:val="21"/>
                <w:szCs w:val="21"/>
                <w:highlight w:val="none"/>
                <w:lang w:val="en-US" w:eastAsia="zh-CN"/>
              </w:rPr>
              <w:t>4</w:t>
            </w:r>
            <w:r>
              <w:rPr>
                <w:rFonts w:hint="default" w:ascii="Times New Roman" w:hAnsi="Times New Roman" w:eastAsia="仿宋" w:cs="Times New Roman"/>
                <w:b/>
                <w:bCs/>
                <w:color w:val="auto"/>
                <w:sz w:val="21"/>
                <w:szCs w:val="21"/>
                <w:highlight w:val="none"/>
              </w:rPr>
              <w:t xml:space="preserve"> </w:t>
            </w:r>
            <w:r>
              <w:rPr>
                <w:rFonts w:hint="default" w:ascii="Times New Roman" w:hAnsi="Times New Roman" w:eastAsia="仿宋" w:cs="Times New Roman"/>
                <w:b/>
                <w:bCs/>
                <w:color w:val="auto"/>
                <w:sz w:val="21"/>
                <w:szCs w:val="21"/>
                <w:highlight w:val="none"/>
                <w:lang w:val="en-US" w:eastAsia="zh-CN"/>
              </w:rPr>
              <w:t>项目</w:t>
            </w:r>
            <w:r>
              <w:rPr>
                <w:rFonts w:hint="default" w:ascii="Times New Roman" w:hAnsi="Times New Roman" w:eastAsia="仿宋" w:cs="Times New Roman"/>
                <w:b/>
                <w:bCs/>
                <w:color w:val="auto"/>
                <w:sz w:val="21"/>
                <w:szCs w:val="21"/>
                <w:lang w:eastAsia="zh-CN"/>
              </w:rPr>
              <w:t>涂料用量</w:t>
            </w:r>
            <w:r>
              <w:rPr>
                <w:rFonts w:hint="default" w:ascii="Times New Roman" w:hAnsi="Times New Roman" w:eastAsia="仿宋" w:cs="Times New Roman"/>
                <w:b/>
                <w:bCs/>
                <w:color w:val="auto"/>
                <w:sz w:val="21"/>
                <w:szCs w:val="21"/>
                <w:highlight w:val="none"/>
                <w:lang w:eastAsia="zh-CN"/>
              </w:rPr>
              <w:t>核算一览表</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94"/>
              <w:gridCol w:w="1112"/>
              <w:gridCol w:w="969"/>
              <w:gridCol w:w="1008"/>
              <w:gridCol w:w="1006"/>
              <w:gridCol w:w="1004"/>
              <w:gridCol w:w="1006"/>
              <w:gridCol w:w="1005"/>
            </w:tblGrid>
            <w:tr w14:paraId="59952E0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8" w:type="pct"/>
                  <w:noWrap w:val="0"/>
                  <w:vAlign w:val="center"/>
                </w:tcPr>
                <w:p w14:paraId="449092AC">
                  <w:pPr>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类型</w:t>
                  </w:r>
                </w:p>
              </w:tc>
              <w:tc>
                <w:tcPr>
                  <w:tcW w:w="694" w:type="pct"/>
                  <w:noWrap w:val="0"/>
                  <w:vAlign w:val="center"/>
                </w:tcPr>
                <w:p w14:paraId="5ABCD48E">
                  <w:pPr>
                    <w:adjustRightInd w:val="0"/>
                    <w:snapToGrid w:val="0"/>
                    <w:ind w:left="-105" w:leftChars="-50" w:right="-105" w:rightChars="-5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ρ-水性漆密度（g/cm</w:t>
                  </w:r>
                  <w:r>
                    <w:rPr>
                      <w:rFonts w:hint="default" w:ascii="Times New Roman" w:hAnsi="Times New Roman" w:eastAsia="仿宋" w:cs="Times New Roman"/>
                      <w:b/>
                      <w:color w:val="auto"/>
                      <w:szCs w:val="21"/>
                      <w:vertAlign w:val="superscript"/>
                    </w:rPr>
                    <w:t>3</w:t>
                  </w:r>
                  <w:r>
                    <w:rPr>
                      <w:rFonts w:hint="default" w:ascii="Times New Roman" w:hAnsi="Times New Roman" w:eastAsia="仿宋" w:cs="Times New Roman"/>
                      <w:b/>
                      <w:color w:val="auto"/>
                      <w:szCs w:val="21"/>
                    </w:rPr>
                    <w:t>）</w:t>
                  </w:r>
                </w:p>
              </w:tc>
              <w:tc>
                <w:tcPr>
                  <w:tcW w:w="605" w:type="pct"/>
                  <w:noWrap w:val="0"/>
                  <w:vAlign w:val="center"/>
                </w:tcPr>
                <w:p w14:paraId="004B61CA">
                  <w:pPr>
                    <w:adjustRightInd w:val="0"/>
                    <w:snapToGrid w:val="0"/>
                    <w:ind w:left="-105" w:leftChars="-50" w:right="-105" w:rightChars="-5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δ-涂层厚度（μm）</w:t>
                  </w:r>
                </w:p>
              </w:tc>
              <w:tc>
                <w:tcPr>
                  <w:tcW w:w="629" w:type="pct"/>
                  <w:tcBorders>
                    <w:right w:val="single" w:color="auto" w:sz="6" w:space="0"/>
                  </w:tcBorders>
                  <w:noWrap w:val="0"/>
                  <w:vAlign w:val="center"/>
                </w:tcPr>
                <w:p w14:paraId="56386F90">
                  <w:pPr>
                    <w:adjustRightInd w:val="0"/>
                    <w:snapToGrid w:val="0"/>
                    <w:ind w:left="-105" w:leftChars="-50" w:right="-105" w:rightChars="-5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水性漆中体积固体分（%）</w:t>
                  </w:r>
                </w:p>
              </w:tc>
              <w:tc>
                <w:tcPr>
                  <w:tcW w:w="628" w:type="pct"/>
                  <w:tcBorders>
                    <w:left w:val="single" w:color="auto" w:sz="6" w:space="0"/>
                    <w:bottom w:val="single" w:color="auto" w:sz="6" w:space="0"/>
                    <w:right w:val="single" w:color="auto" w:sz="6" w:space="0"/>
                  </w:tcBorders>
                  <w:noWrap w:val="0"/>
                  <w:vAlign w:val="center"/>
                </w:tcPr>
                <w:p w14:paraId="6D4171FC">
                  <w:pPr>
                    <w:adjustRightInd w:val="0"/>
                    <w:snapToGrid w:val="0"/>
                    <w:ind w:left="-105" w:leftChars="-50" w:right="-105" w:rightChars="-5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年喷涂面积（m</w:t>
                  </w:r>
                  <w:r>
                    <w:rPr>
                      <w:rFonts w:hint="default" w:ascii="Times New Roman" w:hAnsi="Times New Roman" w:eastAsia="仿宋" w:cs="Times New Roman"/>
                      <w:b/>
                      <w:color w:val="auto"/>
                      <w:szCs w:val="21"/>
                      <w:vertAlign w:val="superscript"/>
                    </w:rPr>
                    <w:t>2</w:t>
                  </w:r>
                  <w:r>
                    <w:rPr>
                      <w:rFonts w:hint="default" w:ascii="Times New Roman" w:hAnsi="Times New Roman" w:eastAsia="仿宋" w:cs="Times New Roman"/>
                      <w:b/>
                      <w:color w:val="auto"/>
                      <w:szCs w:val="21"/>
                    </w:rPr>
                    <w:t>）</w:t>
                  </w:r>
                </w:p>
              </w:tc>
              <w:tc>
                <w:tcPr>
                  <w:tcW w:w="627" w:type="pct"/>
                  <w:tcBorders>
                    <w:left w:val="single" w:color="auto" w:sz="6" w:space="0"/>
                  </w:tcBorders>
                  <w:noWrap w:val="0"/>
                  <w:vAlign w:val="center"/>
                </w:tcPr>
                <w:p w14:paraId="622C6222">
                  <w:pPr>
                    <w:adjustRightInd w:val="0"/>
                    <w:snapToGrid w:val="0"/>
                    <w:ind w:left="-105" w:leftChars="-50" w:right="-105" w:rightChars="-5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上漆率（%）</w:t>
                  </w:r>
                </w:p>
              </w:tc>
              <w:tc>
                <w:tcPr>
                  <w:tcW w:w="628" w:type="pct"/>
                  <w:noWrap w:val="0"/>
                  <w:vAlign w:val="center"/>
                </w:tcPr>
                <w:p w14:paraId="1109EBE4">
                  <w:pPr>
                    <w:adjustRightInd w:val="0"/>
                    <w:snapToGrid w:val="0"/>
                    <w:ind w:left="-105" w:leftChars="-50" w:right="-105" w:rightChars="-5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水性漆理论用量（t/a）</w:t>
                  </w:r>
                </w:p>
              </w:tc>
              <w:tc>
                <w:tcPr>
                  <w:tcW w:w="627" w:type="pct"/>
                  <w:tcBorders>
                    <w:right w:val="nil"/>
                  </w:tcBorders>
                  <w:noWrap w:val="0"/>
                  <w:vAlign w:val="center"/>
                </w:tcPr>
                <w:p w14:paraId="0661CC7A">
                  <w:pPr>
                    <w:adjustRightInd w:val="0"/>
                    <w:snapToGrid w:val="0"/>
                    <w:ind w:left="-105" w:leftChars="-50" w:right="-105" w:rightChars="-5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水性漆实际用量（t/a）</w:t>
                  </w:r>
                </w:p>
              </w:tc>
            </w:tr>
            <w:tr w14:paraId="46DA93F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8" w:type="pct"/>
                  <w:noWrap w:val="0"/>
                  <w:vAlign w:val="center"/>
                </w:tcPr>
                <w:p w14:paraId="5FFC0E08">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水性漆</w:t>
                  </w:r>
                </w:p>
              </w:tc>
              <w:tc>
                <w:tcPr>
                  <w:tcW w:w="694" w:type="pct"/>
                  <w:noWrap w:val="0"/>
                  <w:vAlign w:val="center"/>
                </w:tcPr>
                <w:p w14:paraId="7E0B4AE5">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1.2</w:t>
                  </w:r>
                </w:p>
              </w:tc>
              <w:tc>
                <w:tcPr>
                  <w:tcW w:w="605" w:type="pct"/>
                  <w:noWrap w:val="0"/>
                  <w:vAlign w:val="center"/>
                </w:tcPr>
                <w:p w14:paraId="70020718">
                  <w:pPr>
                    <w:snapToGrid w:val="0"/>
                    <w:ind w:left="-105" w:leftChars="-50" w:right="-105" w:rightChars="-5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40</w:t>
                  </w:r>
                </w:p>
              </w:tc>
              <w:tc>
                <w:tcPr>
                  <w:tcW w:w="629" w:type="pct"/>
                  <w:tcBorders>
                    <w:right w:val="single" w:color="auto" w:sz="6" w:space="0"/>
                  </w:tcBorders>
                  <w:noWrap w:val="0"/>
                  <w:vAlign w:val="center"/>
                </w:tcPr>
                <w:p w14:paraId="6628470B">
                  <w:pPr>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56</w:t>
                  </w:r>
                </w:p>
              </w:tc>
              <w:tc>
                <w:tcPr>
                  <w:tcW w:w="628" w:type="pct"/>
                  <w:tcBorders>
                    <w:top w:val="single" w:color="auto" w:sz="6" w:space="0"/>
                    <w:left w:val="single" w:color="auto" w:sz="6" w:space="0"/>
                    <w:right w:val="single" w:color="auto" w:sz="6" w:space="0"/>
                  </w:tcBorders>
                  <w:noWrap w:val="0"/>
                  <w:vAlign w:val="center"/>
                </w:tcPr>
                <w:p w14:paraId="578D6F07">
                  <w:pPr>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83</w:t>
                  </w:r>
                  <w:r>
                    <w:rPr>
                      <w:rFonts w:hint="default" w:ascii="Times New Roman" w:hAnsi="Times New Roman" w:eastAsia="仿宋" w:cs="Times New Roman"/>
                      <w:color w:val="auto"/>
                      <w:szCs w:val="21"/>
                    </w:rPr>
                    <w:t>000</w:t>
                  </w:r>
                </w:p>
              </w:tc>
              <w:tc>
                <w:tcPr>
                  <w:tcW w:w="627" w:type="pct"/>
                  <w:tcBorders>
                    <w:left w:val="single" w:color="auto" w:sz="6" w:space="0"/>
                  </w:tcBorders>
                  <w:noWrap w:val="0"/>
                  <w:vAlign w:val="center"/>
                </w:tcPr>
                <w:p w14:paraId="4246FCFA">
                  <w:pPr>
                    <w:snapToGrid w:val="0"/>
                    <w:ind w:left="-105" w:leftChars="-50" w:right="-105" w:rightChars="-5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6</w:t>
                  </w:r>
                  <w:r>
                    <w:rPr>
                      <w:rFonts w:hint="default" w:ascii="Times New Roman" w:hAnsi="Times New Roman" w:eastAsia="仿宋" w:cs="Times New Roman"/>
                      <w:color w:val="auto"/>
                      <w:szCs w:val="21"/>
                      <w:lang w:val="en-US" w:eastAsia="zh-CN"/>
                    </w:rPr>
                    <w:t>0</w:t>
                  </w:r>
                </w:p>
              </w:tc>
              <w:tc>
                <w:tcPr>
                  <w:tcW w:w="1140" w:type="dxa"/>
                  <w:noWrap w:val="0"/>
                  <w:vAlign w:val="center"/>
                </w:tcPr>
                <w:p w14:paraId="21286B51">
                  <w:pPr>
                    <w:widowControl/>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kern w:val="0"/>
                      <w:szCs w:val="21"/>
                      <w:lang w:val="en-US" w:eastAsia="zh-CN" w:bidi="ar"/>
                    </w:rPr>
                    <w:t>11.86</w:t>
                  </w:r>
                </w:p>
              </w:tc>
              <w:tc>
                <w:tcPr>
                  <w:tcW w:w="1138" w:type="dxa"/>
                  <w:tcBorders>
                    <w:right w:val="nil"/>
                  </w:tcBorders>
                  <w:noWrap w:val="0"/>
                  <w:vAlign w:val="center"/>
                </w:tcPr>
                <w:p w14:paraId="661C278B">
                  <w:pPr>
                    <w:widowControl/>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kern w:val="0"/>
                      <w:szCs w:val="21"/>
                      <w:lang w:val="en-US" w:eastAsia="zh-CN" w:bidi="ar"/>
                    </w:rPr>
                    <w:t>12</w:t>
                  </w:r>
                </w:p>
              </w:tc>
            </w:tr>
          </w:tbl>
          <w:p w14:paraId="1CCCC760">
            <w:pPr>
              <w:keepNext w:val="0"/>
              <w:keepLines w:val="0"/>
              <w:pageBreakBefore w:val="0"/>
              <w:kinsoku/>
              <w:wordWrap/>
              <w:overflowPunct/>
              <w:topLinePunct w:val="0"/>
              <w:bidi w:val="0"/>
              <w:adjustRightInd w:val="0"/>
              <w:snapToGrid w:val="0"/>
              <w:spacing w:line="500" w:lineRule="exact"/>
              <w:ind w:right="0" w:firstLine="480" w:firstLineChars="200"/>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color w:val="auto"/>
                <w:sz w:val="24"/>
              </w:rPr>
              <w:t>主要原辅材料理化性质见下表</w:t>
            </w:r>
            <w:r>
              <w:rPr>
                <w:rFonts w:hint="default" w:ascii="Times New Roman" w:hAnsi="Times New Roman" w:eastAsia="仿宋" w:cs="Times New Roman"/>
                <w:color w:val="auto"/>
                <w:sz w:val="24"/>
                <w:lang w:eastAsia="zh-CN"/>
              </w:rPr>
              <w:t>。</w:t>
            </w:r>
          </w:p>
          <w:p w14:paraId="4B1D6B6B">
            <w:pPr>
              <w:keepNext w:val="0"/>
              <w:keepLines w:val="0"/>
              <w:pageBreakBefore w:val="0"/>
              <w:kinsoku/>
              <w:wordWrap/>
              <w:overflowPunct/>
              <w:topLinePunct w:val="0"/>
              <w:bidi w:val="0"/>
              <w:adjustRightInd w:val="0"/>
              <w:snapToGrid w:val="0"/>
              <w:spacing w:line="500" w:lineRule="exact"/>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表2</w:t>
            </w:r>
            <w:r>
              <w:rPr>
                <w:rFonts w:hint="default" w:ascii="Times New Roman" w:hAnsi="Times New Roman" w:eastAsia="仿宋" w:cs="Times New Roman"/>
                <w:b/>
                <w:bCs/>
                <w:color w:val="auto"/>
                <w:sz w:val="21"/>
                <w:szCs w:val="21"/>
                <w:highlight w:val="none"/>
                <w:lang w:val="en-US" w:eastAsia="zh-CN"/>
              </w:rPr>
              <w:t>-5</w:t>
            </w:r>
            <w:r>
              <w:rPr>
                <w:rFonts w:hint="default" w:ascii="Times New Roman" w:hAnsi="Times New Roman" w:eastAsia="仿宋" w:cs="Times New Roman"/>
                <w:b/>
                <w:bCs/>
                <w:color w:val="auto"/>
                <w:sz w:val="21"/>
                <w:szCs w:val="21"/>
                <w:highlight w:val="none"/>
              </w:rPr>
              <w:t xml:space="preserve"> </w:t>
            </w:r>
            <w:r>
              <w:rPr>
                <w:rFonts w:hint="default" w:ascii="Times New Roman" w:hAnsi="Times New Roman" w:eastAsia="仿宋" w:cs="Times New Roman"/>
                <w:b/>
                <w:bCs/>
                <w:color w:val="auto"/>
                <w:sz w:val="21"/>
                <w:szCs w:val="21"/>
                <w:highlight w:val="none"/>
                <w:lang w:val="en-US" w:eastAsia="zh-CN"/>
              </w:rPr>
              <w:t>项目主要</w:t>
            </w:r>
            <w:r>
              <w:rPr>
                <w:rFonts w:hint="default" w:ascii="Times New Roman" w:hAnsi="Times New Roman" w:eastAsia="仿宋" w:cs="Times New Roman"/>
                <w:b/>
                <w:bCs/>
                <w:color w:val="auto"/>
                <w:sz w:val="21"/>
                <w:szCs w:val="21"/>
                <w:highlight w:val="none"/>
              </w:rPr>
              <w:t>原辅材料理化性质</w:t>
            </w:r>
          </w:p>
          <w:tbl>
            <w:tblPr>
              <w:tblStyle w:val="27"/>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943"/>
              <w:gridCol w:w="3978"/>
              <w:gridCol w:w="1976"/>
              <w:gridCol w:w="1109"/>
            </w:tblGrid>
            <w:tr w14:paraId="594AB90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467" w:hRule="atLeast"/>
                <w:jc w:val="center"/>
              </w:trPr>
              <w:tc>
                <w:tcPr>
                  <w:tcW w:w="589" w:type="pct"/>
                  <w:vAlign w:val="center"/>
                </w:tcPr>
                <w:p w14:paraId="5B23C871">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名称</w:t>
                  </w:r>
                </w:p>
              </w:tc>
              <w:tc>
                <w:tcPr>
                  <w:tcW w:w="2484" w:type="pct"/>
                  <w:tcBorders>
                    <w:right w:val="single" w:color="000000" w:sz="2" w:space="0"/>
                  </w:tcBorders>
                  <w:vAlign w:val="center"/>
                </w:tcPr>
                <w:p w14:paraId="09A9CABF">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理化性质</w:t>
                  </w:r>
                </w:p>
              </w:tc>
              <w:tc>
                <w:tcPr>
                  <w:tcW w:w="1234" w:type="pct"/>
                  <w:tcBorders>
                    <w:left w:val="single" w:color="000000" w:sz="2" w:space="0"/>
                    <w:right w:val="single" w:color="000000" w:sz="2" w:space="0"/>
                  </w:tcBorders>
                  <w:vAlign w:val="center"/>
                </w:tcPr>
                <w:p w14:paraId="79C2236F">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毒性毒理</w:t>
                  </w:r>
                </w:p>
              </w:tc>
              <w:tc>
                <w:tcPr>
                  <w:tcW w:w="692" w:type="pct"/>
                  <w:tcBorders>
                    <w:left w:val="single" w:color="000000" w:sz="2" w:space="0"/>
                  </w:tcBorders>
                  <w:vAlign w:val="center"/>
                </w:tcPr>
                <w:p w14:paraId="75643E42">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燃爆性</w:t>
                  </w:r>
                </w:p>
              </w:tc>
            </w:tr>
            <w:tr w14:paraId="06C74E4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1174" w:hRule="atLeast"/>
                <w:jc w:val="center"/>
              </w:trPr>
              <w:tc>
                <w:tcPr>
                  <w:tcW w:w="589" w:type="pct"/>
                  <w:vAlign w:val="center"/>
                </w:tcPr>
                <w:p w14:paraId="0E16167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丙烷</w:t>
                  </w:r>
                </w:p>
              </w:tc>
              <w:tc>
                <w:tcPr>
                  <w:tcW w:w="2484" w:type="pct"/>
                  <w:tcBorders>
                    <w:right w:val="single" w:color="000000" w:sz="2" w:space="0"/>
                  </w:tcBorders>
                  <w:vAlign w:val="center"/>
                </w:tcPr>
                <w:p w14:paraId="1882CE71">
                  <w:pPr>
                    <w:widowControl/>
                    <w:jc w:val="left"/>
                    <w:rPr>
                      <w:rFonts w:hint="default" w:ascii="Times New Roman" w:hAnsi="Times New Roman" w:eastAsia="仿宋" w:cs="Times New Roman"/>
                      <w:color w:val="auto"/>
                      <w:kern w:val="0"/>
                      <w:szCs w:val="21"/>
                    </w:rPr>
                  </w:pPr>
                  <w:r>
                    <w:rPr>
                      <w:rFonts w:hint="default" w:ascii="Times New Roman" w:hAnsi="Times New Roman" w:eastAsia="仿宋" w:cs="Times New Roman"/>
                      <w:i w:val="0"/>
                      <w:iCs w:val="0"/>
                      <w:caps w:val="0"/>
                      <w:color w:val="auto"/>
                      <w:spacing w:val="0"/>
                      <w:sz w:val="21"/>
                      <w:szCs w:val="21"/>
                      <w:shd w:val="clear" w:fill="FFFFFF"/>
                    </w:rPr>
                    <w:t>无色无味气体，</w:t>
                  </w:r>
                  <w:r>
                    <w:rPr>
                      <w:rFonts w:hint="default" w:ascii="Times New Roman" w:hAnsi="Times New Roman" w:eastAsia="仿宋" w:cs="Times New Roman"/>
                      <w:i w:val="0"/>
                      <w:iCs w:val="0"/>
                      <w:caps w:val="0"/>
                      <w:color w:val="auto"/>
                      <w:spacing w:val="0"/>
                      <w:sz w:val="18"/>
                      <w:szCs w:val="18"/>
                      <w:shd w:val="clear" w:fill="FFFFFF"/>
                    </w:rPr>
                    <w:t>1.83 kg/m³</w:t>
                  </w:r>
                  <w:r>
                    <w:rPr>
                      <w:rFonts w:hint="default" w:ascii="Times New Roman" w:hAnsi="Times New Roman" w:eastAsia="仿宋" w:cs="Times New Roman"/>
                      <w:color w:val="auto"/>
                      <w:kern w:val="0"/>
                      <w:szCs w:val="21"/>
                    </w:rPr>
                    <w:t>，闪点</w:t>
                  </w:r>
                  <w:r>
                    <w:rPr>
                      <w:rFonts w:hint="default" w:ascii="Times New Roman" w:hAnsi="Times New Roman" w:eastAsia="仿宋" w:cs="Times New Roman"/>
                      <w:color w:val="auto"/>
                      <w:szCs w:val="21"/>
                      <w:lang w:val="en-US" w:eastAsia="zh-CN"/>
                    </w:rPr>
                    <w:t>-104</w:t>
                  </w:r>
                  <w:r>
                    <w:rPr>
                      <w:rFonts w:hint="default" w:ascii="Times New Roman" w:hAnsi="Times New Roman" w:eastAsia="仿宋" w:cs="Times New Roman"/>
                      <w:color w:val="auto"/>
                      <w:kern w:val="0"/>
                      <w:szCs w:val="21"/>
                    </w:rPr>
                    <w:t>℃，</w:t>
                  </w:r>
                  <w:r>
                    <w:rPr>
                      <w:rFonts w:hint="default" w:ascii="Times New Roman" w:hAnsi="Times New Roman" w:eastAsia="仿宋" w:cs="Times New Roman"/>
                      <w:color w:val="auto"/>
                      <w:kern w:val="0"/>
                      <w:szCs w:val="21"/>
                      <w:lang w:val="en-US" w:eastAsia="zh-CN"/>
                    </w:rPr>
                    <w:t>沸点-42</w:t>
                  </w:r>
                  <w:r>
                    <w:rPr>
                      <w:rFonts w:hint="default" w:ascii="Times New Roman" w:hAnsi="Times New Roman" w:eastAsia="仿宋" w:cs="Times New Roman"/>
                      <w:color w:val="auto"/>
                      <w:kern w:val="0"/>
                      <w:szCs w:val="21"/>
                    </w:rPr>
                    <w:t>℃</w:t>
                  </w:r>
                  <w:r>
                    <w:rPr>
                      <w:rFonts w:hint="default" w:ascii="Times New Roman" w:hAnsi="Times New Roman" w:eastAsia="仿宋" w:cs="Times New Roman"/>
                      <w:color w:val="auto"/>
                      <w:kern w:val="0"/>
                      <w:szCs w:val="21"/>
                      <w:lang w:val="en-US" w:eastAsia="zh-CN"/>
                    </w:rPr>
                    <w:t>，</w:t>
                  </w:r>
                  <w:r>
                    <w:rPr>
                      <w:rFonts w:hint="default" w:ascii="Times New Roman" w:hAnsi="Times New Roman" w:eastAsia="仿宋" w:cs="Times New Roman"/>
                      <w:i w:val="0"/>
                      <w:iCs w:val="0"/>
                      <w:caps w:val="0"/>
                      <w:color w:val="auto"/>
                      <w:spacing w:val="0"/>
                      <w:sz w:val="21"/>
                      <w:szCs w:val="21"/>
                      <w:shd w:val="clear" w:fill="FFFFFF"/>
                    </w:rPr>
                    <w:t>微溶于水，溶于乙醇、乙醚，化学性质稳定，不易发生化学反应，常用作冷冻剂、内燃机燃料或有机合成原料</w:t>
                  </w:r>
                </w:p>
              </w:tc>
              <w:tc>
                <w:tcPr>
                  <w:tcW w:w="1234" w:type="pct"/>
                  <w:tcBorders>
                    <w:left w:val="single" w:color="000000" w:sz="2" w:space="0"/>
                    <w:right w:val="single" w:color="000000" w:sz="2" w:space="0"/>
                  </w:tcBorders>
                  <w:vAlign w:val="center"/>
                </w:tcPr>
                <w:p w14:paraId="7D3AED8F">
                  <w:pPr>
                    <w:widowControl/>
                    <w:contextualSpacing/>
                    <w:jc w:val="center"/>
                    <w:rPr>
                      <w:rFonts w:hint="default" w:ascii="Times New Roman" w:hAnsi="Times New Roman" w:eastAsia="仿宋" w:cs="Times New Roman"/>
                      <w:color w:val="auto"/>
                      <w:szCs w:val="21"/>
                      <w:shd w:val="clear" w:color="auto" w:fill="FFFFFF"/>
                    </w:rPr>
                  </w:pPr>
                  <w:r>
                    <w:rPr>
                      <w:rFonts w:hint="default" w:ascii="Times New Roman" w:hAnsi="Times New Roman" w:eastAsia="仿宋" w:cs="Times New Roman"/>
                      <w:color w:val="auto"/>
                      <w:szCs w:val="21"/>
                      <w:shd w:val="clear" w:color="auto" w:fill="FFFFFF"/>
                    </w:rPr>
                    <w:t>无资料</w:t>
                  </w:r>
                </w:p>
              </w:tc>
              <w:tc>
                <w:tcPr>
                  <w:tcW w:w="692" w:type="pct"/>
                  <w:tcBorders>
                    <w:left w:val="single" w:color="000000" w:sz="2" w:space="0"/>
                  </w:tcBorders>
                  <w:vAlign w:val="center"/>
                </w:tcPr>
                <w:p w14:paraId="226DA92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shd w:val="clear" w:color="auto" w:fill="FFFFFF"/>
                      <w:lang w:val="en-US" w:eastAsia="zh-CN"/>
                    </w:rPr>
                  </w:pPr>
                  <w:r>
                    <w:rPr>
                      <w:rFonts w:hint="default" w:ascii="Times New Roman" w:hAnsi="Times New Roman" w:eastAsia="仿宋" w:cs="Times New Roman"/>
                      <w:color w:val="auto"/>
                      <w:szCs w:val="21"/>
                      <w:shd w:val="clear" w:color="auto" w:fill="FFFFFF"/>
                      <w:lang w:val="en-US" w:eastAsia="zh-CN"/>
                    </w:rPr>
                    <w:t>易燃易爆</w:t>
                  </w:r>
                </w:p>
              </w:tc>
            </w:tr>
            <w:tr w14:paraId="28242EB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1174" w:hRule="atLeast"/>
                <w:jc w:val="center"/>
              </w:trPr>
              <w:tc>
                <w:tcPr>
                  <w:tcW w:w="589" w:type="pct"/>
                  <w:vAlign w:val="center"/>
                </w:tcPr>
                <w:p w14:paraId="330A4F16">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水性漆</w:t>
                  </w:r>
                </w:p>
              </w:tc>
              <w:tc>
                <w:tcPr>
                  <w:tcW w:w="2484" w:type="pct"/>
                  <w:tcBorders>
                    <w:right w:val="single" w:color="000000" w:sz="2" w:space="0"/>
                  </w:tcBorders>
                  <w:vAlign w:val="center"/>
                </w:tcPr>
                <w:p w14:paraId="1E1DD744">
                  <w:pPr>
                    <w:widowControl/>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Cs w:val="21"/>
                    </w:rPr>
                    <w:t>粘稠液体，相对密度（水=1）：1.2，闪点</w:t>
                  </w:r>
                  <w:r>
                    <w:rPr>
                      <w:rFonts w:hint="default" w:ascii="Times New Roman" w:hAnsi="Times New Roman" w:eastAsia="仿宋" w:cs="Times New Roman"/>
                      <w:color w:val="auto"/>
                      <w:szCs w:val="21"/>
                    </w:rPr>
                    <w:t>≥100</w:t>
                  </w:r>
                  <w:r>
                    <w:rPr>
                      <w:rFonts w:hint="default" w:ascii="Times New Roman" w:hAnsi="Times New Roman" w:eastAsia="仿宋" w:cs="Times New Roman"/>
                      <w:color w:val="auto"/>
                      <w:kern w:val="0"/>
                      <w:szCs w:val="21"/>
                    </w:rPr>
                    <w:t>（闭杯）℃，溶于水，</w:t>
                  </w:r>
                  <w:r>
                    <w:rPr>
                      <w:rFonts w:hint="default" w:ascii="Times New Roman" w:hAnsi="Times New Roman" w:eastAsia="仿宋" w:cs="Times New Roman"/>
                      <w:color w:val="auto"/>
                      <w:szCs w:val="21"/>
                    </w:rPr>
                    <w:t>可溶于醇类、酮类等有机溶剂</w:t>
                  </w:r>
                </w:p>
              </w:tc>
              <w:tc>
                <w:tcPr>
                  <w:tcW w:w="1234" w:type="pct"/>
                  <w:tcBorders>
                    <w:left w:val="single" w:color="000000" w:sz="2" w:space="0"/>
                    <w:right w:val="single" w:color="000000" w:sz="2" w:space="0"/>
                  </w:tcBorders>
                  <w:vAlign w:val="center"/>
                </w:tcPr>
                <w:p w14:paraId="1EA96B85">
                  <w:pPr>
                    <w:widowControl/>
                    <w:contextualSpacing/>
                    <w:jc w:val="center"/>
                    <w:rPr>
                      <w:rFonts w:hint="default" w:ascii="Times New Roman" w:hAnsi="Times New Roman" w:eastAsia="仿宋" w:cs="Times New Roman"/>
                      <w:color w:val="auto"/>
                      <w:kern w:val="2"/>
                      <w:sz w:val="21"/>
                      <w:szCs w:val="21"/>
                      <w:shd w:val="clear" w:color="auto" w:fill="FFFFFF"/>
                      <w:lang w:val="en-US" w:eastAsia="zh-CN" w:bidi="ar-SA"/>
                    </w:rPr>
                  </w:pPr>
                  <w:r>
                    <w:rPr>
                      <w:rFonts w:hint="default" w:ascii="Times New Roman" w:hAnsi="Times New Roman" w:eastAsia="仿宋" w:cs="Times New Roman"/>
                      <w:color w:val="auto"/>
                      <w:szCs w:val="21"/>
                      <w:shd w:val="clear" w:color="auto" w:fill="FFFFFF"/>
                    </w:rPr>
                    <w:t>无资料</w:t>
                  </w:r>
                </w:p>
              </w:tc>
              <w:tc>
                <w:tcPr>
                  <w:tcW w:w="692" w:type="pct"/>
                  <w:tcBorders>
                    <w:left w:val="single" w:color="000000" w:sz="2" w:space="0"/>
                  </w:tcBorders>
                  <w:vAlign w:val="center"/>
                </w:tcPr>
                <w:p w14:paraId="3467FB52">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shd w:val="clear" w:color="auto" w:fill="FFFFFF"/>
                      <w:lang w:val="en-US" w:eastAsia="zh-CN" w:bidi="ar-SA"/>
                    </w:rPr>
                  </w:pPr>
                  <w:r>
                    <w:rPr>
                      <w:rFonts w:hint="default" w:ascii="Times New Roman" w:hAnsi="Times New Roman" w:eastAsia="仿宋" w:cs="Times New Roman"/>
                      <w:color w:val="auto"/>
                      <w:szCs w:val="21"/>
                      <w:shd w:val="clear" w:color="auto" w:fill="FFFFFF"/>
                      <w:lang w:val="en-US" w:eastAsia="zh-CN"/>
                    </w:rPr>
                    <w:t>不燃</w:t>
                  </w:r>
                </w:p>
              </w:tc>
            </w:tr>
            <w:tr w14:paraId="7EDB498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922" w:hRule="atLeast"/>
                <w:jc w:val="center"/>
              </w:trPr>
              <w:tc>
                <w:tcPr>
                  <w:tcW w:w="589" w:type="pct"/>
                  <w:vAlign w:val="center"/>
                </w:tcPr>
                <w:p w14:paraId="54068DF0">
                  <w:pPr>
                    <w:pStyle w:val="98"/>
                    <w:spacing w:line="240" w:lineRule="auto"/>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szCs w:val="21"/>
                    </w:rPr>
                    <w:t>丙二醇丁醚</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水性漆</w:t>
                  </w:r>
                  <w:r>
                    <w:rPr>
                      <w:rFonts w:hint="default" w:ascii="Times New Roman" w:hAnsi="Times New Roman" w:eastAsia="仿宋" w:cs="Times New Roman"/>
                      <w:color w:val="auto"/>
                      <w:szCs w:val="21"/>
                      <w:lang w:val="en-US" w:eastAsia="zh-CN"/>
                    </w:rPr>
                    <w:t>组分</w:t>
                  </w:r>
                  <w:r>
                    <w:rPr>
                      <w:rFonts w:hint="default" w:ascii="Times New Roman" w:hAnsi="Times New Roman" w:eastAsia="仿宋" w:cs="Times New Roman"/>
                      <w:color w:val="auto"/>
                      <w:szCs w:val="21"/>
                      <w:lang w:eastAsia="zh-CN"/>
                    </w:rPr>
                    <w:t>）</w:t>
                  </w:r>
                </w:p>
              </w:tc>
              <w:tc>
                <w:tcPr>
                  <w:tcW w:w="2484" w:type="pct"/>
                  <w:tcBorders>
                    <w:right w:val="single" w:color="000000" w:sz="2" w:space="0"/>
                  </w:tcBorders>
                  <w:vAlign w:val="center"/>
                </w:tcPr>
                <w:p w14:paraId="0EF89BD5">
                  <w:pPr>
                    <w:pStyle w:val="44"/>
                    <w:spacing w:before="24" w:after="24" w:line="240" w:lineRule="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 w:val="21"/>
                      <w:szCs w:val="21"/>
                    </w:rPr>
                    <w:t>无色液体，相对密度(水=1)：0.8843，熔点(℃)：-90，沸点(℃)：171.1，闪点(℃)：71，溶于水、乙醇、乙醚等多数有机溶剂。</w:t>
                  </w:r>
                </w:p>
              </w:tc>
              <w:tc>
                <w:tcPr>
                  <w:tcW w:w="1234" w:type="pct"/>
                  <w:tcBorders>
                    <w:left w:val="single" w:color="000000" w:sz="2" w:space="0"/>
                    <w:right w:val="single" w:color="000000" w:sz="2" w:space="0"/>
                  </w:tcBorders>
                  <w:vAlign w:val="center"/>
                </w:tcPr>
                <w:p w14:paraId="541B23B1">
                  <w:pPr>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szCs w:val="21"/>
                    </w:rPr>
                    <w:t>LD</w:t>
                  </w:r>
                  <w:r>
                    <w:rPr>
                      <w:rFonts w:hint="default" w:ascii="Times New Roman" w:hAnsi="Times New Roman" w:eastAsia="仿宋" w:cs="Times New Roman"/>
                      <w:color w:val="auto"/>
                      <w:szCs w:val="21"/>
                      <w:vertAlign w:val="subscript"/>
                    </w:rPr>
                    <w:t>50</w:t>
                  </w:r>
                  <w:r>
                    <w:rPr>
                      <w:rFonts w:hint="default" w:ascii="Times New Roman" w:hAnsi="Times New Roman" w:eastAsia="仿宋" w:cs="Times New Roman"/>
                      <w:color w:val="auto"/>
                      <w:szCs w:val="21"/>
                    </w:rPr>
                    <w:t>：2.2ml/kg(大鼠经口)</w:t>
                  </w:r>
                </w:p>
              </w:tc>
              <w:tc>
                <w:tcPr>
                  <w:tcW w:w="692" w:type="pct"/>
                  <w:tcBorders>
                    <w:left w:val="single" w:color="000000" w:sz="2" w:space="0"/>
                  </w:tcBorders>
                  <w:vAlign w:val="center"/>
                </w:tcPr>
                <w:p w14:paraId="6FA98C0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shd w:val="clear" w:color="auto" w:fill="FFFFFF"/>
                      <w:lang w:val="en-US" w:eastAsia="zh-CN"/>
                    </w:rPr>
                  </w:pPr>
                  <w:r>
                    <w:rPr>
                      <w:rFonts w:hint="default" w:ascii="Times New Roman" w:hAnsi="Times New Roman" w:eastAsia="仿宋" w:cs="Times New Roman"/>
                      <w:color w:val="auto"/>
                      <w:kern w:val="2"/>
                      <w:sz w:val="21"/>
                      <w:szCs w:val="21"/>
                      <w:shd w:val="clear" w:color="auto" w:fill="FFFFFF"/>
                      <w:lang w:val="en-US" w:eastAsia="zh-CN" w:bidi="ar-SA"/>
                    </w:rPr>
                    <w:t>可燃</w:t>
                  </w:r>
                </w:p>
              </w:tc>
            </w:tr>
            <w:tr w14:paraId="17C57C8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885" w:hRule="atLeast"/>
                <w:jc w:val="center"/>
              </w:trPr>
              <w:tc>
                <w:tcPr>
                  <w:tcW w:w="589" w:type="pct"/>
                  <w:vAlign w:val="center"/>
                </w:tcPr>
                <w:p w14:paraId="0793BC7B">
                  <w:pPr>
                    <w:keepNext w:val="0"/>
                    <w:keepLines w:val="0"/>
                    <w:widowControl/>
                    <w:suppressLineNumbers w:val="0"/>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机油</w:t>
                  </w:r>
                </w:p>
              </w:tc>
              <w:tc>
                <w:tcPr>
                  <w:tcW w:w="2484" w:type="pct"/>
                  <w:tcBorders>
                    <w:right w:val="single" w:color="000000" w:sz="2" w:space="0"/>
                  </w:tcBorders>
                  <w:vAlign w:val="center"/>
                </w:tcPr>
                <w:p w14:paraId="2190B167">
                  <w:pPr>
                    <w:keepNext w:val="0"/>
                    <w:keepLines w:val="0"/>
                    <w:pageBreakBefore w:val="0"/>
                    <w:widowControl/>
                    <w:suppressLineNumbers w:val="0"/>
                    <w:kinsoku/>
                    <w:wordWrap/>
                    <w:overflowPunct/>
                    <w:topLinePunct w:val="0"/>
                    <w:bidi w:val="0"/>
                    <w:adjustRightInd w:val="0"/>
                    <w:snapToGrid w:val="0"/>
                    <w:ind w:left="0" w:right="0"/>
                    <w:jc w:val="left"/>
                    <w:rPr>
                      <w:rFonts w:hint="default" w:ascii="Times New Roman" w:hAnsi="Times New Roman" w:eastAsia="仿宋" w:cs="Times New Roman"/>
                      <w:b w:val="0"/>
                      <w:bCs w:val="0"/>
                      <w:color w:val="auto"/>
                      <w:sz w:val="21"/>
                      <w:szCs w:val="21"/>
                    </w:rPr>
                  </w:pPr>
                  <w:r>
                    <w:rPr>
                      <w:rFonts w:hint="default" w:ascii="Times New Roman" w:hAnsi="Times New Roman" w:eastAsia="仿宋" w:cs="Times New Roman"/>
                      <w:color w:val="auto"/>
                      <w:szCs w:val="21"/>
                      <w:highlight w:val="none"/>
                    </w:rPr>
                    <w:t>油状液体，淡黄色至褐色，无气味或略带异味。</w:t>
                  </w:r>
                  <w:r>
                    <w:rPr>
                      <w:rFonts w:hint="default" w:ascii="Times New Roman" w:hAnsi="Times New Roman" w:eastAsia="仿宋" w:cs="Times New Roman"/>
                      <w:color w:val="auto"/>
                      <w:szCs w:val="21"/>
                      <w:highlight w:val="none"/>
                      <w:lang w:val="en-US" w:eastAsia="zh-CN"/>
                    </w:rPr>
                    <w:t>自燃温度240℃，闪点220℃左右。</w:t>
                  </w:r>
                </w:p>
              </w:tc>
              <w:tc>
                <w:tcPr>
                  <w:tcW w:w="1234" w:type="pct"/>
                  <w:tcBorders>
                    <w:left w:val="single" w:color="000000" w:sz="2" w:space="0"/>
                    <w:right w:val="single" w:color="000000" w:sz="2" w:space="0"/>
                  </w:tcBorders>
                  <w:vAlign w:val="center"/>
                </w:tcPr>
                <w:p w14:paraId="166A6F6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692" w:type="pct"/>
                  <w:tcBorders>
                    <w:left w:val="single" w:color="000000" w:sz="2" w:space="0"/>
                  </w:tcBorders>
                  <w:vAlign w:val="center"/>
                </w:tcPr>
                <w:p w14:paraId="2150E21C">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可燃</w:t>
                  </w:r>
                </w:p>
              </w:tc>
            </w:tr>
            <w:tr w14:paraId="17A932F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885" w:hRule="atLeast"/>
                <w:jc w:val="center"/>
              </w:trPr>
              <w:tc>
                <w:tcPr>
                  <w:tcW w:w="589" w:type="pct"/>
                  <w:vAlign w:val="center"/>
                </w:tcPr>
                <w:p w14:paraId="6C0BAE80">
                  <w:pPr>
                    <w:keepNext w:val="0"/>
                    <w:keepLines w:val="0"/>
                    <w:widowControl/>
                    <w:suppressLineNumbers w:val="0"/>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sz w:val="21"/>
                      <w:szCs w:val="21"/>
                      <w:lang w:val="en-US" w:eastAsia="zh-CN"/>
                    </w:rPr>
                    <w:t>切削液</w:t>
                  </w:r>
                </w:p>
              </w:tc>
              <w:tc>
                <w:tcPr>
                  <w:tcW w:w="2484" w:type="pct"/>
                  <w:tcBorders>
                    <w:right w:val="single" w:color="000000" w:sz="2" w:space="0"/>
                  </w:tcBorders>
                  <w:vAlign w:val="center"/>
                </w:tcPr>
                <w:p w14:paraId="0429EA96">
                  <w:pPr>
                    <w:keepNext w:val="0"/>
                    <w:keepLines w:val="0"/>
                    <w:pageBreakBefore w:val="0"/>
                    <w:widowControl/>
                    <w:suppressLineNumbers w:val="0"/>
                    <w:kinsoku/>
                    <w:wordWrap/>
                    <w:overflowPunct/>
                    <w:topLinePunct w:val="0"/>
                    <w:bidi w:val="0"/>
                    <w:adjustRightInd w:val="0"/>
                    <w:snapToGrid w:val="0"/>
                    <w:ind w:left="0" w:right="0"/>
                    <w:jc w:val="left"/>
                    <w:rPr>
                      <w:rFonts w:hint="default" w:ascii="Times New Roman" w:hAnsi="Times New Roman" w:eastAsia="仿宋" w:cs="Times New Roman"/>
                      <w:b w:val="0"/>
                      <w:bCs w:val="0"/>
                      <w:color w:val="auto"/>
                      <w:sz w:val="21"/>
                      <w:szCs w:val="21"/>
                    </w:rPr>
                  </w:pPr>
                  <w:r>
                    <w:rPr>
                      <w:rFonts w:hint="default" w:ascii="Times New Roman" w:hAnsi="Times New Roman" w:eastAsia="仿宋" w:cs="Times New Roman"/>
                      <w:color w:val="auto"/>
                      <w:szCs w:val="21"/>
                      <w:highlight w:val="none"/>
                    </w:rPr>
                    <w:t>由多种超强功能助剂经科学复合配合而成，同时具备良好的冷却性能、润滑性能、防锈性能、除油清洗功能、防腐功能、易稀释特点。</w:t>
                  </w:r>
                </w:p>
              </w:tc>
              <w:tc>
                <w:tcPr>
                  <w:tcW w:w="1234" w:type="pct"/>
                  <w:tcBorders>
                    <w:left w:val="single" w:color="000000" w:sz="2" w:space="0"/>
                    <w:right w:val="single" w:color="000000" w:sz="2" w:space="0"/>
                  </w:tcBorders>
                  <w:vAlign w:val="center"/>
                </w:tcPr>
                <w:p w14:paraId="090A66F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692" w:type="pct"/>
                  <w:tcBorders>
                    <w:left w:val="single" w:color="000000" w:sz="2" w:space="0"/>
                  </w:tcBorders>
                  <w:vAlign w:val="center"/>
                </w:tcPr>
                <w:p w14:paraId="5BB4CD3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shd w:val="clear" w:color="auto" w:fill="FFFFFF"/>
                      <w:lang w:val="en-US" w:eastAsia="zh-CN"/>
                    </w:rPr>
                    <w:t>不燃</w:t>
                  </w:r>
                </w:p>
              </w:tc>
            </w:tr>
          </w:tbl>
          <w:p w14:paraId="42B647BC">
            <w:pPr>
              <w:keepNext w:val="0"/>
              <w:keepLines w:val="0"/>
              <w:pageBreakBefore w:val="0"/>
              <w:kinsoku/>
              <w:wordWrap/>
              <w:overflowPunct/>
              <w:topLinePunct w:val="0"/>
              <w:bidi w:val="0"/>
              <w:adjustRightInd w:val="0"/>
              <w:snapToGrid w:val="0"/>
              <w:spacing w:line="500" w:lineRule="exact"/>
              <w:ind w:left="0" w:right="0" w:firstLine="241" w:firstLineChars="1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val="en-US" w:eastAsia="zh-CN"/>
              </w:rPr>
              <w:t>4</w:t>
            </w:r>
            <w:r>
              <w:rPr>
                <w:rFonts w:hint="default" w:ascii="Times New Roman" w:hAnsi="Times New Roman" w:eastAsia="仿宋" w:cs="Times New Roman"/>
                <w:b/>
                <w:color w:val="auto"/>
                <w:sz w:val="24"/>
              </w:rPr>
              <w:t>、主要生产设施</w:t>
            </w:r>
          </w:p>
          <w:p w14:paraId="38607C38">
            <w:pPr>
              <w:keepNext w:val="0"/>
              <w:keepLines w:val="0"/>
              <w:pageBreakBefore w:val="0"/>
              <w:kinsoku/>
              <w:wordWrap/>
              <w:overflowPunct/>
              <w:topLinePunct w:val="0"/>
              <w:bidi w:val="0"/>
              <w:adjustRightInd w:val="0"/>
              <w:snapToGrid w:val="0"/>
              <w:spacing w:line="500" w:lineRule="exact"/>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表2-</w:t>
            </w:r>
            <w:r>
              <w:rPr>
                <w:rFonts w:hint="default" w:ascii="Times New Roman" w:hAnsi="Times New Roman" w:eastAsia="仿宋" w:cs="Times New Roman"/>
                <w:b/>
                <w:bCs/>
                <w:color w:val="auto"/>
                <w:sz w:val="21"/>
                <w:szCs w:val="21"/>
                <w:highlight w:val="none"/>
                <w:lang w:val="en-US" w:eastAsia="zh-CN"/>
              </w:rPr>
              <w:t>6</w:t>
            </w:r>
            <w:r>
              <w:rPr>
                <w:rFonts w:hint="default" w:ascii="Times New Roman" w:hAnsi="Times New Roman" w:eastAsia="仿宋" w:cs="Times New Roman"/>
                <w:b/>
                <w:bCs/>
                <w:color w:val="auto"/>
                <w:sz w:val="21"/>
                <w:szCs w:val="21"/>
                <w:highlight w:val="none"/>
              </w:rPr>
              <w:t xml:space="preserve"> </w:t>
            </w:r>
            <w:r>
              <w:rPr>
                <w:rFonts w:hint="default" w:ascii="Times New Roman" w:hAnsi="Times New Roman" w:eastAsia="仿宋" w:cs="Times New Roman"/>
                <w:b/>
                <w:bCs/>
                <w:color w:val="auto"/>
                <w:sz w:val="21"/>
                <w:szCs w:val="21"/>
                <w:highlight w:val="none"/>
                <w:lang w:val="en-US" w:eastAsia="zh-CN"/>
              </w:rPr>
              <w:t xml:space="preserve"> </w:t>
            </w:r>
            <w:r>
              <w:rPr>
                <w:rFonts w:hint="default" w:ascii="Times New Roman" w:hAnsi="Times New Roman" w:eastAsia="仿宋" w:cs="Times New Roman"/>
                <w:b/>
                <w:bCs/>
                <w:color w:val="auto"/>
                <w:sz w:val="21"/>
                <w:szCs w:val="21"/>
                <w:highlight w:val="none"/>
              </w:rPr>
              <w:t>本项目建成后全厂主要生产设备一览表</w:t>
            </w:r>
          </w:p>
          <w:tbl>
            <w:tblPr>
              <w:tblStyle w:val="27"/>
              <w:tblW w:w="4993"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fixed"/>
              <w:tblCellMar>
                <w:top w:w="0" w:type="dxa"/>
                <w:left w:w="79" w:type="dxa"/>
                <w:bottom w:w="0" w:type="dxa"/>
                <w:right w:w="79" w:type="dxa"/>
              </w:tblCellMar>
            </w:tblPr>
            <w:tblGrid>
              <w:gridCol w:w="622"/>
              <w:gridCol w:w="1507"/>
              <w:gridCol w:w="1584"/>
              <w:gridCol w:w="890"/>
              <w:gridCol w:w="872"/>
              <w:gridCol w:w="920"/>
              <w:gridCol w:w="1603"/>
            </w:tblGrid>
            <w:tr w14:paraId="40BE7EB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restart"/>
                  <w:noWrap w:val="0"/>
                  <w:vAlign w:val="center"/>
                </w:tcPr>
                <w:p w14:paraId="1CA6BA9A">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类别</w:t>
                  </w:r>
                </w:p>
              </w:tc>
              <w:tc>
                <w:tcPr>
                  <w:tcW w:w="942" w:type="pct"/>
                  <w:vMerge w:val="restart"/>
                  <w:noWrap w:val="0"/>
                  <w:vAlign w:val="center"/>
                </w:tcPr>
                <w:p w14:paraId="0F488826">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设备名称</w:t>
                  </w:r>
                </w:p>
              </w:tc>
              <w:tc>
                <w:tcPr>
                  <w:tcW w:w="990" w:type="pct"/>
                  <w:vMerge w:val="restart"/>
                  <w:noWrap w:val="0"/>
                  <w:vAlign w:val="center"/>
                </w:tcPr>
                <w:p w14:paraId="124AC5E7">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color w:val="auto"/>
                      <w:sz w:val="21"/>
                      <w:szCs w:val="21"/>
                    </w:rPr>
                    <w:t>规格型号</w:t>
                  </w:r>
                </w:p>
              </w:tc>
              <w:tc>
                <w:tcPr>
                  <w:tcW w:w="1676" w:type="pct"/>
                  <w:gridSpan w:val="3"/>
                  <w:tcBorders>
                    <w:bottom w:val="single" w:color="auto" w:sz="4" w:space="0"/>
                  </w:tcBorders>
                  <w:noWrap w:val="0"/>
                  <w:vAlign w:val="center"/>
                </w:tcPr>
                <w:p w14:paraId="7303F7E9">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数量（台/套）</w:t>
                  </w:r>
                </w:p>
              </w:tc>
              <w:tc>
                <w:tcPr>
                  <w:tcW w:w="1002" w:type="pct"/>
                  <w:vMerge w:val="restart"/>
                  <w:noWrap w:val="0"/>
                  <w:vAlign w:val="center"/>
                </w:tcPr>
                <w:p w14:paraId="22B591CF">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备注</w:t>
                  </w:r>
                </w:p>
              </w:tc>
            </w:tr>
            <w:tr w14:paraId="0103F8D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32CDCFDC">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
                      <w:bCs/>
                      <w:color w:val="auto"/>
                      <w:sz w:val="21"/>
                      <w:szCs w:val="21"/>
                    </w:rPr>
                  </w:pPr>
                </w:p>
              </w:tc>
              <w:tc>
                <w:tcPr>
                  <w:tcW w:w="942" w:type="pct"/>
                  <w:vMerge w:val="continue"/>
                  <w:noWrap w:val="0"/>
                  <w:vAlign w:val="center"/>
                </w:tcPr>
                <w:p w14:paraId="51664A5D">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
                      <w:bCs/>
                      <w:color w:val="auto"/>
                      <w:sz w:val="21"/>
                      <w:szCs w:val="21"/>
                    </w:rPr>
                  </w:pPr>
                </w:p>
              </w:tc>
              <w:tc>
                <w:tcPr>
                  <w:tcW w:w="990" w:type="pct"/>
                  <w:vMerge w:val="continue"/>
                  <w:noWrap w:val="0"/>
                  <w:vAlign w:val="center"/>
                </w:tcPr>
                <w:p w14:paraId="64C0E2A5">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
                      <w:bCs/>
                      <w:color w:val="auto"/>
                      <w:sz w:val="21"/>
                      <w:szCs w:val="21"/>
                    </w:rPr>
                  </w:pPr>
                </w:p>
              </w:tc>
              <w:tc>
                <w:tcPr>
                  <w:tcW w:w="556" w:type="pct"/>
                  <w:tcBorders>
                    <w:top w:val="single" w:color="auto" w:sz="4" w:space="0"/>
                    <w:right w:val="single" w:color="000000" w:sz="4" w:space="0"/>
                  </w:tcBorders>
                  <w:noWrap w:val="0"/>
                  <w:vAlign w:val="center"/>
                </w:tcPr>
                <w:p w14:paraId="51F9D31A">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扩建前</w:t>
                  </w:r>
                </w:p>
              </w:tc>
              <w:tc>
                <w:tcPr>
                  <w:tcW w:w="545" w:type="pct"/>
                  <w:tcBorders>
                    <w:top w:val="single" w:color="auto" w:sz="4" w:space="0"/>
                    <w:left w:val="single" w:color="000000" w:sz="4" w:space="0"/>
                    <w:right w:val="single" w:color="auto" w:sz="4" w:space="0"/>
                  </w:tcBorders>
                  <w:noWrap w:val="0"/>
                  <w:vAlign w:val="center"/>
                </w:tcPr>
                <w:p w14:paraId="4A87C8FC">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扩建后</w:t>
                  </w:r>
                </w:p>
              </w:tc>
              <w:tc>
                <w:tcPr>
                  <w:tcW w:w="575" w:type="pct"/>
                  <w:tcBorders>
                    <w:top w:val="single" w:color="auto" w:sz="4" w:space="0"/>
                    <w:left w:val="single" w:color="auto" w:sz="4" w:space="0"/>
                    <w:right w:val="single" w:color="auto" w:sz="4" w:space="0"/>
                  </w:tcBorders>
                  <w:noWrap w:val="0"/>
                  <w:vAlign w:val="center"/>
                </w:tcPr>
                <w:p w14:paraId="2EF9D358">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变化量</w:t>
                  </w:r>
                </w:p>
              </w:tc>
              <w:tc>
                <w:tcPr>
                  <w:tcW w:w="1002" w:type="pct"/>
                  <w:vMerge w:val="continue"/>
                  <w:noWrap w:val="0"/>
                  <w:vAlign w:val="center"/>
                </w:tcPr>
                <w:p w14:paraId="0A27A287">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
                      <w:bCs/>
                      <w:color w:val="auto"/>
                      <w:sz w:val="21"/>
                      <w:szCs w:val="21"/>
                    </w:rPr>
                  </w:pPr>
                </w:p>
              </w:tc>
            </w:tr>
            <w:tr w14:paraId="5B150E2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restart"/>
                  <w:noWrap w:val="0"/>
                  <w:vAlign w:val="center"/>
                </w:tcPr>
                <w:p w14:paraId="7C21317F">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生产设备</w:t>
                  </w:r>
                </w:p>
                <w:p w14:paraId="0467EFA5">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color w:val="auto"/>
                    </w:rPr>
                  </w:pPr>
                </w:p>
                <w:p w14:paraId="43F74431">
                  <w:pPr>
                    <w:pStyle w:val="7"/>
                    <w:keepNext w:val="0"/>
                    <w:keepLines w:val="0"/>
                    <w:pageBreakBefore w:val="0"/>
                    <w:kinsoku/>
                    <w:wordWrap/>
                    <w:overflowPunct/>
                    <w:topLinePunct w:val="0"/>
                    <w:autoSpaceDE/>
                    <w:autoSpaceDN/>
                    <w:bidi w:val="0"/>
                    <w:adjustRightInd w:val="0"/>
                    <w:snapToGrid w:val="0"/>
                    <w:spacing w:before="0" w:after="0" w:line="240" w:lineRule="auto"/>
                    <w:ind w:left="0" w:right="0"/>
                    <w:jc w:val="center"/>
                    <w:rPr>
                      <w:rFonts w:hint="default" w:ascii="Times New Roman" w:hAnsi="Times New Roman" w:eastAsia="仿宋" w:cs="Times New Roman"/>
                      <w:color w:val="auto"/>
                    </w:rPr>
                  </w:pPr>
                </w:p>
              </w:tc>
              <w:tc>
                <w:tcPr>
                  <w:tcW w:w="942" w:type="pct"/>
                  <w:noWrap w:val="0"/>
                  <w:vAlign w:val="center"/>
                </w:tcPr>
                <w:p w14:paraId="434F5C07">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卧式车床</w:t>
                  </w:r>
                </w:p>
              </w:tc>
              <w:tc>
                <w:tcPr>
                  <w:tcW w:w="990" w:type="pct"/>
                  <w:tcBorders>
                    <w:right w:val="single" w:color="auto" w:sz="4" w:space="0"/>
                  </w:tcBorders>
                  <w:noWrap w:val="0"/>
                  <w:vAlign w:val="center"/>
                </w:tcPr>
                <w:p w14:paraId="5C1392D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lang w:val="en-US" w:eastAsia="zh-CN"/>
                    </w:rPr>
                    <w:t>CW6180</w:t>
                  </w:r>
                </w:p>
              </w:tc>
              <w:tc>
                <w:tcPr>
                  <w:tcW w:w="556" w:type="pct"/>
                  <w:tcBorders>
                    <w:right w:val="single" w:color="auto" w:sz="4" w:space="0"/>
                  </w:tcBorders>
                  <w:noWrap w:val="0"/>
                  <w:vAlign w:val="center"/>
                </w:tcPr>
                <w:p w14:paraId="4B0D9106">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4</w:t>
                  </w:r>
                </w:p>
              </w:tc>
              <w:tc>
                <w:tcPr>
                  <w:tcW w:w="545" w:type="pct"/>
                  <w:tcBorders>
                    <w:left w:val="single" w:color="auto" w:sz="4" w:space="0"/>
                    <w:right w:val="single" w:color="auto" w:sz="4" w:space="0"/>
                  </w:tcBorders>
                  <w:noWrap w:val="0"/>
                  <w:vAlign w:val="center"/>
                </w:tcPr>
                <w:p w14:paraId="54FD4408">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kern w:val="2"/>
                      <w:sz w:val="21"/>
                      <w:szCs w:val="21"/>
                      <w:lang w:val="en-US" w:eastAsia="zh-CN" w:bidi="ar-SA"/>
                    </w:rPr>
                    <w:t>4</w:t>
                  </w:r>
                </w:p>
              </w:tc>
              <w:tc>
                <w:tcPr>
                  <w:tcW w:w="575" w:type="pct"/>
                  <w:tcBorders>
                    <w:left w:val="single" w:color="auto" w:sz="4" w:space="0"/>
                  </w:tcBorders>
                  <w:noWrap w:val="0"/>
                  <w:vAlign w:val="center"/>
                </w:tcPr>
                <w:p w14:paraId="27C4B651">
                  <w:pPr>
                    <w:keepNext w:val="0"/>
                    <w:keepLines w:val="0"/>
                    <w:widowControl/>
                    <w:suppressLineNumbers w:val="0"/>
                    <w:jc w:val="center"/>
                    <w:textAlignment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+0</w:t>
                  </w:r>
                </w:p>
              </w:tc>
              <w:tc>
                <w:tcPr>
                  <w:tcW w:w="1002" w:type="pct"/>
                  <w:vMerge w:val="restart"/>
                  <w:tcBorders>
                    <w:left w:val="single" w:color="auto" w:sz="4" w:space="0"/>
                  </w:tcBorders>
                  <w:noWrap w:val="0"/>
                  <w:vAlign w:val="center"/>
                </w:tcPr>
                <w:p w14:paraId="6CDB9BC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依托原有</w:t>
                  </w:r>
                  <w:r>
                    <w:rPr>
                      <w:rFonts w:hint="eastAsia" w:eastAsia="仿宋" w:cs="Times New Roman"/>
                      <w:i w:val="0"/>
                      <w:iCs w:val="0"/>
                      <w:color w:val="auto"/>
                      <w:kern w:val="0"/>
                      <w:sz w:val="21"/>
                      <w:szCs w:val="21"/>
                      <w:u w:val="none"/>
                      <w:lang w:val="en-US" w:eastAsia="zh-CN" w:bidi="ar"/>
                    </w:rPr>
                    <w:t>并调整设备位置</w:t>
                  </w:r>
                </w:p>
              </w:tc>
            </w:tr>
            <w:tr w14:paraId="16FD03B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51ABA575">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18BA29C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Cs/>
                      <w:color w:val="auto"/>
                      <w:kern w:val="2"/>
                      <w:sz w:val="21"/>
                      <w:szCs w:val="21"/>
                      <w:lang w:val="en-US" w:eastAsia="zh-CN" w:bidi="ar-SA"/>
                    </w:rPr>
                    <w:t>摇臂钻床</w:t>
                  </w:r>
                </w:p>
              </w:tc>
              <w:tc>
                <w:tcPr>
                  <w:tcW w:w="990" w:type="pct"/>
                  <w:tcBorders>
                    <w:right w:val="single" w:color="auto" w:sz="4" w:space="0"/>
                  </w:tcBorders>
                  <w:noWrap w:val="0"/>
                  <w:vAlign w:val="center"/>
                </w:tcPr>
                <w:p w14:paraId="2A65E959">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w:t>
                  </w:r>
                </w:p>
              </w:tc>
              <w:tc>
                <w:tcPr>
                  <w:tcW w:w="556" w:type="pct"/>
                  <w:tcBorders>
                    <w:right w:val="single" w:color="auto" w:sz="4" w:space="0"/>
                  </w:tcBorders>
                  <w:noWrap w:val="0"/>
                  <w:vAlign w:val="center"/>
                </w:tcPr>
                <w:p w14:paraId="53A6A1DB">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3</w:t>
                  </w:r>
                </w:p>
              </w:tc>
              <w:tc>
                <w:tcPr>
                  <w:tcW w:w="545" w:type="pct"/>
                  <w:tcBorders>
                    <w:left w:val="single" w:color="auto" w:sz="4" w:space="0"/>
                    <w:right w:val="single" w:color="auto" w:sz="4" w:space="0"/>
                  </w:tcBorders>
                  <w:noWrap w:val="0"/>
                  <w:vAlign w:val="center"/>
                </w:tcPr>
                <w:p w14:paraId="26FDBD3C">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kern w:val="2"/>
                      <w:sz w:val="21"/>
                      <w:szCs w:val="21"/>
                      <w:lang w:val="en-US" w:eastAsia="zh-CN" w:bidi="ar-SA"/>
                    </w:rPr>
                    <w:t>3</w:t>
                  </w:r>
                </w:p>
              </w:tc>
              <w:tc>
                <w:tcPr>
                  <w:tcW w:w="575" w:type="pct"/>
                  <w:tcBorders>
                    <w:left w:val="single" w:color="auto" w:sz="4" w:space="0"/>
                  </w:tcBorders>
                  <w:noWrap w:val="0"/>
                  <w:vAlign w:val="center"/>
                </w:tcPr>
                <w:p w14:paraId="6B1CC92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Cs/>
                      <w:color w:val="auto"/>
                      <w:sz w:val="21"/>
                      <w:szCs w:val="21"/>
                      <w:lang w:val="en-US" w:eastAsia="zh-CN"/>
                    </w:rPr>
                    <w:t>+0</w:t>
                  </w:r>
                </w:p>
              </w:tc>
              <w:tc>
                <w:tcPr>
                  <w:tcW w:w="1002" w:type="pct"/>
                  <w:vMerge w:val="continue"/>
                  <w:tcBorders>
                    <w:left w:val="single" w:color="auto" w:sz="4" w:space="0"/>
                  </w:tcBorders>
                  <w:noWrap w:val="0"/>
                  <w:vAlign w:val="center"/>
                </w:tcPr>
                <w:p w14:paraId="3321DA6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r>
            <w:tr w14:paraId="48828E8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90" w:hRule="atLeast"/>
                <w:jc w:val="center"/>
              </w:trPr>
              <w:tc>
                <w:tcPr>
                  <w:tcW w:w="388" w:type="pct"/>
                  <w:vMerge w:val="continue"/>
                  <w:noWrap w:val="0"/>
                  <w:vAlign w:val="center"/>
                </w:tcPr>
                <w:p w14:paraId="3572AE90">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385BE4A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Cs/>
                      <w:color w:val="auto"/>
                      <w:kern w:val="2"/>
                      <w:sz w:val="21"/>
                      <w:szCs w:val="21"/>
                      <w:lang w:val="en-US" w:eastAsia="zh-CN" w:bidi="ar-SA"/>
                    </w:rPr>
                    <w:t>卷板机</w:t>
                  </w:r>
                </w:p>
              </w:tc>
              <w:tc>
                <w:tcPr>
                  <w:tcW w:w="990" w:type="pct"/>
                  <w:tcBorders>
                    <w:right w:val="single" w:color="auto" w:sz="4" w:space="0"/>
                  </w:tcBorders>
                  <w:noWrap w:val="0"/>
                  <w:vAlign w:val="center"/>
                </w:tcPr>
                <w:p w14:paraId="742248F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lang w:val="en-US" w:eastAsia="zh-CN" w:bidi="ar"/>
                    </w:rPr>
                    <w:t>/</w:t>
                  </w:r>
                </w:p>
              </w:tc>
              <w:tc>
                <w:tcPr>
                  <w:tcW w:w="556" w:type="pct"/>
                  <w:tcBorders>
                    <w:right w:val="single" w:color="auto" w:sz="4" w:space="0"/>
                  </w:tcBorders>
                  <w:noWrap w:val="0"/>
                  <w:vAlign w:val="center"/>
                </w:tcPr>
                <w:p w14:paraId="5D264394">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w:t>
                  </w:r>
                </w:p>
              </w:tc>
              <w:tc>
                <w:tcPr>
                  <w:tcW w:w="545" w:type="pct"/>
                  <w:tcBorders>
                    <w:left w:val="single" w:color="auto" w:sz="4" w:space="0"/>
                    <w:right w:val="single" w:color="auto" w:sz="4" w:space="0"/>
                  </w:tcBorders>
                  <w:noWrap w:val="0"/>
                  <w:vAlign w:val="center"/>
                </w:tcPr>
                <w:p w14:paraId="297F17AF">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w:t>
                  </w:r>
                </w:p>
              </w:tc>
              <w:tc>
                <w:tcPr>
                  <w:tcW w:w="575" w:type="pct"/>
                  <w:tcBorders>
                    <w:top w:val="single" w:color="auto" w:sz="4" w:space="0"/>
                    <w:left w:val="single" w:color="auto" w:sz="4" w:space="0"/>
                  </w:tcBorders>
                  <w:noWrap w:val="0"/>
                  <w:vAlign w:val="center"/>
                </w:tcPr>
                <w:p w14:paraId="5C4C829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Cs/>
                      <w:color w:val="auto"/>
                      <w:sz w:val="21"/>
                      <w:szCs w:val="21"/>
                      <w:lang w:val="en-US" w:eastAsia="zh-CN"/>
                    </w:rPr>
                    <w:t>+0</w:t>
                  </w:r>
                </w:p>
              </w:tc>
              <w:tc>
                <w:tcPr>
                  <w:tcW w:w="1002" w:type="pct"/>
                  <w:vMerge w:val="continue"/>
                  <w:tcBorders>
                    <w:left w:val="single" w:color="auto" w:sz="4" w:space="0"/>
                  </w:tcBorders>
                  <w:noWrap w:val="0"/>
                  <w:vAlign w:val="center"/>
                </w:tcPr>
                <w:p w14:paraId="4CC50CD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i w:val="0"/>
                      <w:iCs w:val="0"/>
                      <w:color w:val="auto"/>
                      <w:kern w:val="0"/>
                      <w:sz w:val="21"/>
                      <w:szCs w:val="21"/>
                      <w:u w:val="none"/>
                      <w:lang w:val="en-US" w:eastAsia="zh-CN" w:bidi="ar"/>
                    </w:rPr>
                  </w:pPr>
                </w:p>
              </w:tc>
            </w:tr>
            <w:tr w14:paraId="23C6607D">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57FA2CE1">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5B6895D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Cs/>
                      <w:color w:val="auto"/>
                      <w:kern w:val="2"/>
                      <w:sz w:val="21"/>
                      <w:szCs w:val="21"/>
                      <w:lang w:val="en-US" w:eastAsia="zh-CN" w:bidi="ar-SA"/>
                    </w:rPr>
                    <w:t>锯床</w:t>
                  </w:r>
                </w:p>
              </w:tc>
              <w:tc>
                <w:tcPr>
                  <w:tcW w:w="990" w:type="pct"/>
                  <w:tcBorders>
                    <w:right w:val="single" w:color="auto" w:sz="4" w:space="0"/>
                  </w:tcBorders>
                  <w:noWrap w:val="0"/>
                  <w:vAlign w:val="center"/>
                </w:tcPr>
                <w:p w14:paraId="51D983C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GW4028</w:t>
                  </w:r>
                </w:p>
              </w:tc>
              <w:tc>
                <w:tcPr>
                  <w:tcW w:w="556" w:type="pct"/>
                  <w:tcBorders>
                    <w:right w:val="single" w:color="auto" w:sz="4" w:space="0"/>
                  </w:tcBorders>
                  <w:noWrap w:val="0"/>
                  <w:vAlign w:val="center"/>
                </w:tcPr>
                <w:p w14:paraId="693A101B">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w:t>
                  </w:r>
                </w:p>
              </w:tc>
              <w:tc>
                <w:tcPr>
                  <w:tcW w:w="545" w:type="pct"/>
                  <w:tcBorders>
                    <w:left w:val="single" w:color="auto" w:sz="4" w:space="0"/>
                    <w:right w:val="single" w:color="auto" w:sz="4" w:space="0"/>
                  </w:tcBorders>
                  <w:noWrap w:val="0"/>
                  <w:vAlign w:val="center"/>
                </w:tcPr>
                <w:p w14:paraId="58522EF4">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w:t>
                  </w:r>
                </w:p>
              </w:tc>
              <w:tc>
                <w:tcPr>
                  <w:tcW w:w="575" w:type="pct"/>
                  <w:tcBorders>
                    <w:top w:val="single" w:color="auto" w:sz="4" w:space="0"/>
                    <w:left w:val="single" w:color="auto" w:sz="4" w:space="0"/>
                  </w:tcBorders>
                  <w:noWrap w:val="0"/>
                  <w:vAlign w:val="center"/>
                </w:tcPr>
                <w:p w14:paraId="70B62EF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Cs/>
                      <w:color w:val="auto"/>
                      <w:sz w:val="21"/>
                      <w:szCs w:val="21"/>
                      <w:lang w:val="en-US" w:eastAsia="zh-CN"/>
                    </w:rPr>
                    <w:t>+0</w:t>
                  </w:r>
                </w:p>
              </w:tc>
              <w:tc>
                <w:tcPr>
                  <w:tcW w:w="1002" w:type="pct"/>
                  <w:vMerge w:val="continue"/>
                  <w:tcBorders>
                    <w:left w:val="single" w:color="auto" w:sz="4" w:space="0"/>
                  </w:tcBorders>
                  <w:noWrap w:val="0"/>
                  <w:vAlign w:val="center"/>
                </w:tcPr>
                <w:p w14:paraId="01CAB554">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r>
            <w:tr w14:paraId="4A44F25D">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3856D7D5">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2515BC72">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氩弧焊机</w:t>
                  </w:r>
                </w:p>
              </w:tc>
              <w:tc>
                <w:tcPr>
                  <w:tcW w:w="990" w:type="pct"/>
                  <w:tcBorders>
                    <w:right w:val="single" w:color="auto" w:sz="4" w:space="0"/>
                  </w:tcBorders>
                  <w:noWrap w:val="0"/>
                  <w:vAlign w:val="center"/>
                </w:tcPr>
                <w:p w14:paraId="08CAC700">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w:t>
                  </w:r>
                </w:p>
              </w:tc>
              <w:tc>
                <w:tcPr>
                  <w:tcW w:w="556" w:type="pct"/>
                  <w:tcBorders>
                    <w:right w:val="single" w:color="auto" w:sz="4" w:space="0"/>
                  </w:tcBorders>
                  <w:noWrap w:val="0"/>
                  <w:vAlign w:val="center"/>
                </w:tcPr>
                <w:p w14:paraId="031D534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20</w:t>
                  </w:r>
                </w:p>
              </w:tc>
              <w:tc>
                <w:tcPr>
                  <w:tcW w:w="545" w:type="pct"/>
                  <w:tcBorders>
                    <w:left w:val="single" w:color="auto" w:sz="4" w:space="0"/>
                    <w:right w:val="single" w:color="auto" w:sz="4" w:space="0"/>
                  </w:tcBorders>
                  <w:noWrap w:val="0"/>
                  <w:vAlign w:val="center"/>
                </w:tcPr>
                <w:p w14:paraId="33622DA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20</w:t>
                  </w:r>
                </w:p>
              </w:tc>
              <w:tc>
                <w:tcPr>
                  <w:tcW w:w="575" w:type="pct"/>
                  <w:tcBorders>
                    <w:top w:val="single" w:color="auto" w:sz="4" w:space="0"/>
                    <w:left w:val="single" w:color="auto" w:sz="4" w:space="0"/>
                  </w:tcBorders>
                  <w:noWrap w:val="0"/>
                  <w:vAlign w:val="center"/>
                </w:tcPr>
                <w:p w14:paraId="305E4F7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Cs/>
                      <w:color w:val="auto"/>
                      <w:sz w:val="21"/>
                      <w:szCs w:val="21"/>
                      <w:lang w:val="en-US" w:eastAsia="zh-CN"/>
                    </w:rPr>
                    <w:t>+0</w:t>
                  </w:r>
                </w:p>
              </w:tc>
              <w:tc>
                <w:tcPr>
                  <w:tcW w:w="1002" w:type="pct"/>
                  <w:vMerge w:val="continue"/>
                  <w:tcBorders>
                    <w:left w:val="single" w:color="auto" w:sz="4" w:space="0"/>
                  </w:tcBorders>
                  <w:noWrap w:val="0"/>
                  <w:vAlign w:val="center"/>
                </w:tcPr>
                <w:p w14:paraId="5C8D6A6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r>
            <w:tr w14:paraId="3277A088">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7B9B2DC3">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11C8E969">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气保焊机</w:t>
                  </w:r>
                </w:p>
              </w:tc>
              <w:tc>
                <w:tcPr>
                  <w:tcW w:w="990" w:type="pct"/>
                  <w:tcBorders>
                    <w:right w:val="single" w:color="auto" w:sz="4" w:space="0"/>
                  </w:tcBorders>
                  <w:noWrap w:val="0"/>
                  <w:vAlign w:val="center"/>
                </w:tcPr>
                <w:p w14:paraId="664AC7EF">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w:t>
                  </w:r>
                </w:p>
              </w:tc>
              <w:tc>
                <w:tcPr>
                  <w:tcW w:w="556" w:type="pct"/>
                  <w:tcBorders>
                    <w:right w:val="single" w:color="auto" w:sz="4" w:space="0"/>
                  </w:tcBorders>
                  <w:noWrap w:val="0"/>
                  <w:vAlign w:val="center"/>
                </w:tcPr>
                <w:p w14:paraId="2DBA388B">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2</w:t>
                  </w:r>
                </w:p>
              </w:tc>
              <w:tc>
                <w:tcPr>
                  <w:tcW w:w="545" w:type="pct"/>
                  <w:tcBorders>
                    <w:left w:val="single" w:color="auto" w:sz="4" w:space="0"/>
                    <w:right w:val="single" w:color="auto" w:sz="4" w:space="0"/>
                  </w:tcBorders>
                  <w:noWrap w:val="0"/>
                  <w:vAlign w:val="center"/>
                </w:tcPr>
                <w:p w14:paraId="3ADC348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4</w:t>
                  </w:r>
                </w:p>
              </w:tc>
              <w:tc>
                <w:tcPr>
                  <w:tcW w:w="575" w:type="pct"/>
                  <w:tcBorders>
                    <w:top w:val="single" w:color="auto" w:sz="4" w:space="0"/>
                    <w:left w:val="single" w:color="auto" w:sz="4" w:space="0"/>
                  </w:tcBorders>
                  <w:noWrap w:val="0"/>
                  <w:vAlign w:val="center"/>
                </w:tcPr>
                <w:p w14:paraId="3E8479C8">
                  <w:pPr>
                    <w:keepNext w:val="0"/>
                    <w:keepLines w:val="0"/>
                    <w:widowControl/>
                    <w:suppressLineNumbers w:val="0"/>
                    <w:jc w:val="center"/>
                    <w:textAlignment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lang w:val="en-US" w:eastAsia="zh-CN"/>
                    </w:rPr>
                    <w:t>+2</w:t>
                  </w:r>
                </w:p>
              </w:tc>
              <w:tc>
                <w:tcPr>
                  <w:tcW w:w="1002" w:type="pct"/>
                  <w:tcBorders>
                    <w:left w:val="single" w:color="auto" w:sz="4" w:space="0"/>
                  </w:tcBorders>
                  <w:noWrap w:val="0"/>
                  <w:vAlign w:val="center"/>
                </w:tcPr>
                <w:p w14:paraId="7C63C0EB">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新增2台</w:t>
                  </w:r>
                </w:p>
              </w:tc>
            </w:tr>
            <w:tr w14:paraId="55089EF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0CBD8785">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2F64FB69">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龙门加工中心</w:t>
                  </w:r>
                </w:p>
              </w:tc>
              <w:tc>
                <w:tcPr>
                  <w:tcW w:w="990" w:type="pct"/>
                  <w:tcBorders>
                    <w:right w:val="single" w:color="auto" w:sz="4" w:space="0"/>
                  </w:tcBorders>
                  <w:noWrap w:val="0"/>
                  <w:vAlign w:val="center"/>
                </w:tcPr>
                <w:p w14:paraId="1F2D47E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lang w:val="en-US" w:eastAsia="zh-CN" w:bidi="ar"/>
                    </w:rPr>
                    <w:t>/</w:t>
                  </w:r>
                </w:p>
              </w:tc>
              <w:tc>
                <w:tcPr>
                  <w:tcW w:w="556" w:type="pct"/>
                  <w:tcBorders>
                    <w:right w:val="single" w:color="auto" w:sz="4" w:space="0"/>
                  </w:tcBorders>
                  <w:noWrap w:val="0"/>
                  <w:vAlign w:val="center"/>
                </w:tcPr>
                <w:p w14:paraId="789B227A">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w:t>
                  </w:r>
                </w:p>
              </w:tc>
              <w:tc>
                <w:tcPr>
                  <w:tcW w:w="545" w:type="pct"/>
                  <w:tcBorders>
                    <w:left w:val="single" w:color="auto" w:sz="4" w:space="0"/>
                    <w:right w:val="single" w:color="auto" w:sz="4" w:space="0"/>
                  </w:tcBorders>
                  <w:noWrap w:val="0"/>
                  <w:vAlign w:val="center"/>
                </w:tcPr>
                <w:p w14:paraId="3F5E6B9E">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10</w:t>
                  </w:r>
                </w:p>
              </w:tc>
              <w:tc>
                <w:tcPr>
                  <w:tcW w:w="575" w:type="pct"/>
                  <w:tcBorders>
                    <w:top w:val="single" w:color="auto" w:sz="4" w:space="0"/>
                    <w:left w:val="single" w:color="auto" w:sz="4" w:space="0"/>
                  </w:tcBorders>
                  <w:noWrap w:val="0"/>
                  <w:vAlign w:val="center"/>
                </w:tcPr>
                <w:p w14:paraId="0DE20EC6">
                  <w:pPr>
                    <w:keepNext w:val="0"/>
                    <w:keepLines w:val="0"/>
                    <w:widowControl/>
                    <w:suppressLineNumbers w:val="0"/>
                    <w:jc w:val="center"/>
                    <w:textAlignment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lang w:val="en-US" w:eastAsia="zh-CN"/>
                    </w:rPr>
                    <w:t>+9</w:t>
                  </w:r>
                </w:p>
              </w:tc>
              <w:tc>
                <w:tcPr>
                  <w:tcW w:w="1002" w:type="pct"/>
                  <w:tcBorders>
                    <w:left w:val="single" w:color="auto" w:sz="4" w:space="0"/>
                  </w:tcBorders>
                  <w:noWrap w:val="0"/>
                  <w:vAlign w:val="center"/>
                </w:tcPr>
                <w:p w14:paraId="1DAC623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新增9台</w:t>
                  </w:r>
                </w:p>
              </w:tc>
            </w:tr>
            <w:tr w14:paraId="5730031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0F1DEC73">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1A35A00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Cs/>
                      <w:color w:val="auto"/>
                      <w:kern w:val="2"/>
                      <w:sz w:val="21"/>
                      <w:szCs w:val="21"/>
                      <w:lang w:val="en-US" w:eastAsia="zh-CN" w:bidi="ar-SA"/>
                    </w:rPr>
                    <w:t>角磨机</w:t>
                  </w:r>
                </w:p>
              </w:tc>
              <w:tc>
                <w:tcPr>
                  <w:tcW w:w="990" w:type="pct"/>
                  <w:tcBorders>
                    <w:right w:val="single" w:color="auto" w:sz="4" w:space="0"/>
                  </w:tcBorders>
                  <w:noWrap w:val="0"/>
                  <w:vAlign w:val="center"/>
                </w:tcPr>
                <w:p w14:paraId="73EFFF2C">
                  <w:pPr>
                    <w:keepNext w:val="0"/>
                    <w:keepLines w:val="0"/>
                    <w:widowControl/>
                    <w:suppressLineNumbers w:val="0"/>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lang w:val="en-US" w:eastAsia="zh-CN" w:bidi="ar"/>
                    </w:rPr>
                    <w:t>/</w:t>
                  </w:r>
                </w:p>
              </w:tc>
              <w:tc>
                <w:tcPr>
                  <w:tcW w:w="556" w:type="pct"/>
                  <w:tcBorders>
                    <w:right w:val="single" w:color="auto" w:sz="4" w:space="0"/>
                  </w:tcBorders>
                  <w:noWrap w:val="0"/>
                  <w:vAlign w:val="center"/>
                </w:tcPr>
                <w:p w14:paraId="3FCEF105">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20</w:t>
                  </w:r>
                </w:p>
              </w:tc>
              <w:tc>
                <w:tcPr>
                  <w:tcW w:w="545" w:type="pct"/>
                  <w:tcBorders>
                    <w:left w:val="single" w:color="auto" w:sz="4" w:space="0"/>
                    <w:right w:val="single" w:color="auto" w:sz="4" w:space="0"/>
                  </w:tcBorders>
                  <w:noWrap w:val="0"/>
                  <w:vAlign w:val="center"/>
                </w:tcPr>
                <w:p w14:paraId="426BC498">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20</w:t>
                  </w:r>
                </w:p>
              </w:tc>
              <w:tc>
                <w:tcPr>
                  <w:tcW w:w="575" w:type="pct"/>
                  <w:tcBorders>
                    <w:top w:val="single" w:color="auto" w:sz="4" w:space="0"/>
                    <w:left w:val="single" w:color="auto" w:sz="4" w:space="0"/>
                  </w:tcBorders>
                  <w:noWrap w:val="0"/>
                  <w:vAlign w:val="center"/>
                </w:tcPr>
                <w:p w14:paraId="23D4851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Cs/>
                      <w:color w:val="auto"/>
                      <w:sz w:val="21"/>
                      <w:szCs w:val="21"/>
                      <w:lang w:val="en-US" w:eastAsia="zh-CN"/>
                    </w:rPr>
                    <w:t>+0</w:t>
                  </w:r>
                </w:p>
              </w:tc>
              <w:tc>
                <w:tcPr>
                  <w:tcW w:w="1002" w:type="pct"/>
                  <w:tcBorders>
                    <w:left w:val="single" w:color="auto" w:sz="4" w:space="0"/>
                  </w:tcBorders>
                  <w:noWrap w:val="0"/>
                  <w:vAlign w:val="center"/>
                </w:tcPr>
                <w:p w14:paraId="0891926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依托原有</w:t>
                  </w:r>
                  <w:r>
                    <w:rPr>
                      <w:rFonts w:hint="eastAsia" w:eastAsia="仿宋" w:cs="Times New Roman"/>
                      <w:i w:val="0"/>
                      <w:iCs w:val="0"/>
                      <w:color w:val="auto"/>
                      <w:kern w:val="0"/>
                      <w:sz w:val="21"/>
                      <w:szCs w:val="21"/>
                      <w:u w:val="none"/>
                      <w:lang w:val="en-US" w:eastAsia="zh-CN" w:bidi="ar"/>
                    </w:rPr>
                    <w:t>并调整设备位置</w:t>
                  </w:r>
                </w:p>
              </w:tc>
            </w:tr>
            <w:tr w14:paraId="68FB229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24D0F3C8">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1C2D85F5">
                  <w:pPr>
                    <w:spacing w:line="240" w:lineRule="auto"/>
                    <w:ind w:firstLine="0" w:firstLineChars="0"/>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lang w:val="en-US" w:eastAsia="zh-CN"/>
                    </w:rPr>
                    <w:t>卷圆机</w:t>
                  </w:r>
                </w:p>
              </w:tc>
              <w:tc>
                <w:tcPr>
                  <w:tcW w:w="990" w:type="pct"/>
                  <w:tcBorders>
                    <w:right w:val="single" w:color="auto" w:sz="4" w:space="0"/>
                  </w:tcBorders>
                  <w:noWrap w:val="0"/>
                  <w:vAlign w:val="center"/>
                </w:tcPr>
                <w:p w14:paraId="33302EC8">
                  <w:pPr>
                    <w:keepNext w:val="0"/>
                    <w:keepLines w:val="0"/>
                    <w:widowControl/>
                    <w:suppressLineNumbers w:val="0"/>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lang w:val="en-US" w:eastAsia="zh-CN" w:bidi="ar"/>
                    </w:rPr>
                    <w:t>/</w:t>
                  </w:r>
                </w:p>
              </w:tc>
              <w:tc>
                <w:tcPr>
                  <w:tcW w:w="556" w:type="pct"/>
                  <w:tcBorders>
                    <w:right w:val="single" w:color="auto" w:sz="4" w:space="0"/>
                  </w:tcBorders>
                  <w:noWrap w:val="0"/>
                  <w:vAlign w:val="center"/>
                </w:tcPr>
                <w:p w14:paraId="664356A5">
                  <w:pPr>
                    <w:spacing w:line="240" w:lineRule="auto"/>
                    <w:ind w:firstLine="0" w:firstLine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0</w:t>
                  </w:r>
                </w:p>
              </w:tc>
              <w:tc>
                <w:tcPr>
                  <w:tcW w:w="545" w:type="pct"/>
                  <w:tcBorders>
                    <w:left w:val="single" w:color="auto" w:sz="4" w:space="0"/>
                    <w:right w:val="single" w:color="auto" w:sz="4" w:space="0"/>
                  </w:tcBorders>
                  <w:noWrap w:val="0"/>
                  <w:vAlign w:val="center"/>
                </w:tcPr>
                <w:p w14:paraId="16417F7E">
                  <w:pPr>
                    <w:spacing w:line="240" w:lineRule="auto"/>
                    <w:ind w:firstLine="0" w:firstLine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color w:val="auto"/>
                      <w:kern w:val="0"/>
                      <w:sz w:val="21"/>
                      <w:szCs w:val="21"/>
                      <w:lang w:val="en-US" w:eastAsia="zh-CN"/>
                    </w:rPr>
                    <w:t>10</w:t>
                  </w:r>
                </w:p>
              </w:tc>
              <w:tc>
                <w:tcPr>
                  <w:tcW w:w="575" w:type="pct"/>
                  <w:tcBorders>
                    <w:top w:val="single" w:color="auto" w:sz="4" w:space="0"/>
                    <w:left w:val="single" w:color="auto" w:sz="4" w:space="0"/>
                  </w:tcBorders>
                  <w:noWrap w:val="0"/>
                  <w:vAlign w:val="center"/>
                </w:tcPr>
                <w:p w14:paraId="5C3D2E0C">
                  <w:pPr>
                    <w:spacing w:line="240" w:lineRule="auto"/>
                    <w:ind w:firstLine="0" w:firstLineChars="0"/>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Cs/>
                      <w:color w:val="auto"/>
                      <w:sz w:val="21"/>
                      <w:szCs w:val="21"/>
                      <w:lang w:val="en-US" w:eastAsia="zh-CN"/>
                    </w:rPr>
                    <w:t>+</w:t>
                  </w:r>
                  <w:r>
                    <w:rPr>
                      <w:rFonts w:hint="default" w:ascii="Times New Roman" w:hAnsi="Times New Roman" w:eastAsia="仿宋" w:cs="Times New Roman"/>
                      <w:color w:val="auto"/>
                      <w:kern w:val="0"/>
                      <w:sz w:val="21"/>
                      <w:szCs w:val="21"/>
                      <w:lang w:val="en-US" w:eastAsia="zh-CN"/>
                    </w:rPr>
                    <w:t>10</w:t>
                  </w:r>
                </w:p>
              </w:tc>
              <w:tc>
                <w:tcPr>
                  <w:tcW w:w="1002" w:type="pct"/>
                  <w:tcBorders>
                    <w:left w:val="single" w:color="auto" w:sz="4" w:space="0"/>
                  </w:tcBorders>
                  <w:noWrap w:val="0"/>
                  <w:vAlign w:val="center"/>
                </w:tcPr>
                <w:p w14:paraId="7D4261AD">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新增</w:t>
                  </w:r>
                </w:p>
              </w:tc>
            </w:tr>
            <w:tr w14:paraId="5E60F968">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36CD9BC8">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0346830A">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lang w:val="en-US" w:eastAsia="zh-CN"/>
                    </w:rPr>
                    <w:t>立式车床</w:t>
                  </w:r>
                </w:p>
              </w:tc>
              <w:tc>
                <w:tcPr>
                  <w:tcW w:w="990" w:type="pct"/>
                  <w:tcBorders>
                    <w:right w:val="single" w:color="auto" w:sz="4" w:space="0"/>
                  </w:tcBorders>
                  <w:noWrap w:val="0"/>
                  <w:vAlign w:val="center"/>
                </w:tcPr>
                <w:p w14:paraId="28CF53C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lang w:val="en-US" w:eastAsia="zh-CN" w:bidi="ar"/>
                    </w:rPr>
                    <w:t>/</w:t>
                  </w:r>
                </w:p>
              </w:tc>
              <w:tc>
                <w:tcPr>
                  <w:tcW w:w="556" w:type="pct"/>
                  <w:tcBorders>
                    <w:right w:val="single" w:color="auto" w:sz="4" w:space="0"/>
                  </w:tcBorders>
                  <w:noWrap w:val="0"/>
                  <w:vAlign w:val="center"/>
                </w:tcPr>
                <w:p w14:paraId="63743873">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0</w:t>
                  </w:r>
                </w:p>
              </w:tc>
              <w:tc>
                <w:tcPr>
                  <w:tcW w:w="545" w:type="pct"/>
                  <w:tcBorders>
                    <w:left w:val="single" w:color="auto" w:sz="4" w:space="0"/>
                    <w:right w:val="single" w:color="auto" w:sz="4" w:space="0"/>
                  </w:tcBorders>
                  <w:noWrap w:val="0"/>
                  <w:vAlign w:val="center"/>
                </w:tcPr>
                <w:p w14:paraId="69B1A6C3">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15</w:t>
                  </w:r>
                </w:p>
              </w:tc>
              <w:tc>
                <w:tcPr>
                  <w:tcW w:w="575" w:type="pct"/>
                  <w:tcBorders>
                    <w:top w:val="single" w:color="auto" w:sz="4" w:space="0"/>
                    <w:left w:val="single" w:color="auto" w:sz="4" w:space="0"/>
                  </w:tcBorders>
                  <w:noWrap w:val="0"/>
                  <w:vAlign w:val="center"/>
                </w:tcPr>
                <w:p w14:paraId="62DDE7E2">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w:t>
                  </w:r>
                  <w:r>
                    <w:rPr>
                      <w:rFonts w:hint="default" w:ascii="Times New Roman" w:hAnsi="Times New Roman" w:eastAsia="仿宋" w:cs="Times New Roman"/>
                      <w:bCs/>
                      <w:color w:val="auto"/>
                      <w:kern w:val="2"/>
                      <w:sz w:val="21"/>
                      <w:szCs w:val="21"/>
                      <w:lang w:val="en-US" w:eastAsia="zh-CN" w:bidi="ar-SA"/>
                    </w:rPr>
                    <w:t>15</w:t>
                  </w:r>
                </w:p>
              </w:tc>
              <w:tc>
                <w:tcPr>
                  <w:tcW w:w="1002" w:type="pct"/>
                  <w:tcBorders>
                    <w:top w:val="single" w:color="auto" w:sz="4" w:space="0"/>
                    <w:left w:val="single" w:color="auto" w:sz="4" w:space="0"/>
                  </w:tcBorders>
                  <w:noWrap w:val="0"/>
                  <w:vAlign w:val="center"/>
                </w:tcPr>
                <w:p w14:paraId="2B3932B0">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新增</w:t>
                  </w:r>
                </w:p>
              </w:tc>
            </w:tr>
            <w:tr w14:paraId="25AB476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1C59B97F">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2087823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lang w:val="en-US" w:eastAsia="zh-CN"/>
                    </w:rPr>
                    <w:t>镗床</w:t>
                  </w:r>
                </w:p>
              </w:tc>
              <w:tc>
                <w:tcPr>
                  <w:tcW w:w="990" w:type="pct"/>
                  <w:tcBorders>
                    <w:right w:val="single" w:color="auto" w:sz="4" w:space="0"/>
                  </w:tcBorders>
                  <w:noWrap w:val="0"/>
                  <w:vAlign w:val="center"/>
                </w:tcPr>
                <w:p w14:paraId="430873F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lang w:val="en-US" w:eastAsia="zh-CN" w:bidi="ar"/>
                    </w:rPr>
                    <w:t>/</w:t>
                  </w:r>
                </w:p>
              </w:tc>
              <w:tc>
                <w:tcPr>
                  <w:tcW w:w="556" w:type="pct"/>
                  <w:tcBorders>
                    <w:right w:val="single" w:color="auto" w:sz="4" w:space="0"/>
                  </w:tcBorders>
                  <w:noWrap w:val="0"/>
                  <w:vAlign w:val="center"/>
                </w:tcPr>
                <w:p w14:paraId="436199A5">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0</w:t>
                  </w:r>
                </w:p>
              </w:tc>
              <w:tc>
                <w:tcPr>
                  <w:tcW w:w="545" w:type="pct"/>
                  <w:tcBorders>
                    <w:left w:val="single" w:color="auto" w:sz="4" w:space="0"/>
                    <w:right w:val="single" w:color="auto" w:sz="4" w:space="0"/>
                  </w:tcBorders>
                  <w:noWrap w:val="0"/>
                  <w:vAlign w:val="center"/>
                </w:tcPr>
                <w:p w14:paraId="51288843">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1</w:t>
                  </w:r>
                </w:p>
              </w:tc>
              <w:tc>
                <w:tcPr>
                  <w:tcW w:w="575" w:type="pct"/>
                  <w:tcBorders>
                    <w:top w:val="single" w:color="auto" w:sz="4" w:space="0"/>
                    <w:left w:val="single" w:color="auto" w:sz="4" w:space="0"/>
                  </w:tcBorders>
                  <w:noWrap w:val="0"/>
                  <w:vAlign w:val="center"/>
                </w:tcPr>
                <w:p w14:paraId="67CB82B4">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w:t>
                  </w:r>
                  <w:r>
                    <w:rPr>
                      <w:rFonts w:hint="default" w:ascii="Times New Roman" w:hAnsi="Times New Roman" w:eastAsia="仿宋" w:cs="Times New Roman"/>
                      <w:bCs/>
                      <w:color w:val="auto"/>
                      <w:kern w:val="2"/>
                      <w:sz w:val="21"/>
                      <w:szCs w:val="21"/>
                      <w:lang w:val="en-US" w:eastAsia="zh-CN" w:bidi="ar-SA"/>
                    </w:rPr>
                    <w:t>1</w:t>
                  </w:r>
                </w:p>
              </w:tc>
              <w:tc>
                <w:tcPr>
                  <w:tcW w:w="1002" w:type="pct"/>
                  <w:tcBorders>
                    <w:top w:val="single" w:color="auto" w:sz="4" w:space="0"/>
                    <w:left w:val="single" w:color="auto" w:sz="4" w:space="0"/>
                  </w:tcBorders>
                  <w:noWrap w:val="0"/>
                  <w:vAlign w:val="center"/>
                </w:tcPr>
                <w:p w14:paraId="6ABD7A8B">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新增</w:t>
                  </w:r>
                </w:p>
              </w:tc>
            </w:tr>
            <w:tr w14:paraId="2F6E096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680100B6">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2045E08F">
                  <w:pPr>
                    <w:spacing w:line="240" w:lineRule="auto"/>
                    <w:ind w:firstLine="0" w:firstLineChars="0"/>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lang w:val="en-US" w:eastAsia="zh-CN"/>
                    </w:rPr>
                    <w:t>抛光机</w:t>
                  </w:r>
                </w:p>
              </w:tc>
              <w:tc>
                <w:tcPr>
                  <w:tcW w:w="990" w:type="pct"/>
                  <w:tcBorders>
                    <w:right w:val="single" w:color="auto" w:sz="4" w:space="0"/>
                  </w:tcBorders>
                  <w:noWrap w:val="0"/>
                  <w:vAlign w:val="center"/>
                </w:tcPr>
                <w:p w14:paraId="68124E4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lang w:val="en-US" w:eastAsia="zh-CN" w:bidi="ar"/>
                    </w:rPr>
                    <w:t>/</w:t>
                  </w:r>
                </w:p>
              </w:tc>
              <w:tc>
                <w:tcPr>
                  <w:tcW w:w="556" w:type="pct"/>
                  <w:tcBorders>
                    <w:right w:val="single" w:color="auto" w:sz="4" w:space="0"/>
                  </w:tcBorders>
                  <w:noWrap w:val="0"/>
                  <w:vAlign w:val="center"/>
                </w:tcPr>
                <w:p w14:paraId="6B803696">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0</w:t>
                  </w:r>
                </w:p>
              </w:tc>
              <w:tc>
                <w:tcPr>
                  <w:tcW w:w="545" w:type="pct"/>
                  <w:tcBorders>
                    <w:left w:val="single" w:color="auto" w:sz="4" w:space="0"/>
                    <w:right w:val="single" w:color="auto" w:sz="4" w:space="0"/>
                  </w:tcBorders>
                  <w:noWrap w:val="0"/>
                  <w:vAlign w:val="center"/>
                </w:tcPr>
                <w:p w14:paraId="7AD26893">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5</w:t>
                  </w:r>
                </w:p>
              </w:tc>
              <w:tc>
                <w:tcPr>
                  <w:tcW w:w="575" w:type="pct"/>
                  <w:tcBorders>
                    <w:top w:val="single" w:color="auto" w:sz="4" w:space="0"/>
                    <w:left w:val="single" w:color="auto" w:sz="4" w:space="0"/>
                  </w:tcBorders>
                  <w:noWrap w:val="0"/>
                  <w:vAlign w:val="center"/>
                </w:tcPr>
                <w:p w14:paraId="77F071AA">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Cs/>
                      <w:color w:val="auto"/>
                      <w:sz w:val="21"/>
                      <w:szCs w:val="21"/>
                      <w:lang w:val="en-US" w:eastAsia="zh-CN"/>
                    </w:rPr>
                    <w:t>+5</w:t>
                  </w:r>
                </w:p>
              </w:tc>
              <w:tc>
                <w:tcPr>
                  <w:tcW w:w="1002" w:type="pct"/>
                  <w:tcBorders>
                    <w:top w:val="single" w:color="auto" w:sz="4" w:space="0"/>
                    <w:left w:val="single" w:color="auto" w:sz="4" w:space="0"/>
                  </w:tcBorders>
                  <w:noWrap w:val="0"/>
                  <w:vAlign w:val="center"/>
                </w:tcPr>
                <w:p w14:paraId="51DC297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新增</w:t>
                  </w:r>
                </w:p>
              </w:tc>
            </w:tr>
            <w:tr w14:paraId="3A92626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04CA5279">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2E352EE5">
                  <w:pPr>
                    <w:spacing w:line="240" w:lineRule="auto"/>
                    <w:ind w:firstLine="0" w:firstLine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color w:val="auto"/>
                      <w:kern w:val="0"/>
                      <w:sz w:val="21"/>
                      <w:szCs w:val="21"/>
                      <w:lang w:val="en-US" w:eastAsia="zh-CN"/>
                    </w:rPr>
                    <w:t>喷砂机</w:t>
                  </w:r>
                </w:p>
              </w:tc>
              <w:tc>
                <w:tcPr>
                  <w:tcW w:w="990" w:type="pct"/>
                  <w:tcBorders>
                    <w:right w:val="single" w:color="auto" w:sz="4" w:space="0"/>
                  </w:tcBorders>
                  <w:noWrap w:val="0"/>
                  <w:vAlign w:val="center"/>
                </w:tcPr>
                <w:p w14:paraId="0CD9E30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color w:val="auto"/>
                      <w:kern w:val="0"/>
                      <w:sz w:val="21"/>
                      <w:szCs w:val="21"/>
                      <w:lang w:val="en-US" w:eastAsia="zh-CN" w:bidi="ar"/>
                    </w:rPr>
                    <w:t>/</w:t>
                  </w:r>
                </w:p>
              </w:tc>
              <w:tc>
                <w:tcPr>
                  <w:tcW w:w="556" w:type="pct"/>
                  <w:tcBorders>
                    <w:right w:val="single" w:color="auto" w:sz="4" w:space="0"/>
                  </w:tcBorders>
                  <w:noWrap w:val="0"/>
                  <w:vAlign w:val="center"/>
                </w:tcPr>
                <w:p w14:paraId="6A3D3842">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0</w:t>
                  </w:r>
                </w:p>
              </w:tc>
              <w:tc>
                <w:tcPr>
                  <w:tcW w:w="545" w:type="pct"/>
                  <w:tcBorders>
                    <w:left w:val="single" w:color="auto" w:sz="4" w:space="0"/>
                    <w:right w:val="single" w:color="auto" w:sz="4" w:space="0"/>
                  </w:tcBorders>
                  <w:noWrap w:val="0"/>
                  <w:vAlign w:val="center"/>
                </w:tcPr>
                <w:p w14:paraId="6F8486FB">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2</w:t>
                  </w:r>
                </w:p>
              </w:tc>
              <w:tc>
                <w:tcPr>
                  <w:tcW w:w="575" w:type="pct"/>
                  <w:tcBorders>
                    <w:top w:val="single" w:color="auto" w:sz="4" w:space="0"/>
                    <w:left w:val="single" w:color="auto" w:sz="4" w:space="0"/>
                  </w:tcBorders>
                  <w:noWrap w:val="0"/>
                  <w:vAlign w:val="center"/>
                </w:tcPr>
                <w:p w14:paraId="3EDC3360">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lang w:val="en-US" w:eastAsia="zh-CN"/>
                    </w:rPr>
                    <w:t>+2</w:t>
                  </w:r>
                </w:p>
              </w:tc>
              <w:tc>
                <w:tcPr>
                  <w:tcW w:w="1002" w:type="pct"/>
                  <w:tcBorders>
                    <w:top w:val="single" w:color="auto" w:sz="4" w:space="0"/>
                    <w:left w:val="single" w:color="auto" w:sz="4" w:space="0"/>
                  </w:tcBorders>
                  <w:noWrap w:val="0"/>
                  <w:vAlign w:val="center"/>
                </w:tcPr>
                <w:p w14:paraId="38674ED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新增</w:t>
                  </w:r>
                </w:p>
              </w:tc>
            </w:tr>
            <w:tr w14:paraId="0409EA1D">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4C6FE563">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0632B3F3">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 w:val="0"/>
                      <w:bCs w:val="0"/>
                      <w:color w:val="auto"/>
                      <w:sz w:val="21"/>
                      <w:szCs w:val="21"/>
                      <w:lang w:val="en-US" w:eastAsia="zh-CN"/>
                    </w:rPr>
                    <w:t>干式</w:t>
                  </w:r>
                  <w:r>
                    <w:rPr>
                      <w:rFonts w:hint="default" w:ascii="Times New Roman" w:hAnsi="Times New Roman" w:eastAsia="仿宋" w:cs="Times New Roman"/>
                      <w:b w:val="0"/>
                      <w:bCs w:val="0"/>
                      <w:color w:val="auto"/>
                      <w:sz w:val="21"/>
                      <w:szCs w:val="21"/>
                    </w:rPr>
                    <w:t>喷漆</w:t>
                  </w:r>
                  <w:r>
                    <w:rPr>
                      <w:rFonts w:hint="default" w:ascii="Times New Roman" w:hAnsi="Times New Roman" w:eastAsia="仿宋" w:cs="Times New Roman"/>
                      <w:b w:val="0"/>
                      <w:bCs w:val="0"/>
                      <w:color w:val="auto"/>
                      <w:sz w:val="21"/>
                      <w:szCs w:val="21"/>
                      <w:lang w:val="en-US" w:eastAsia="zh-CN"/>
                    </w:rPr>
                    <w:t>房</w:t>
                  </w:r>
                </w:p>
              </w:tc>
              <w:tc>
                <w:tcPr>
                  <w:tcW w:w="990" w:type="pct"/>
                  <w:tcBorders>
                    <w:right w:val="single" w:color="auto" w:sz="4" w:space="0"/>
                  </w:tcBorders>
                  <w:noWrap w:val="0"/>
                  <w:vAlign w:val="center"/>
                </w:tcPr>
                <w:p w14:paraId="3787B280">
                  <w:pPr>
                    <w:keepNext w:val="0"/>
                    <w:keepLines w:val="0"/>
                    <w:widowControl/>
                    <w:suppressLineNumbers w:val="0"/>
                    <w:jc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color w:val="auto"/>
                      <w:kern w:val="0"/>
                      <w:sz w:val="21"/>
                      <w:szCs w:val="21"/>
                      <w:lang w:val="en-US" w:eastAsia="zh-CN"/>
                    </w:rPr>
                    <w:t>8</w:t>
                  </w:r>
                  <w:r>
                    <w:rPr>
                      <w:rFonts w:hint="default" w:ascii="Times New Roman" w:hAnsi="Times New Roman" w:eastAsia="仿宋" w:cs="Times New Roman"/>
                      <w:color w:val="auto"/>
                      <w:kern w:val="0"/>
                      <w:sz w:val="21"/>
                      <w:szCs w:val="21"/>
                      <w:lang w:val="en-US" w:eastAsia="zh-CN"/>
                    </w:rPr>
                    <w:t>m</w:t>
                  </w:r>
                  <w:r>
                    <w:rPr>
                      <w:rFonts w:hint="default" w:ascii="Times New Roman" w:hAnsi="Times New Roman" w:eastAsia="仿宋" w:cs="Times New Roman"/>
                      <w:color w:val="auto"/>
                      <w:kern w:val="0"/>
                      <w:sz w:val="21"/>
                      <w:szCs w:val="21"/>
                    </w:rPr>
                    <w:t>×</w:t>
                  </w:r>
                  <w:r>
                    <w:rPr>
                      <w:rFonts w:hint="eastAsia" w:eastAsia="仿宋" w:cs="Times New Roman"/>
                      <w:color w:val="auto"/>
                      <w:kern w:val="0"/>
                      <w:sz w:val="21"/>
                      <w:szCs w:val="21"/>
                      <w:lang w:val="en-US" w:eastAsia="zh-CN"/>
                    </w:rPr>
                    <w:t>6</w:t>
                  </w:r>
                  <w:r>
                    <w:rPr>
                      <w:rFonts w:hint="default" w:ascii="Times New Roman" w:hAnsi="Times New Roman" w:eastAsia="仿宋" w:cs="Times New Roman"/>
                      <w:color w:val="auto"/>
                      <w:kern w:val="0"/>
                      <w:sz w:val="21"/>
                      <w:szCs w:val="21"/>
                      <w:lang w:val="en-US" w:eastAsia="zh-CN"/>
                    </w:rPr>
                    <w:t>m</w:t>
                  </w:r>
                  <w:r>
                    <w:rPr>
                      <w:rFonts w:hint="default" w:ascii="Times New Roman" w:hAnsi="Times New Roman" w:eastAsia="仿宋" w:cs="Times New Roman"/>
                      <w:color w:val="auto"/>
                      <w:kern w:val="0"/>
                      <w:sz w:val="21"/>
                      <w:szCs w:val="21"/>
                    </w:rPr>
                    <w:t>×</w:t>
                  </w:r>
                  <w:r>
                    <w:rPr>
                      <w:rFonts w:hint="eastAsia" w:eastAsia="仿宋" w:cs="Times New Roman"/>
                      <w:color w:val="auto"/>
                      <w:kern w:val="0"/>
                      <w:sz w:val="21"/>
                      <w:szCs w:val="21"/>
                      <w:lang w:val="en-US" w:eastAsia="zh-CN"/>
                    </w:rPr>
                    <w:t>5</w:t>
                  </w:r>
                  <w:r>
                    <w:rPr>
                      <w:rFonts w:hint="default" w:ascii="Times New Roman" w:hAnsi="Times New Roman" w:eastAsia="仿宋" w:cs="Times New Roman"/>
                      <w:color w:val="auto"/>
                      <w:kern w:val="0"/>
                      <w:sz w:val="21"/>
                      <w:szCs w:val="21"/>
                      <w:lang w:val="en-US" w:eastAsia="zh-CN"/>
                    </w:rPr>
                    <w:t>m</w:t>
                  </w:r>
                </w:p>
              </w:tc>
              <w:tc>
                <w:tcPr>
                  <w:tcW w:w="556" w:type="pct"/>
                  <w:tcBorders>
                    <w:right w:val="single" w:color="auto" w:sz="4" w:space="0"/>
                  </w:tcBorders>
                  <w:noWrap w:val="0"/>
                  <w:vAlign w:val="center"/>
                </w:tcPr>
                <w:p w14:paraId="1DEB34CC">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0</w:t>
                  </w:r>
                </w:p>
              </w:tc>
              <w:tc>
                <w:tcPr>
                  <w:tcW w:w="545" w:type="pct"/>
                  <w:tcBorders>
                    <w:left w:val="single" w:color="auto" w:sz="4" w:space="0"/>
                    <w:right w:val="single" w:color="auto" w:sz="4" w:space="0"/>
                  </w:tcBorders>
                  <w:noWrap w:val="0"/>
                  <w:vAlign w:val="center"/>
                </w:tcPr>
                <w:p w14:paraId="40390893">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w:t>
                  </w:r>
                </w:p>
              </w:tc>
              <w:tc>
                <w:tcPr>
                  <w:tcW w:w="575" w:type="pct"/>
                  <w:tcBorders>
                    <w:top w:val="single" w:color="auto" w:sz="4" w:space="0"/>
                    <w:left w:val="single" w:color="auto" w:sz="4" w:space="0"/>
                  </w:tcBorders>
                  <w:noWrap w:val="0"/>
                  <w:vAlign w:val="center"/>
                </w:tcPr>
                <w:p w14:paraId="2BC1E374">
                  <w:pPr>
                    <w:keepNext w:val="0"/>
                    <w:keepLines w:val="0"/>
                    <w:widowControl/>
                    <w:suppressLineNumbers w:val="0"/>
                    <w:jc w:val="center"/>
                    <w:textAlignment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lang w:val="en-US" w:eastAsia="zh-CN"/>
                    </w:rPr>
                    <w:t>+1</w:t>
                  </w:r>
                </w:p>
              </w:tc>
              <w:tc>
                <w:tcPr>
                  <w:tcW w:w="1002" w:type="pct"/>
                  <w:tcBorders>
                    <w:top w:val="single" w:color="auto" w:sz="4" w:space="0"/>
                    <w:left w:val="single" w:color="auto" w:sz="4" w:space="0"/>
                  </w:tcBorders>
                  <w:noWrap w:val="0"/>
                  <w:vAlign w:val="center"/>
                </w:tcPr>
                <w:p w14:paraId="478A6D0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新增</w:t>
                  </w:r>
                </w:p>
              </w:tc>
            </w:tr>
            <w:tr w14:paraId="5BF7556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2DA9FE74">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rPr>
                  </w:pPr>
                </w:p>
              </w:tc>
              <w:tc>
                <w:tcPr>
                  <w:tcW w:w="942" w:type="pct"/>
                  <w:noWrap w:val="0"/>
                  <w:vAlign w:val="center"/>
                </w:tcPr>
                <w:p w14:paraId="5735DB29">
                  <w:pPr>
                    <w:keepNext w:val="0"/>
                    <w:keepLines w:val="0"/>
                    <w:widowControl/>
                    <w:suppressLineNumbers w:val="0"/>
                    <w:jc w:val="center"/>
                    <w:textAlignment w:val="center"/>
                    <w:rPr>
                      <w:rFonts w:hint="default" w:ascii="Times New Roman" w:hAnsi="Times New Roman" w:eastAsia="仿宋" w:cs="Times New Roman"/>
                      <w:b w:val="0"/>
                      <w:bCs w:val="0"/>
                      <w:color w:val="auto"/>
                      <w:sz w:val="21"/>
                      <w:szCs w:val="21"/>
                      <w:lang w:val="en-US" w:eastAsia="zh-CN"/>
                    </w:rPr>
                  </w:pPr>
                  <w:r>
                    <w:rPr>
                      <w:rFonts w:hint="eastAsia" w:eastAsia="仿宋" w:cs="Times New Roman"/>
                      <w:b w:val="0"/>
                      <w:bCs w:val="0"/>
                      <w:color w:val="auto"/>
                      <w:sz w:val="21"/>
                      <w:szCs w:val="21"/>
                      <w:lang w:val="en-US" w:eastAsia="zh-CN"/>
                    </w:rPr>
                    <w:t>烘房</w:t>
                  </w:r>
                </w:p>
              </w:tc>
              <w:tc>
                <w:tcPr>
                  <w:tcW w:w="990" w:type="pct"/>
                  <w:tcBorders>
                    <w:right w:val="single" w:color="auto" w:sz="4" w:space="0"/>
                  </w:tcBorders>
                  <w:noWrap w:val="0"/>
                  <w:vAlign w:val="center"/>
                </w:tcPr>
                <w:p w14:paraId="097020E8">
                  <w:pPr>
                    <w:keepNext w:val="0"/>
                    <w:keepLines w:val="0"/>
                    <w:widowControl/>
                    <w:suppressLineNumbers w:val="0"/>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val="en-US" w:eastAsia="zh-CN"/>
                    </w:rPr>
                    <w:t>11m</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val="en-US" w:eastAsia="zh-CN"/>
                    </w:rPr>
                    <w:t>8m</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val="en-US" w:eastAsia="zh-CN"/>
                    </w:rPr>
                    <w:t>4.5m</w:t>
                  </w:r>
                </w:p>
              </w:tc>
              <w:tc>
                <w:tcPr>
                  <w:tcW w:w="556" w:type="pct"/>
                  <w:tcBorders>
                    <w:right w:val="single" w:color="auto" w:sz="4" w:space="0"/>
                  </w:tcBorders>
                  <w:noWrap w:val="0"/>
                  <w:vAlign w:val="center"/>
                </w:tcPr>
                <w:p w14:paraId="1CFDF731">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0</w:t>
                  </w:r>
                </w:p>
              </w:tc>
              <w:tc>
                <w:tcPr>
                  <w:tcW w:w="545" w:type="pct"/>
                  <w:tcBorders>
                    <w:left w:val="single" w:color="auto" w:sz="4" w:space="0"/>
                    <w:right w:val="single" w:color="auto" w:sz="4" w:space="0"/>
                  </w:tcBorders>
                  <w:noWrap w:val="0"/>
                  <w:vAlign w:val="center"/>
                </w:tcPr>
                <w:p w14:paraId="01E3DA88">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w:t>
                  </w:r>
                </w:p>
              </w:tc>
              <w:tc>
                <w:tcPr>
                  <w:tcW w:w="575" w:type="pct"/>
                  <w:tcBorders>
                    <w:top w:val="single" w:color="auto" w:sz="4" w:space="0"/>
                    <w:left w:val="single" w:color="auto" w:sz="4" w:space="0"/>
                  </w:tcBorders>
                  <w:noWrap w:val="0"/>
                  <w:vAlign w:val="center"/>
                </w:tcPr>
                <w:p w14:paraId="179A0F48">
                  <w:pPr>
                    <w:keepNext w:val="0"/>
                    <w:keepLines w:val="0"/>
                    <w:widowControl/>
                    <w:suppressLineNumbers w:val="0"/>
                    <w:jc w:val="center"/>
                    <w:textAlignment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w:t>
                  </w:r>
                </w:p>
              </w:tc>
              <w:tc>
                <w:tcPr>
                  <w:tcW w:w="1002" w:type="pct"/>
                  <w:tcBorders>
                    <w:top w:val="single" w:color="auto" w:sz="4" w:space="0"/>
                    <w:left w:val="single" w:color="auto" w:sz="4" w:space="0"/>
                  </w:tcBorders>
                  <w:noWrap w:val="0"/>
                  <w:vAlign w:val="center"/>
                </w:tcPr>
                <w:p w14:paraId="61F87291">
                  <w:pPr>
                    <w:keepNext w:val="0"/>
                    <w:keepLines w:val="0"/>
                    <w:widowControl/>
                    <w:suppressLineNumbers w:val="0"/>
                    <w:jc w:val="center"/>
                    <w:textAlignment w:val="center"/>
                    <w:rPr>
                      <w:rFonts w:hint="default" w:ascii="Times New Roman" w:hAnsi="Times New Roman" w:eastAsia="仿宋" w:cs="Times New Roman"/>
                      <w:b w:val="0"/>
                      <w:bCs w:val="0"/>
                      <w:color w:val="auto"/>
                      <w:sz w:val="21"/>
                      <w:szCs w:val="21"/>
                      <w:lang w:eastAsia="zh-CN"/>
                    </w:rPr>
                  </w:pPr>
                  <w:r>
                    <w:rPr>
                      <w:rFonts w:hint="default" w:ascii="Times New Roman" w:hAnsi="Times New Roman" w:eastAsia="仿宋" w:cs="Times New Roman"/>
                      <w:i w:val="0"/>
                      <w:iCs w:val="0"/>
                      <w:color w:val="auto"/>
                      <w:kern w:val="0"/>
                      <w:sz w:val="21"/>
                      <w:szCs w:val="21"/>
                      <w:u w:val="none"/>
                      <w:lang w:val="en-US" w:eastAsia="zh-CN" w:bidi="ar"/>
                    </w:rPr>
                    <w:t>新增</w:t>
                  </w:r>
                </w:p>
              </w:tc>
            </w:tr>
            <w:tr w14:paraId="7DAC6C3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restart"/>
                  <w:noWrap w:val="0"/>
                  <w:vAlign w:val="center"/>
                </w:tcPr>
                <w:p w14:paraId="342392D8">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公辅设备</w:t>
                  </w:r>
                </w:p>
              </w:tc>
              <w:tc>
                <w:tcPr>
                  <w:tcW w:w="942" w:type="pct"/>
                  <w:noWrap w:val="0"/>
                  <w:vAlign w:val="center"/>
                </w:tcPr>
                <w:p w14:paraId="043C13D7">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空压机</w:t>
                  </w:r>
                </w:p>
              </w:tc>
              <w:tc>
                <w:tcPr>
                  <w:tcW w:w="990" w:type="pct"/>
                  <w:tcBorders>
                    <w:right w:val="single" w:color="auto" w:sz="4" w:space="0"/>
                  </w:tcBorders>
                  <w:noWrap w:val="0"/>
                  <w:vAlign w:val="center"/>
                </w:tcPr>
                <w:p w14:paraId="7920C319">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 w:val="0"/>
                      <w:bCs w:val="0"/>
                      <w:color w:val="auto"/>
                      <w:sz w:val="21"/>
                      <w:szCs w:val="21"/>
                    </w:rPr>
                    <w:t>GA160-8.5</w:t>
                  </w:r>
                </w:p>
              </w:tc>
              <w:tc>
                <w:tcPr>
                  <w:tcW w:w="556" w:type="pct"/>
                  <w:tcBorders>
                    <w:right w:val="single" w:color="auto" w:sz="4" w:space="0"/>
                  </w:tcBorders>
                  <w:noWrap w:val="0"/>
                  <w:vAlign w:val="center"/>
                </w:tcPr>
                <w:p w14:paraId="7F8A6A3D">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2</w:t>
                  </w:r>
                </w:p>
              </w:tc>
              <w:tc>
                <w:tcPr>
                  <w:tcW w:w="545" w:type="pct"/>
                  <w:tcBorders>
                    <w:left w:val="single" w:color="auto" w:sz="4" w:space="0"/>
                    <w:right w:val="single" w:color="auto" w:sz="4" w:space="0"/>
                  </w:tcBorders>
                  <w:noWrap w:val="0"/>
                  <w:vAlign w:val="center"/>
                </w:tcPr>
                <w:p w14:paraId="40253E7B">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3</w:t>
                  </w:r>
                </w:p>
              </w:tc>
              <w:tc>
                <w:tcPr>
                  <w:tcW w:w="575" w:type="pct"/>
                  <w:tcBorders>
                    <w:left w:val="single" w:color="auto" w:sz="4" w:space="0"/>
                  </w:tcBorders>
                  <w:noWrap w:val="0"/>
                  <w:vAlign w:val="center"/>
                </w:tcPr>
                <w:p w14:paraId="30C496A0">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w:t>
                  </w:r>
                </w:p>
              </w:tc>
              <w:tc>
                <w:tcPr>
                  <w:tcW w:w="1002" w:type="pct"/>
                  <w:tcBorders>
                    <w:left w:val="single" w:color="auto" w:sz="4" w:space="0"/>
                  </w:tcBorders>
                  <w:noWrap w:val="0"/>
                  <w:vAlign w:val="center"/>
                </w:tcPr>
                <w:p w14:paraId="700F6AC0">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新增1台</w:t>
                  </w:r>
                </w:p>
              </w:tc>
            </w:tr>
            <w:tr w14:paraId="043AEF5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8" w:type="pct"/>
                  <w:vMerge w:val="continue"/>
                  <w:noWrap w:val="0"/>
                  <w:vAlign w:val="center"/>
                </w:tcPr>
                <w:p w14:paraId="228EC976">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p>
              </w:tc>
              <w:tc>
                <w:tcPr>
                  <w:tcW w:w="942" w:type="pct"/>
                  <w:noWrap w:val="0"/>
                  <w:vAlign w:val="center"/>
                </w:tcPr>
                <w:p w14:paraId="1AF044D8">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color w:val="auto"/>
                      <w:kern w:val="0"/>
                      <w:sz w:val="21"/>
                      <w:szCs w:val="21"/>
                      <w:lang w:val="en-US" w:eastAsia="zh-CN"/>
                    </w:rPr>
                    <w:t>试漏</w:t>
                  </w:r>
                  <w:r>
                    <w:rPr>
                      <w:rFonts w:hint="default" w:ascii="Times New Roman" w:hAnsi="Times New Roman" w:eastAsia="仿宋" w:cs="Times New Roman"/>
                      <w:color w:val="auto"/>
                      <w:kern w:val="0"/>
                      <w:sz w:val="21"/>
                      <w:szCs w:val="21"/>
                    </w:rPr>
                    <w:t>水池</w:t>
                  </w:r>
                </w:p>
              </w:tc>
              <w:tc>
                <w:tcPr>
                  <w:tcW w:w="990" w:type="pct"/>
                  <w:tcBorders>
                    <w:right w:val="single" w:color="auto" w:sz="4" w:space="0"/>
                  </w:tcBorders>
                  <w:noWrap w:val="0"/>
                  <w:vAlign w:val="center"/>
                </w:tcPr>
                <w:p w14:paraId="177CA739">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color w:val="auto"/>
                      <w:kern w:val="0"/>
                      <w:sz w:val="21"/>
                      <w:szCs w:val="21"/>
                    </w:rPr>
                    <w:t>2m×2m×1m</w:t>
                  </w:r>
                </w:p>
              </w:tc>
              <w:tc>
                <w:tcPr>
                  <w:tcW w:w="556" w:type="pct"/>
                  <w:tcBorders>
                    <w:right w:val="single" w:color="auto" w:sz="4" w:space="0"/>
                  </w:tcBorders>
                  <w:noWrap w:val="0"/>
                  <w:vAlign w:val="center"/>
                </w:tcPr>
                <w:p w14:paraId="69A1CBE7">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0</w:t>
                  </w:r>
                </w:p>
              </w:tc>
              <w:tc>
                <w:tcPr>
                  <w:tcW w:w="545" w:type="pct"/>
                  <w:tcBorders>
                    <w:left w:val="single" w:color="auto" w:sz="4" w:space="0"/>
                    <w:right w:val="single" w:color="auto" w:sz="4" w:space="0"/>
                  </w:tcBorders>
                  <w:noWrap w:val="0"/>
                  <w:vAlign w:val="center"/>
                </w:tcPr>
                <w:p w14:paraId="1362F1DC">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w:t>
                  </w:r>
                </w:p>
              </w:tc>
              <w:tc>
                <w:tcPr>
                  <w:tcW w:w="575" w:type="pct"/>
                  <w:tcBorders>
                    <w:left w:val="single" w:color="auto" w:sz="4" w:space="0"/>
                  </w:tcBorders>
                  <w:noWrap w:val="0"/>
                  <w:vAlign w:val="center"/>
                </w:tcPr>
                <w:p w14:paraId="7D317037">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w:t>
                  </w:r>
                </w:p>
              </w:tc>
              <w:tc>
                <w:tcPr>
                  <w:tcW w:w="1002" w:type="pct"/>
                  <w:tcBorders>
                    <w:left w:val="single" w:color="auto" w:sz="4" w:space="0"/>
                  </w:tcBorders>
                  <w:noWrap w:val="0"/>
                  <w:vAlign w:val="center"/>
                </w:tcPr>
                <w:p w14:paraId="6F0B0F86">
                  <w:pPr>
                    <w:keepNext w:val="0"/>
                    <w:keepLines w:val="0"/>
                    <w:pageBreakBefore w:val="0"/>
                    <w:kinsoku/>
                    <w:wordWrap/>
                    <w:overflowPunct/>
                    <w:topLinePunct w:val="0"/>
                    <w:autoSpaceDE/>
                    <w:autoSpaceDN/>
                    <w:bidi w:val="0"/>
                    <w:adjustRightInd w:val="0"/>
                    <w:snapToGrid w:val="0"/>
                    <w:spacing w:line="240" w:lineRule="auto"/>
                    <w:ind w:left="0" w:right="0"/>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新增</w:t>
                  </w:r>
                </w:p>
              </w:tc>
            </w:tr>
          </w:tbl>
          <w:p w14:paraId="6BA83909">
            <w:pPr>
              <w:keepNext w:val="0"/>
              <w:keepLines w:val="0"/>
              <w:pageBreakBefore w:val="0"/>
              <w:widowControl w:val="0"/>
              <w:kinsoku/>
              <w:wordWrap/>
              <w:overflowPunct/>
              <w:topLinePunct w:val="0"/>
              <w:autoSpaceDE/>
              <w:autoSpaceDN/>
              <w:bidi w:val="0"/>
              <w:adjustRightInd w:val="0"/>
              <w:snapToGrid w:val="0"/>
              <w:spacing w:line="500" w:lineRule="exact"/>
              <w:ind w:left="0" w:right="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val="en-US" w:eastAsia="zh-CN"/>
              </w:rPr>
              <w:t>5</w:t>
            </w:r>
            <w:r>
              <w:rPr>
                <w:rFonts w:hint="default" w:ascii="Times New Roman" w:hAnsi="Times New Roman" w:eastAsia="仿宋" w:cs="Times New Roman"/>
                <w:b/>
                <w:color w:val="auto"/>
                <w:sz w:val="24"/>
              </w:rPr>
              <w:t>、主体、公用、辅助、储运、环保及依托工程</w:t>
            </w:r>
          </w:p>
          <w:p w14:paraId="6AA8F66A">
            <w:pPr>
              <w:keepNext w:val="0"/>
              <w:keepLines w:val="0"/>
              <w:pageBreakBefore w:val="0"/>
              <w:kinsoku/>
              <w:wordWrap/>
              <w:overflowPunct/>
              <w:topLinePunct w:val="0"/>
              <w:bidi w:val="0"/>
              <w:adjustRightInd w:val="0"/>
              <w:snapToGrid w:val="0"/>
              <w:spacing w:line="500" w:lineRule="exact"/>
              <w:ind w:left="0" w:right="0"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本项目建成后，全厂</w:t>
            </w:r>
            <w:r>
              <w:rPr>
                <w:rFonts w:hint="default" w:ascii="Times New Roman" w:hAnsi="Times New Roman" w:eastAsia="仿宋" w:cs="Times New Roman"/>
                <w:color w:val="auto"/>
                <w:sz w:val="24"/>
                <w:lang w:val="en-US" w:eastAsia="zh-CN"/>
              </w:rPr>
              <w:t>主体、</w:t>
            </w:r>
            <w:r>
              <w:rPr>
                <w:rFonts w:hint="default" w:ascii="Times New Roman" w:hAnsi="Times New Roman" w:eastAsia="仿宋" w:cs="Times New Roman"/>
                <w:color w:val="auto"/>
                <w:sz w:val="24"/>
              </w:rPr>
              <w:t>公用、辅助、储运、环保工程见</w:t>
            </w:r>
            <w:r>
              <w:rPr>
                <w:rFonts w:hint="default" w:ascii="Times New Roman" w:hAnsi="Times New Roman" w:eastAsia="仿宋" w:cs="Times New Roman"/>
                <w:color w:val="auto"/>
                <w:sz w:val="24"/>
                <w:lang w:eastAsia="zh-CN"/>
              </w:rPr>
              <w:t>下</w:t>
            </w:r>
            <w:r>
              <w:rPr>
                <w:rFonts w:hint="default" w:ascii="Times New Roman" w:hAnsi="Times New Roman" w:eastAsia="仿宋" w:cs="Times New Roman"/>
                <w:color w:val="auto"/>
                <w:sz w:val="24"/>
              </w:rPr>
              <w:t>表。</w:t>
            </w:r>
          </w:p>
          <w:p w14:paraId="1A34973A">
            <w:pPr>
              <w:keepNext w:val="0"/>
              <w:keepLines w:val="0"/>
              <w:pageBreakBefore w:val="0"/>
              <w:kinsoku/>
              <w:wordWrap/>
              <w:overflowPunct/>
              <w:topLinePunct w:val="0"/>
              <w:bidi w:val="0"/>
              <w:adjustRightInd w:val="0"/>
              <w:snapToGrid w:val="0"/>
              <w:spacing w:line="500" w:lineRule="exact"/>
              <w:ind w:left="0" w:right="0"/>
              <w:jc w:val="center"/>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表2-7 本项目建成后全厂主体、公用、辅助、储运和环保工程一览表</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0"/>
              <w:gridCol w:w="737"/>
              <w:gridCol w:w="1493"/>
              <w:gridCol w:w="2266"/>
              <w:gridCol w:w="2540"/>
            </w:tblGrid>
            <w:tr w14:paraId="525169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noWrap w:val="0"/>
                  <w:vAlign w:val="center"/>
                </w:tcPr>
                <w:p w14:paraId="6F9B7C06">
                  <w:pPr>
                    <w:adjustRightInd w:val="0"/>
                    <w:snapToGrid w:val="0"/>
                    <w:spacing w:line="30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类别</w:t>
                  </w:r>
                </w:p>
              </w:tc>
              <w:tc>
                <w:tcPr>
                  <w:tcW w:w="1392" w:type="pct"/>
                  <w:gridSpan w:val="2"/>
                  <w:noWrap w:val="0"/>
                  <w:vAlign w:val="center"/>
                </w:tcPr>
                <w:p w14:paraId="71E48EDF">
                  <w:pPr>
                    <w:adjustRightInd w:val="0"/>
                    <w:snapToGrid w:val="0"/>
                    <w:spacing w:line="30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工程名称</w:t>
                  </w:r>
                </w:p>
              </w:tc>
              <w:tc>
                <w:tcPr>
                  <w:tcW w:w="1414" w:type="pct"/>
                  <w:noWrap w:val="0"/>
                  <w:vAlign w:val="center"/>
                </w:tcPr>
                <w:p w14:paraId="0972D439">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扩建</w:t>
                  </w:r>
                  <w:r>
                    <w:rPr>
                      <w:rFonts w:hint="default" w:ascii="Times New Roman" w:hAnsi="Times New Roman" w:eastAsia="仿宋" w:cs="Times New Roman"/>
                      <w:b/>
                      <w:bCs/>
                      <w:color w:val="auto"/>
                      <w:sz w:val="21"/>
                      <w:szCs w:val="21"/>
                    </w:rPr>
                    <w:t>后全厂</w:t>
                  </w:r>
                </w:p>
              </w:tc>
              <w:tc>
                <w:tcPr>
                  <w:tcW w:w="1586" w:type="pct"/>
                  <w:noWrap w:val="0"/>
                  <w:vAlign w:val="center"/>
                </w:tcPr>
                <w:p w14:paraId="2C5AFE4F">
                  <w:pPr>
                    <w:adjustRightInd w:val="0"/>
                    <w:snapToGrid w:val="0"/>
                    <w:spacing w:line="30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备注</w:t>
                  </w:r>
                </w:p>
              </w:tc>
            </w:tr>
            <w:tr w14:paraId="587510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noWrap w:val="0"/>
                  <w:vAlign w:val="center"/>
                </w:tcPr>
                <w:p w14:paraId="6212DB6B">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主体工程</w:t>
                  </w:r>
                </w:p>
              </w:tc>
              <w:tc>
                <w:tcPr>
                  <w:tcW w:w="1392" w:type="pct"/>
                  <w:gridSpan w:val="2"/>
                  <w:noWrap w:val="0"/>
                  <w:vAlign w:val="center"/>
                </w:tcPr>
                <w:p w14:paraId="05D28008">
                  <w:pPr>
                    <w:pStyle w:val="45"/>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车间</w:t>
                  </w:r>
                </w:p>
              </w:tc>
              <w:tc>
                <w:tcPr>
                  <w:tcW w:w="1414" w:type="pct"/>
                  <w:noWrap w:val="0"/>
                  <w:vAlign w:val="center"/>
                </w:tcPr>
                <w:p w14:paraId="4A1D088E">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占地面积</w:t>
                  </w:r>
                  <w:r>
                    <w:rPr>
                      <w:rFonts w:hint="default" w:ascii="Times New Roman" w:hAnsi="Times New Roman" w:eastAsia="仿宋" w:cs="Times New Roman"/>
                      <w:color w:val="auto"/>
                      <w:sz w:val="21"/>
                      <w:szCs w:val="21"/>
                      <w:lang w:val="en-US" w:eastAsia="zh-CN"/>
                    </w:rPr>
                    <w:t>9502</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color w:val="auto"/>
                      <w:sz w:val="21"/>
                      <w:szCs w:val="21"/>
                      <w:vertAlign w:val="baseline"/>
                      <w:lang w:val="en-US" w:eastAsia="zh-CN"/>
                    </w:rPr>
                    <w:t>，1F，建筑面积</w:t>
                  </w:r>
                  <w:r>
                    <w:rPr>
                      <w:rFonts w:hint="default" w:ascii="Times New Roman" w:hAnsi="Times New Roman" w:eastAsia="仿宋" w:cs="Times New Roman"/>
                      <w:color w:val="auto"/>
                      <w:sz w:val="21"/>
                      <w:szCs w:val="21"/>
                      <w:lang w:val="en-US" w:eastAsia="zh-CN"/>
                    </w:rPr>
                    <w:t>9502</w:t>
                  </w:r>
                  <w:r>
                    <w:rPr>
                      <w:rFonts w:hint="default" w:ascii="Times New Roman" w:hAnsi="Times New Roman" w:eastAsia="仿宋" w:cs="Times New Roman"/>
                      <w:color w:val="auto"/>
                      <w:sz w:val="21"/>
                      <w:szCs w:val="21"/>
                      <w:lang w:val="en-US"/>
                    </w:rPr>
                    <w:t>m</w:t>
                  </w:r>
                  <w:r>
                    <w:rPr>
                      <w:rFonts w:hint="default" w:ascii="Times New Roman" w:hAnsi="Times New Roman" w:eastAsia="仿宋" w:cs="Times New Roman"/>
                      <w:color w:val="auto"/>
                      <w:sz w:val="21"/>
                      <w:szCs w:val="21"/>
                      <w:vertAlign w:val="superscript"/>
                      <w:lang w:val="en-US"/>
                    </w:rPr>
                    <w:t>2</w:t>
                  </w:r>
                </w:p>
              </w:tc>
              <w:tc>
                <w:tcPr>
                  <w:tcW w:w="1586" w:type="pct"/>
                  <w:noWrap w:val="0"/>
                  <w:vAlign w:val="center"/>
                </w:tcPr>
                <w:p w14:paraId="5E706BDF">
                  <w:pPr>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已建</w:t>
                  </w:r>
                </w:p>
              </w:tc>
            </w:tr>
            <w:tr w14:paraId="544947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restart"/>
                  <w:noWrap w:val="0"/>
                  <w:vAlign w:val="center"/>
                </w:tcPr>
                <w:p w14:paraId="497A889C">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公用工程</w:t>
                  </w:r>
                </w:p>
              </w:tc>
              <w:tc>
                <w:tcPr>
                  <w:tcW w:w="1392" w:type="pct"/>
                  <w:gridSpan w:val="2"/>
                  <w:noWrap w:val="0"/>
                  <w:vAlign w:val="center"/>
                </w:tcPr>
                <w:p w14:paraId="46802C89">
                  <w:pPr>
                    <w:adjustRightInd w:val="0"/>
                    <w:snapToGrid w:val="0"/>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办公楼</w:t>
                  </w:r>
                </w:p>
              </w:tc>
              <w:tc>
                <w:tcPr>
                  <w:tcW w:w="1414" w:type="pct"/>
                  <w:noWrap w:val="0"/>
                  <w:vAlign w:val="center"/>
                </w:tcPr>
                <w:p w14:paraId="278999E3">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占地面积</w:t>
                  </w:r>
                  <w:r>
                    <w:rPr>
                      <w:rFonts w:hint="default" w:ascii="Times New Roman" w:hAnsi="Times New Roman" w:eastAsia="仿宋" w:cs="Times New Roman"/>
                      <w:color w:val="auto"/>
                      <w:sz w:val="21"/>
                      <w:szCs w:val="21"/>
                      <w:lang w:val="en-US" w:eastAsia="zh-CN"/>
                    </w:rPr>
                    <w:t>615</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color w:val="auto"/>
                      <w:sz w:val="21"/>
                      <w:szCs w:val="21"/>
                      <w:vertAlign w:val="baseline"/>
                      <w:lang w:val="en-US" w:eastAsia="zh-CN"/>
                    </w:rPr>
                    <w:t>，3F，建筑面积</w:t>
                  </w:r>
                  <w:r>
                    <w:rPr>
                      <w:rFonts w:hint="default" w:ascii="Times New Roman" w:hAnsi="Times New Roman" w:eastAsia="仿宋" w:cs="Times New Roman"/>
                      <w:color w:val="auto"/>
                      <w:sz w:val="21"/>
                      <w:szCs w:val="21"/>
                      <w:lang w:val="en-US" w:eastAsia="zh-CN"/>
                    </w:rPr>
                    <w:t>1845</w:t>
                  </w:r>
                  <w:r>
                    <w:rPr>
                      <w:rFonts w:hint="default" w:ascii="Times New Roman" w:hAnsi="Times New Roman" w:eastAsia="仿宋" w:cs="Times New Roman"/>
                      <w:color w:val="auto"/>
                      <w:sz w:val="21"/>
                      <w:szCs w:val="21"/>
                      <w:lang w:val="en-US"/>
                    </w:rPr>
                    <w:t>m</w:t>
                  </w:r>
                  <w:r>
                    <w:rPr>
                      <w:rFonts w:hint="default" w:ascii="Times New Roman" w:hAnsi="Times New Roman" w:eastAsia="仿宋" w:cs="Times New Roman"/>
                      <w:color w:val="auto"/>
                      <w:sz w:val="21"/>
                      <w:szCs w:val="21"/>
                      <w:vertAlign w:val="superscript"/>
                      <w:lang w:val="en-US"/>
                    </w:rPr>
                    <w:t>2</w:t>
                  </w:r>
                </w:p>
              </w:tc>
              <w:tc>
                <w:tcPr>
                  <w:tcW w:w="1586" w:type="pct"/>
                  <w:noWrap w:val="0"/>
                  <w:vAlign w:val="center"/>
                </w:tcPr>
                <w:p w14:paraId="2D2BE2B8">
                  <w:pPr>
                    <w:adjustRightInd w:val="0"/>
                    <w:snapToGrid w:val="0"/>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已建</w:t>
                  </w:r>
                </w:p>
              </w:tc>
            </w:tr>
            <w:tr w14:paraId="24CE75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3A3D034A">
                  <w:pPr>
                    <w:adjustRightInd w:val="0"/>
                    <w:snapToGrid w:val="0"/>
                    <w:spacing w:line="300" w:lineRule="exact"/>
                    <w:jc w:val="center"/>
                    <w:rPr>
                      <w:rFonts w:hint="default" w:ascii="Times New Roman" w:hAnsi="Times New Roman" w:eastAsia="仿宋" w:cs="Times New Roman"/>
                      <w:color w:val="auto"/>
                      <w:sz w:val="21"/>
                      <w:szCs w:val="21"/>
                    </w:rPr>
                  </w:pPr>
                </w:p>
              </w:tc>
              <w:tc>
                <w:tcPr>
                  <w:tcW w:w="1392" w:type="pct"/>
                  <w:gridSpan w:val="2"/>
                  <w:noWrap w:val="0"/>
                  <w:vAlign w:val="center"/>
                </w:tcPr>
                <w:p w14:paraId="16236E3E">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给水工程</w:t>
                  </w:r>
                </w:p>
              </w:tc>
              <w:tc>
                <w:tcPr>
                  <w:tcW w:w="1414" w:type="pct"/>
                  <w:noWrap w:val="0"/>
                  <w:vAlign w:val="center"/>
                </w:tcPr>
                <w:p w14:paraId="7E192AE7">
                  <w:pPr>
                    <w:adjustRightInd w:val="0"/>
                    <w:snapToGrid w:val="0"/>
                    <w:spacing w:line="300" w:lineRule="exact"/>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2443.5</w:t>
                  </w:r>
                  <w:r>
                    <w:rPr>
                      <w:rFonts w:hint="default" w:ascii="Times New Roman" w:hAnsi="Times New Roman" w:eastAsia="仿宋" w:cs="Times New Roman"/>
                      <w:color w:val="auto"/>
                      <w:sz w:val="21"/>
                      <w:szCs w:val="21"/>
                    </w:rPr>
                    <w:t>t/a</w:t>
                  </w:r>
                </w:p>
              </w:tc>
              <w:tc>
                <w:tcPr>
                  <w:tcW w:w="1586" w:type="pct"/>
                  <w:noWrap w:val="0"/>
                  <w:vAlign w:val="center"/>
                </w:tcPr>
                <w:p w14:paraId="1634BEB5">
                  <w:pPr>
                    <w:adjustRightInd w:val="0"/>
                    <w:snapToGrid w:val="0"/>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依托现有供水管网</w:t>
                  </w:r>
                </w:p>
              </w:tc>
            </w:tr>
            <w:tr w14:paraId="262530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3B35D9D2">
                  <w:pPr>
                    <w:adjustRightInd w:val="0"/>
                    <w:snapToGrid w:val="0"/>
                    <w:spacing w:line="300" w:lineRule="exact"/>
                    <w:jc w:val="center"/>
                    <w:rPr>
                      <w:rFonts w:hint="default" w:ascii="Times New Roman" w:hAnsi="Times New Roman" w:eastAsia="仿宋" w:cs="Times New Roman"/>
                      <w:color w:val="auto"/>
                      <w:sz w:val="21"/>
                      <w:szCs w:val="21"/>
                    </w:rPr>
                  </w:pPr>
                </w:p>
              </w:tc>
              <w:tc>
                <w:tcPr>
                  <w:tcW w:w="1392" w:type="pct"/>
                  <w:gridSpan w:val="2"/>
                  <w:noWrap w:val="0"/>
                  <w:vAlign w:val="center"/>
                </w:tcPr>
                <w:p w14:paraId="7C308DAA">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排水工程</w:t>
                  </w:r>
                </w:p>
              </w:tc>
              <w:tc>
                <w:tcPr>
                  <w:tcW w:w="1414" w:type="pct"/>
                  <w:noWrap w:val="0"/>
                  <w:vAlign w:val="center"/>
                </w:tcPr>
                <w:p w14:paraId="5AAF5BE0">
                  <w:pPr>
                    <w:adjustRightInd w:val="0"/>
                    <w:snapToGrid w:val="0"/>
                    <w:spacing w:line="300" w:lineRule="exact"/>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192</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t/a</w:t>
                  </w:r>
                </w:p>
              </w:tc>
              <w:tc>
                <w:tcPr>
                  <w:tcW w:w="1586" w:type="pct"/>
                  <w:noWrap w:val="0"/>
                  <w:vAlign w:val="center"/>
                </w:tcPr>
                <w:p w14:paraId="0555AFA7">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依托现有污水管网</w:t>
                  </w:r>
                </w:p>
              </w:tc>
            </w:tr>
            <w:tr w14:paraId="1F05CA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6294F92B">
                  <w:pPr>
                    <w:adjustRightInd w:val="0"/>
                    <w:snapToGrid w:val="0"/>
                    <w:spacing w:line="300" w:lineRule="exact"/>
                    <w:jc w:val="center"/>
                    <w:rPr>
                      <w:rFonts w:hint="default" w:ascii="Times New Roman" w:hAnsi="Times New Roman" w:eastAsia="仿宋" w:cs="Times New Roman"/>
                      <w:color w:val="auto"/>
                      <w:sz w:val="21"/>
                      <w:szCs w:val="21"/>
                    </w:rPr>
                  </w:pPr>
                </w:p>
              </w:tc>
              <w:tc>
                <w:tcPr>
                  <w:tcW w:w="1392" w:type="pct"/>
                  <w:gridSpan w:val="2"/>
                  <w:noWrap w:val="0"/>
                  <w:vAlign w:val="center"/>
                </w:tcPr>
                <w:p w14:paraId="6A5E6B7F">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供电</w:t>
                  </w:r>
                </w:p>
              </w:tc>
              <w:tc>
                <w:tcPr>
                  <w:tcW w:w="1414" w:type="pct"/>
                  <w:noWrap w:val="0"/>
                  <w:vAlign w:val="center"/>
                </w:tcPr>
                <w:p w14:paraId="7A35E5D2">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50</w:t>
                  </w:r>
                  <w:r>
                    <w:rPr>
                      <w:rFonts w:hint="default" w:ascii="Times New Roman" w:hAnsi="Times New Roman" w:eastAsia="仿宋" w:cs="Times New Roman"/>
                      <w:color w:val="auto"/>
                      <w:sz w:val="21"/>
                      <w:szCs w:val="21"/>
                    </w:rPr>
                    <w:t>万度/年</w:t>
                  </w:r>
                </w:p>
              </w:tc>
              <w:tc>
                <w:tcPr>
                  <w:tcW w:w="1586" w:type="pct"/>
                  <w:noWrap w:val="0"/>
                  <w:vAlign w:val="center"/>
                </w:tcPr>
                <w:p w14:paraId="55F6696B">
                  <w:pPr>
                    <w:adjustRightInd w:val="0"/>
                    <w:snapToGrid w:val="0"/>
                    <w:spacing w:line="300" w:lineRule="exact"/>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依托现有供电设施</w:t>
                  </w:r>
                </w:p>
              </w:tc>
            </w:tr>
            <w:tr w14:paraId="31CEB1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restart"/>
                  <w:noWrap w:val="0"/>
                  <w:vAlign w:val="center"/>
                </w:tcPr>
                <w:p w14:paraId="1F7CD1F3">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贮运工程</w:t>
                  </w:r>
                </w:p>
              </w:tc>
              <w:tc>
                <w:tcPr>
                  <w:tcW w:w="1392" w:type="pct"/>
                  <w:gridSpan w:val="2"/>
                  <w:noWrap w:val="0"/>
                  <w:vAlign w:val="center"/>
                </w:tcPr>
                <w:p w14:paraId="1F8413A2">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原料库</w:t>
                  </w:r>
                </w:p>
              </w:tc>
              <w:tc>
                <w:tcPr>
                  <w:tcW w:w="1414" w:type="pct"/>
                  <w:noWrap w:val="0"/>
                  <w:vAlign w:val="center"/>
                </w:tcPr>
                <w:p w14:paraId="7714014C">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占地面积：</w:t>
                  </w:r>
                  <w:r>
                    <w:rPr>
                      <w:rFonts w:hint="default" w:ascii="Times New Roman" w:hAnsi="Times New Roman" w:eastAsia="仿宋" w:cs="Times New Roman"/>
                      <w:color w:val="auto"/>
                      <w:sz w:val="21"/>
                      <w:szCs w:val="21"/>
                      <w:lang w:val="en-US" w:eastAsia="zh-CN"/>
                    </w:rPr>
                    <w:t>500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586" w:type="pct"/>
                  <w:noWrap w:val="0"/>
                  <w:vAlign w:val="center"/>
                </w:tcPr>
                <w:p w14:paraId="4AF558B3">
                  <w:pPr>
                    <w:adjustRightInd w:val="0"/>
                    <w:snapToGrid w:val="0"/>
                    <w:spacing w:line="300" w:lineRule="exact"/>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在原有基础上扩容</w:t>
                  </w:r>
                </w:p>
              </w:tc>
            </w:tr>
            <w:tr w14:paraId="7AD2F8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27500586">
                  <w:pPr>
                    <w:adjustRightInd w:val="0"/>
                    <w:snapToGrid w:val="0"/>
                    <w:spacing w:line="300" w:lineRule="exact"/>
                    <w:jc w:val="center"/>
                    <w:rPr>
                      <w:rFonts w:hint="default" w:ascii="Times New Roman" w:hAnsi="Times New Roman" w:eastAsia="仿宋" w:cs="Times New Roman"/>
                      <w:color w:val="auto"/>
                      <w:sz w:val="21"/>
                      <w:szCs w:val="21"/>
                    </w:rPr>
                  </w:pPr>
                </w:p>
              </w:tc>
              <w:tc>
                <w:tcPr>
                  <w:tcW w:w="1392" w:type="pct"/>
                  <w:gridSpan w:val="2"/>
                  <w:noWrap w:val="0"/>
                  <w:vAlign w:val="center"/>
                </w:tcPr>
                <w:p w14:paraId="039F4A62">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成品</w:t>
                  </w:r>
                  <w:r>
                    <w:rPr>
                      <w:rFonts w:hint="default" w:ascii="Times New Roman" w:hAnsi="Times New Roman" w:eastAsia="仿宋" w:cs="Times New Roman"/>
                      <w:color w:val="auto"/>
                      <w:sz w:val="21"/>
                      <w:szCs w:val="21"/>
                    </w:rPr>
                    <w:t>库</w:t>
                  </w:r>
                </w:p>
              </w:tc>
              <w:tc>
                <w:tcPr>
                  <w:tcW w:w="1414" w:type="pct"/>
                  <w:noWrap w:val="0"/>
                  <w:vAlign w:val="center"/>
                </w:tcPr>
                <w:p w14:paraId="5FF9EE59">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占地面积：</w:t>
                  </w:r>
                  <w:r>
                    <w:rPr>
                      <w:rFonts w:hint="default" w:ascii="Times New Roman" w:hAnsi="Times New Roman" w:eastAsia="仿宋" w:cs="Times New Roman"/>
                      <w:color w:val="auto"/>
                      <w:sz w:val="21"/>
                      <w:szCs w:val="21"/>
                      <w:lang w:val="en-US" w:eastAsia="zh-CN"/>
                    </w:rPr>
                    <w:t>500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586" w:type="pct"/>
                  <w:noWrap w:val="0"/>
                  <w:vAlign w:val="center"/>
                </w:tcPr>
                <w:p w14:paraId="3DDA5EA9">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在原有基础上扩容</w:t>
                  </w:r>
                </w:p>
              </w:tc>
            </w:tr>
            <w:tr w14:paraId="06DB4D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03EAFC22">
                  <w:pPr>
                    <w:adjustRightInd w:val="0"/>
                    <w:snapToGrid w:val="0"/>
                    <w:spacing w:line="300" w:lineRule="exact"/>
                    <w:jc w:val="center"/>
                    <w:rPr>
                      <w:rFonts w:hint="default" w:ascii="Times New Roman" w:hAnsi="Times New Roman" w:eastAsia="仿宋" w:cs="Times New Roman"/>
                      <w:color w:val="auto"/>
                      <w:sz w:val="21"/>
                      <w:szCs w:val="21"/>
                    </w:rPr>
                  </w:pPr>
                </w:p>
              </w:tc>
              <w:tc>
                <w:tcPr>
                  <w:tcW w:w="1392" w:type="pct"/>
                  <w:gridSpan w:val="2"/>
                  <w:noWrap w:val="0"/>
                  <w:vAlign w:val="center"/>
                </w:tcPr>
                <w:p w14:paraId="6AA2BA1A">
                  <w:pPr>
                    <w:adjustRightInd w:val="0"/>
                    <w:snapToGrid w:val="0"/>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化学品暂存区</w:t>
                  </w:r>
                </w:p>
              </w:tc>
              <w:tc>
                <w:tcPr>
                  <w:tcW w:w="1414" w:type="pct"/>
                  <w:noWrap w:val="0"/>
                  <w:vAlign w:val="center"/>
                </w:tcPr>
                <w:p w14:paraId="24905A1E">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占地面积：</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586" w:type="pct"/>
                  <w:noWrap w:val="0"/>
                  <w:vAlign w:val="center"/>
                </w:tcPr>
                <w:p w14:paraId="0366AA5F">
                  <w:pPr>
                    <w:adjustRightInd w:val="0"/>
                    <w:snapToGrid w:val="0"/>
                    <w:spacing w:line="300" w:lineRule="exact"/>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eastAsia="zh-CN"/>
                    </w:rPr>
                    <w:t>新建，位于车间</w:t>
                  </w:r>
                  <w:r>
                    <w:rPr>
                      <w:rFonts w:hint="default" w:ascii="Times New Roman" w:hAnsi="Times New Roman" w:eastAsia="仿宋" w:cs="Times New Roman"/>
                      <w:color w:val="auto"/>
                      <w:sz w:val="21"/>
                      <w:szCs w:val="21"/>
                      <w:lang w:val="en-US" w:eastAsia="zh-CN"/>
                    </w:rPr>
                    <w:t>内</w:t>
                  </w:r>
                </w:p>
              </w:tc>
            </w:tr>
            <w:tr w14:paraId="5D79B4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6B3753AC">
                  <w:pPr>
                    <w:adjustRightInd w:val="0"/>
                    <w:snapToGrid w:val="0"/>
                    <w:spacing w:line="300" w:lineRule="exact"/>
                    <w:jc w:val="center"/>
                    <w:rPr>
                      <w:rFonts w:hint="default" w:ascii="Times New Roman" w:hAnsi="Times New Roman" w:eastAsia="仿宋" w:cs="Times New Roman"/>
                      <w:color w:val="auto"/>
                      <w:sz w:val="21"/>
                      <w:szCs w:val="21"/>
                    </w:rPr>
                  </w:pPr>
                </w:p>
              </w:tc>
              <w:tc>
                <w:tcPr>
                  <w:tcW w:w="1392" w:type="pct"/>
                  <w:gridSpan w:val="2"/>
                  <w:noWrap w:val="0"/>
                  <w:vAlign w:val="center"/>
                </w:tcPr>
                <w:p w14:paraId="5B447D44">
                  <w:pPr>
                    <w:adjustRightInd w:val="0"/>
                    <w:snapToGrid w:val="0"/>
                    <w:spacing w:line="300" w:lineRule="exact"/>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油品暂存区</w:t>
                  </w:r>
                </w:p>
              </w:tc>
              <w:tc>
                <w:tcPr>
                  <w:tcW w:w="1414" w:type="pct"/>
                  <w:noWrap w:val="0"/>
                  <w:vAlign w:val="center"/>
                </w:tcPr>
                <w:p w14:paraId="75E1D307">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占地面积：</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586" w:type="pct"/>
                  <w:noWrap w:val="0"/>
                  <w:vAlign w:val="center"/>
                </w:tcPr>
                <w:p w14:paraId="107A0D4B">
                  <w:pPr>
                    <w:adjustRightInd w:val="0"/>
                    <w:snapToGrid w:val="0"/>
                    <w:spacing w:line="30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依托现有</w:t>
                  </w:r>
                </w:p>
              </w:tc>
            </w:tr>
            <w:tr w14:paraId="76A5E5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206F0213">
                  <w:pPr>
                    <w:adjustRightInd w:val="0"/>
                    <w:snapToGrid w:val="0"/>
                    <w:spacing w:line="300" w:lineRule="exact"/>
                    <w:jc w:val="center"/>
                    <w:rPr>
                      <w:rFonts w:hint="default" w:ascii="Times New Roman" w:hAnsi="Times New Roman" w:eastAsia="仿宋" w:cs="Times New Roman"/>
                      <w:color w:val="auto"/>
                      <w:sz w:val="21"/>
                      <w:szCs w:val="21"/>
                    </w:rPr>
                  </w:pPr>
                </w:p>
              </w:tc>
              <w:tc>
                <w:tcPr>
                  <w:tcW w:w="1392" w:type="pct"/>
                  <w:gridSpan w:val="2"/>
                  <w:noWrap w:val="0"/>
                  <w:vAlign w:val="center"/>
                </w:tcPr>
                <w:p w14:paraId="01299A81">
                  <w:pPr>
                    <w:adjustRightInd w:val="0"/>
                    <w:snapToGrid w:val="0"/>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运输工程</w:t>
                  </w:r>
                </w:p>
              </w:tc>
              <w:tc>
                <w:tcPr>
                  <w:tcW w:w="1414" w:type="pct"/>
                  <w:noWrap w:val="0"/>
                  <w:vAlign w:val="center"/>
                </w:tcPr>
                <w:p w14:paraId="0C3C493F">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车运</w:t>
                  </w:r>
                </w:p>
              </w:tc>
              <w:tc>
                <w:tcPr>
                  <w:tcW w:w="1586" w:type="pct"/>
                  <w:noWrap w:val="0"/>
                  <w:vAlign w:val="center"/>
                </w:tcPr>
                <w:p w14:paraId="23EB5103">
                  <w:pPr>
                    <w:adjustRightInd w:val="0"/>
                    <w:snapToGrid w:val="0"/>
                    <w:spacing w:line="30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依托社会车辆</w:t>
                  </w:r>
                </w:p>
              </w:tc>
            </w:tr>
            <w:tr w14:paraId="30A7F0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restart"/>
                  <w:noWrap w:val="0"/>
                  <w:vAlign w:val="center"/>
                </w:tcPr>
                <w:p w14:paraId="2C420146">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环保工程</w:t>
                  </w:r>
                </w:p>
              </w:tc>
              <w:tc>
                <w:tcPr>
                  <w:tcW w:w="460" w:type="pct"/>
                  <w:vMerge w:val="restart"/>
                  <w:noWrap w:val="0"/>
                  <w:vAlign w:val="center"/>
                </w:tcPr>
                <w:p w14:paraId="2A836111">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w:t>
                  </w:r>
                </w:p>
              </w:tc>
              <w:tc>
                <w:tcPr>
                  <w:tcW w:w="932" w:type="pct"/>
                  <w:noWrap w:val="0"/>
                  <w:vAlign w:val="center"/>
                </w:tcPr>
                <w:p w14:paraId="03A76BAC">
                  <w:pPr>
                    <w:spacing w:line="30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抛光</w:t>
                  </w:r>
                  <w:r>
                    <w:rPr>
                      <w:rFonts w:hint="eastAsia" w:eastAsia="仿宋" w:cs="Times New Roman"/>
                      <w:bCs/>
                      <w:color w:val="auto"/>
                      <w:sz w:val="21"/>
                      <w:szCs w:val="21"/>
                      <w:lang w:val="en-US" w:eastAsia="zh-CN"/>
                    </w:rPr>
                    <w:t>、</w:t>
                  </w:r>
                  <w:r>
                    <w:rPr>
                      <w:rFonts w:hint="default" w:ascii="Times New Roman" w:hAnsi="Times New Roman" w:eastAsia="仿宋" w:cs="Times New Roman"/>
                      <w:bCs/>
                      <w:color w:val="auto"/>
                      <w:sz w:val="21"/>
                      <w:szCs w:val="21"/>
                      <w:lang w:val="en-US" w:eastAsia="zh-CN"/>
                    </w:rPr>
                    <w:t>打磨</w:t>
                  </w:r>
                  <w:r>
                    <w:rPr>
                      <w:rFonts w:hint="eastAsia" w:eastAsia="仿宋" w:cs="Times New Roman"/>
                      <w:bCs/>
                      <w:color w:val="auto"/>
                      <w:sz w:val="21"/>
                      <w:szCs w:val="21"/>
                      <w:lang w:val="en-US" w:eastAsia="zh-CN"/>
                    </w:rPr>
                    <w:t>废气</w:t>
                  </w:r>
                </w:p>
              </w:tc>
              <w:tc>
                <w:tcPr>
                  <w:tcW w:w="1414" w:type="pct"/>
                  <w:noWrap w:val="0"/>
                  <w:vAlign w:val="center"/>
                </w:tcPr>
                <w:p w14:paraId="7013B706">
                  <w:pPr>
                    <w:spacing w:line="300" w:lineRule="exact"/>
                    <w:jc w:val="center"/>
                    <w:rPr>
                      <w:rFonts w:hint="default" w:ascii="Times New Roman" w:hAnsi="Times New Roman" w:eastAsia="仿宋" w:cs="Times New Roman"/>
                      <w:bCs/>
                      <w:color w:val="auto"/>
                      <w:sz w:val="21"/>
                      <w:szCs w:val="21"/>
                      <w:lang w:eastAsia="zh-CN"/>
                    </w:rPr>
                  </w:pPr>
                  <w:r>
                    <w:rPr>
                      <w:rFonts w:hint="default" w:ascii="Times New Roman" w:hAnsi="Times New Roman" w:eastAsia="仿宋" w:cs="Times New Roman"/>
                      <w:bCs/>
                      <w:color w:val="auto"/>
                      <w:sz w:val="21"/>
                      <w:szCs w:val="21"/>
                      <w:lang w:eastAsia="zh-CN"/>
                    </w:rPr>
                    <w:t>袋</w:t>
                  </w:r>
                  <w:r>
                    <w:rPr>
                      <w:rFonts w:hint="default" w:ascii="Times New Roman" w:hAnsi="Times New Roman" w:eastAsia="仿宋" w:cs="Times New Roman"/>
                      <w:bCs/>
                      <w:color w:val="auto"/>
                      <w:sz w:val="21"/>
                      <w:szCs w:val="21"/>
                      <w:lang w:val="en-US" w:eastAsia="zh-CN"/>
                    </w:rPr>
                    <w:t>式除尘</w:t>
                  </w:r>
                  <w:r>
                    <w:rPr>
                      <w:rFonts w:hint="default" w:ascii="Times New Roman" w:hAnsi="Times New Roman" w:eastAsia="仿宋" w:cs="Times New Roman"/>
                      <w:bCs/>
                      <w:color w:val="auto"/>
                      <w:sz w:val="21"/>
                      <w:szCs w:val="21"/>
                    </w:rPr>
                    <w:t>+15m高排气筒（</w:t>
                  </w:r>
                  <w:r>
                    <w:rPr>
                      <w:rFonts w:hint="default" w:ascii="Times New Roman" w:hAnsi="Times New Roman" w:eastAsia="仿宋" w:cs="Times New Roman"/>
                      <w:bCs/>
                      <w:color w:val="auto"/>
                      <w:sz w:val="21"/>
                      <w:szCs w:val="21"/>
                      <w:lang w:val="en-US" w:eastAsia="zh-CN"/>
                    </w:rPr>
                    <w:t>DA001</w:t>
                  </w:r>
                  <w:r>
                    <w:rPr>
                      <w:rFonts w:hint="default" w:ascii="Times New Roman" w:hAnsi="Times New Roman" w:eastAsia="仿宋" w:cs="Times New Roman"/>
                      <w:bCs/>
                      <w:color w:val="auto"/>
                      <w:sz w:val="21"/>
                      <w:szCs w:val="21"/>
                    </w:rPr>
                    <w:t>）</w:t>
                  </w:r>
                </w:p>
              </w:tc>
              <w:tc>
                <w:tcPr>
                  <w:tcW w:w="1586" w:type="pct"/>
                  <w:noWrap w:val="0"/>
                  <w:vAlign w:val="center"/>
                </w:tcPr>
                <w:p w14:paraId="63D0F4B3">
                  <w:pPr>
                    <w:spacing w:line="30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新建</w:t>
                  </w:r>
                </w:p>
              </w:tc>
            </w:tr>
            <w:tr w14:paraId="26CA25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0C8253E9">
                  <w:pPr>
                    <w:adjustRightInd w:val="0"/>
                    <w:snapToGrid w:val="0"/>
                    <w:spacing w:line="300" w:lineRule="exact"/>
                    <w:jc w:val="center"/>
                    <w:rPr>
                      <w:rFonts w:hint="default" w:ascii="Times New Roman" w:hAnsi="Times New Roman" w:eastAsia="仿宋" w:cs="Times New Roman"/>
                      <w:color w:val="auto"/>
                      <w:sz w:val="21"/>
                      <w:szCs w:val="21"/>
                    </w:rPr>
                  </w:pPr>
                </w:p>
              </w:tc>
              <w:tc>
                <w:tcPr>
                  <w:tcW w:w="460" w:type="pct"/>
                  <w:vMerge w:val="continue"/>
                  <w:noWrap w:val="0"/>
                  <w:vAlign w:val="center"/>
                </w:tcPr>
                <w:p w14:paraId="6276ED0C">
                  <w:pPr>
                    <w:spacing w:line="300" w:lineRule="exact"/>
                    <w:jc w:val="center"/>
                    <w:rPr>
                      <w:rFonts w:hint="default" w:ascii="Times New Roman" w:hAnsi="Times New Roman" w:eastAsia="仿宋" w:cs="Times New Roman"/>
                      <w:color w:val="auto"/>
                      <w:sz w:val="21"/>
                      <w:szCs w:val="21"/>
                    </w:rPr>
                  </w:pPr>
                </w:p>
              </w:tc>
              <w:tc>
                <w:tcPr>
                  <w:tcW w:w="932" w:type="pct"/>
                  <w:noWrap w:val="0"/>
                  <w:vAlign w:val="center"/>
                </w:tcPr>
                <w:p w14:paraId="4D4D29A8">
                  <w:pPr>
                    <w:spacing w:line="300" w:lineRule="exact"/>
                    <w:jc w:val="center"/>
                    <w:rPr>
                      <w:rFonts w:hint="default" w:ascii="Times New Roman" w:hAnsi="Times New Roman" w:eastAsia="仿宋" w:cs="Times New Roman"/>
                      <w:bCs/>
                      <w:color w:val="auto"/>
                      <w:sz w:val="21"/>
                      <w:szCs w:val="21"/>
                      <w:lang w:eastAsia="zh-CN"/>
                    </w:rPr>
                  </w:pPr>
                  <w:r>
                    <w:rPr>
                      <w:rFonts w:hint="default" w:ascii="Times New Roman" w:hAnsi="Times New Roman" w:eastAsia="仿宋" w:cs="Times New Roman"/>
                      <w:bCs/>
                      <w:color w:val="auto"/>
                      <w:sz w:val="21"/>
                      <w:szCs w:val="21"/>
                      <w:lang w:val="en-US" w:eastAsia="zh-CN"/>
                    </w:rPr>
                    <w:t>焊接、喷砂</w:t>
                  </w:r>
                  <w:r>
                    <w:rPr>
                      <w:rFonts w:hint="default" w:ascii="Times New Roman" w:hAnsi="Times New Roman" w:eastAsia="仿宋" w:cs="Times New Roman"/>
                      <w:bCs/>
                      <w:color w:val="auto"/>
                      <w:sz w:val="21"/>
                      <w:szCs w:val="21"/>
                      <w:lang w:eastAsia="zh-CN"/>
                    </w:rPr>
                    <w:t>废气</w:t>
                  </w:r>
                </w:p>
              </w:tc>
              <w:tc>
                <w:tcPr>
                  <w:tcW w:w="1414" w:type="pct"/>
                  <w:noWrap w:val="0"/>
                  <w:vAlign w:val="center"/>
                </w:tcPr>
                <w:p w14:paraId="75CA8583">
                  <w:pPr>
                    <w:spacing w:line="30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eastAsia="zh-CN"/>
                    </w:rPr>
                    <w:t>袋</w:t>
                  </w:r>
                  <w:r>
                    <w:rPr>
                      <w:rFonts w:hint="default" w:ascii="Times New Roman" w:hAnsi="Times New Roman" w:eastAsia="仿宋" w:cs="Times New Roman"/>
                      <w:bCs/>
                      <w:color w:val="auto"/>
                      <w:sz w:val="21"/>
                      <w:szCs w:val="21"/>
                      <w:lang w:val="en-US" w:eastAsia="zh-CN"/>
                    </w:rPr>
                    <w:t>式除尘</w:t>
                  </w:r>
                  <w:r>
                    <w:rPr>
                      <w:rFonts w:hint="default" w:ascii="Times New Roman" w:hAnsi="Times New Roman" w:eastAsia="仿宋" w:cs="Times New Roman"/>
                      <w:bCs/>
                      <w:color w:val="auto"/>
                      <w:sz w:val="21"/>
                      <w:szCs w:val="21"/>
                    </w:rPr>
                    <w:t>+15m高排气筒（</w:t>
                  </w:r>
                  <w:r>
                    <w:rPr>
                      <w:rFonts w:hint="default" w:ascii="Times New Roman" w:hAnsi="Times New Roman" w:eastAsia="仿宋" w:cs="Times New Roman"/>
                      <w:bCs/>
                      <w:color w:val="auto"/>
                      <w:sz w:val="21"/>
                      <w:szCs w:val="21"/>
                      <w:lang w:val="en-US" w:eastAsia="zh-CN"/>
                    </w:rPr>
                    <w:t>DA002</w:t>
                  </w:r>
                  <w:r>
                    <w:rPr>
                      <w:rFonts w:hint="default" w:ascii="Times New Roman" w:hAnsi="Times New Roman" w:eastAsia="仿宋" w:cs="Times New Roman"/>
                      <w:bCs/>
                      <w:color w:val="auto"/>
                      <w:sz w:val="21"/>
                      <w:szCs w:val="21"/>
                    </w:rPr>
                    <w:t>）</w:t>
                  </w:r>
                </w:p>
              </w:tc>
              <w:tc>
                <w:tcPr>
                  <w:tcW w:w="1586" w:type="pct"/>
                  <w:noWrap w:val="0"/>
                  <w:vAlign w:val="center"/>
                </w:tcPr>
                <w:p w14:paraId="4658C5AC">
                  <w:pPr>
                    <w:spacing w:line="30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lang w:val="en-US" w:eastAsia="zh-CN"/>
                    </w:rPr>
                    <w:t>新建</w:t>
                  </w:r>
                </w:p>
              </w:tc>
            </w:tr>
            <w:tr w14:paraId="19D608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47FAF408">
                  <w:pPr>
                    <w:adjustRightInd w:val="0"/>
                    <w:snapToGrid w:val="0"/>
                    <w:spacing w:line="300" w:lineRule="exact"/>
                    <w:jc w:val="center"/>
                    <w:rPr>
                      <w:rFonts w:hint="default" w:ascii="Times New Roman" w:hAnsi="Times New Roman" w:eastAsia="仿宋" w:cs="Times New Roman"/>
                      <w:color w:val="auto"/>
                      <w:sz w:val="21"/>
                      <w:szCs w:val="21"/>
                    </w:rPr>
                  </w:pPr>
                </w:p>
              </w:tc>
              <w:tc>
                <w:tcPr>
                  <w:tcW w:w="460" w:type="pct"/>
                  <w:vMerge w:val="continue"/>
                  <w:noWrap w:val="0"/>
                  <w:vAlign w:val="center"/>
                </w:tcPr>
                <w:p w14:paraId="75365E87">
                  <w:pPr>
                    <w:spacing w:line="300" w:lineRule="exact"/>
                    <w:jc w:val="center"/>
                    <w:rPr>
                      <w:rFonts w:hint="default" w:ascii="Times New Roman" w:hAnsi="Times New Roman" w:eastAsia="仿宋" w:cs="Times New Roman"/>
                      <w:color w:val="auto"/>
                      <w:sz w:val="21"/>
                      <w:szCs w:val="21"/>
                    </w:rPr>
                  </w:pPr>
                </w:p>
              </w:tc>
              <w:tc>
                <w:tcPr>
                  <w:tcW w:w="932" w:type="pct"/>
                  <w:noWrap w:val="0"/>
                  <w:vAlign w:val="center"/>
                </w:tcPr>
                <w:p w14:paraId="75D84DCB">
                  <w:pPr>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eastAsia="zh-CN"/>
                    </w:rPr>
                    <w:t>调漆、</w:t>
                  </w:r>
                  <w:r>
                    <w:rPr>
                      <w:rFonts w:hint="default" w:ascii="Times New Roman" w:hAnsi="Times New Roman" w:eastAsia="仿宋" w:cs="Times New Roman"/>
                      <w:bCs/>
                      <w:color w:val="auto"/>
                      <w:sz w:val="21"/>
                      <w:szCs w:val="21"/>
                      <w:lang w:val="en-US" w:eastAsia="zh-CN"/>
                    </w:rPr>
                    <w:t>喷漆、烘干废气</w:t>
                  </w:r>
                </w:p>
              </w:tc>
              <w:tc>
                <w:tcPr>
                  <w:tcW w:w="1414" w:type="pct"/>
                  <w:noWrap w:val="0"/>
                  <w:vAlign w:val="center"/>
                </w:tcPr>
                <w:p w14:paraId="54BC6B92">
                  <w:pPr>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val="en-US" w:eastAsia="zh-CN"/>
                    </w:rPr>
                    <w:t>干式过滤+二级</w:t>
                  </w:r>
                  <w:r>
                    <w:rPr>
                      <w:rFonts w:hint="default" w:ascii="Times New Roman" w:hAnsi="Times New Roman" w:eastAsia="仿宋" w:cs="Times New Roman"/>
                      <w:bCs/>
                      <w:color w:val="auto"/>
                      <w:sz w:val="21"/>
                      <w:szCs w:val="21"/>
                    </w:rPr>
                    <w:t>活性炭吸附+15m高排气筒（</w:t>
                  </w:r>
                  <w:r>
                    <w:rPr>
                      <w:rFonts w:hint="default" w:ascii="Times New Roman" w:hAnsi="Times New Roman" w:eastAsia="仿宋" w:cs="Times New Roman"/>
                      <w:bCs/>
                      <w:color w:val="auto"/>
                      <w:sz w:val="21"/>
                      <w:szCs w:val="21"/>
                      <w:lang w:val="en-US" w:eastAsia="zh-CN"/>
                    </w:rPr>
                    <w:t>DA003</w:t>
                  </w:r>
                  <w:r>
                    <w:rPr>
                      <w:rFonts w:hint="default" w:ascii="Times New Roman" w:hAnsi="Times New Roman" w:eastAsia="仿宋" w:cs="Times New Roman"/>
                      <w:bCs/>
                      <w:color w:val="auto"/>
                      <w:sz w:val="21"/>
                      <w:szCs w:val="21"/>
                    </w:rPr>
                    <w:t>）</w:t>
                  </w:r>
                </w:p>
              </w:tc>
              <w:tc>
                <w:tcPr>
                  <w:tcW w:w="1586" w:type="pct"/>
                  <w:noWrap w:val="0"/>
                  <w:vAlign w:val="center"/>
                </w:tcPr>
                <w:p w14:paraId="437AF540">
                  <w:pPr>
                    <w:spacing w:line="30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lang w:val="en-US" w:eastAsia="zh-CN"/>
                    </w:rPr>
                    <w:t>新建</w:t>
                  </w:r>
                </w:p>
              </w:tc>
            </w:tr>
            <w:tr w14:paraId="34D44E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38B73079">
                  <w:pPr>
                    <w:adjustRightInd w:val="0"/>
                    <w:snapToGrid w:val="0"/>
                    <w:spacing w:line="300" w:lineRule="exact"/>
                    <w:jc w:val="center"/>
                    <w:rPr>
                      <w:rFonts w:hint="default" w:ascii="Times New Roman" w:hAnsi="Times New Roman" w:eastAsia="仿宋" w:cs="Times New Roman"/>
                      <w:color w:val="auto"/>
                      <w:sz w:val="21"/>
                      <w:szCs w:val="21"/>
                    </w:rPr>
                  </w:pPr>
                </w:p>
              </w:tc>
              <w:tc>
                <w:tcPr>
                  <w:tcW w:w="460" w:type="pct"/>
                  <w:vMerge w:val="continue"/>
                  <w:noWrap w:val="0"/>
                  <w:vAlign w:val="center"/>
                </w:tcPr>
                <w:p w14:paraId="6FFD4859">
                  <w:pPr>
                    <w:spacing w:line="300" w:lineRule="exact"/>
                    <w:jc w:val="center"/>
                    <w:rPr>
                      <w:rFonts w:hint="default" w:ascii="Times New Roman" w:hAnsi="Times New Roman" w:eastAsia="仿宋" w:cs="Times New Roman"/>
                      <w:color w:val="auto"/>
                      <w:sz w:val="21"/>
                      <w:szCs w:val="21"/>
                    </w:rPr>
                  </w:pPr>
                </w:p>
              </w:tc>
              <w:tc>
                <w:tcPr>
                  <w:tcW w:w="932" w:type="pct"/>
                  <w:noWrap w:val="0"/>
                  <w:vAlign w:val="center"/>
                </w:tcPr>
                <w:p w14:paraId="33C43C32">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危废库房废气</w:t>
                  </w:r>
                </w:p>
              </w:tc>
              <w:tc>
                <w:tcPr>
                  <w:tcW w:w="1414" w:type="pct"/>
                  <w:noWrap w:val="0"/>
                  <w:vAlign w:val="center"/>
                </w:tcPr>
                <w:p w14:paraId="48EB4AF9">
                  <w:pPr>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val="en-US" w:eastAsia="zh-CN"/>
                    </w:rPr>
                    <w:t>二级</w:t>
                  </w:r>
                  <w:r>
                    <w:rPr>
                      <w:rFonts w:hint="default" w:ascii="Times New Roman" w:hAnsi="Times New Roman" w:eastAsia="仿宋" w:cs="Times New Roman"/>
                      <w:bCs/>
                      <w:color w:val="auto"/>
                      <w:sz w:val="21"/>
                      <w:szCs w:val="21"/>
                    </w:rPr>
                    <w:t>活性炭吸附+15m高排气筒（</w:t>
                  </w:r>
                  <w:r>
                    <w:rPr>
                      <w:rFonts w:hint="default" w:ascii="Times New Roman" w:hAnsi="Times New Roman" w:eastAsia="仿宋" w:cs="Times New Roman"/>
                      <w:bCs/>
                      <w:color w:val="auto"/>
                      <w:sz w:val="21"/>
                      <w:szCs w:val="21"/>
                      <w:lang w:val="en-US" w:eastAsia="zh-CN"/>
                    </w:rPr>
                    <w:t>DA004</w:t>
                  </w:r>
                  <w:r>
                    <w:rPr>
                      <w:rFonts w:hint="default" w:ascii="Times New Roman" w:hAnsi="Times New Roman" w:eastAsia="仿宋" w:cs="Times New Roman"/>
                      <w:bCs/>
                      <w:color w:val="auto"/>
                      <w:sz w:val="21"/>
                      <w:szCs w:val="21"/>
                    </w:rPr>
                    <w:t>）</w:t>
                  </w:r>
                </w:p>
              </w:tc>
              <w:tc>
                <w:tcPr>
                  <w:tcW w:w="1586" w:type="pct"/>
                  <w:noWrap w:val="0"/>
                  <w:vAlign w:val="center"/>
                </w:tcPr>
                <w:p w14:paraId="282955F0">
                  <w:pPr>
                    <w:spacing w:line="30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lang w:val="en-US" w:eastAsia="zh-CN"/>
                    </w:rPr>
                    <w:t>新建</w:t>
                  </w:r>
                </w:p>
              </w:tc>
            </w:tr>
            <w:tr w14:paraId="23464A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670FFFF8">
                  <w:pPr>
                    <w:adjustRightInd w:val="0"/>
                    <w:snapToGrid w:val="0"/>
                    <w:spacing w:line="300" w:lineRule="exact"/>
                    <w:jc w:val="center"/>
                    <w:rPr>
                      <w:rFonts w:hint="default" w:ascii="Times New Roman" w:hAnsi="Times New Roman" w:eastAsia="仿宋" w:cs="Times New Roman"/>
                      <w:color w:val="auto"/>
                      <w:sz w:val="21"/>
                      <w:szCs w:val="21"/>
                    </w:rPr>
                  </w:pPr>
                </w:p>
              </w:tc>
              <w:tc>
                <w:tcPr>
                  <w:tcW w:w="1392" w:type="pct"/>
                  <w:gridSpan w:val="2"/>
                  <w:noWrap w:val="0"/>
                  <w:vAlign w:val="center"/>
                </w:tcPr>
                <w:p w14:paraId="0CAFC70A">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w:t>
                  </w:r>
                </w:p>
              </w:tc>
              <w:tc>
                <w:tcPr>
                  <w:tcW w:w="1414" w:type="pct"/>
                  <w:noWrap w:val="0"/>
                  <w:vAlign w:val="center"/>
                </w:tcPr>
                <w:p w14:paraId="7E3DC9AE">
                  <w:pPr>
                    <w:adjustRightInd w:val="0"/>
                    <w:snapToGrid w:val="0"/>
                    <w:spacing w:line="300" w:lineRule="exact"/>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经化粪池收集后</w:t>
                  </w:r>
                  <w:r>
                    <w:rPr>
                      <w:rFonts w:hint="default" w:ascii="Times New Roman" w:hAnsi="Times New Roman" w:eastAsia="仿宋" w:cs="Times New Roman"/>
                      <w:color w:val="auto"/>
                      <w:sz w:val="21"/>
                      <w:szCs w:val="21"/>
                      <w:lang w:val="en-US" w:eastAsia="zh-CN"/>
                    </w:rPr>
                    <w:t>接管至茅东污水处理厂处理</w:t>
                  </w:r>
                </w:p>
              </w:tc>
              <w:tc>
                <w:tcPr>
                  <w:tcW w:w="1586" w:type="pct"/>
                  <w:noWrap w:val="0"/>
                  <w:vAlign w:val="center"/>
                </w:tcPr>
                <w:p w14:paraId="4222057B">
                  <w:pPr>
                    <w:adjustRightInd w:val="0"/>
                    <w:snapToGrid w:val="0"/>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依托现有</w:t>
                  </w:r>
                  <w:r>
                    <w:rPr>
                      <w:rFonts w:hint="default" w:ascii="Times New Roman" w:hAnsi="Times New Roman" w:eastAsia="仿宋" w:cs="Times New Roman"/>
                      <w:color w:val="auto"/>
                      <w:sz w:val="21"/>
                      <w:szCs w:val="21"/>
                      <w:lang w:val="en-US" w:eastAsia="zh-CN"/>
                    </w:rPr>
                    <w:t>污水接管口</w:t>
                  </w:r>
                </w:p>
              </w:tc>
            </w:tr>
            <w:tr w14:paraId="2DFD08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22BCD7E2">
                  <w:pPr>
                    <w:adjustRightInd w:val="0"/>
                    <w:snapToGrid w:val="0"/>
                    <w:spacing w:line="300" w:lineRule="exact"/>
                    <w:jc w:val="center"/>
                    <w:rPr>
                      <w:rFonts w:hint="default" w:ascii="Times New Roman" w:hAnsi="Times New Roman" w:eastAsia="仿宋" w:cs="Times New Roman"/>
                      <w:color w:val="auto"/>
                      <w:sz w:val="21"/>
                      <w:szCs w:val="21"/>
                    </w:rPr>
                  </w:pPr>
                </w:p>
              </w:tc>
              <w:tc>
                <w:tcPr>
                  <w:tcW w:w="1392" w:type="pct"/>
                  <w:gridSpan w:val="2"/>
                  <w:noWrap w:val="0"/>
                  <w:vAlign w:val="center"/>
                </w:tcPr>
                <w:p w14:paraId="4BA05AAF">
                  <w:pPr>
                    <w:spacing w:line="30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噪声</w:t>
                  </w:r>
                </w:p>
              </w:tc>
              <w:tc>
                <w:tcPr>
                  <w:tcW w:w="1414" w:type="pct"/>
                  <w:noWrap w:val="0"/>
                  <w:vAlign w:val="center"/>
                </w:tcPr>
                <w:p w14:paraId="4C07EA6B">
                  <w:pPr>
                    <w:keepNext w:val="0"/>
                    <w:keepLines w:val="0"/>
                    <w:widowControl/>
                    <w:suppressLineNumbers w:val="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bidi="ar"/>
                    </w:rPr>
                    <w:t>合理布局、采取相应的隔声、减震、消音措施</w:t>
                  </w:r>
                </w:p>
              </w:tc>
              <w:tc>
                <w:tcPr>
                  <w:tcW w:w="1586" w:type="pct"/>
                  <w:noWrap w:val="0"/>
                  <w:vAlign w:val="center"/>
                </w:tcPr>
                <w:p w14:paraId="2AC4F220">
                  <w:pPr>
                    <w:adjustRightInd w:val="0"/>
                    <w:snapToGrid w:val="0"/>
                    <w:spacing w:line="30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达标排放</w:t>
                  </w:r>
                </w:p>
              </w:tc>
            </w:tr>
            <w:tr w14:paraId="0CE3C4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54552E85">
                  <w:pPr>
                    <w:adjustRightInd w:val="0"/>
                    <w:snapToGrid w:val="0"/>
                    <w:spacing w:line="300" w:lineRule="exact"/>
                    <w:jc w:val="center"/>
                    <w:rPr>
                      <w:rFonts w:hint="default" w:ascii="Times New Roman" w:hAnsi="Times New Roman" w:eastAsia="仿宋" w:cs="Times New Roman"/>
                      <w:color w:val="auto"/>
                      <w:sz w:val="21"/>
                      <w:szCs w:val="21"/>
                    </w:rPr>
                  </w:pPr>
                </w:p>
              </w:tc>
              <w:tc>
                <w:tcPr>
                  <w:tcW w:w="460" w:type="pct"/>
                  <w:vMerge w:val="restart"/>
                  <w:noWrap w:val="0"/>
                  <w:vAlign w:val="center"/>
                </w:tcPr>
                <w:p w14:paraId="36CED98B">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固废</w:t>
                  </w:r>
                </w:p>
              </w:tc>
              <w:tc>
                <w:tcPr>
                  <w:tcW w:w="932" w:type="pct"/>
                  <w:noWrap w:val="0"/>
                  <w:vAlign w:val="center"/>
                </w:tcPr>
                <w:p w14:paraId="0BF2F2BC">
                  <w:pPr>
                    <w:spacing w:line="30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bCs/>
                      <w:color w:val="auto"/>
                      <w:sz w:val="21"/>
                      <w:szCs w:val="21"/>
                      <w:lang w:eastAsia="zh-CN"/>
                    </w:rPr>
                    <w:t>危废仓库</w:t>
                  </w:r>
                </w:p>
              </w:tc>
              <w:tc>
                <w:tcPr>
                  <w:tcW w:w="1414" w:type="pct"/>
                  <w:noWrap w:val="0"/>
                  <w:vAlign w:val="center"/>
                </w:tcPr>
                <w:p w14:paraId="1C999021">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20</w:t>
                  </w:r>
                  <w:r>
                    <w:rPr>
                      <w:rFonts w:hint="default" w:ascii="Times New Roman" w:hAnsi="Times New Roman" w:eastAsia="仿宋" w:cs="Times New Roman"/>
                      <w:bCs/>
                      <w:color w:val="auto"/>
                      <w:sz w:val="21"/>
                      <w:szCs w:val="21"/>
                    </w:rPr>
                    <w:t>m</w:t>
                  </w:r>
                  <w:r>
                    <w:rPr>
                      <w:rFonts w:hint="default" w:ascii="Times New Roman" w:hAnsi="Times New Roman" w:eastAsia="仿宋" w:cs="Times New Roman"/>
                      <w:bCs/>
                      <w:color w:val="auto"/>
                      <w:sz w:val="21"/>
                      <w:szCs w:val="21"/>
                      <w:vertAlign w:val="superscript"/>
                    </w:rPr>
                    <w:t>2</w:t>
                  </w:r>
                </w:p>
              </w:tc>
              <w:tc>
                <w:tcPr>
                  <w:tcW w:w="1586" w:type="pct"/>
                  <w:noWrap w:val="0"/>
                  <w:vAlign w:val="center"/>
                </w:tcPr>
                <w:p w14:paraId="6CF3A7BB">
                  <w:pPr>
                    <w:adjustRightInd w:val="0"/>
                    <w:snapToGrid w:val="0"/>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在原有基础上扩容</w:t>
                  </w:r>
                </w:p>
              </w:tc>
            </w:tr>
            <w:tr w14:paraId="338F63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vMerge w:val="continue"/>
                  <w:noWrap w:val="0"/>
                  <w:vAlign w:val="center"/>
                </w:tcPr>
                <w:p w14:paraId="1680EAFC">
                  <w:pPr>
                    <w:adjustRightInd w:val="0"/>
                    <w:snapToGrid w:val="0"/>
                    <w:spacing w:line="300" w:lineRule="exact"/>
                    <w:jc w:val="center"/>
                    <w:rPr>
                      <w:rFonts w:hint="default" w:ascii="Times New Roman" w:hAnsi="Times New Roman" w:eastAsia="仿宋" w:cs="Times New Roman"/>
                      <w:color w:val="auto"/>
                      <w:sz w:val="21"/>
                      <w:szCs w:val="21"/>
                    </w:rPr>
                  </w:pPr>
                </w:p>
              </w:tc>
              <w:tc>
                <w:tcPr>
                  <w:tcW w:w="460" w:type="pct"/>
                  <w:vMerge w:val="continue"/>
                  <w:noWrap w:val="0"/>
                  <w:vAlign w:val="center"/>
                </w:tcPr>
                <w:p w14:paraId="7924D0F3">
                  <w:pPr>
                    <w:spacing w:line="300" w:lineRule="exact"/>
                    <w:jc w:val="center"/>
                    <w:rPr>
                      <w:rFonts w:hint="default" w:ascii="Times New Roman" w:hAnsi="Times New Roman" w:eastAsia="仿宋" w:cs="Times New Roman"/>
                      <w:color w:val="auto"/>
                      <w:sz w:val="21"/>
                      <w:szCs w:val="21"/>
                    </w:rPr>
                  </w:pPr>
                </w:p>
              </w:tc>
              <w:tc>
                <w:tcPr>
                  <w:tcW w:w="932" w:type="pct"/>
                  <w:noWrap w:val="0"/>
                  <w:vAlign w:val="center"/>
                </w:tcPr>
                <w:p w14:paraId="6331D8B8">
                  <w:pPr>
                    <w:spacing w:line="30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bCs/>
                      <w:color w:val="auto"/>
                      <w:sz w:val="21"/>
                      <w:szCs w:val="21"/>
                      <w:lang w:eastAsia="zh-CN"/>
                    </w:rPr>
                    <w:t>一般固废仓库</w:t>
                  </w:r>
                </w:p>
              </w:tc>
              <w:tc>
                <w:tcPr>
                  <w:tcW w:w="1414" w:type="pct"/>
                  <w:noWrap w:val="0"/>
                  <w:vAlign w:val="center"/>
                </w:tcPr>
                <w:p w14:paraId="7C8B1CA0">
                  <w:pPr>
                    <w:adjustRightInd w:val="0"/>
                    <w:snapToGrid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30</w:t>
                  </w:r>
                  <w:r>
                    <w:rPr>
                      <w:rFonts w:hint="default" w:ascii="Times New Roman" w:hAnsi="Times New Roman" w:eastAsia="仿宋" w:cs="Times New Roman"/>
                      <w:bCs/>
                      <w:color w:val="auto"/>
                      <w:sz w:val="21"/>
                      <w:szCs w:val="21"/>
                    </w:rPr>
                    <w:t>m</w:t>
                  </w:r>
                  <w:r>
                    <w:rPr>
                      <w:rFonts w:hint="default" w:ascii="Times New Roman" w:hAnsi="Times New Roman" w:eastAsia="仿宋" w:cs="Times New Roman"/>
                      <w:bCs/>
                      <w:color w:val="auto"/>
                      <w:sz w:val="21"/>
                      <w:szCs w:val="21"/>
                      <w:vertAlign w:val="superscript"/>
                    </w:rPr>
                    <w:t>2</w:t>
                  </w:r>
                </w:p>
              </w:tc>
              <w:tc>
                <w:tcPr>
                  <w:tcW w:w="1586" w:type="pct"/>
                  <w:noWrap w:val="0"/>
                  <w:vAlign w:val="center"/>
                </w:tcPr>
                <w:p w14:paraId="75CCF310">
                  <w:pPr>
                    <w:adjustRightInd w:val="0"/>
                    <w:snapToGrid w:val="0"/>
                    <w:spacing w:line="30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在原有基础上扩容</w:t>
                  </w:r>
                </w:p>
              </w:tc>
            </w:tr>
            <w:tr w14:paraId="245232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pct"/>
                  <w:noWrap w:val="0"/>
                  <w:vAlign w:val="center"/>
                </w:tcPr>
                <w:p w14:paraId="35A4E0B9">
                  <w:pPr>
                    <w:spacing w:line="30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sz w:val="21"/>
                      <w:szCs w:val="21"/>
                      <w:lang w:eastAsia="zh-CN"/>
                    </w:rPr>
                    <w:t>风险防控措施</w:t>
                  </w:r>
                </w:p>
              </w:tc>
              <w:tc>
                <w:tcPr>
                  <w:tcW w:w="2807" w:type="pct"/>
                  <w:gridSpan w:val="3"/>
                  <w:noWrap w:val="0"/>
                  <w:vAlign w:val="center"/>
                </w:tcPr>
                <w:p w14:paraId="0235776B">
                  <w:pPr>
                    <w:keepNext w:val="0"/>
                    <w:keepLines w:val="0"/>
                    <w:widowControl/>
                    <w:suppressLineNumbers w:val="0"/>
                    <w:jc w:val="left"/>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color w:val="auto"/>
                      <w:sz w:val="21"/>
                      <w:szCs w:val="21"/>
                      <w:lang w:val="en-US" w:eastAsia="zh-CN"/>
                    </w:rPr>
                    <w:t>厂区雨水口设置阀门，车间内配套消防灭火设施等应急物资，</w:t>
                  </w:r>
                  <w:r>
                    <w:rPr>
                      <w:rFonts w:hint="default" w:ascii="Times New Roman" w:hAnsi="Times New Roman" w:eastAsia="仿宋" w:cs="Times New Roman"/>
                      <w:bCs/>
                      <w:color w:val="auto"/>
                      <w:sz w:val="21"/>
                      <w:szCs w:val="21"/>
                      <w:lang w:val="en-US" w:eastAsia="zh-CN"/>
                    </w:rPr>
                    <w:t>事故应急池100m</w:t>
                  </w:r>
                  <w:r>
                    <w:rPr>
                      <w:rFonts w:hint="default" w:ascii="Times New Roman" w:hAnsi="Times New Roman" w:eastAsia="仿宋" w:cs="Times New Roman"/>
                      <w:bCs/>
                      <w:color w:val="auto"/>
                      <w:sz w:val="21"/>
                      <w:szCs w:val="21"/>
                      <w:vertAlign w:val="superscript"/>
                      <w:lang w:val="en-US" w:eastAsia="zh-CN"/>
                    </w:rPr>
                    <w:t>3</w:t>
                  </w:r>
                </w:p>
              </w:tc>
              <w:tc>
                <w:tcPr>
                  <w:tcW w:w="1586" w:type="pct"/>
                  <w:noWrap w:val="0"/>
                  <w:vAlign w:val="center"/>
                </w:tcPr>
                <w:p w14:paraId="5DDF6C70">
                  <w:pPr>
                    <w:adjustRightInd w:val="0"/>
                    <w:snapToGrid w:val="0"/>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eastAsia="zh-CN"/>
                    </w:rPr>
                    <w:t>新建</w:t>
                  </w:r>
                </w:p>
              </w:tc>
            </w:tr>
          </w:tbl>
          <w:p w14:paraId="53F37CC2">
            <w:pPr>
              <w:keepNext w:val="0"/>
              <w:keepLines w:val="0"/>
              <w:pageBreakBefore w:val="0"/>
              <w:widowControl w:val="0"/>
              <w:kinsoku/>
              <w:wordWrap/>
              <w:overflowPunct/>
              <w:topLinePunct w:val="0"/>
              <w:autoSpaceDE/>
              <w:autoSpaceDN/>
              <w:bidi w:val="0"/>
              <w:snapToGrid w:val="0"/>
              <w:spacing w:line="360" w:lineRule="auto"/>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6</w:t>
            </w:r>
            <w:r>
              <w:rPr>
                <w:rFonts w:hint="default" w:ascii="Times New Roman" w:hAnsi="Times New Roman" w:eastAsia="仿宋" w:cs="Times New Roman"/>
                <w:b/>
                <w:color w:val="auto"/>
                <w:sz w:val="24"/>
                <w:szCs w:val="24"/>
              </w:rPr>
              <w:t>、</w:t>
            </w:r>
            <w:r>
              <w:rPr>
                <w:rFonts w:hint="default" w:ascii="Times New Roman" w:hAnsi="Times New Roman" w:eastAsia="仿宋" w:cs="Times New Roman"/>
                <w:b/>
                <w:bCs/>
                <w:color w:val="auto"/>
                <w:sz w:val="24"/>
                <w:szCs w:val="24"/>
              </w:rPr>
              <w:t>本项目依托情况</w:t>
            </w:r>
          </w:p>
          <w:p w14:paraId="4E49A8E8">
            <w:pPr>
              <w:pStyle w:val="90"/>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主体工程</w:t>
            </w:r>
            <w:r>
              <w:rPr>
                <w:rFonts w:hint="default" w:ascii="Times New Roman" w:hAnsi="Times New Roman" w:eastAsia="仿宋" w:cs="Times New Roman"/>
                <w:color w:val="auto"/>
                <w:sz w:val="24"/>
                <w:szCs w:val="24"/>
              </w:rPr>
              <w:t>：本项目</w:t>
            </w:r>
            <w:r>
              <w:rPr>
                <w:rFonts w:hint="default" w:ascii="Times New Roman" w:hAnsi="Times New Roman" w:eastAsia="仿宋" w:cs="Times New Roman"/>
                <w:color w:val="auto"/>
                <w:sz w:val="24"/>
                <w:szCs w:val="24"/>
                <w:lang w:val="en-US" w:eastAsia="zh-CN"/>
              </w:rPr>
              <w:t>新增的设备均位于现有车间内</w:t>
            </w:r>
            <w:r>
              <w:rPr>
                <w:rFonts w:hint="default" w:ascii="Times New Roman" w:hAnsi="Times New Roman" w:eastAsia="仿宋" w:cs="Times New Roman"/>
                <w:color w:val="auto"/>
                <w:sz w:val="24"/>
                <w:szCs w:val="24"/>
              </w:rPr>
              <w:t>，本项目</w:t>
            </w:r>
            <w:r>
              <w:rPr>
                <w:rFonts w:hint="default" w:ascii="Times New Roman" w:hAnsi="Times New Roman" w:eastAsia="仿宋" w:cs="Times New Roman"/>
                <w:color w:val="auto"/>
                <w:sz w:val="24"/>
                <w:szCs w:val="24"/>
                <w:lang w:val="en-US" w:eastAsia="zh-CN"/>
              </w:rPr>
              <w:t>新增设备占地面积约2000</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现有车间富余面积约3000</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，能够满足本项目</w:t>
            </w:r>
            <w:r>
              <w:rPr>
                <w:rFonts w:hint="default" w:ascii="Times New Roman" w:hAnsi="Times New Roman" w:eastAsia="仿宋" w:cs="Times New Roman"/>
                <w:color w:val="auto"/>
                <w:sz w:val="24"/>
                <w:szCs w:val="24"/>
                <w:lang w:val="en-US" w:eastAsia="zh-CN"/>
              </w:rPr>
              <w:t>新增设备布设</w:t>
            </w:r>
            <w:r>
              <w:rPr>
                <w:rFonts w:hint="default" w:ascii="Times New Roman" w:hAnsi="Times New Roman" w:eastAsia="仿宋" w:cs="Times New Roman"/>
                <w:color w:val="auto"/>
                <w:sz w:val="24"/>
                <w:szCs w:val="24"/>
              </w:rPr>
              <w:t>要求。</w:t>
            </w:r>
          </w:p>
          <w:p w14:paraId="2B1B0FCD">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雨</w:t>
            </w:r>
            <w:r>
              <w:rPr>
                <w:rFonts w:hint="default" w:ascii="Times New Roman" w:hAnsi="Times New Roman" w:eastAsia="仿宋" w:cs="Times New Roman"/>
                <w:color w:val="auto"/>
                <w:sz w:val="24"/>
                <w:szCs w:val="24"/>
                <w:lang w:eastAsia="zh-CN"/>
              </w:rPr>
              <w:t>污管网</w:t>
            </w:r>
            <w:r>
              <w:rPr>
                <w:rFonts w:hint="default" w:ascii="Times New Roman" w:hAnsi="Times New Roman" w:eastAsia="仿宋" w:cs="Times New Roman"/>
                <w:color w:val="auto"/>
                <w:sz w:val="24"/>
                <w:szCs w:val="24"/>
              </w:rPr>
              <w:t>：现有项目</w:t>
            </w:r>
            <w:r>
              <w:rPr>
                <w:rFonts w:hint="default" w:ascii="Times New Roman" w:hAnsi="Times New Roman" w:eastAsia="仿宋" w:cs="Times New Roman"/>
                <w:color w:val="auto"/>
                <w:sz w:val="24"/>
                <w:szCs w:val="24"/>
                <w:lang w:val="en-US" w:eastAsia="zh-CN"/>
              </w:rPr>
              <w:t>已设置1个</w:t>
            </w:r>
            <w:r>
              <w:rPr>
                <w:rFonts w:hint="default" w:ascii="Times New Roman" w:hAnsi="Times New Roman" w:eastAsia="仿宋" w:cs="Times New Roman"/>
                <w:color w:val="auto"/>
                <w:sz w:val="24"/>
                <w:szCs w:val="24"/>
              </w:rPr>
              <w:t>雨水</w:t>
            </w:r>
            <w:r>
              <w:rPr>
                <w:rFonts w:hint="default" w:ascii="Times New Roman" w:hAnsi="Times New Roman" w:eastAsia="仿宋" w:cs="Times New Roman"/>
                <w:color w:val="auto"/>
                <w:sz w:val="24"/>
                <w:szCs w:val="24"/>
                <w:lang w:val="en-US" w:eastAsia="zh-CN"/>
              </w:rPr>
              <w:t>排放口和1个污水接管口</w:t>
            </w:r>
            <w:r>
              <w:rPr>
                <w:rFonts w:hint="default" w:ascii="Times New Roman" w:hAnsi="Times New Roman" w:eastAsia="仿宋" w:cs="Times New Roman"/>
                <w:color w:val="auto"/>
                <w:sz w:val="24"/>
                <w:szCs w:val="24"/>
              </w:rPr>
              <w:t>，本项目</w:t>
            </w:r>
            <w:r>
              <w:rPr>
                <w:rFonts w:hint="default" w:ascii="Times New Roman" w:hAnsi="Times New Roman" w:eastAsia="仿宋" w:cs="Times New Roman"/>
                <w:color w:val="auto"/>
                <w:sz w:val="24"/>
                <w:szCs w:val="24"/>
                <w:lang w:val="en-US" w:eastAsia="zh-CN"/>
              </w:rPr>
              <w:t>雨水排放、污水排放均依托现有管网，</w:t>
            </w:r>
            <w:r>
              <w:rPr>
                <w:rFonts w:hint="default" w:ascii="Times New Roman" w:hAnsi="Times New Roman" w:eastAsia="仿宋" w:cs="Times New Roman"/>
                <w:color w:val="auto"/>
                <w:sz w:val="24"/>
                <w:szCs w:val="24"/>
              </w:rPr>
              <w:t>不单独设置雨水</w:t>
            </w:r>
            <w:r>
              <w:rPr>
                <w:rFonts w:hint="default" w:ascii="Times New Roman" w:hAnsi="Times New Roman" w:eastAsia="仿宋" w:cs="Times New Roman"/>
                <w:color w:val="auto"/>
                <w:sz w:val="24"/>
                <w:szCs w:val="24"/>
                <w:lang w:val="en-US" w:eastAsia="zh-CN"/>
              </w:rPr>
              <w:t>排放口和污水接管口</w:t>
            </w:r>
            <w:r>
              <w:rPr>
                <w:rFonts w:hint="default" w:ascii="Times New Roman" w:hAnsi="Times New Roman" w:eastAsia="仿宋" w:cs="Times New Roman"/>
                <w:color w:val="auto"/>
                <w:sz w:val="24"/>
                <w:szCs w:val="24"/>
              </w:rPr>
              <w:t>。</w:t>
            </w:r>
          </w:p>
          <w:p w14:paraId="533200B6">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color w:val="auto"/>
                <w:sz w:val="24"/>
                <w:szCs w:val="24"/>
                <w:lang w:val="en-US" w:eastAsia="zh-CN"/>
              </w:rPr>
              <w:t>7</w:t>
            </w:r>
            <w:r>
              <w:rPr>
                <w:rFonts w:hint="default" w:ascii="Times New Roman" w:hAnsi="Times New Roman" w:eastAsia="仿宋" w:cs="Times New Roman"/>
                <w:b/>
                <w:color w:val="auto"/>
                <w:sz w:val="24"/>
                <w:szCs w:val="24"/>
              </w:rPr>
              <w:t>、</w:t>
            </w:r>
            <w:r>
              <w:rPr>
                <w:rFonts w:hint="default" w:ascii="Times New Roman" w:hAnsi="Times New Roman" w:eastAsia="仿宋" w:cs="Times New Roman"/>
                <w:b/>
                <w:color w:val="auto"/>
                <w:sz w:val="24"/>
                <w:szCs w:val="24"/>
                <w:lang w:eastAsia="zh-CN"/>
              </w:rPr>
              <w:t>物料平衡及</w:t>
            </w:r>
            <w:r>
              <w:rPr>
                <w:rFonts w:hint="default" w:ascii="Times New Roman" w:hAnsi="Times New Roman" w:eastAsia="仿宋" w:cs="Times New Roman"/>
                <w:b/>
                <w:bCs/>
                <w:color w:val="auto"/>
                <w:sz w:val="24"/>
                <w:szCs w:val="24"/>
              </w:rPr>
              <w:t>水平衡</w:t>
            </w:r>
          </w:p>
          <w:p w14:paraId="4BAA52FC">
            <w:pPr>
              <w:pStyle w:val="99"/>
              <w:keepNext w:val="0"/>
              <w:keepLines w:val="0"/>
              <w:pageBreakBefore w:val="0"/>
              <w:widowControl w:val="0"/>
              <w:kinsoku/>
              <w:wordWrap/>
              <w:overflowPunct/>
              <w:topLinePunct w:val="0"/>
              <w:autoSpaceDE/>
              <w:autoSpaceDN/>
              <w:bidi w:val="0"/>
              <w:adjustRightInd/>
              <w:snapToGrid/>
              <w:spacing w:before="95" w:beforeLines="30" w:line="240" w:lineRule="auto"/>
              <w:ind w:left="2159" w:leftChars="228" w:hanging="1680" w:hangingChars="7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lang w:val="en-US" w:eastAsia="zh-CN"/>
              </w:rPr>
              <w:t>1</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szCs w:val="24"/>
              </w:rPr>
              <w:t>本项目喷漆阶段物料平衡分析</w:t>
            </w:r>
          </w:p>
          <w:p w14:paraId="4EAC0CF4">
            <w:pPr>
              <w:pStyle w:val="99"/>
              <w:keepNext w:val="0"/>
              <w:keepLines w:val="0"/>
              <w:pageBreakBefore w:val="0"/>
              <w:widowControl w:val="0"/>
              <w:kinsoku/>
              <w:wordWrap/>
              <w:overflowPunct/>
              <w:topLinePunct w:val="0"/>
              <w:autoSpaceDE/>
              <w:autoSpaceDN/>
              <w:bidi w:val="0"/>
              <w:adjustRightInd/>
              <w:snapToGrid/>
              <w:spacing w:before="95" w:beforeLines="30"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color w:val="auto"/>
                <w:sz w:val="21"/>
                <w:szCs w:val="21"/>
              </w:rPr>
              <w:t>表2-</w:t>
            </w:r>
            <w:r>
              <w:rPr>
                <w:rFonts w:hint="default" w:ascii="Times New Roman" w:hAnsi="Times New Roman" w:eastAsia="仿宋" w:cs="Times New Roman"/>
                <w:b/>
                <w:color w:val="auto"/>
                <w:sz w:val="21"/>
                <w:szCs w:val="21"/>
                <w:lang w:val="en-US" w:eastAsia="zh-CN"/>
              </w:rPr>
              <w:t>8</w:t>
            </w:r>
            <w:r>
              <w:rPr>
                <w:rFonts w:hint="default" w:ascii="Times New Roman" w:hAnsi="Times New Roman" w:eastAsia="仿宋" w:cs="Times New Roman"/>
                <w:b/>
                <w:color w:val="auto"/>
                <w:sz w:val="21"/>
                <w:szCs w:val="21"/>
              </w:rPr>
              <w:t xml:space="preserve"> 项目喷漆阶段物料平衡表（t/a）</w:t>
            </w:r>
          </w:p>
          <w:tbl>
            <w:tblPr>
              <w:tblStyle w:val="27"/>
              <w:tblW w:w="4997"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37"/>
              <w:gridCol w:w="628"/>
              <w:gridCol w:w="817"/>
              <w:gridCol w:w="1004"/>
              <w:gridCol w:w="3768"/>
              <w:gridCol w:w="1050"/>
            </w:tblGrid>
            <w:tr w14:paraId="3481796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3" w:type="pct"/>
                  <w:gridSpan w:val="2"/>
                  <w:noWrap w:val="0"/>
                  <w:vAlign w:val="center"/>
                </w:tcPr>
                <w:p w14:paraId="692F3426">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投入</w:t>
                  </w:r>
                </w:p>
              </w:tc>
              <w:tc>
                <w:tcPr>
                  <w:tcW w:w="510" w:type="pct"/>
                  <w:noWrap w:val="0"/>
                  <w:vAlign w:val="center"/>
                </w:tcPr>
                <w:p w14:paraId="2DD6F629">
                  <w:pPr>
                    <w:widowControl/>
                    <w:jc w:val="center"/>
                    <w:textAlignment w:val="center"/>
                    <w:rPr>
                      <w:rFonts w:hint="default" w:ascii="Times New Roman" w:hAnsi="Times New Roman" w:eastAsia="仿宋" w:cs="Times New Roman"/>
                      <w:color w:val="auto"/>
                      <w:kern w:val="0"/>
                      <w:sz w:val="21"/>
                      <w:szCs w:val="21"/>
                      <w:lang w:bidi="ar"/>
                    </w:rPr>
                  </w:pPr>
                </w:p>
              </w:tc>
              <w:tc>
                <w:tcPr>
                  <w:tcW w:w="3636" w:type="pct"/>
                  <w:gridSpan w:val="3"/>
                  <w:noWrap w:val="0"/>
                  <w:vAlign w:val="center"/>
                </w:tcPr>
                <w:p w14:paraId="6A6ED38E">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产出</w:t>
                  </w:r>
                </w:p>
              </w:tc>
            </w:tr>
            <w:tr w14:paraId="25BEF60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3" w:type="pct"/>
                  <w:gridSpan w:val="2"/>
                  <w:noWrap w:val="0"/>
                  <w:vAlign w:val="center"/>
                </w:tcPr>
                <w:p w14:paraId="0594774C">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名称</w:t>
                  </w:r>
                </w:p>
              </w:tc>
              <w:tc>
                <w:tcPr>
                  <w:tcW w:w="510" w:type="pct"/>
                  <w:noWrap w:val="0"/>
                  <w:vAlign w:val="center"/>
                </w:tcPr>
                <w:p w14:paraId="6CB615DF">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数量</w:t>
                  </w:r>
                </w:p>
              </w:tc>
              <w:tc>
                <w:tcPr>
                  <w:tcW w:w="2980" w:type="pct"/>
                  <w:gridSpan w:val="2"/>
                  <w:noWrap w:val="0"/>
                  <w:vAlign w:val="center"/>
                </w:tcPr>
                <w:p w14:paraId="0BDFFFF4">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名称</w:t>
                  </w:r>
                </w:p>
              </w:tc>
              <w:tc>
                <w:tcPr>
                  <w:tcW w:w="655" w:type="pct"/>
                  <w:noWrap w:val="0"/>
                  <w:vAlign w:val="center"/>
                </w:tcPr>
                <w:p w14:paraId="0F50BD82">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数量</w:t>
                  </w:r>
                </w:p>
              </w:tc>
            </w:tr>
            <w:tr w14:paraId="6679CC2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1" w:type="pct"/>
                  <w:vMerge w:val="restart"/>
                  <w:noWrap w:val="0"/>
                  <w:vAlign w:val="center"/>
                </w:tcPr>
                <w:p w14:paraId="236D7B9B">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水性漆</w:t>
                  </w:r>
                </w:p>
              </w:tc>
              <w:tc>
                <w:tcPr>
                  <w:tcW w:w="392" w:type="pct"/>
                  <w:vMerge w:val="restart"/>
                  <w:noWrap w:val="0"/>
                  <w:vAlign w:val="center"/>
                </w:tcPr>
                <w:p w14:paraId="5ADB6787">
                  <w:pPr>
                    <w:widowControl/>
                    <w:jc w:val="center"/>
                    <w:textAlignment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kern w:val="0"/>
                      <w:sz w:val="21"/>
                      <w:szCs w:val="21"/>
                      <w:lang w:bidi="ar"/>
                    </w:rPr>
                    <w:t>固组分</w:t>
                  </w:r>
                </w:p>
              </w:tc>
              <w:tc>
                <w:tcPr>
                  <w:tcW w:w="510" w:type="pct"/>
                  <w:vMerge w:val="restart"/>
                  <w:noWrap w:val="0"/>
                  <w:vAlign w:val="center"/>
                </w:tcPr>
                <w:p w14:paraId="332B158D">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6.72</w:t>
                  </w:r>
                </w:p>
              </w:tc>
              <w:tc>
                <w:tcPr>
                  <w:tcW w:w="2980" w:type="pct"/>
                  <w:gridSpan w:val="2"/>
                  <w:noWrap w:val="0"/>
                  <w:vAlign w:val="center"/>
                </w:tcPr>
                <w:p w14:paraId="35F3026D">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进入产品(漆膜)</w:t>
                  </w:r>
                </w:p>
              </w:tc>
              <w:tc>
                <w:tcPr>
                  <w:tcW w:w="655" w:type="pct"/>
                  <w:noWrap w:val="0"/>
                  <w:vAlign w:val="center"/>
                </w:tcPr>
                <w:p w14:paraId="08E5FD56">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3.992</w:t>
                  </w:r>
                </w:p>
              </w:tc>
            </w:tr>
            <w:tr w14:paraId="65BCE8C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1" w:type="pct"/>
                  <w:vMerge w:val="continue"/>
                  <w:noWrap w:val="0"/>
                  <w:vAlign w:val="center"/>
                </w:tcPr>
                <w:p w14:paraId="4AE9FA45">
                  <w:pPr>
                    <w:jc w:val="center"/>
                    <w:rPr>
                      <w:rFonts w:hint="default" w:ascii="Times New Roman" w:hAnsi="Times New Roman" w:eastAsia="仿宋" w:cs="Times New Roman"/>
                      <w:color w:val="auto"/>
                      <w:sz w:val="21"/>
                      <w:szCs w:val="21"/>
                    </w:rPr>
                  </w:pPr>
                </w:p>
              </w:tc>
              <w:tc>
                <w:tcPr>
                  <w:tcW w:w="392" w:type="pct"/>
                  <w:vMerge w:val="continue"/>
                  <w:noWrap w:val="0"/>
                  <w:vAlign w:val="center"/>
                </w:tcPr>
                <w:p w14:paraId="720C2A37">
                  <w:pPr>
                    <w:jc w:val="center"/>
                    <w:rPr>
                      <w:rFonts w:hint="default" w:ascii="Times New Roman" w:hAnsi="Times New Roman" w:eastAsia="仿宋" w:cs="Times New Roman"/>
                      <w:color w:val="auto"/>
                      <w:sz w:val="21"/>
                      <w:szCs w:val="21"/>
                    </w:rPr>
                  </w:pPr>
                </w:p>
              </w:tc>
              <w:tc>
                <w:tcPr>
                  <w:tcW w:w="510" w:type="pct"/>
                  <w:vMerge w:val="continue"/>
                  <w:noWrap w:val="0"/>
                  <w:vAlign w:val="center"/>
                </w:tcPr>
                <w:p w14:paraId="29586591">
                  <w:pPr>
                    <w:widowControl/>
                    <w:jc w:val="center"/>
                    <w:textAlignment w:val="center"/>
                    <w:rPr>
                      <w:rFonts w:hint="default" w:ascii="Times New Roman" w:hAnsi="Times New Roman" w:eastAsia="仿宋" w:cs="Times New Roman"/>
                      <w:color w:val="auto"/>
                      <w:kern w:val="0"/>
                      <w:sz w:val="21"/>
                      <w:szCs w:val="21"/>
                      <w:lang w:bidi="ar"/>
                    </w:rPr>
                  </w:pPr>
                </w:p>
              </w:tc>
              <w:tc>
                <w:tcPr>
                  <w:tcW w:w="627" w:type="pct"/>
                  <w:vMerge w:val="restart"/>
                  <w:noWrap w:val="0"/>
                  <w:vAlign w:val="center"/>
                </w:tcPr>
                <w:p w14:paraId="4BF6FCCF">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有组织</w:t>
                  </w:r>
                </w:p>
              </w:tc>
              <w:tc>
                <w:tcPr>
                  <w:tcW w:w="2353" w:type="pct"/>
                  <w:noWrap w:val="0"/>
                  <w:vAlign w:val="center"/>
                </w:tcPr>
                <w:p w14:paraId="2549067F">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非甲烷总烃</w:t>
                  </w:r>
                </w:p>
              </w:tc>
              <w:tc>
                <w:tcPr>
                  <w:tcW w:w="655" w:type="pct"/>
                  <w:noWrap w:val="0"/>
                  <w:vAlign w:val="center"/>
                </w:tcPr>
                <w:p w14:paraId="0FF8A762">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0.046</w:t>
                  </w:r>
                </w:p>
              </w:tc>
            </w:tr>
            <w:tr w14:paraId="470AB6E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1" w:type="pct"/>
                  <w:vMerge w:val="continue"/>
                  <w:noWrap w:val="0"/>
                  <w:vAlign w:val="center"/>
                </w:tcPr>
                <w:p w14:paraId="49D42A2B">
                  <w:pPr>
                    <w:jc w:val="center"/>
                    <w:rPr>
                      <w:rFonts w:hint="default" w:ascii="Times New Roman" w:hAnsi="Times New Roman" w:eastAsia="仿宋" w:cs="Times New Roman"/>
                      <w:color w:val="auto"/>
                      <w:sz w:val="21"/>
                      <w:szCs w:val="21"/>
                    </w:rPr>
                  </w:pPr>
                </w:p>
              </w:tc>
              <w:tc>
                <w:tcPr>
                  <w:tcW w:w="392" w:type="pct"/>
                  <w:vMerge w:val="continue"/>
                  <w:noWrap w:val="0"/>
                  <w:vAlign w:val="center"/>
                </w:tcPr>
                <w:p w14:paraId="0796794D">
                  <w:pPr>
                    <w:jc w:val="center"/>
                    <w:rPr>
                      <w:rFonts w:hint="default" w:ascii="Times New Roman" w:hAnsi="Times New Roman" w:eastAsia="仿宋" w:cs="Times New Roman"/>
                      <w:color w:val="auto"/>
                      <w:sz w:val="21"/>
                      <w:szCs w:val="21"/>
                    </w:rPr>
                  </w:pPr>
                </w:p>
              </w:tc>
              <w:tc>
                <w:tcPr>
                  <w:tcW w:w="510" w:type="pct"/>
                  <w:vMerge w:val="continue"/>
                  <w:noWrap w:val="0"/>
                  <w:vAlign w:val="center"/>
                </w:tcPr>
                <w:p w14:paraId="3C78DDDF">
                  <w:pPr>
                    <w:widowControl/>
                    <w:jc w:val="center"/>
                    <w:textAlignment w:val="center"/>
                    <w:rPr>
                      <w:rFonts w:hint="default" w:ascii="Times New Roman" w:hAnsi="Times New Roman" w:eastAsia="仿宋" w:cs="Times New Roman"/>
                      <w:color w:val="auto"/>
                      <w:kern w:val="0"/>
                      <w:sz w:val="21"/>
                      <w:szCs w:val="21"/>
                      <w:lang w:bidi="ar"/>
                    </w:rPr>
                  </w:pPr>
                </w:p>
              </w:tc>
              <w:tc>
                <w:tcPr>
                  <w:tcW w:w="627" w:type="pct"/>
                  <w:vMerge w:val="continue"/>
                  <w:noWrap w:val="0"/>
                  <w:vAlign w:val="center"/>
                </w:tcPr>
                <w:p w14:paraId="52E27DB7">
                  <w:pPr>
                    <w:widowControl/>
                    <w:jc w:val="center"/>
                    <w:textAlignment w:val="center"/>
                    <w:rPr>
                      <w:rFonts w:hint="default" w:ascii="Times New Roman" w:hAnsi="Times New Roman" w:eastAsia="仿宋" w:cs="Times New Roman"/>
                      <w:color w:val="auto"/>
                      <w:kern w:val="0"/>
                      <w:sz w:val="21"/>
                      <w:szCs w:val="21"/>
                      <w:lang w:bidi="ar"/>
                    </w:rPr>
                  </w:pPr>
                </w:p>
              </w:tc>
              <w:tc>
                <w:tcPr>
                  <w:tcW w:w="2353" w:type="pct"/>
                  <w:noWrap w:val="0"/>
                  <w:vAlign w:val="center"/>
                </w:tcPr>
                <w:p w14:paraId="45646FA2">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颗粒物</w:t>
                  </w:r>
                </w:p>
              </w:tc>
              <w:tc>
                <w:tcPr>
                  <w:tcW w:w="655" w:type="pct"/>
                  <w:noWrap w:val="0"/>
                  <w:vAlign w:val="center"/>
                </w:tcPr>
                <w:p w14:paraId="1AEE4203">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0.126</w:t>
                  </w:r>
                </w:p>
              </w:tc>
            </w:tr>
            <w:tr w14:paraId="75B6FB0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1" w:type="pct"/>
                  <w:vMerge w:val="continue"/>
                  <w:noWrap w:val="0"/>
                  <w:vAlign w:val="center"/>
                </w:tcPr>
                <w:p w14:paraId="596F1EF9">
                  <w:pPr>
                    <w:jc w:val="center"/>
                    <w:rPr>
                      <w:rFonts w:hint="default" w:ascii="Times New Roman" w:hAnsi="Times New Roman" w:eastAsia="仿宋" w:cs="Times New Roman"/>
                      <w:color w:val="auto"/>
                      <w:sz w:val="21"/>
                      <w:szCs w:val="21"/>
                    </w:rPr>
                  </w:pPr>
                </w:p>
              </w:tc>
              <w:tc>
                <w:tcPr>
                  <w:tcW w:w="392" w:type="pct"/>
                  <w:vMerge w:val="continue"/>
                  <w:noWrap w:val="0"/>
                  <w:vAlign w:val="center"/>
                </w:tcPr>
                <w:p w14:paraId="5C720E5C">
                  <w:pPr>
                    <w:jc w:val="center"/>
                    <w:rPr>
                      <w:rFonts w:hint="default" w:ascii="Times New Roman" w:hAnsi="Times New Roman" w:eastAsia="仿宋" w:cs="Times New Roman"/>
                      <w:color w:val="auto"/>
                      <w:sz w:val="21"/>
                      <w:szCs w:val="21"/>
                    </w:rPr>
                  </w:pPr>
                </w:p>
              </w:tc>
              <w:tc>
                <w:tcPr>
                  <w:tcW w:w="510" w:type="pct"/>
                  <w:vMerge w:val="continue"/>
                  <w:noWrap w:val="0"/>
                  <w:vAlign w:val="center"/>
                </w:tcPr>
                <w:p w14:paraId="3B06CF6C">
                  <w:pPr>
                    <w:widowControl/>
                    <w:jc w:val="center"/>
                    <w:textAlignment w:val="center"/>
                    <w:rPr>
                      <w:rFonts w:hint="default" w:ascii="Times New Roman" w:hAnsi="Times New Roman" w:eastAsia="仿宋" w:cs="Times New Roman"/>
                      <w:color w:val="auto"/>
                      <w:kern w:val="0"/>
                      <w:sz w:val="21"/>
                      <w:szCs w:val="21"/>
                      <w:lang w:bidi="ar"/>
                    </w:rPr>
                  </w:pPr>
                </w:p>
              </w:tc>
              <w:tc>
                <w:tcPr>
                  <w:tcW w:w="627" w:type="pct"/>
                  <w:vMerge w:val="continue"/>
                  <w:noWrap w:val="0"/>
                  <w:vAlign w:val="center"/>
                </w:tcPr>
                <w:p w14:paraId="74F145F9">
                  <w:pPr>
                    <w:widowControl/>
                    <w:jc w:val="center"/>
                    <w:textAlignment w:val="center"/>
                    <w:rPr>
                      <w:rFonts w:hint="default" w:ascii="Times New Roman" w:hAnsi="Times New Roman" w:eastAsia="仿宋" w:cs="Times New Roman"/>
                      <w:color w:val="auto"/>
                      <w:kern w:val="0"/>
                      <w:sz w:val="21"/>
                      <w:szCs w:val="21"/>
                      <w:lang w:bidi="ar"/>
                    </w:rPr>
                  </w:pPr>
                </w:p>
              </w:tc>
              <w:tc>
                <w:tcPr>
                  <w:tcW w:w="2353" w:type="pct"/>
                  <w:noWrap w:val="0"/>
                  <w:vAlign w:val="center"/>
                </w:tcPr>
                <w:p w14:paraId="1520EF25">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sz w:val="21"/>
                      <w:szCs w:val="21"/>
                    </w:rPr>
                    <w:t>水</w:t>
                  </w:r>
                </w:p>
              </w:tc>
              <w:tc>
                <w:tcPr>
                  <w:tcW w:w="655" w:type="pct"/>
                  <w:noWrap w:val="0"/>
                  <w:vAlign w:val="center"/>
                </w:tcPr>
                <w:p w14:paraId="6BB4D336">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0.365</w:t>
                  </w:r>
                </w:p>
              </w:tc>
            </w:tr>
            <w:tr w14:paraId="283CE30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1" w:type="pct"/>
                  <w:vMerge w:val="continue"/>
                  <w:noWrap w:val="0"/>
                  <w:vAlign w:val="center"/>
                </w:tcPr>
                <w:p w14:paraId="4A19E658">
                  <w:pPr>
                    <w:widowControl/>
                    <w:jc w:val="center"/>
                    <w:textAlignment w:val="center"/>
                    <w:rPr>
                      <w:rFonts w:hint="default" w:ascii="Times New Roman" w:hAnsi="Times New Roman" w:eastAsia="仿宋" w:cs="Times New Roman"/>
                      <w:color w:val="auto"/>
                      <w:sz w:val="21"/>
                      <w:szCs w:val="21"/>
                    </w:rPr>
                  </w:pPr>
                </w:p>
              </w:tc>
              <w:tc>
                <w:tcPr>
                  <w:tcW w:w="392" w:type="pct"/>
                  <w:vMerge w:val="restart"/>
                  <w:noWrap w:val="0"/>
                  <w:vAlign w:val="center"/>
                </w:tcPr>
                <w:p w14:paraId="6488EF0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挥发分</w:t>
                  </w:r>
                </w:p>
              </w:tc>
              <w:tc>
                <w:tcPr>
                  <w:tcW w:w="510" w:type="pct"/>
                  <w:vMerge w:val="restart"/>
                  <w:noWrap w:val="0"/>
                  <w:vAlign w:val="center"/>
                </w:tcPr>
                <w:p w14:paraId="7A6A7337">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0</w:t>
                  </w:r>
                  <w:r>
                    <w:rPr>
                      <w:rFonts w:hint="default" w:ascii="Times New Roman" w:hAnsi="Times New Roman" w:eastAsia="仿宋" w:cs="Times New Roman"/>
                      <w:color w:val="auto"/>
                      <w:kern w:val="0"/>
                      <w:sz w:val="21"/>
                      <w:szCs w:val="21"/>
                      <w:lang w:val="en-US" w:eastAsia="zh-CN" w:bidi="ar"/>
                    </w:rPr>
                    <w:t>.48</w:t>
                  </w:r>
                </w:p>
              </w:tc>
              <w:tc>
                <w:tcPr>
                  <w:tcW w:w="627" w:type="pct"/>
                  <w:vMerge w:val="restart"/>
                  <w:noWrap w:val="0"/>
                  <w:vAlign w:val="center"/>
                </w:tcPr>
                <w:p w14:paraId="40BB9E4F">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无组织</w:t>
                  </w:r>
                </w:p>
              </w:tc>
              <w:tc>
                <w:tcPr>
                  <w:tcW w:w="2353" w:type="pct"/>
                  <w:noWrap w:val="0"/>
                  <w:vAlign w:val="center"/>
                </w:tcPr>
                <w:p w14:paraId="1C4DC5EE">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非甲烷总烃</w:t>
                  </w:r>
                </w:p>
              </w:tc>
              <w:tc>
                <w:tcPr>
                  <w:tcW w:w="655" w:type="pct"/>
                  <w:noWrap w:val="0"/>
                  <w:vAlign w:val="center"/>
                </w:tcPr>
                <w:p w14:paraId="186269A7">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0.024</w:t>
                  </w:r>
                </w:p>
              </w:tc>
            </w:tr>
            <w:tr w14:paraId="2E10946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1" w:type="pct"/>
                  <w:vMerge w:val="continue"/>
                  <w:noWrap w:val="0"/>
                  <w:vAlign w:val="center"/>
                </w:tcPr>
                <w:p w14:paraId="2222F9F1">
                  <w:pPr>
                    <w:jc w:val="center"/>
                    <w:rPr>
                      <w:rFonts w:hint="default" w:ascii="Times New Roman" w:hAnsi="Times New Roman" w:eastAsia="仿宋" w:cs="Times New Roman"/>
                      <w:color w:val="auto"/>
                      <w:sz w:val="21"/>
                      <w:szCs w:val="21"/>
                    </w:rPr>
                  </w:pPr>
                </w:p>
              </w:tc>
              <w:tc>
                <w:tcPr>
                  <w:tcW w:w="392" w:type="pct"/>
                  <w:vMerge w:val="continue"/>
                  <w:noWrap w:val="0"/>
                  <w:vAlign w:val="center"/>
                </w:tcPr>
                <w:p w14:paraId="3C36C67C">
                  <w:pPr>
                    <w:jc w:val="center"/>
                    <w:rPr>
                      <w:rFonts w:hint="default" w:ascii="Times New Roman" w:hAnsi="Times New Roman" w:eastAsia="仿宋" w:cs="Times New Roman"/>
                      <w:color w:val="auto"/>
                      <w:sz w:val="21"/>
                      <w:szCs w:val="21"/>
                    </w:rPr>
                  </w:pPr>
                </w:p>
              </w:tc>
              <w:tc>
                <w:tcPr>
                  <w:tcW w:w="510" w:type="pct"/>
                  <w:vMerge w:val="continue"/>
                  <w:noWrap w:val="0"/>
                  <w:vAlign w:val="center"/>
                </w:tcPr>
                <w:p w14:paraId="1FFA677E">
                  <w:pPr>
                    <w:widowControl/>
                    <w:jc w:val="center"/>
                    <w:textAlignment w:val="center"/>
                    <w:rPr>
                      <w:rFonts w:hint="default" w:ascii="Times New Roman" w:hAnsi="Times New Roman" w:eastAsia="仿宋" w:cs="Times New Roman"/>
                      <w:color w:val="auto"/>
                      <w:kern w:val="0"/>
                      <w:sz w:val="21"/>
                      <w:szCs w:val="21"/>
                      <w:lang w:bidi="ar"/>
                    </w:rPr>
                  </w:pPr>
                </w:p>
              </w:tc>
              <w:tc>
                <w:tcPr>
                  <w:tcW w:w="627" w:type="pct"/>
                  <w:vMerge w:val="continue"/>
                  <w:noWrap w:val="0"/>
                  <w:vAlign w:val="center"/>
                </w:tcPr>
                <w:p w14:paraId="714504C8">
                  <w:pPr>
                    <w:widowControl/>
                    <w:jc w:val="center"/>
                    <w:textAlignment w:val="center"/>
                    <w:rPr>
                      <w:rFonts w:hint="default" w:ascii="Times New Roman" w:hAnsi="Times New Roman" w:eastAsia="仿宋" w:cs="Times New Roman"/>
                      <w:color w:val="auto"/>
                      <w:kern w:val="0"/>
                      <w:sz w:val="21"/>
                      <w:szCs w:val="21"/>
                      <w:lang w:bidi="ar"/>
                    </w:rPr>
                  </w:pPr>
                </w:p>
              </w:tc>
              <w:tc>
                <w:tcPr>
                  <w:tcW w:w="2353" w:type="pct"/>
                  <w:noWrap w:val="0"/>
                  <w:vAlign w:val="center"/>
                </w:tcPr>
                <w:p w14:paraId="6D3584B2">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颗粒物</w:t>
                  </w:r>
                </w:p>
              </w:tc>
              <w:tc>
                <w:tcPr>
                  <w:tcW w:w="655" w:type="pct"/>
                  <w:noWrap w:val="0"/>
                  <w:vAlign w:val="center"/>
                </w:tcPr>
                <w:p w14:paraId="128CDFC5">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0.067</w:t>
                  </w:r>
                </w:p>
              </w:tc>
            </w:tr>
            <w:tr w14:paraId="36FD217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1" w:type="pct"/>
                  <w:vMerge w:val="continue"/>
                  <w:noWrap w:val="0"/>
                  <w:vAlign w:val="center"/>
                </w:tcPr>
                <w:p w14:paraId="4FF97446">
                  <w:pPr>
                    <w:jc w:val="center"/>
                    <w:rPr>
                      <w:rFonts w:hint="default" w:ascii="Times New Roman" w:hAnsi="Times New Roman" w:eastAsia="仿宋" w:cs="Times New Roman"/>
                      <w:color w:val="auto"/>
                      <w:sz w:val="21"/>
                      <w:szCs w:val="21"/>
                    </w:rPr>
                  </w:pPr>
                </w:p>
              </w:tc>
              <w:tc>
                <w:tcPr>
                  <w:tcW w:w="392" w:type="pct"/>
                  <w:vMerge w:val="continue"/>
                  <w:noWrap w:val="0"/>
                  <w:vAlign w:val="center"/>
                </w:tcPr>
                <w:p w14:paraId="2BFA25DB">
                  <w:pPr>
                    <w:jc w:val="center"/>
                    <w:rPr>
                      <w:rFonts w:hint="default" w:ascii="Times New Roman" w:hAnsi="Times New Roman" w:eastAsia="仿宋" w:cs="Times New Roman"/>
                      <w:color w:val="auto"/>
                      <w:sz w:val="21"/>
                      <w:szCs w:val="21"/>
                    </w:rPr>
                  </w:pPr>
                </w:p>
              </w:tc>
              <w:tc>
                <w:tcPr>
                  <w:tcW w:w="510" w:type="pct"/>
                  <w:vMerge w:val="continue"/>
                  <w:noWrap w:val="0"/>
                  <w:vAlign w:val="center"/>
                </w:tcPr>
                <w:p w14:paraId="2641085D">
                  <w:pPr>
                    <w:widowControl/>
                    <w:jc w:val="center"/>
                    <w:textAlignment w:val="center"/>
                    <w:rPr>
                      <w:rFonts w:hint="default" w:ascii="Times New Roman" w:hAnsi="Times New Roman" w:eastAsia="仿宋" w:cs="Times New Roman"/>
                      <w:color w:val="auto"/>
                      <w:kern w:val="0"/>
                      <w:sz w:val="21"/>
                      <w:szCs w:val="21"/>
                      <w:lang w:bidi="ar"/>
                    </w:rPr>
                  </w:pPr>
                </w:p>
              </w:tc>
              <w:tc>
                <w:tcPr>
                  <w:tcW w:w="627" w:type="pct"/>
                  <w:vMerge w:val="continue"/>
                  <w:noWrap w:val="0"/>
                  <w:vAlign w:val="center"/>
                </w:tcPr>
                <w:p w14:paraId="467A4CE6">
                  <w:pPr>
                    <w:widowControl/>
                    <w:jc w:val="center"/>
                    <w:textAlignment w:val="center"/>
                    <w:rPr>
                      <w:rFonts w:hint="default" w:ascii="Times New Roman" w:hAnsi="Times New Roman" w:eastAsia="仿宋" w:cs="Times New Roman"/>
                      <w:color w:val="auto"/>
                      <w:kern w:val="0"/>
                      <w:sz w:val="21"/>
                      <w:szCs w:val="21"/>
                      <w:lang w:bidi="ar"/>
                    </w:rPr>
                  </w:pPr>
                </w:p>
              </w:tc>
              <w:tc>
                <w:tcPr>
                  <w:tcW w:w="2353" w:type="pct"/>
                  <w:noWrap w:val="0"/>
                  <w:vAlign w:val="center"/>
                </w:tcPr>
                <w:p w14:paraId="3BB6606E">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sz w:val="21"/>
                      <w:szCs w:val="21"/>
                    </w:rPr>
                    <w:t>水</w:t>
                  </w:r>
                </w:p>
              </w:tc>
              <w:tc>
                <w:tcPr>
                  <w:tcW w:w="655" w:type="pct"/>
                  <w:noWrap w:val="0"/>
                  <w:vAlign w:val="center"/>
                </w:tcPr>
                <w:p w14:paraId="7A4DE0A3">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0.192</w:t>
                  </w:r>
                </w:p>
              </w:tc>
            </w:tr>
            <w:tr w14:paraId="61E1D1D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1" w:type="pct"/>
                  <w:vMerge w:val="continue"/>
                  <w:noWrap w:val="0"/>
                  <w:vAlign w:val="center"/>
                </w:tcPr>
                <w:p w14:paraId="6B4F4BF6">
                  <w:pPr>
                    <w:widowControl/>
                    <w:jc w:val="center"/>
                    <w:textAlignment w:val="center"/>
                    <w:rPr>
                      <w:rFonts w:hint="default" w:ascii="Times New Roman" w:hAnsi="Times New Roman" w:eastAsia="仿宋" w:cs="Times New Roman"/>
                      <w:color w:val="auto"/>
                      <w:sz w:val="21"/>
                      <w:szCs w:val="21"/>
                    </w:rPr>
                  </w:pPr>
                </w:p>
              </w:tc>
              <w:tc>
                <w:tcPr>
                  <w:tcW w:w="392" w:type="pct"/>
                  <w:vMerge w:val="restart"/>
                  <w:noWrap w:val="0"/>
                  <w:vAlign w:val="center"/>
                </w:tcPr>
                <w:p w14:paraId="0376F6DA">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w:t>
                  </w:r>
                </w:p>
              </w:tc>
              <w:tc>
                <w:tcPr>
                  <w:tcW w:w="510" w:type="pct"/>
                  <w:vMerge w:val="restart"/>
                  <w:noWrap w:val="0"/>
                  <w:vAlign w:val="center"/>
                </w:tcPr>
                <w:p w14:paraId="470B42DB">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4.8</w:t>
                  </w:r>
                </w:p>
              </w:tc>
              <w:tc>
                <w:tcPr>
                  <w:tcW w:w="627" w:type="pct"/>
                  <w:vMerge w:val="restart"/>
                  <w:noWrap w:val="0"/>
                  <w:vAlign w:val="center"/>
                </w:tcPr>
                <w:p w14:paraId="48044E5A">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固废</w:t>
                  </w:r>
                </w:p>
              </w:tc>
              <w:tc>
                <w:tcPr>
                  <w:tcW w:w="2353" w:type="pct"/>
                  <w:noWrap w:val="0"/>
                  <w:vAlign w:val="center"/>
                </w:tcPr>
                <w:p w14:paraId="2D4A97E9">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进入废包装桶（颗粒物）</w:t>
                  </w:r>
                </w:p>
              </w:tc>
              <w:tc>
                <w:tcPr>
                  <w:tcW w:w="655" w:type="pct"/>
                  <w:noWrap w:val="0"/>
                  <w:vAlign w:val="center"/>
                </w:tcPr>
                <w:p w14:paraId="6CDE730E">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0.067</w:t>
                  </w:r>
                </w:p>
              </w:tc>
            </w:tr>
            <w:tr w14:paraId="778885B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1" w:type="pct"/>
                  <w:vMerge w:val="continue"/>
                  <w:noWrap w:val="0"/>
                  <w:vAlign w:val="center"/>
                </w:tcPr>
                <w:p w14:paraId="11919AD9">
                  <w:pPr>
                    <w:widowControl/>
                    <w:jc w:val="center"/>
                    <w:textAlignment w:val="center"/>
                    <w:rPr>
                      <w:rFonts w:hint="default" w:ascii="Times New Roman" w:hAnsi="Times New Roman" w:eastAsia="仿宋" w:cs="Times New Roman"/>
                      <w:color w:val="auto"/>
                      <w:sz w:val="21"/>
                      <w:szCs w:val="21"/>
                    </w:rPr>
                  </w:pPr>
                </w:p>
              </w:tc>
              <w:tc>
                <w:tcPr>
                  <w:tcW w:w="392" w:type="pct"/>
                  <w:vMerge w:val="continue"/>
                  <w:noWrap w:val="0"/>
                  <w:vAlign w:val="center"/>
                </w:tcPr>
                <w:p w14:paraId="32E16274">
                  <w:pPr>
                    <w:widowControl/>
                    <w:jc w:val="center"/>
                    <w:textAlignment w:val="center"/>
                    <w:rPr>
                      <w:rFonts w:hint="default" w:ascii="Times New Roman" w:hAnsi="Times New Roman" w:eastAsia="仿宋" w:cs="Times New Roman"/>
                      <w:color w:val="auto"/>
                      <w:sz w:val="21"/>
                      <w:szCs w:val="21"/>
                    </w:rPr>
                  </w:pPr>
                </w:p>
              </w:tc>
              <w:tc>
                <w:tcPr>
                  <w:tcW w:w="510" w:type="pct"/>
                  <w:vMerge w:val="continue"/>
                  <w:noWrap w:val="0"/>
                  <w:vAlign w:val="center"/>
                </w:tcPr>
                <w:p w14:paraId="6173BEC3">
                  <w:pPr>
                    <w:widowControl/>
                    <w:jc w:val="center"/>
                    <w:textAlignment w:val="center"/>
                    <w:rPr>
                      <w:rFonts w:hint="default" w:ascii="Times New Roman" w:hAnsi="Times New Roman" w:eastAsia="仿宋" w:cs="Times New Roman"/>
                      <w:color w:val="auto"/>
                      <w:kern w:val="0"/>
                      <w:sz w:val="21"/>
                      <w:szCs w:val="21"/>
                      <w:lang w:bidi="ar"/>
                    </w:rPr>
                  </w:pPr>
                </w:p>
              </w:tc>
              <w:tc>
                <w:tcPr>
                  <w:tcW w:w="627" w:type="pct"/>
                  <w:vMerge w:val="continue"/>
                  <w:noWrap w:val="0"/>
                  <w:vAlign w:val="center"/>
                </w:tcPr>
                <w:p w14:paraId="1CA193E5">
                  <w:pPr>
                    <w:widowControl/>
                    <w:jc w:val="center"/>
                    <w:textAlignment w:val="center"/>
                    <w:rPr>
                      <w:rFonts w:hint="default" w:ascii="Times New Roman" w:hAnsi="Times New Roman" w:eastAsia="仿宋" w:cs="Times New Roman"/>
                      <w:color w:val="auto"/>
                      <w:kern w:val="0"/>
                      <w:sz w:val="21"/>
                      <w:szCs w:val="21"/>
                      <w:lang w:bidi="ar"/>
                    </w:rPr>
                  </w:pPr>
                </w:p>
              </w:tc>
              <w:tc>
                <w:tcPr>
                  <w:tcW w:w="2353" w:type="pct"/>
                  <w:noWrap w:val="0"/>
                  <w:vAlign w:val="center"/>
                </w:tcPr>
                <w:p w14:paraId="644074BA">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进入漆渣（颗粒物、水）</w:t>
                  </w:r>
                </w:p>
              </w:tc>
              <w:tc>
                <w:tcPr>
                  <w:tcW w:w="655" w:type="pct"/>
                  <w:noWrap w:val="0"/>
                  <w:vAlign w:val="center"/>
                </w:tcPr>
                <w:p w14:paraId="23FA67F9">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2.29</w:t>
                  </w:r>
                </w:p>
              </w:tc>
            </w:tr>
            <w:tr w14:paraId="2EF4071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1" w:type="pct"/>
                  <w:vMerge w:val="continue"/>
                  <w:noWrap w:val="0"/>
                  <w:vAlign w:val="center"/>
                </w:tcPr>
                <w:p w14:paraId="7A13A7B8">
                  <w:pPr>
                    <w:widowControl/>
                    <w:jc w:val="center"/>
                    <w:textAlignment w:val="center"/>
                    <w:rPr>
                      <w:rFonts w:hint="default" w:ascii="Times New Roman" w:hAnsi="Times New Roman" w:eastAsia="仿宋" w:cs="Times New Roman"/>
                      <w:color w:val="auto"/>
                      <w:sz w:val="21"/>
                      <w:szCs w:val="21"/>
                    </w:rPr>
                  </w:pPr>
                </w:p>
              </w:tc>
              <w:tc>
                <w:tcPr>
                  <w:tcW w:w="392" w:type="pct"/>
                  <w:vMerge w:val="continue"/>
                  <w:noWrap w:val="0"/>
                  <w:vAlign w:val="center"/>
                </w:tcPr>
                <w:p w14:paraId="731D432F">
                  <w:pPr>
                    <w:widowControl/>
                    <w:jc w:val="center"/>
                    <w:textAlignment w:val="center"/>
                    <w:rPr>
                      <w:rFonts w:hint="default" w:ascii="Times New Roman" w:hAnsi="Times New Roman" w:eastAsia="仿宋" w:cs="Times New Roman"/>
                      <w:color w:val="auto"/>
                      <w:sz w:val="21"/>
                      <w:szCs w:val="21"/>
                    </w:rPr>
                  </w:pPr>
                </w:p>
              </w:tc>
              <w:tc>
                <w:tcPr>
                  <w:tcW w:w="510" w:type="pct"/>
                  <w:vMerge w:val="continue"/>
                  <w:noWrap w:val="0"/>
                  <w:vAlign w:val="center"/>
                </w:tcPr>
                <w:p w14:paraId="6061C262">
                  <w:pPr>
                    <w:widowControl/>
                    <w:jc w:val="center"/>
                    <w:textAlignment w:val="center"/>
                    <w:rPr>
                      <w:rFonts w:hint="default" w:ascii="Times New Roman" w:hAnsi="Times New Roman" w:eastAsia="仿宋" w:cs="Times New Roman"/>
                      <w:color w:val="auto"/>
                      <w:kern w:val="0"/>
                      <w:sz w:val="21"/>
                      <w:szCs w:val="21"/>
                      <w:lang w:bidi="ar"/>
                    </w:rPr>
                  </w:pPr>
                </w:p>
              </w:tc>
              <w:tc>
                <w:tcPr>
                  <w:tcW w:w="627" w:type="pct"/>
                  <w:vMerge w:val="continue"/>
                  <w:noWrap w:val="0"/>
                  <w:vAlign w:val="center"/>
                </w:tcPr>
                <w:p w14:paraId="24800141">
                  <w:pPr>
                    <w:widowControl/>
                    <w:jc w:val="center"/>
                    <w:textAlignment w:val="center"/>
                    <w:rPr>
                      <w:rFonts w:hint="default" w:ascii="Times New Roman" w:hAnsi="Times New Roman" w:eastAsia="仿宋" w:cs="Times New Roman"/>
                      <w:color w:val="auto"/>
                      <w:kern w:val="0"/>
                      <w:sz w:val="21"/>
                      <w:szCs w:val="21"/>
                      <w:lang w:bidi="ar"/>
                    </w:rPr>
                  </w:pPr>
                </w:p>
              </w:tc>
              <w:tc>
                <w:tcPr>
                  <w:tcW w:w="2353" w:type="pct"/>
                  <w:noWrap w:val="0"/>
                  <w:vAlign w:val="center"/>
                </w:tcPr>
                <w:p w14:paraId="51869407">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进入</w:t>
                  </w:r>
                  <w:r>
                    <w:rPr>
                      <w:rFonts w:hint="default" w:ascii="Times New Roman" w:hAnsi="Times New Roman" w:eastAsia="仿宋" w:cs="Times New Roman"/>
                      <w:color w:val="auto"/>
                      <w:kern w:val="0"/>
                      <w:sz w:val="21"/>
                      <w:szCs w:val="21"/>
                      <w:lang w:val="en-US" w:eastAsia="zh-CN" w:bidi="ar"/>
                    </w:rPr>
                    <w:t>废玻纤</w:t>
                  </w:r>
                  <w:r>
                    <w:rPr>
                      <w:rFonts w:hint="default" w:ascii="Times New Roman" w:hAnsi="Times New Roman" w:eastAsia="仿宋" w:cs="Times New Roman"/>
                      <w:color w:val="auto"/>
                      <w:kern w:val="0"/>
                      <w:sz w:val="21"/>
                      <w:szCs w:val="21"/>
                      <w:lang w:bidi="ar"/>
                    </w:rPr>
                    <w:t>（颗粒物</w:t>
                  </w:r>
                  <w:r>
                    <w:rPr>
                      <w:rFonts w:hint="eastAsia" w:eastAsia="仿宋" w:cs="Times New Roman"/>
                      <w:color w:val="auto"/>
                      <w:kern w:val="0"/>
                      <w:sz w:val="21"/>
                      <w:szCs w:val="21"/>
                      <w:lang w:eastAsia="zh-CN" w:bidi="ar"/>
                    </w:rPr>
                    <w:t>、</w:t>
                  </w:r>
                  <w:r>
                    <w:rPr>
                      <w:rFonts w:hint="default" w:ascii="Times New Roman" w:hAnsi="Times New Roman" w:eastAsia="仿宋" w:cs="Times New Roman"/>
                      <w:color w:val="auto"/>
                      <w:kern w:val="0"/>
                      <w:sz w:val="21"/>
                      <w:szCs w:val="21"/>
                      <w:lang w:bidi="ar"/>
                    </w:rPr>
                    <w:t>水）</w:t>
                  </w:r>
                </w:p>
              </w:tc>
              <w:tc>
                <w:tcPr>
                  <w:tcW w:w="655" w:type="pct"/>
                  <w:noWrap w:val="0"/>
                  <w:vAlign w:val="center"/>
                </w:tcPr>
                <w:p w14:paraId="6FA3AC9A">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4.421</w:t>
                  </w:r>
                </w:p>
              </w:tc>
            </w:tr>
            <w:tr w14:paraId="17C2BC4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1" w:type="pct"/>
                  <w:vMerge w:val="continue"/>
                  <w:noWrap w:val="0"/>
                  <w:vAlign w:val="center"/>
                </w:tcPr>
                <w:p w14:paraId="53C7A84E">
                  <w:pPr>
                    <w:jc w:val="center"/>
                    <w:rPr>
                      <w:rFonts w:hint="default" w:ascii="Times New Roman" w:hAnsi="Times New Roman" w:eastAsia="仿宋" w:cs="Times New Roman"/>
                      <w:color w:val="auto"/>
                      <w:sz w:val="21"/>
                      <w:szCs w:val="21"/>
                    </w:rPr>
                  </w:pPr>
                </w:p>
              </w:tc>
              <w:tc>
                <w:tcPr>
                  <w:tcW w:w="392" w:type="pct"/>
                  <w:vMerge w:val="continue"/>
                  <w:noWrap w:val="0"/>
                  <w:vAlign w:val="center"/>
                </w:tcPr>
                <w:p w14:paraId="7B9156D1">
                  <w:pPr>
                    <w:jc w:val="center"/>
                    <w:rPr>
                      <w:rFonts w:hint="default" w:ascii="Times New Roman" w:hAnsi="Times New Roman" w:eastAsia="仿宋" w:cs="Times New Roman"/>
                      <w:color w:val="auto"/>
                      <w:sz w:val="21"/>
                      <w:szCs w:val="21"/>
                    </w:rPr>
                  </w:pPr>
                </w:p>
              </w:tc>
              <w:tc>
                <w:tcPr>
                  <w:tcW w:w="510" w:type="pct"/>
                  <w:vMerge w:val="continue"/>
                  <w:noWrap w:val="0"/>
                  <w:vAlign w:val="center"/>
                </w:tcPr>
                <w:p w14:paraId="3ADCA24E">
                  <w:pPr>
                    <w:widowControl/>
                    <w:jc w:val="center"/>
                    <w:textAlignment w:val="center"/>
                    <w:rPr>
                      <w:rFonts w:hint="default" w:ascii="Times New Roman" w:hAnsi="Times New Roman" w:eastAsia="仿宋" w:cs="Times New Roman"/>
                      <w:color w:val="auto"/>
                      <w:kern w:val="0"/>
                      <w:sz w:val="21"/>
                      <w:szCs w:val="21"/>
                      <w:lang w:bidi="ar"/>
                    </w:rPr>
                  </w:pPr>
                </w:p>
              </w:tc>
              <w:tc>
                <w:tcPr>
                  <w:tcW w:w="627" w:type="pct"/>
                  <w:vMerge w:val="continue"/>
                  <w:noWrap w:val="0"/>
                  <w:vAlign w:val="center"/>
                </w:tcPr>
                <w:p w14:paraId="7AC70E1C">
                  <w:pPr>
                    <w:widowControl/>
                    <w:jc w:val="center"/>
                    <w:textAlignment w:val="center"/>
                    <w:rPr>
                      <w:rFonts w:hint="default" w:ascii="Times New Roman" w:hAnsi="Times New Roman" w:eastAsia="仿宋" w:cs="Times New Roman"/>
                      <w:color w:val="auto"/>
                      <w:kern w:val="0"/>
                      <w:sz w:val="21"/>
                      <w:szCs w:val="21"/>
                      <w:lang w:bidi="ar"/>
                    </w:rPr>
                  </w:pPr>
                </w:p>
              </w:tc>
              <w:tc>
                <w:tcPr>
                  <w:tcW w:w="2353" w:type="pct"/>
                  <w:noWrap w:val="0"/>
                  <w:vAlign w:val="center"/>
                </w:tcPr>
                <w:p w14:paraId="6C708DEF">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进入活性炭吸附（非甲烷总烃）</w:t>
                  </w:r>
                </w:p>
              </w:tc>
              <w:tc>
                <w:tcPr>
                  <w:tcW w:w="655" w:type="pct"/>
                  <w:noWrap w:val="0"/>
                  <w:vAlign w:val="center"/>
                </w:tcPr>
                <w:p w14:paraId="63D3D9A4">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0.41</w:t>
                  </w:r>
                </w:p>
              </w:tc>
            </w:tr>
            <w:tr w14:paraId="402201E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3" w:type="pct"/>
                  <w:gridSpan w:val="2"/>
                  <w:noWrap w:val="0"/>
                  <w:vAlign w:val="center"/>
                </w:tcPr>
                <w:p w14:paraId="2A1BCABA">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总计</w:t>
                  </w:r>
                </w:p>
              </w:tc>
              <w:tc>
                <w:tcPr>
                  <w:tcW w:w="510" w:type="pct"/>
                  <w:noWrap w:val="0"/>
                  <w:vAlign w:val="center"/>
                </w:tcPr>
                <w:p w14:paraId="18477F1C">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12</w:t>
                  </w:r>
                </w:p>
              </w:tc>
              <w:tc>
                <w:tcPr>
                  <w:tcW w:w="627" w:type="pct"/>
                  <w:noWrap w:val="0"/>
                  <w:vAlign w:val="center"/>
                </w:tcPr>
                <w:p w14:paraId="3727AA22">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总计</w:t>
                  </w:r>
                </w:p>
              </w:tc>
              <w:tc>
                <w:tcPr>
                  <w:tcW w:w="2353" w:type="pct"/>
                  <w:noWrap w:val="0"/>
                  <w:vAlign w:val="center"/>
                </w:tcPr>
                <w:p w14:paraId="54F54FBB">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w:t>
                  </w:r>
                </w:p>
              </w:tc>
              <w:tc>
                <w:tcPr>
                  <w:tcW w:w="655" w:type="pct"/>
                  <w:noWrap w:val="0"/>
                  <w:vAlign w:val="center"/>
                </w:tcPr>
                <w:p w14:paraId="425A5F4E">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12</w:t>
                  </w:r>
                </w:p>
              </w:tc>
            </w:tr>
          </w:tbl>
          <w:p w14:paraId="7237612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 w:cs="Times New Roman"/>
                <w:color w:val="auto"/>
                <w:sz w:val="24"/>
                <w:szCs w:val="24"/>
              </w:rPr>
            </w:pPr>
          </w:p>
          <w:p w14:paraId="6D3C8A8A">
            <w:pPr>
              <w:pStyle w:val="22"/>
              <w:adjustRightInd w:val="0"/>
              <w:snapToGrid w:val="0"/>
              <w:spacing w:before="0" w:beforeAutospacing="0" w:after="0" w:afterAutospacing="0" w:line="360" w:lineRule="auto"/>
              <w:jc w:val="both"/>
              <w:rPr>
                <w:rFonts w:hint="default" w:ascii="Times New Roman" w:hAnsi="Times New Roman" w:eastAsia="仿宋" w:cs="Times New Roman"/>
                <w:color w:val="auto"/>
                <w:sz w:val="24"/>
                <w:szCs w:val="24"/>
              </w:rPr>
            </w:pPr>
            <w:r>
              <w:rPr>
                <w:color w:val="auto"/>
              </w:rPr>
              <w:drawing>
                <wp:inline distT="0" distB="0" distL="114300" distR="114300">
                  <wp:extent cx="5013960" cy="1699895"/>
                  <wp:effectExtent l="0" t="0" r="1524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013960" cy="1699895"/>
                          </a:xfrm>
                          <a:prstGeom prst="rect">
                            <a:avLst/>
                          </a:prstGeom>
                          <a:noFill/>
                          <a:ln>
                            <a:noFill/>
                          </a:ln>
                        </pic:spPr>
                      </pic:pic>
                    </a:graphicData>
                  </a:graphic>
                </wp:inline>
              </w:drawing>
            </w:r>
          </w:p>
          <w:p w14:paraId="2BFAA6B4">
            <w:pPr>
              <w:pStyle w:val="22"/>
              <w:adjustRightInd w:val="0"/>
              <w:snapToGrid w:val="0"/>
              <w:spacing w:before="0" w:beforeAutospacing="0" w:after="0" w:afterAutospacing="0" w:line="360" w:lineRule="auto"/>
              <w:ind w:firstLine="422" w:firstLineChars="200"/>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rPr>
              <w:t>图</w:t>
            </w:r>
            <w:r>
              <w:rPr>
                <w:rFonts w:hint="default" w:ascii="Times New Roman" w:hAnsi="Times New Roman" w:eastAsia="仿宋" w:cs="Times New Roman"/>
                <w:b/>
                <w:bCs/>
                <w:color w:val="auto"/>
                <w:sz w:val="21"/>
                <w:szCs w:val="21"/>
                <w:lang w:val="en-US" w:eastAsia="zh-CN"/>
              </w:rPr>
              <w:t>2</w:t>
            </w:r>
            <w:r>
              <w:rPr>
                <w:rFonts w:hint="default" w:ascii="Times New Roman" w:hAnsi="Times New Roman" w:eastAsia="仿宋" w:cs="Times New Roman"/>
                <w:b/>
                <w:bCs/>
                <w:color w:val="auto"/>
                <w:sz w:val="21"/>
                <w:szCs w:val="21"/>
              </w:rPr>
              <w:t>-1水性漆物料平衡图</w:t>
            </w:r>
          </w:p>
          <w:p w14:paraId="5F362542">
            <w:pPr>
              <w:keepNext w:val="0"/>
              <w:keepLines w:val="0"/>
              <w:pageBreakBefore w:val="0"/>
              <w:kinsoku/>
              <w:wordWrap/>
              <w:overflowPunct/>
              <w:topLinePunct w:val="0"/>
              <w:bidi w:val="0"/>
              <w:adjustRightInd w:val="0"/>
              <w:snapToGrid w:val="0"/>
              <w:spacing w:line="500" w:lineRule="exact"/>
              <w:ind w:right="0" w:firstLine="48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lang w:val="en-US" w:eastAsia="zh-CN"/>
              </w:rPr>
              <w:t>2</w:t>
            </w:r>
            <w:r>
              <w:rPr>
                <w:rFonts w:hint="default" w:ascii="Times New Roman" w:hAnsi="Times New Roman" w:eastAsia="仿宋" w:cs="Times New Roman"/>
                <w:color w:val="auto"/>
                <w:sz w:val="24"/>
                <w:lang w:eastAsia="zh-CN"/>
              </w:rPr>
              <w:t>）水平衡</w:t>
            </w:r>
          </w:p>
          <w:p w14:paraId="179A7939">
            <w:pPr>
              <w:keepNext w:val="0"/>
              <w:keepLines w:val="0"/>
              <w:pageBreakBefore w:val="0"/>
              <w:kinsoku/>
              <w:wordWrap/>
              <w:overflowPunct/>
              <w:topLinePunct w:val="0"/>
              <w:bidi w:val="0"/>
              <w:adjustRightInd w:val="0"/>
              <w:snapToGrid w:val="0"/>
              <w:spacing w:line="500" w:lineRule="exact"/>
              <w:ind w:left="0" w:right="0" w:firstLine="480" w:firstLineChars="200"/>
              <w:rPr>
                <w:rFonts w:hint="default" w:ascii="Times New Roman" w:hAnsi="Times New Roman" w:eastAsia="仿宋" w:cs="Times New Roman"/>
                <w:color w:val="auto"/>
                <w:sz w:val="24"/>
              </w:rPr>
            </w:pPr>
          </w:p>
          <w:p w14:paraId="12D371F3">
            <w:pPr>
              <w:pStyle w:val="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仿宋" w:cs="Times New Roman"/>
                <w:color w:val="auto"/>
                <w:sz w:val="24"/>
              </w:rPr>
            </w:pPr>
            <w:r>
              <w:rPr>
                <w:color w:val="auto"/>
              </w:rPr>
              <w:drawing>
                <wp:inline distT="0" distB="0" distL="114300" distR="114300">
                  <wp:extent cx="3437255" cy="3143250"/>
                  <wp:effectExtent l="0" t="0" r="1079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3437255" cy="3143250"/>
                          </a:xfrm>
                          <a:prstGeom prst="rect">
                            <a:avLst/>
                          </a:prstGeom>
                          <a:noFill/>
                          <a:ln>
                            <a:noFill/>
                          </a:ln>
                        </pic:spPr>
                      </pic:pic>
                    </a:graphicData>
                  </a:graphic>
                </wp:inline>
              </w:drawing>
            </w:r>
          </w:p>
          <w:p w14:paraId="71D913EE">
            <w:pPr>
              <w:keepNext w:val="0"/>
              <w:keepLines w:val="0"/>
              <w:pageBreakBefore w:val="0"/>
              <w:widowControl w:val="0"/>
              <w:kinsoku/>
              <w:wordWrap/>
              <w:overflowPunct/>
              <w:topLinePunct w:val="0"/>
              <w:autoSpaceDE/>
              <w:autoSpaceDN/>
              <w:bidi w:val="0"/>
              <w:adjustRightInd w:val="0"/>
              <w:snapToGrid w:val="0"/>
              <w:spacing w:line="500" w:lineRule="exact"/>
              <w:ind w:left="0" w:right="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图</w:t>
            </w:r>
            <w:r>
              <w:rPr>
                <w:rFonts w:hint="default" w:ascii="Times New Roman" w:hAnsi="Times New Roman" w:eastAsia="仿宋" w:cs="Times New Roman"/>
                <w:b/>
                <w:color w:val="auto"/>
                <w:sz w:val="21"/>
                <w:szCs w:val="21"/>
                <w:highlight w:val="none"/>
                <w:lang w:val="en-US" w:eastAsia="zh-CN"/>
              </w:rPr>
              <w:t>2</w:t>
            </w:r>
            <w:r>
              <w:rPr>
                <w:rFonts w:hint="default" w:ascii="Times New Roman" w:hAnsi="Times New Roman" w:eastAsia="仿宋" w:cs="Times New Roman"/>
                <w:b/>
                <w:color w:val="auto"/>
                <w:sz w:val="21"/>
                <w:szCs w:val="21"/>
                <w:highlight w:val="none"/>
              </w:rPr>
              <w:t>-</w:t>
            </w:r>
            <w:r>
              <w:rPr>
                <w:rFonts w:hint="default" w:ascii="Times New Roman" w:hAnsi="Times New Roman" w:eastAsia="仿宋" w:cs="Times New Roman"/>
                <w:b/>
                <w:color w:val="auto"/>
                <w:sz w:val="21"/>
                <w:szCs w:val="21"/>
                <w:highlight w:val="none"/>
                <w:lang w:val="en-US" w:eastAsia="zh-CN"/>
              </w:rPr>
              <w:t>2  项目建成后全厂</w:t>
            </w:r>
            <w:r>
              <w:rPr>
                <w:rFonts w:hint="default" w:ascii="Times New Roman" w:hAnsi="Times New Roman" w:eastAsia="仿宋" w:cs="Times New Roman"/>
                <w:b/>
                <w:color w:val="auto"/>
                <w:sz w:val="21"/>
                <w:szCs w:val="21"/>
                <w:highlight w:val="none"/>
              </w:rPr>
              <w:t>水平衡图（单位：t/a）</w:t>
            </w:r>
          </w:p>
          <w:p w14:paraId="3831ECD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b/>
                <w:color w:val="auto"/>
                <w:sz w:val="21"/>
                <w:szCs w:val="21"/>
                <w:highlight w:val="none"/>
              </w:rPr>
            </w:pPr>
          </w:p>
          <w:p w14:paraId="441BD303">
            <w:pPr>
              <w:keepNext w:val="0"/>
              <w:keepLines w:val="0"/>
              <w:pageBreakBefore w:val="0"/>
              <w:kinsoku/>
              <w:wordWrap/>
              <w:overflowPunct/>
              <w:topLinePunct w:val="0"/>
              <w:bidi w:val="0"/>
              <w:adjustRightInd w:val="0"/>
              <w:snapToGrid w:val="0"/>
              <w:spacing w:line="500" w:lineRule="exact"/>
              <w:ind w:left="0" w:right="0"/>
              <w:rPr>
                <w:rFonts w:hint="default" w:ascii="Times New Roman" w:hAnsi="Times New Roman" w:eastAsia="仿宋" w:cs="Times New Roman"/>
                <w:b/>
                <w:color w:val="auto"/>
                <w:sz w:val="24"/>
              </w:rPr>
            </w:pPr>
            <w:r>
              <w:rPr>
                <w:rFonts w:hint="default" w:ascii="Times New Roman" w:hAnsi="Times New Roman" w:eastAsia="仿宋" w:cs="Times New Roman"/>
                <w:b/>
                <w:bCs/>
                <w:color w:val="auto"/>
                <w:kern w:val="0"/>
                <w:sz w:val="24"/>
                <w:lang w:val="en-US" w:eastAsia="zh-CN"/>
              </w:rPr>
              <w:t>8</w:t>
            </w:r>
            <w:r>
              <w:rPr>
                <w:rFonts w:hint="default" w:ascii="Times New Roman" w:hAnsi="Times New Roman" w:eastAsia="仿宋" w:cs="Times New Roman"/>
                <w:b/>
                <w:bCs/>
                <w:color w:val="auto"/>
                <w:kern w:val="0"/>
                <w:sz w:val="24"/>
              </w:rPr>
              <w:t>、劳动定员及工作制度</w:t>
            </w:r>
          </w:p>
          <w:p w14:paraId="4945AC5E">
            <w:pPr>
              <w:keepNext w:val="0"/>
              <w:keepLines w:val="0"/>
              <w:pageBreakBefore w:val="0"/>
              <w:kinsoku/>
              <w:wordWrap/>
              <w:overflowPunct/>
              <w:topLinePunct w:val="0"/>
              <w:bidi w:val="0"/>
              <w:adjustRightInd w:val="0"/>
              <w:snapToGrid w:val="0"/>
              <w:spacing w:line="500" w:lineRule="exact"/>
              <w:ind w:left="0" w:right="0"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职工定员：原有员工60人，本</w:t>
            </w:r>
            <w:r>
              <w:rPr>
                <w:rFonts w:hint="eastAsia" w:eastAsia="仿宋" w:cs="Times New Roman"/>
                <w:color w:val="auto"/>
                <w:sz w:val="24"/>
                <w:lang w:val="en-US" w:eastAsia="zh-CN"/>
              </w:rPr>
              <w:t>次</w:t>
            </w:r>
            <w:r>
              <w:rPr>
                <w:rFonts w:hint="default" w:ascii="Times New Roman" w:hAnsi="Times New Roman" w:eastAsia="仿宋" w:cs="Times New Roman"/>
                <w:color w:val="auto"/>
                <w:sz w:val="24"/>
                <w:lang w:val="en-US" w:eastAsia="zh-CN"/>
              </w:rPr>
              <w:t>新增员工40人，</w:t>
            </w:r>
            <w:r>
              <w:rPr>
                <w:rFonts w:hint="default" w:ascii="Times New Roman" w:hAnsi="Times New Roman" w:eastAsia="仿宋" w:cs="Times New Roman"/>
                <w:color w:val="auto"/>
                <w:sz w:val="24"/>
                <w:szCs w:val="24"/>
              </w:rPr>
              <w:t>全厂劳动定员</w:t>
            </w:r>
            <w:r>
              <w:rPr>
                <w:rFonts w:hint="default" w:ascii="Times New Roman" w:hAnsi="Times New Roman" w:eastAsia="仿宋" w:cs="Times New Roman"/>
                <w:color w:val="auto"/>
                <w:sz w:val="24"/>
                <w:szCs w:val="24"/>
                <w:lang w:val="en-US" w:eastAsia="zh-CN"/>
              </w:rPr>
              <w:t>10</w:t>
            </w:r>
            <w:r>
              <w:rPr>
                <w:rFonts w:hint="default" w:ascii="Times New Roman" w:hAnsi="Times New Roman" w:eastAsia="仿宋" w:cs="Times New Roman"/>
                <w:color w:val="auto"/>
                <w:sz w:val="24"/>
                <w:szCs w:val="24"/>
              </w:rPr>
              <w:t>0人</w:t>
            </w:r>
            <w:r>
              <w:rPr>
                <w:rFonts w:hint="default" w:ascii="Times New Roman" w:hAnsi="Times New Roman" w:eastAsia="仿宋" w:cs="Times New Roman"/>
                <w:color w:val="auto"/>
                <w:sz w:val="24"/>
                <w:lang w:val="en-US" w:eastAsia="zh-CN"/>
              </w:rPr>
              <w:t xml:space="preserve">； </w:t>
            </w:r>
          </w:p>
          <w:p w14:paraId="3D0F7DD2">
            <w:pPr>
              <w:keepNext w:val="0"/>
              <w:keepLines w:val="0"/>
              <w:pageBreakBefore w:val="0"/>
              <w:kinsoku/>
              <w:wordWrap/>
              <w:overflowPunct/>
              <w:topLinePunct w:val="0"/>
              <w:bidi w:val="0"/>
              <w:adjustRightInd w:val="0"/>
              <w:snapToGrid w:val="0"/>
              <w:spacing w:line="500" w:lineRule="exact"/>
              <w:ind w:left="0" w:right="0"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劳动制度：本项目全年工作300天，单班制生产（每班8小时），年工作时间2400h。食宿条件：企业不提供住宿、食堂。</w:t>
            </w:r>
          </w:p>
          <w:p w14:paraId="06B73A8B">
            <w:pPr>
              <w:keepNext w:val="0"/>
              <w:keepLines w:val="0"/>
              <w:pageBreakBefore w:val="0"/>
              <w:kinsoku/>
              <w:wordWrap/>
              <w:overflowPunct/>
              <w:topLinePunct w:val="0"/>
              <w:bidi w:val="0"/>
              <w:adjustRightInd w:val="0"/>
              <w:snapToGrid w:val="0"/>
              <w:spacing w:line="500" w:lineRule="exact"/>
              <w:ind w:left="0" w:right="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val="en-US" w:eastAsia="zh-CN"/>
              </w:rPr>
              <w:t>9</w:t>
            </w:r>
            <w:r>
              <w:rPr>
                <w:rFonts w:hint="default" w:ascii="Times New Roman" w:hAnsi="Times New Roman" w:eastAsia="仿宋" w:cs="Times New Roman"/>
                <w:b/>
                <w:color w:val="auto"/>
                <w:sz w:val="24"/>
              </w:rPr>
              <w:t>、厂区平面布置</w:t>
            </w:r>
          </w:p>
          <w:p w14:paraId="6F2AFE71">
            <w:pPr>
              <w:keepNext w:val="0"/>
              <w:keepLines w:val="0"/>
              <w:pageBreakBefore w:val="0"/>
              <w:kinsoku/>
              <w:wordWrap/>
              <w:overflowPunct/>
              <w:topLinePunct w:val="0"/>
              <w:bidi w:val="0"/>
              <w:adjustRightInd w:val="0"/>
              <w:snapToGrid w:val="0"/>
              <w:spacing w:line="500" w:lineRule="exact"/>
              <w:ind w:left="0" w:right="0"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项目厂区共设置1个生产车间，车间</w:t>
            </w:r>
            <w:r>
              <w:rPr>
                <w:rFonts w:hint="eastAsia" w:eastAsia="仿宋" w:cs="Times New Roman"/>
                <w:color w:val="auto"/>
                <w:sz w:val="24"/>
                <w:lang w:val="en-US" w:eastAsia="zh-CN"/>
              </w:rPr>
              <w:t>西侧为焊接区，</w:t>
            </w:r>
            <w:r>
              <w:rPr>
                <w:rFonts w:hint="default" w:ascii="Times New Roman" w:hAnsi="Times New Roman" w:eastAsia="仿宋" w:cs="Times New Roman"/>
                <w:color w:val="auto"/>
                <w:sz w:val="24"/>
                <w:lang w:val="en-US" w:eastAsia="zh-CN"/>
              </w:rPr>
              <w:t>车间</w:t>
            </w:r>
            <w:r>
              <w:rPr>
                <w:rFonts w:hint="eastAsia" w:eastAsia="仿宋" w:cs="Times New Roman"/>
                <w:color w:val="auto"/>
                <w:sz w:val="24"/>
                <w:lang w:val="en-US" w:eastAsia="zh-CN"/>
              </w:rPr>
              <w:t>中部和</w:t>
            </w:r>
            <w:r>
              <w:rPr>
                <w:rFonts w:hint="default" w:ascii="Times New Roman" w:hAnsi="Times New Roman" w:eastAsia="仿宋" w:cs="Times New Roman"/>
                <w:color w:val="auto"/>
                <w:sz w:val="24"/>
                <w:lang w:val="en-US" w:eastAsia="zh-CN"/>
              </w:rPr>
              <w:t>南侧为机加工区，车间东北侧为喷涂区，车间西北侧为打磨、抛光。项目危险废物仓库位于车间东南角，企业总平面布置情况详见附图3。</w:t>
            </w:r>
          </w:p>
          <w:p w14:paraId="2B066056">
            <w:pPr>
              <w:keepNext w:val="0"/>
              <w:keepLines w:val="0"/>
              <w:pageBreakBefore w:val="0"/>
              <w:kinsoku/>
              <w:wordWrap/>
              <w:overflowPunct/>
              <w:topLinePunct w:val="0"/>
              <w:bidi w:val="0"/>
              <w:adjustRightInd w:val="0"/>
              <w:snapToGrid w:val="0"/>
              <w:spacing w:line="500" w:lineRule="exact"/>
              <w:ind w:left="0" w:right="0"/>
              <w:rPr>
                <w:rFonts w:hint="default" w:ascii="Times New Roman" w:hAnsi="Times New Roman" w:eastAsia="仿宋" w:cs="Times New Roman"/>
                <w:b/>
                <w:color w:val="auto"/>
                <w:sz w:val="24"/>
                <w:lang w:val="en-US" w:eastAsia="zh-CN"/>
              </w:rPr>
            </w:pPr>
            <w:r>
              <w:rPr>
                <w:rFonts w:hint="default" w:ascii="Times New Roman" w:hAnsi="Times New Roman" w:eastAsia="仿宋" w:cs="Times New Roman"/>
                <w:b/>
                <w:color w:val="auto"/>
                <w:sz w:val="24"/>
                <w:lang w:val="en-US" w:eastAsia="zh-CN"/>
              </w:rPr>
              <w:t>10、厂区周围概况</w:t>
            </w:r>
          </w:p>
          <w:p w14:paraId="1194794A">
            <w:pPr>
              <w:keepNext w:val="0"/>
              <w:keepLines w:val="0"/>
              <w:pageBreakBefore w:val="0"/>
              <w:kinsoku/>
              <w:wordWrap/>
              <w:overflowPunct/>
              <w:topLinePunct w:val="0"/>
              <w:bidi w:val="0"/>
              <w:adjustRightInd w:val="0"/>
              <w:snapToGrid w:val="0"/>
              <w:spacing w:line="500" w:lineRule="exact"/>
              <w:ind w:left="0" w:right="0" w:firstLine="480" w:firstLineChars="200"/>
              <w:rPr>
                <w:rFonts w:hint="default" w:ascii="Times New Roman" w:hAnsi="Times New Roman" w:eastAsia="仿宋" w:cs="Times New Roman"/>
                <w:snapToGrid w:val="0"/>
                <w:color w:val="auto"/>
                <w:sz w:val="30"/>
                <w:szCs w:val="30"/>
                <w:vertAlign w:val="baseline"/>
              </w:rPr>
            </w:pPr>
            <w:r>
              <w:rPr>
                <w:rFonts w:hint="default" w:ascii="Times New Roman" w:hAnsi="Times New Roman" w:eastAsia="仿宋" w:cs="Times New Roman"/>
                <w:color w:val="auto"/>
                <w:sz w:val="24"/>
                <w:lang w:val="en-US" w:eastAsia="zh-CN"/>
              </w:rPr>
              <w:t>本项目建设地点位于金坛区薛埠镇工业园区南环路3号，利用现有厂房进行建设。厂区东侧为空地，北侧为曙光支河，西侧为曙光南路，南侧为南环路。项目周边500米范围土地利用现状</w:t>
            </w:r>
            <w:r>
              <w:rPr>
                <w:rFonts w:hint="default" w:ascii="Times New Roman" w:hAnsi="Times New Roman" w:eastAsia="仿宋" w:cs="Times New Roman"/>
                <w:color w:val="auto"/>
                <w:kern w:val="2"/>
                <w:sz w:val="24"/>
                <w:szCs w:val="24"/>
                <w:lang w:val="en-US" w:eastAsia="zh-CN" w:bidi="ar-SA"/>
              </w:rPr>
              <w:t>见附图2。</w:t>
            </w:r>
          </w:p>
        </w:tc>
      </w:tr>
    </w:tbl>
    <w:p w14:paraId="7B5D696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9"/>
        <w:rPr>
          <w:rFonts w:hint="default" w:ascii="Times New Roman" w:hAnsi="Times New Roman" w:eastAsia="仿宋" w:cs="Times New Roman"/>
          <w:snapToGrid w:val="0"/>
          <w:color w:val="auto"/>
          <w:sz w:val="30"/>
          <w:szCs w:val="30"/>
        </w:rPr>
      </w:pPr>
    </w:p>
    <w:tbl>
      <w:tblPr>
        <w:tblStyle w:val="27"/>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12"/>
      </w:tblGrid>
      <w:tr w14:paraId="2908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4" w:hRule="atLeast"/>
        </w:trPr>
        <w:tc>
          <w:tcPr>
            <w:tcW w:w="448" w:type="dxa"/>
            <w:vAlign w:val="center"/>
          </w:tcPr>
          <w:p w14:paraId="3754AB8B">
            <w:pPr>
              <w:pStyle w:val="22"/>
              <w:keepNext w:val="0"/>
              <w:keepLines w:val="0"/>
              <w:pageBreakBefore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工艺流程和产排污环节</w:t>
            </w:r>
          </w:p>
        </w:tc>
        <w:tc>
          <w:tcPr>
            <w:tcW w:w="8612" w:type="dxa"/>
          </w:tcPr>
          <w:p w14:paraId="7159D942">
            <w:pPr>
              <w:keepNext w:val="0"/>
              <w:keepLines w:val="0"/>
              <w:pageBreakBefore w:val="0"/>
              <w:kinsoku/>
              <w:wordWrap/>
              <w:overflowPunct/>
              <w:topLinePunct w:val="0"/>
              <w:bidi w:val="0"/>
              <w:adjustRightInd w:val="0"/>
              <w:snapToGrid w:val="0"/>
              <w:spacing w:line="500" w:lineRule="exact"/>
              <w:ind w:left="0" w:right="0"/>
              <w:rPr>
                <w:rFonts w:hint="default" w:ascii="Times New Roman" w:hAnsi="Times New Roman" w:eastAsia="仿宋" w:cs="Times New Roman"/>
                <w:b/>
                <w:bCs/>
                <w:color w:val="auto"/>
                <w:sz w:val="24"/>
              </w:rPr>
            </w:pPr>
            <w:r>
              <w:rPr>
                <w:rFonts w:hint="default" w:ascii="Times New Roman" w:hAnsi="Times New Roman" w:eastAsia="仿宋" w:cs="Times New Roman"/>
                <w:b/>
                <w:color w:val="auto"/>
                <w:sz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11391900</wp:posOffset>
                      </wp:positionV>
                      <wp:extent cx="5734050" cy="0"/>
                      <wp:effectExtent l="0" t="0" r="0" b="0"/>
                      <wp:wrapNone/>
                      <wp:docPr id="54" name="直线 751"/>
                      <wp:cNvGraphicFramePr/>
                      <a:graphic xmlns:a="http://schemas.openxmlformats.org/drawingml/2006/main">
                        <a:graphicData uri="http://schemas.microsoft.com/office/word/2010/wordprocessingShape">
                          <wps:wsp>
                            <wps:cNvCnPr/>
                            <wps:spPr>
                              <a:xfrm>
                                <a:off x="0" y="0"/>
                                <a:ext cx="57340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751" o:spid="_x0000_s1026" o:spt="20" style="position:absolute;left:0pt;margin-left:0pt;margin-top:897pt;height:0pt;width:451.5pt;z-index:251661312;mso-width-relative:page;mso-height-relative:page;" filled="f" stroked="t" coordsize="21600,21600" o:gfxdata="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9511NQAAAAK&#10;AQAADwAAAAAAAAABACAAAAAiAAAAZHJzL2Rvd25yZXYueG1sUEsBAhQAFAAAAAgAh07iQEd9uFfn&#10;AQAA4AMAAA4AAAAAAAAAAQAgAAAAIwEAAGRycy9lMm9Eb2MueG1sUEsFBgAAAAAGAAYAWQEAAHwF&#10;AAAAAA==&#10;">
                      <v:fill on="f" focussize="0,0"/>
                      <v:stroke color="#000000" joinstyle="round"/>
                      <v:imagedata o:title=""/>
                      <o:lock v:ext="edit" aspectratio="f"/>
                    </v:line>
                  </w:pict>
                </mc:Fallback>
              </mc:AlternateContent>
            </w:r>
            <w:r>
              <w:rPr>
                <w:rFonts w:hint="default" w:ascii="Times New Roman" w:hAnsi="Times New Roman" w:eastAsia="仿宋" w:cs="Times New Roman"/>
                <w:b/>
                <w:bCs/>
                <w:color w:val="auto"/>
                <w:sz w:val="24"/>
              </w:rPr>
              <w:t>工艺流程简述（图示）：</w:t>
            </w:r>
          </w:p>
          <w:p w14:paraId="2FBED84D">
            <w:pPr>
              <w:pStyle w:val="9"/>
              <w:keepNext w:val="0"/>
              <w:keepLines w:val="0"/>
              <w:pageBreakBefore w:val="0"/>
              <w:kinsoku/>
              <w:wordWrap/>
              <w:overflowPunct/>
              <w:topLinePunct w:val="0"/>
              <w:bidi w:val="0"/>
              <w:adjustRightInd w:val="0"/>
              <w:snapToGrid w:val="0"/>
              <w:spacing w:after="0" w:line="500" w:lineRule="exact"/>
              <w:ind w:left="0" w:leftChars="0" w:right="0" w:rightChars="0"/>
              <w:rPr>
                <w:rFonts w:hint="default" w:ascii="Times New Roman" w:hAnsi="Times New Roman" w:eastAsia="仿宋" w:cs="Times New Roman"/>
                <w:b/>
                <w:color w:val="auto"/>
                <w:sz w:val="24"/>
                <w:szCs w:val="24"/>
                <w:lang w:val="en-US" w:eastAsia="zh-CN"/>
              </w:rPr>
            </w:pPr>
            <w:r>
              <w:rPr>
                <w:rFonts w:hint="default" w:ascii="Times New Roman" w:hAnsi="Times New Roman" w:eastAsia="仿宋" w:cs="Times New Roman"/>
                <w:b/>
                <w:color w:val="auto"/>
                <w:sz w:val="24"/>
                <w:szCs w:val="24"/>
                <w:lang w:val="en-US" w:eastAsia="zh-CN"/>
              </w:rPr>
              <w:t>1、生产工艺流程</w:t>
            </w:r>
          </w:p>
          <w:p w14:paraId="4E4B6ADA">
            <w:pPr>
              <w:pStyle w:val="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仿宋" w:cs="Times New Roman"/>
                <w:b/>
                <w:color w:val="auto"/>
                <w:sz w:val="24"/>
                <w:szCs w:val="24"/>
              </w:rPr>
            </w:pPr>
            <w:r>
              <w:rPr>
                <w:color w:val="auto"/>
              </w:rPr>
              <w:drawing>
                <wp:inline distT="0" distB="0" distL="114300" distR="114300">
                  <wp:extent cx="3823335" cy="4857115"/>
                  <wp:effectExtent l="0" t="0" r="5715"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3823335" cy="4857115"/>
                          </a:xfrm>
                          <a:prstGeom prst="rect">
                            <a:avLst/>
                          </a:prstGeom>
                          <a:noFill/>
                          <a:ln>
                            <a:noFill/>
                          </a:ln>
                        </pic:spPr>
                      </pic:pic>
                    </a:graphicData>
                  </a:graphic>
                </wp:inline>
              </w:drawing>
            </w:r>
          </w:p>
          <w:p w14:paraId="41BF20A5">
            <w:pPr>
              <w:keepNext w:val="0"/>
              <w:keepLines w:val="0"/>
              <w:pageBreakBefore w:val="0"/>
              <w:widowControl w:val="0"/>
              <w:kinsoku/>
              <w:wordWrap/>
              <w:overflowPunct/>
              <w:topLinePunct w:val="0"/>
              <w:autoSpaceDE/>
              <w:autoSpaceDN/>
              <w:bidi w:val="0"/>
              <w:adjustRightInd w:val="0"/>
              <w:snapToGrid w:val="0"/>
              <w:spacing w:line="500" w:lineRule="exact"/>
              <w:ind w:left="0" w:right="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图2-3  项目生产工艺流程及产污环节图</w:t>
            </w:r>
          </w:p>
          <w:p w14:paraId="39D92243">
            <w:pPr>
              <w:pStyle w:val="9"/>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工艺流程说明：</w:t>
            </w:r>
          </w:p>
          <w:p w14:paraId="0500193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卷圆:</w:t>
            </w:r>
            <w:r>
              <w:rPr>
                <w:rFonts w:hint="eastAsia" w:ascii="Times New Roman" w:hAnsi="Times New Roman" w:eastAsia="仿宋" w:cs="Times New Roman"/>
                <w:color w:val="auto"/>
                <w:sz w:val="24"/>
                <w:szCs w:val="24"/>
                <w:lang w:val="en-US" w:eastAsia="zh-CN"/>
              </w:rPr>
              <w:t>外购</w:t>
            </w:r>
            <w:r>
              <w:rPr>
                <w:rFonts w:hint="default" w:ascii="Times New Roman" w:hAnsi="Times New Roman" w:eastAsia="仿宋" w:cs="Times New Roman"/>
                <w:color w:val="auto"/>
                <w:sz w:val="24"/>
                <w:szCs w:val="24"/>
                <w:lang w:val="en-US" w:eastAsia="zh-CN"/>
              </w:rPr>
              <w:t>的</w:t>
            </w:r>
            <w:r>
              <w:rPr>
                <w:rFonts w:hint="eastAsia" w:ascii="Times New Roman" w:hAnsi="Times New Roman" w:eastAsia="仿宋" w:cs="Times New Roman"/>
                <w:color w:val="auto"/>
                <w:sz w:val="24"/>
                <w:szCs w:val="24"/>
                <w:lang w:val="en-US" w:eastAsia="zh-CN"/>
              </w:rPr>
              <w:t>碳钢板、不锈钢板</w:t>
            </w:r>
            <w:r>
              <w:rPr>
                <w:rFonts w:hint="default" w:ascii="Times New Roman" w:hAnsi="Times New Roman" w:eastAsia="仿宋" w:cs="Times New Roman"/>
                <w:color w:val="auto"/>
                <w:sz w:val="24"/>
                <w:szCs w:val="24"/>
                <w:lang w:val="en-US" w:eastAsia="zh-CN"/>
              </w:rPr>
              <w:t>利用卷圆机进行卷板作业，成为圆柱体工件。</w:t>
            </w:r>
          </w:p>
          <w:p w14:paraId="360E63F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拼装焊接:将圆柱体工件与外购的封头、法兰</w:t>
            </w:r>
            <w:r>
              <w:rPr>
                <w:rFonts w:hint="eastAsia" w:ascii="Times New Roman" w:hAnsi="Times New Roman" w:eastAsia="仿宋" w:cs="Times New Roman"/>
                <w:color w:val="auto"/>
                <w:sz w:val="24"/>
                <w:szCs w:val="24"/>
                <w:lang w:val="en-US" w:eastAsia="zh-CN"/>
              </w:rPr>
              <w:t>、控制器</w:t>
            </w:r>
            <w:r>
              <w:rPr>
                <w:rFonts w:hint="default" w:ascii="Times New Roman" w:hAnsi="Times New Roman" w:eastAsia="仿宋" w:cs="Times New Roman"/>
                <w:color w:val="auto"/>
                <w:sz w:val="24"/>
                <w:szCs w:val="24"/>
                <w:lang w:val="en-US" w:eastAsia="zh-CN"/>
              </w:rPr>
              <w:t>等部件进行拼装焊接加工，项目采用氩弧焊、气保焊等焊接技术，焊接过程产生烟尘（G</w:t>
            </w:r>
            <w:r>
              <w:rPr>
                <w:rFonts w:hint="eastAsia" w:eastAsia="仿宋" w:cs="Times New Roman"/>
                <w:color w:val="auto"/>
                <w:sz w:val="24"/>
                <w:szCs w:val="24"/>
                <w:lang w:val="en-US" w:eastAsia="zh-CN"/>
              </w:rPr>
              <w:t>1</w:t>
            </w:r>
            <w:r>
              <w:rPr>
                <w:rFonts w:hint="default" w:ascii="Times New Roman" w:hAnsi="Times New Roman" w:eastAsia="仿宋" w:cs="Times New Roman"/>
                <w:color w:val="auto"/>
                <w:sz w:val="24"/>
                <w:szCs w:val="24"/>
                <w:lang w:val="en-US" w:eastAsia="zh-CN"/>
              </w:rPr>
              <w:t>）和焊渣（S</w:t>
            </w:r>
            <w:r>
              <w:rPr>
                <w:rFonts w:hint="eastAsia" w:eastAsia="仿宋" w:cs="Times New Roman"/>
                <w:color w:val="auto"/>
                <w:sz w:val="24"/>
                <w:szCs w:val="24"/>
                <w:lang w:val="en-US" w:eastAsia="zh-CN"/>
              </w:rPr>
              <w:t>1</w:t>
            </w:r>
            <w:r>
              <w:rPr>
                <w:rFonts w:hint="default" w:ascii="Times New Roman" w:hAnsi="Times New Roman" w:eastAsia="仿宋" w:cs="Times New Roman"/>
                <w:color w:val="auto"/>
                <w:sz w:val="24"/>
                <w:szCs w:val="24"/>
                <w:lang w:val="en-US" w:eastAsia="zh-CN"/>
              </w:rPr>
              <w:t>）。</w:t>
            </w:r>
          </w:p>
          <w:p w14:paraId="78D7A47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整形:焊接后的钢板表面有少量形变，采用丙烷火焰对钢板的变形进行局部加热整形。</w:t>
            </w:r>
          </w:p>
          <w:p w14:paraId="4D050F2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精加工:整形后的工件在铣床、镗床、加工中心等设备上精加工，此工序产生少量</w:t>
            </w:r>
            <w:r>
              <w:rPr>
                <w:rFonts w:hint="eastAsia" w:eastAsia="仿宋" w:cs="Times New Roman"/>
                <w:color w:val="auto"/>
                <w:sz w:val="24"/>
                <w:szCs w:val="24"/>
                <w:lang w:val="en-US" w:eastAsia="zh-CN"/>
              </w:rPr>
              <w:t>油雾</w:t>
            </w:r>
            <w:r>
              <w:rPr>
                <w:rFonts w:hint="default" w:ascii="Times New Roman" w:hAnsi="Times New Roman" w:eastAsia="仿宋" w:cs="Times New Roman"/>
                <w:color w:val="auto"/>
                <w:sz w:val="24"/>
                <w:szCs w:val="24"/>
                <w:highlight w:val="none"/>
                <w:lang w:val="en-US" w:eastAsia="zh-CN"/>
              </w:rPr>
              <w:t>（G</w:t>
            </w:r>
            <w:r>
              <w:rPr>
                <w:rFonts w:hint="eastAsia"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lang w:val="en-US" w:eastAsia="zh-CN"/>
              </w:rPr>
              <w:t>）</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边角料（S</w:t>
            </w:r>
            <w:r>
              <w:rPr>
                <w:rFonts w:hint="eastAsia" w:eastAsia="仿宋"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）和废切削液（S</w:t>
            </w:r>
            <w:r>
              <w:rPr>
                <w:rFonts w:hint="eastAsia" w:eastAsia="仿宋" w:cs="Times New Roman"/>
                <w:color w:val="auto"/>
                <w:sz w:val="24"/>
                <w:szCs w:val="24"/>
                <w:lang w:val="en-US" w:eastAsia="zh-CN"/>
              </w:rPr>
              <w:t>3</w:t>
            </w:r>
            <w:r>
              <w:rPr>
                <w:rFonts w:hint="default" w:ascii="Times New Roman" w:hAnsi="Times New Roman" w:eastAsia="仿宋" w:cs="Times New Roman"/>
                <w:color w:val="auto"/>
                <w:sz w:val="24"/>
                <w:szCs w:val="24"/>
                <w:lang w:val="en-US" w:eastAsia="zh-CN"/>
              </w:rPr>
              <w:t>）。</w:t>
            </w:r>
          </w:p>
          <w:p w14:paraId="3C2A13F7">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加工成型的半成品</w:t>
            </w:r>
            <w:r>
              <w:rPr>
                <w:rFonts w:hint="eastAsia" w:eastAsia="仿宋" w:cs="Times New Roman"/>
                <w:b/>
                <w:bCs/>
                <w:color w:val="auto"/>
                <w:sz w:val="24"/>
                <w:szCs w:val="24"/>
                <w:lang w:val="en-US" w:eastAsia="zh-CN"/>
              </w:rPr>
              <w:t>根据需要进行打磨、抛光或喷砂处理。</w:t>
            </w:r>
          </w:p>
          <w:p w14:paraId="2FB88FA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sz w:val="24"/>
                <w:szCs w:val="24"/>
                <w:lang w:val="en-US" w:eastAsia="zh-CN"/>
              </w:rPr>
            </w:pPr>
            <w:r>
              <w:rPr>
                <w:rFonts w:hint="eastAsia" w:eastAsia="仿宋" w:cs="Times New Roman"/>
                <w:color w:val="auto"/>
                <w:sz w:val="24"/>
                <w:szCs w:val="24"/>
                <w:lang w:val="en-US" w:eastAsia="zh-CN"/>
              </w:rPr>
              <w:t>打磨：部分</w:t>
            </w:r>
            <w:r>
              <w:rPr>
                <w:rFonts w:hint="default" w:ascii="Times New Roman" w:hAnsi="Times New Roman" w:eastAsia="仿宋" w:cs="Times New Roman"/>
                <w:color w:val="auto"/>
                <w:sz w:val="24"/>
                <w:szCs w:val="24"/>
                <w:lang w:val="en-US" w:eastAsia="zh-CN"/>
              </w:rPr>
              <w:t>半成品经角磨机</w:t>
            </w:r>
            <w:r>
              <w:rPr>
                <w:rFonts w:hint="eastAsia" w:ascii="Times New Roman" w:hAnsi="Times New Roman" w:eastAsia="仿宋" w:cs="Times New Roman"/>
                <w:color w:val="auto"/>
                <w:sz w:val="24"/>
                <w:szCs w:val="24"/>
                <w:lang w:val="en-US" w:eastAsia="zh-CN"/>
              </w:rPr>
              <w:t>打磨处理，</w:t>
            </w:r>
            <w:r>
              <w:rPr>
                <w:rFonts w:hint="eastAsia" w:eastAsia="仿宋" w:cs="Times New Roman"/>
                <w:color w:val="auto"/>
                <w:sz w:val="24"/>
                <w:szCs w:val="24"/>
                <w:lang w:val="en-US" w:eastAsia="zh-CN"/>
              </w:rPr>
              <w:t>使工件表面平整，打磨工序在密闭操作间（尺寸为15m*10m*4m）进行，</w:t>
            </w:r>
            <w:r>
              <w:rPr>
                <w:rFonts w:hint="default" w:ascii="Times New Roman" w:hAnsi="Times New Roman" w:eastAsia="仿宋" w:cs="Times New Roman"/>
                <w:color w:val="auto"/>
                <w:sz w:val="24"/>
                <w:szCs w:val="24"/>
                <w:lang w:val="en-US" w:eastAsia="zh-CN"/>
              </w:rPr>
              <w:t>该工段产生</w:t>
            </w:r>
            <w:r>
              <w:rPr>
                <w:rFonts w:hint="eastAsia" w:eastAsia="仿宋" w:cs="Times New Roman"/>
                <w:color w:val="auto"/>
                <w:sz w:val="24"/>
                <w:szCs w:val="24"/>
                <w:lang w:val="en-US" w:eastAsia="zh-CN"/>
              </w:rPr>
              <w:t>打磨</w:t>
            </w:r>
            <w:r>
              <w:rPr>
                <w:rFonts w:hint="default" w:ascii="Times New Roman" w:hAnsi="Times New Roman" w:eastAsia="仿宋" w:cs="Times New Roman"/>
                <w:color w:val="auto"/>
                <w:sz w:val="24"/>
                <w:szCs w:val="24"/>
                <w:highlight w:val="none"/>
                <w:lang w:val="en-US" w:eastAsia="zh-CN"/>
              </w:rPr>
              <w:t>废气（G</w:t>
            </w:r>
            <w:r>
              <w:rPr>
                <w:rFonts w:hint="eastAsia"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lang w:val="en-US" w:eastAsia="zh-CN"/>
              </w:rPr>
              <w:t>）</w:t>
            </w:r>
            <w:r>
              <w:rPr>
                <w:rFonts w:hint="default" w:ascii="Times New Roman" w:hAnsi="Times New Roman" w:eastAsia="仿宋" w:cs="Times New Roman"/>
                <w:color w:val="auto"/>
                <w:sz w:val="24"/>
                <w:szCs w:val="24"/>
                <w:lang w:val="en-US" w:eastAsia="zh-CN"/>
              </w:rPr>
              <w:t>。</w:t>
            </w:r>
          </w:p>
          <w:p w14:paraId="3668620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抛光:</w:t>
            </w:r>
            <w:r>
              <w:rPr>
                <w:rFonts w:hint="eastAsia" w:eastAsia="仿宋" w:cs="Times New Roman"/>
                <w:color w:val="auto"/>
                <w:sz w:val="24"/>
                <w:szCs w:val="24"/>
                <w:lang w:val="en-US" w:eastAsia="zh-CN"/>
              </w:rPr>
              <w:t>部分</w:t>
            </w:r>
            <w:r>
              <w:rPr>
                <w:rFonts w:hint="default" w:ascii="Times New Roman" w:hAnsi="Times New Roman" w:eastAsia="仿宋" w:cs="Times New Roman"/>
                <w:color w:val="auto"/>
                <w:sz w:val="24"/>
                <w:szCs w:val="24"/>
                <w:lang w:val="en-US" w:eastAsia="zh-CN"/>
              </w:rPr>
              <w:t>半成品需经抛光机加工，去除钢材表面的氧化皮，便于后续喷漆。抛光</w:t>
            </w:r>
            <w:r>
              <w:rPr>
                <w:rFonts w:hint="eastAsia" w:eastAsia="仿宋" w:cs="Times New Roman"/>
                <w:color w:val="auto"/>
                <w:sz w:val="24"/>
                <w:szCs w:val="24"/>
                <w:lang w:val="en-US" w:eastAsia="zh-CN"/>
              </w:rPr>
              <w:t>、打磨工序均在密闭操作间（尺寸为15m*10m*4m）进行，</w:t>
            </w:r>
            <w:r>
              <w:rPr>
                <w:rFonts w:hint="default" w:ascii="Times New Roman" w:hAnsi="Times New Roman" w:eastAsia="仿宋" w:cs="Times New Roman"/>
                <w:color w:val="auto"/>
                <w:sz w:val="24"/>
                <w:szCs w:val="24"/>
                <w:lang w:val="en-US" w:eastAsia="zh-CN"/>
              </w:rPr>
              <w:t>抛光工段产生抛光</w:t>
            </w:r>
            <w:r>
              <w:rPr>
                <w:rFonts w:hint="default" w:ascii="Times New Roman" w:hAnsi="Times New Roman" w:eastAsia="仿宋" w:cs="Times New Roman"/>
                <w:color w:val="auto"/>
                <w:sz w:val="24"/>
                <w:szCs w:val="24"/>
                <w:highlight w:val="none"/>
                <w:lang w:val="en-US" w:eastAsia="zh-CN"/>
              </w:rPr>
              <w:t>废气（G</w:t>
            </w:r>
            <w:r>
              <w:rPr>
                <w:rFonts w:hint="eastAsia" w:eastAsia="仿宋"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lang w:val="en-US" w:eastAsia="zh-CN"/>
              </w:rPr>
              <w:t>）</w:t>
            </w:r>
            <w:r>
              <w:rPr>
                <w:rFonts w:hint="default" w:ascii="Times New Roman" w:hAnsi="Times New Roman" w:eastAsia="仿宋" w:cs="Times New Roman"/>
                <w:color w:val="auto"/>
                <w:sz w:val="24"/>
                <w:szCs w:val="24"/>
                <w:lang w:val="en-US" w:eastAsia="zh-CN"/>
              </w:rPr>
              <w:t>。</w:t>
            </w:r>
          </w:p>
          <w:p w14:paraId="5B00B49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喷砂:</w:t>
            </w:r>
            <w:r>
              <w:rPr>
                <w:rFonts w:hint="eastAsia" w:eastAsia="仿宋" w:cs="Times New Roman"/>
                <w:color w:val="auto"/>
                <w:sz w:val="24"/>
                <w:szCs w:val="24"/>
                <w:lang w:val="en-US" w:eastAsia="zh-CN"/>
              </w:rPr>
              <w:t>部分</w:t>
            </w:r>
            <w:r>
              <w:rPr>
                <w:rFonts w:hint="default" w:ascii="Times New Roman" w:hAnsi="Times New Roman" w:eastAsia="仿宋" w:cs="Times New Roman"/>
                <w:color w:val="auto"/>
                <w:sz w:val="24"/>
                <w:szCs w:val="24"/>
                <w:lang w:val="en-US" w:eastAsia="zh-CN"/>
              </w:rPr>
              <w:t>半成品采用喷砂处理，去除氧化皮、锈蚀等附着物，呈现洁净的工件表面。其次，是将工件表面处理成较高的粗糙度，以增大与涂层的结合面积，增强附着力。磨料采用高硬度玻璃砂，颗粒直径在0.5-1mm范围；该工段产生喷砂废气（G</w:t>
            </w:r>
            <w:r>
              <w:rPr>
                <w:rFonts w:hint="eastAsia" w:eastAsia="仿宋" w:cs="Times New Roman"/>
                <w:color w:val="auto"/>
                <w:sz w:val="24"/>
                <w:szCs w:val="24"/>
                <w:lang w:val="en-US" w:eastAsia="zh-CN"/>
              </w:rPr>
              <w:t>5</w:t>
            </w:r>
            <w:r>
              <w:rPr>
                <w:rFonts w:hint="default" w:ascii="Times New Roman" w:hAnsi="Times New Roman" w:eastAsia="仿宋" w:cs="Times New Roman"/>
                <w:color w:val="auto"/>
                <w:sz w:val="24"/>
                <w:szCs w:val="24"/>
                <w:lang w:val="en-US" w:eastAsia="zh-CN"/>
              </w:rPr>
              <w:t>）、废玻璃砂（S</w:t>
            </w:r>
            <w:r>
              <w:rPr>
                <w:rFonts w:hint="eastAsia" w:eastAsia="仿宋" w:cs="Times New Roman"/>
                <w:color w:val="auto"/>
                <w:sz w:val="24"/>
                <w:szCs w:val="24"/>
                <w:lang w:val="en-US" w:eastAsia="zh-CN"/>
              </w:rPr>
              <w:t>4</w:t>
            </w:r>
            <w:r>
              <w:rPr>
                <w:rFonts w:hint="default" w:ascii="Times New Roman" w:hAnsi="Times New Roman" w:eastAsia="仿宋" w:cs="Times New Roman"/>
                <w:color w:val="auto"/>
                <w:sz w:val="24"/>
                <w:szCs w:val="24"/>
                <w:lang w:val="en-US" w:eastAsia="zh-CN"/>
              </w:rPr>
              <w:t>）。</w:t>
            </w:r>
          </w:p>
          <w:p w14:paraId="77F1A1D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喷漆：喷砂后的工件进行喷漆表面处理，本项目设置1间密闭干式喷漆房（</w:t>
            </w:r>
            <w:r>
              <w:rPr>
                <w:rFonts w:hint="eastAsia" w:eastAsia="仿宋" w:cs="Times New Roman"/>
                <w:color w:val="auto"/>
                <w:kern w:val="0"/>
                <w:sz w:val="24"/>
                <w:szCs w:val="24"/>
                <w:lang w:val="en-US" w:eastAsia="zh-CN"/>
              </w:rPr>
              <w:t>8</w:t>
            </w:r>
            <w:r>
              <w:rPr>
                <w:rFonts w:hint="default" w:ascii="Times New Roman" w:hAnsi="Times New Roman" w:eastAsia="仿宋" w:cs="Times New Roman"/>
                <w:color w:val="auto"/>
                <w:kern w:val="0"/>
                <w:sz w:val="24"/>
                <w:szCs w:val="24"/>
                <w:lang w:val="en-US" w:eastAsia="zh-CN"/>
              </w:rPr>
              <w:t>m*</w:t>
            </w:r>
            <w:r>
              <w:rPr>
                <w:rFonts w:hint="eastAsia" w:eastAsia="仿宋" w:cs="Times New Roman"/>
                <w:color w:val="auto"/>
                <w:kern w:val="0"/>
                <w:sz w:val="24"/>
                <w:szCs w:val="24"/>
                <w:lang w:val="en-US" w:eastAsia="zh-CN"/>
              </w:rPr>
              <w:t>6</w:t>
            </w:r>
            <w:r>
              <w:rPr>
                <w:rFonts w:hint="default" w:ascii="Times New Roman" w:hAnsi="Times New Roman" w:eastAsia="仿宋" w:cs="Times New Roman"/>
                <w:color w:val="auto"/>
                <w:kern w:val="0"/>
                <w:sz w:val="24"/>
                <w:szCs w:val="24"/>
                <w:lang w:val="en-US" w:eastAsia="zh-CN"/>
              </w:rPr>
              <w:t>m*</w:t>
            </w:r>
            <w:r>
              <w:rPr>
                <w:rFonts w:hint="eastAsia" w:eastAsia="仿宋" w:cs="Times New Roman"/>
                <w:color w:val="auto"/>
                <w:kern w:val="0"/>
                <w:sz w:val="24"/>
                <w:szCs w:val="24"/>
                <w:lang w:val="en-US" w:eastAsia="zh-CN"/>
              </w:rPr>
              <w:t>5</w:t>
            </w:r>
            <w:r>
              <w:rPr>
                <w:rFonts w:hint="default" w:ascii="Times New Roman" w:hAnsi="Times New Roman" w:eastAsia="仿宋" w:cs="Times New Roman"/>
                <w:color w:val="auto"/>
                <w:kern w:val="0"/>
                <w:sz w:val="24"/>
                <w:szCs w:val="24"/>
                <w:lang w:val="en-US" w:eastAsia="zh-CN"/>
              </w:rPr>
              <w:t>m</w:t>
            </w:r>
            <w:r>
              <w:rPr>
                <w:rFonts w:hint="default" w:ascii="Times New Roman" w:hAnsi="Times New Roman" w:eastAsia="仿宋" w:cs="Times New Roman"/>
                <w:color w:val="auto"/>
                <w:sz w:val="24"/>
                <w:szCs w:val="24"/>
                <w:lang w:val="en-US" w:eastAsia="zh-CN"/>
              </w:rPr>
              <w:t>），调漆、喷漆均在此房内进行。喷涂前，在外购的水性漆中加入适量的水，水性漆和水按照</w:t>
            </w:r>
            <w:r>
              <w:rPr>
                <w:rFonts w:hint="eastAsia"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lang w:val="en-US" w:eastAsia="zh-CN"/>
              </w:rPr>
              <w:t>的比例调配均匀，以符合当前涂装工况黏度要求。项目采用手动静电涂装的作业方式，通过控制喷枪的移动，对平台上的工件进行涂装作业，</w:t>
            </w:r>
            <w:r>
              <w:rPr>
                <w:rFonts w:hint="eastAsia" w:eastAsia="仿宋" w:cs="Times New Roman"/>
                <w:color w:val="auto"/>
                <w:sz w:val="24"/>
                <w:szCs w:val="24"/>
                <w:lang w:val="en-US" w:eastAsia="zh-CN"/>
              </w:rPr>
              <w:t>喷涂在常温下进行，</w:t>
            </w:r>
            <w:r>
              <w:rPr>
                <w:rFonts w:hint="default" w:ascii="Times New Roman" w:hAnsi="Times New Roman" w:eastAsia="仿宋" w:cs="Times New Roman"/>
                <w:color w:val="auto"/>
                <w:sz w:val="24"/>
                <w:szCs w:val="24"/>
                <w:lang w:val="en-US" w:eastAsia="zh-CN"/>
              </w:rPr>
              <w:t>涂层厚度约40um，上漆率约为60%。喷漆过程产生调漆废气（G</w:t>
            </w:r>
            <w:r>
              <w:rPr>
                <w:rFonts w:hint="eastAsia" w:eastAsia="仿宋" w:cs="Times New Roman"/>
                <w:color w:val="auto"/>
                <w:sz w:val="24"/>
                <w:szCs w:val="24"/>
                <w:lang w:val="en-US" w:eastAsia="zh-CN"/>
              </w:rPr>
              <w:t>6</w:t>
            </w:r>
            <w:r>
              <w:rPr>
                <w:rFonts w:hint="default" w:ascii="Times New Roman" w:hAnsi="Times New Roman" w:eastAsia="仿宋" w:cs="Times New Roman"/>
                <w:color w:val="auto"/>
                <w:sz w:val="24"/>
                <w:szCs w:val="24"/>
                <w:lang w:val="en-US" w:eastAsia="zh-CN"/>
              </w:rPr>
              <w:t>）、喷漆废气（G</w:t>
            </w:r>
            <w:r>
              <w:rPr>
                <w:rFonts w:hint="eastAsia" w:eastAsia="仿宋" w:cs="Times New Roman"/>
                <w:color w:val="auto"/>
                <w:sz w:val="24"/>
                <w:szCs w:val="24"/>
                <w:lang w:val="en-US" w:eastAsia="zh-CN"/>
              </w:rPr>
              <w:t>7</w:t>
            </w:r>
            <w:r>
              <w:rPr>
                <w:rFonts w:hint="default" w:ascii="Times New Roman" w:hAnsi="Times New Roman" w:eastAsia="仿宋" w:cs="Times New Roman"/>
                <w:color w:val="auto"/>
                <w:sz w:val="24"/>
                <w:szCs w:val="24"/>
                <w:lang w:val="en-US" w:eastAsia="zh-CN"/>
              </w:rPr>
              <w:t>）、漆渣（S</w:t>
            </w:r>
            <w:r>
              <w:rPr>
                <w:rFonts w:hint="eastAsia" w:eastAsia="仿宋" w:cs="Times New Roman"/>
                <w:color w:val="auto"/>
                <w:sz w:val="24"/>
                <w:szCs w:val="24"/>
                <w:lang w:val="en-US" w:eastAsia="zh-CN"/>
              </w:rPr>
              <w:t>5</w:t>
            </w:r>
            <w:r>
              <w:rPr>
                <w:rFonts w:hint="default" w:ascii="Times New Roman" w:hAnsi="Times New Roman" w:eastAsia="仿宋" w:cs="Times New Roman"/>
                <w:color w:val="auto"/>
                <w:sz w:val="24"/>
                <w:szCs w:val="24"/>
                <w:lang w:val="en-US" w:eastAsia="zh-CN"/>
              </w:rPr>
              <w:t>）</w:t>
            </w:r>
            <w:r>
              <w:rPr>
                <w:rFonts w:hint="eastAsia" w:eastAsia="仿宋" w:cs="Times New Roman"/>
                <w:color w:val="auto"/>
                <w:sz w:val="24"/>
                <w:szCs w:val="24"/>
                <w:lang w:val="en-US" w:eastAsia="zh-CN"/>
              </w:rPr>
              <w:t>和含漆废物</w:t>
            </w:r>
            <w:r>
              <w:rPr>
                <w:rFonts w:hint="default" w:ascii="Times New Roman" w:hAnsi="Times New Roman" w:eastAsia="仿宋" w:cs="Times New Roman"/>
                <w:color w:val="auto"/>
                <w:sz w:val="24"/>
                <w:szCs w:val="24"/>
                <w:lang w:val="en-US" w:eastAsia="zh-CN"/>
              </w:rPr>
              <w:t>（S</w:t>
            </w:r>
            <w:r>
              <w:rPr>
                <w:rFonts w:hint="eastAsia" w:eastAsia="仿宋" w:cs="Times New Roman"/>
                <w:color w:val="auto"/>
                <w:sz w:val="24"/>
                <w:szCs w:val="24"/>
                <w:lang w:val="en-US" w:eastAsia="zh-CN"/>
              </w:rPr>
              <w:t>6</w:t>
            </w:r>
            <w:r>
              <w:rPr>
                <w:rFonts w:hint="default" w:ascii="Times New Roman" w:hAnsi="Times New Roman" w:eastAsia="仿宋" w:cs="Times New Roman"/>
                <w:color w:val="auto"/>
                <w:sz w:val="24"/>
                <w:szCs w:val="24"/>
                <w:lang w:val="en-US" w:eastAsia="zh-CN"/>
              </w:rPr>
              <w:t>）。</w:t>
            </w:r>
          </w:p>
          <w:p w14:paraId="12262F1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烘干:</w:t>
            </w:r>
            <w:r>
              <w:rPr>
                <w:rFonts w:hint="eastAsia" w:ascii="Times New Roman" w:hAnsi="Times New Roman" w:eastAsia="仿宋" w:cs="Times New Roman"/>
                <w:color w:val="auto"/>
                <w:sz w:val="24"/>
                <w:szCs w:val="24"/>
                <w:lang w:val="en-US" w:eastAsia="zh-CN"/>
              </w:rPr>
              <w:t>喷漆后的工件在喷漆房晾干1小时使漆面表干，然后转移至烘房内继续烘干8小时，烘干温度约</w:t>
            </w:r>
            <w:r>
              <w:rPr>
                <w:rFonts w:hint="default" w:ascii="Times New Roman" w:hAnsi="Times New Roman" w:eastAsia="仿宋" w:cs="Times New Roman"/>
                <w:color w:val="auto"/>
                <w:sz w:val="24"/>
                <w:szCs w:val="24"/>
                <w:lang w:val="en-US" w:eastAsia="zh-CN"/>
              </w:rPr>
              <w:t>60℃至80℃</w:t>
            </w:r>
            <w:r>
              <w:rPr>
                <w:rFonts w:hint="eastAsia" w:eastAsia="仿宋" w:cs="Times New Roman"/>
                <w:color w:val="auto"/>
                <w:sz w:val="24"/>
                <w:szCs w:val="24"/>
                <w:lang w:val="en-US" w:eastAsia="zh-CN"/>
              </w:rPr>
              <w:t>（</w:t>
            </w:r>
            <w:r>
              <w:rPr>
                <w:rFonts w:hint="eastAsia" w:eastAsia="仿宋" w:cs="Times New Roman"/>
                <w:color w:val="FF0000"/>
                <w:sz w:val="24"/>
                <w:szCs w:val="24"/>
                <w:lang w:val="en-US" w:eastAsia="zh-CN"/>
              </w:rPr>
              <w:t>电加热</w:t>
            </w:r>
            <w:r>
              <w:rPr>
                <w:rFonts w:hint="eastAsia"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，使漆面充分固化形成漆膜。项目将烘房设置在喷漆房北侧，尽可能缩短转移路线，同时严格设置操作规程，将转移时间尽可能缩短</w:t>
            </w:r>
            <w:r>
              <w:rPr>
                <w:rFonts w:hint="default" w:ascii="Times New Roman" w:hAnsi="Times New Roman" w:eastAsia="仿宋" w:cs="Times New Roman"/>
                <w:color w:val="auto"/>
                <w:sz w:val="24"/>
                <w:szCs w:val="24"/>
                <w:lang w:val="en-US" w:eastAsia="zh-CN"/>
              </w:rPr>
              <w:t>。烘干工序有少量废气（G</w:t>
            </w:r>
            <w:r>
              <w:rPr>
                <w:rFonts w:hint="eastAsia" w:ascii="Times New Roman" w:hAnsi="Times New Roman" w:eastAsia="仿宋" w:cs="Times New Roman"/>
                <w:color w:val="auto"/>
                <w:sz w:val="24"/>
                <w:szCs w:val="24"/>
                <w:lang w:val="en-US" w:eastAsia="zh-CN"/>
              </w:rPr>
              <w:t>8</w:t>
            </w:r>
            <w:r>
              <w:rPr>
                <w:rFonts w:hint="default" w:ascii="Times New Roman" w:hAnsi="Times New Roman" w:eastAsia="仿宋" w:cs="Times New Roman"/>
                <w:color w:val="auto"/>
                <w:sz w:val="24"/>
                <w:szCs w:val="24"/>
                <w:lang w:val="en-US" w:eastAsia="zh-CN"/>
              </w:rPr>
              <w:t>）产生。</w:t>
            </w:r>
          </w:p>
          <w:p w14:paraId="751560A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水压测试</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kern w:val="0"/>
                <w:sz w:val="24"/>
                <w:szCs w:val="24"/>
                <w:lang w:val="en-US" w:eastAsia="zh-CN" w:bidi="ar"/>
              </w:rPr>
              <w:t>向成品内部注入水达到规定压力并保持一段时间，检测其耐压性能，</w:t>
            </w:r>
            <w:r>
              <w:rPr>
                <w:rFonts w:hint="default" w:ascii="Times New Roman" w:hAnsi="Times New Roman" w:eastAsia="仿宋" w:cs="Times New Roman"/>
                <w:color w:val="auto"/>
                <w:sz w:val="24"/>
                <w:szCs w:val="24"/>
                <w:lang w:val="en-US" w:eastAsia="zh-CN"/>
              </w:rPr>
              <w:t>测试水</w:t>
            </w:r>
            <w:r>
              <w:rPr>
                <w:rFonts w:hint="eastAsia" w:eastAsia="仿宋" w:cs="Times New Roman"/>
                <w:color w:val="auto"/>
                <w:sz w:val="24"/>
                <w:szCs w:val="24"/>
                <w:lang w:val="en-US" w:eastAsia="zh-CN"/>
              </w:rPr>
              <w:t>定期更换产生</w:t>
            </w:r>
            <w:r>
              <w:rPr>
                <w:rFonts w:hint="eastAsia" w:ascii="Times New Roman" w:hAnsi="Times New Roman" w:eastAsia="仿宋" w:cs="Times New Roman"/>
                <w:b w:val="0"/>
                <w:bCs w:val="0"/>
                <w:color w:val="auto"/>
                <w:sz w:val="24"/>
                <w:highlight w:val="none"/>
                <w:lang w:val="en-US" w:eastAsia="zh-CN"/>
              </w:rPr>
              <w:t>试漏废液</w:t>
            </w:r>
            <w:r>
              <w:rPr>
                <w:rFonts w:hint="default" w:ascii="Times New Roman" w:hAnsi="Times New Roman" w:eastAsia="仿宋" w:cs="Times New Roman"/>
                <w:color w:val="auto"/>
                <w:sz w:val="24"/>
                <w:szCs w:val="24"/>
                <w:lang w:val="en-US" w:eastAsia="zh-CN"/>
              </w:rPr>
              <w:t>（S</w:t>
            </w:r>
            <w:r>
              <w:rPr>
                <w:rFonts w:hint="eastAsia" w:eastAsia="仿宋" w:cs="Times New Roman"/>
                <w:color w:val="auto"/>
                <w:sz w:val="24"/>
                <w:szCs w:val="24"/>
                <w:lang w:val="en-US" w:eastAsia="zh-CN"/>
              </w:rPr>
              <w:t>7</w:t>
            </w:r>
            <w:r>
              <w:rPr>
                <w:rFonts w:hint="default" w:ascii="Times New Roman" w:hAnsi="Times New Roman" w:eastAsia="仿宋" w:cs="Times New Roman"/>
                <w:color w:val="auto"/>
                <w:sz w:val="24"/>
                <w:szCs w:val="24"/>
                <w:lang w:val="en-US" w:eastAsia="zh-CN"/>
              </w:rPr>
              <w:t>）。少量不合格品返回焊接工序进行补焊作业，补焊废气纳入焊接废气</w:t>
            </w:r>
            <w:r>
              <w:rPr>
                <w:rFonts w:hint="eastAsia" w:eastAsia="仿宋" w:cs="Times New Roman"/>
                <w:color w:val="auto"/>
                <w:sz w:val="24"/>
                <w:szCs w:val="24"/>
                <w:lang w:val="en-US" w:eastAsia="zh-CN"/>
              </w:rPr>
              <w:t>计算</w:t>
            </w:r>
            <w:r>
              <w:rPr>
                <w:rFonts w:hint="default" w:ascii="Times New Roman" w:hAnsi="Times New Roman" w:eastAsia="仿宋" w:cs="Times New Roman"/>
                <w:color w:val="auto"/>
                <w:sz w:val="24"/>
                <w:szCs w:val="24"/>
                <w:lang w:val="en-US" w:eastAsia="zh-CN"/>
              </w:rPr>
              <w:t>，不单独进行核算。</w:t>
            </w:r>
          </w:p>
          <w:p w14:paraId="2B29F8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szCs w:val="24"/>
              </w:rPr>
            </w:pPr>
            <w:r>
              <w:rPr>
                <w:rFonts w:hint="eastAsia" w:eastAsia="仿宋" w:cs="Times New Roman"/>
                <w:color w:val="auto"/>
                <w:sz w:val="24"/>
                <w:lang w:val="en-US" w:eastAsia="zh-CN"/>
              </w:rPr>
              <w:t>包装入库</w:t>
            </w:r>
            <w:r>
              <w:rPr>
                <w:rFonts w:hint="eastAsia" w:ascii="Times New Roman" w:hAnsi="Times New Roman" w:eastAsia="仿宋" w:cs="Times New Roman"/>
                <w:color w:val="auto"/>
                <w:sz w:val="24"/>
                <w:lang w:val="en-US" w:eastAsia="zh-CN"/>
              </w:rPr>
              <w:t>：</w:t>
            </w:r>
            <w:r>
              <w:rPr>
                <w:rFonts w:hint="default" w:ascii="Times New Roman" w:hAnsi="Times New Roman" w:eastAsia="仿宋" w:cs="Times New Roman"/>
                <w:color w:val="auto"/>
                <w:sz w:val="24"/>
                <w:szCs w:val="24"/>
                <w:lang w:val="en-US" w:eastAsia="zh-CN"/>
              </w:rPr>
              <w:t>测试合格的</w:t>
            </w:r>
            <w:r>
              <w:rPr>
                <w:rFonts w:hint="eastAsia" w:ascii="Times New Roman" w:hAnsi="Times New Roman" w:eastAsia="仿宋" w:cs="Times New Roman"/>
                <w:color w:val="auto"/>
                <w:sz w:val="24"/>
                <w:szCs w:val="24"/>
                <w:lang w:val="en-US" w:eastAsia="zh-CN"/>
              </w:rPr>
              <w:t>成品</w:t>
            </w:r>
            <w:r>
              <w:rPr>
                <w:rFonts w:hint="eastAsia" w:eastAsia="仿宋" w:cs="Times New Roman"/>
                <w:color w:val="auto"/>
                <w:sz w:val="24"/>
                <w:szCs w:val="24"/>
                <w:lang w:val="en-US" w:eastAsia="zh-CN"/>
              </w:rPr>
              <w:t>包装入库暂存</w:t>
            </w:r>
            <w:r>
              <w:rPr>
                <w:rFonts w:hint="default" w:ascii="Times New Roman" w:hAnsi="Times New Roman" w:eastAsia="仿宋" w:cs="Times New Roman"/>
                <w:color w:val="auto"/>
                <w:sz w:val="24"/>
                <w:szCs w:val="24"/>
              </w:rPr>
              <w:t>。</w:t>
            </w:r>
          </w:p>
          <w:p w14:paraId="1C0EE8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eastAsia="仿宋" w:cs="Times New Roman"/>
                <w:color w:val="auto"/>
                <w:sz w:val="24"/>
                <w:szCs w:val="24"/>
                <w:lang w:val="en-US" w:eastAsia="zh-CN"/>
              </w:rPr>
            </w:pPr>
          </w:p>
        </w:tc>
      </w:tr>
      <w:tr w14:paraId="40C6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0" w:hRule="atLeast"/>
        </w:trPr>
        <w:tc>
          <w:tcPr>
            <w:tcW w:w="448" w:type="dxa"/>
            <w:vAlign w:val="center"/>
          </w:tcPr>
          <w:p w14:paraId="1F27DC0D">
            <w:pPr>
              <w:pStyle w:val="22"/>
              <w:keepNext w:val="0"/>
              <w:keepLines w:val="0"/>
              <w:pageBreakBefore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Cs w:val="24"/>
              </w:rPr>
              <w:t>与项目有关的原有环境污染问题</w:t>
            </w:r>
          </w:p>
        </w:tc>
        <w:tc>
          <w:tcPr>
            <w:tcW w:w="8612" w:type="dxa"/>
          </w:tcPr>
          <w:p w14:paraId="1080B7C3">
            <w:pPr>
              <w:keepNext w:val="0"/>
              <w:keepLines w:val="0"/>
              <w:pageBreakBefore w:val="0"/>
              <w:kinsoku/>
              <w:wordWrap/>
              <w:overflowPunct/>
              <w:topLinePunct w:val="0"/>
              <w:autoSpaceDE/>
              <w:autoSpaceDN/>
              <w:bidi w:val="0"/>
              <w:adjustRightInd w:val="0"/>
              <w:snapToGrid w:val="0"/>
              <w:spacing w:line="360" w:lineRule="auto"/>
              <w:ind w:right="0"/>
              <w:jc w:val="left"/>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val="en-US" w:eastAsia="zh-CN"/>
              </w:rPr>
              <w:t>一</w:t>
            </w:r>
            <w:r>
              <w:rPr>
                <w:rFonts w:hint="default" w:ascii="Times New Roman" w:hAnsi="Times New Roman" w:eastAsia="仿宋" w:cs="Times New Roman"/>
                <w:b/>
                <w:color w:val="auto"/>
                <w:sz w:val="24"/>
              </w:rPr>
              <w:t>、</w:t>
            </w:r>
            <w:r>
              <w:rPr>
                <w:rFonts w:hint="default" w:ascii="Times New Roman" w:hAnsi="Times New Roman" w:eastAsia="仿宋" w:cs="Times New Roman"/>
                <w:b/>
                <w:bCs/>
                <w:color w:val="auto"/>
                <w:sz w:val="24"/>
                <w:szCs w:val="24"/>
              </w:rPr>
              <w:t>现有项目基本情况及环保手续履行情况</w:t>
            </w:r>
          </w:p>
          <w:p w14:paraId="4010B908">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1、公司原有环保手续情况</w:t>
            </w:r>
          </w:p>
          <w:p w14:paraId="37A0969A">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常州四杰机械科技有限公司于2017年5月申报“新建太阳能铸锭炉与质子医疗仪的制造项目”并于2017年6月12日取得常州市金坛区环境保护局审批意见（坛环审</w:t>
            </w:r>
            <w:r>
              <w:rPr>
                <w:rFonts w:hint="eastAsia" w:eastAsia="仿宋" w:cs="Times New Roman"/>
                <w:color w:val="auto"/>
                <w:sz w:val="24"/>
                <w:lang w:val="en-US" w:eastAsia="zh-CN"/>
              </w:rPr>
              <w:t>〔2017〕39号</w:t>
            </w:r>
            <w:r>
              <w:rPr>
                <w:rFonts w:hint="default" w:ascii="Times New Roman" w:hAnsi="Times New Roman" w:eastAsia="仿宋" w:cs="Times New Roman"/>
                <w:color w:val="auto"/>
                <w:sz w:val="24"/>
                <w:lang w:val="en-US" w:eastAsia="zh-CN"/>
              </w:rPr>
              <w:t>），于2021年1月通过环境保护“三同时”自主验收。</w:t>
            </w:r>
          </w:p>
          <w:p w14:paraId="26A519C1">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2、排污许可证申领情况</w:t>
            </w:r>
          </w:p>
          <w:p w14:paraId="4BC19247">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企业于2020年5月16日取得了固定污染源排污登记回执，登记证书编号：91320413MA1MQAXY67001W。</w:t>
            </w:r>
          </w:p>
          <w:p w14:paraId="58D39E94">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3、</w:t>
            </w:r>
            <w:r>
              <w:rPr>
                <w:rFonts w:hint="default" w:ascii="Times New Roman" w:hAnsi="Times New Roman" w:eastAsia="仿宋" w:cs="Times New Roman"/>
                <w:color w:val="auto"/>
                <w:sz w:val="24"/>
                <w:lang w:val="en-US" w:eastAsia="zh-CN"/>
              </w:rPr>
              <w:t>突发环境事件应急预案</w:t>
            </w:r>
            <w:r>
              <w:rPr>
                <w:rFonts w:hint="eastAsia" w:ascii="Times New Roman" w:hAnsi="Times New Roman" w:eastAsia="仿宋" w:cs="Times New Roman"/>
                <w:color w:val="auto"/>
                <w:sz w:val="24"/>
                <w:lang w:val="en-US" w:eastAsia="zh-CN"/>
              </w:rPr>
              <w:t>备案情况</w:t>
            </w:r>
          </w:p>
          <w:p w14:paraId="5F66D936">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建设单位已按要求编制《突发环境事件应急预案》并进行备案（备案号：320</w:t>
            </w:r>
            <w:r>
              <w:rPr>
                <w:rFonts w:hint="eastAsia" w:ascii="Times New Roman" w:hAnsi="Times New Roman" w:eastAsia="仿宋" w:cs="Times New Roman"/>
                <w:color w:val="auto"/>
                <w:sz w:val="24"/>
                <w:lang w:val="en-US" w:eastAsia="zh-CN"/>
              </w:rPr>
              <w:t>413</w:t>
            </w:r>
            <w:r>
              <w:rPr>
                <w:rFonts w:hint="default" w:ascii="Times New Roman" w:hAnsi="Times New Roman" w:eastAsia="仿宋" w:cs="Times New Roman"/>
                <w:color w:val="auto"/>
                <w:sz w:val="24"/>
                <w:lang w:val="en-US" w:eastAsia="zh-CN"/>
              </w:rPr>
              <w:t>-202</w:t>
            </w:r>
            <w:r>
              <w:rPr>
                <w:rFonts w:hint="eastAsia" w:ascii="Times New Roman" w:hAnsi="Times New Roman" w:eastAsia="仿宋" w:cs="Times New Roman"/>
                <w:color w:val="auto"/>
                <w:sz w:val="24"/>
                <w:lang w:val="en-US" w:eastAsia="zh-CN"/>
              </w:rPr>
              <w:t>4</w:t>
            </w:r>
            <w:r>
              <w:rPr>
                <w:rFonts w:hint="default" w:ascii="Times New Roman" w:hAnsi="Times New Roman" w:eastAsia="仿宋" w:cs="Times New Roman"/>
                <w:color w:val="auto"/>
                <w:sz w:val="24"/>
                <w:lang w:val="en-US" w:eastAsia="zh-CN"/>
              </w:rPr>
              <w:t>-</w:t>
            </w:r>
            <w:r>
              <w:rPr>
                <w:rFonts w:hint="eastAsia" w:ascii="Times New Roman" w:hAnsi="Times New Roman" w:eastAsia="仿宋" w:cs="Times New Roman"/>
                <w:color w:val="auto"/>
                <w:sz w:val="24"/>
                <w:lang w:val="en-US" w:eastAsia="zh-CN"/>
              </w:rPr>
              <w:t>119</w:t>
            </w:r>
            <w:r>
              <w:rPr>
                <w:rFonts w:hint="default" w:ascii="Times New Roman" w:hAnsi="Times New Roman" w:eastAsia="仿宋" w:cs="Times New Roman"/>
                <w:color w:val="auto"/>
                <w:sz w:val="24"/>
                <w:lang w:val="en-US" w:eastAsia="zh-CN"/>
              </w:rPr>
              <w:t>L）。</w:t>
            </w:r>
          </w:p>
          <w:p w14:paraId="7C915B09">
            <w:pPr>
              <w:keepNext w:val="0"/>
              <w:keepLines w:val="0"/>
              <w:pageBreakBefore w:val="0"/>
              <w:widowControl w:val="0"/>
              <w:kinsoku/>
              <w:wordWrap/>
              <w:overflowPunct/>
              <w:topLinePunct w:val="0"/>
              <w:autoSpaceDE/>
              <w:autoSpaceDN/>
              <w:bidi w:val="0"/>
              <w:adjustRightInd w:val="0"/>
              <w:snapToGrid w:val="0"/>
              <w:spacing w:before="95" w:beforeLines="30" w:line="240" w:lineRule="auto"/>
              <w:ind w:left="0" w:right="0"/>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表2-</w:t>
            </w:r>
            <w:r>
              <w:rPr>
                <w:rFonts w:hint="default" w:ascii="Times New Roman" w:hAnsi="Times New Roman" w:eastAsia="仿宋" w:cs="Times New Roman"/>
                <w:b/>
                <w:bCs/>
                <w:color w:val="auto"/>
                <w:szCs w:val="21"/>
                <w:lang w:val="en-US" w:eastAsia="zh-CN"/>
              </w:rPr>
              <w:t xml:space="preserve">9  </w:t>
            </w:r>
            <w:r>
              <w:rPr>
                <w:rFonts w:hint="default" w:ascii="Times New Roman" w:hAnsi="Times New Roman" w:eastAsia="仿宋" w:cs="Times New Roman"/>
                <w:b/>
                <w:bCs/>
                <w:color w:val="auto"/>
                <w:szCs w:val="21"/>
              </w:rPr>
              <w:t>原有项目</w:t>
            </w:r>
            <w:r>
              <w:rPr>
                <w:rFonts w:hint="default" w:ascii="Times New Roman" w:hAnsi="Times New Roman" w:eastAsia="仿宋" w:cs="Times New Roman"/>
                <w:b/>
                <w:bCs/>
                <w:color w:val="auto"/>
                <w:szCs w:val="21"/>
                <w:lang w:val="en-US" w:eastAsia="zh-CN"/>
              </w:rPr>
              <w:t>环保</w:t>
            </w:r>
            <w:r>
              <w:rPr>
                <w:rFonts w:hint="default" w:ascii="Times New Roman" w:hAnsi="Times New Roman" w:eastAsia="仿宋" w:cs="Times New Roman"/>
                <w:b/>
                <w:bCs/>
                <w:color w:val="auto"/>
                <w:szCs w:val="21"/>
              </w:rPr>
              <w:t>手续履行情况</w:t>
            </w:r>
          </w:p>
          <w:tbl>
            <w:tblPr>
              <w:tblStyle w:val="27"/>
              <w:tblW w:w="495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47"/>
              <w:gridCol w:w="1789"/>
              <w:gridCol w:w="2489"/>
              <w:gridCol w:w="2112"/>
              <w:gridCol w:w="1375"/>
            </w:tblGrid>
            <w:tr w14:paraId="3CD2D2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Align w:val="center"/>
                </w:tcPr>
                <w:p w14:paraId="77C7BAE2">
                  <w:pPr>
                    <w:keepNext w:val="0"/>
                    <w:keepLines w:val="0"/>
                    <w:pageBreakBefore w:val="0"/>
                    <w:widowControl/>
                    <w:kinsoku/>
                    <w:wordWrap/>
                    <w:overflowPunct/>
                    <w:topLinePunct w:val="0"/>
                    <w:bidi w:val="0"/>
                    <w:adjustRightInd w:val="0"/>
                    <w:snapToGrid w:val="0"/>
                    <w:ind w:left="0" w:right="0"/>
                    <w:contextualSpacing/>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序号</w:t>
                  </w:r>
                </w:p>
              </w:tc>
              <w:tc>
                <w:tcPr>
                  <w:tcW w:w="1076" w:type="pct"/>
                  <w:vAlign w:val="center"/>
                </w:tcPr>
                <w:p w14:paraId="19A75C04">
                  <w:pPr>
                    <w:keepNext w:val="0"/>
                    <w:keepLines w:val="0"/>
                    <w:pageBreakBefore w:val="0"/>
                    <w:kinsoku/>
                    <w:wordWrap/>
                    <w:overflowPunct/>
                    <w:topLinePunct w:val="0"/>
                    <w:bidi w:val="0"/>
                    <w:adjustRightInd w:val="0"/>
                    <w:snapToGrid w:val="0"/>
                    <w:ind w:left="0" w:right="0"/>
                    <w:contextualSpacing/>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项目名称</w:t>
                  </w:r>
                </w:p>
              </w:tc>
              <w:tc>
                <w:tcPr>
                  <w:tcW w:w="1497" w:type="pct"/>
                  <w:vAlign w:val="center"/>
                </w:tcPr>
                <w:p w14:paraId="183A5B58">
                  <w:pPr>
                    <w:keepNext w:val="0"/>
                    <w:keepLines w:val="0"/>
                    <w:pageBreakBefore w:val="0"/>
                    <w:widowControl/>
                    <w:kinsoku/>
                    <w:wordWrap/>
                    <w:overflowPunct/>
                    <w:topLinePunct w:val="0"/>
                    <w:bidi w:val="0"/>
                    <w:adjustRightInd w:val="0"/>
                    <w:snapToGrid w:val="0"/>
                    <w:ind w:left="0" w:right="0"/>
                    <w:contextualSpacing/>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审批部门、文号及时间</w:t>
                  </w:r>
                </w:p>
              </w:tc>
              <w:tc>
                <w:tcPr>
                  <w:tcW w:w="1270" w:type="pct"/>
                  <w:vAlign w:val="center"/>
                </w:tcPr>
                <w:p w14:paraId="36B91025">
                  <w:pPr>
                    <w:keepNext w:val="0"/>
                    <w:keepLines w:val="0"/>
                    <w:pageBreakBefore w:val="0"/>
                    <w:widowControl/>
                    <w:kinsoku/>
                    <w:wordWrap/>
                    <w:overflowPunct/>
                    <w:topLinePunct w:val="0"/>
                    <w:bidi w:val="0"/>
                    <w:adjustRightInd w:val="0"/>
                    <w:snapToGrid w:val="0"/>
                    <w:ind w:left="0" w:right="0"/>
                    <w:contextualSpacing/>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验收部门及时间</w:t>
                  </w:r>
                </w:p>
              </w:tc>
              <w:tc>
                <w:tcPr>
                  <w:tcW w:w="826" w:type="pct"/>
                  <w:vAlign w:val="center"/>
                </w:tcPr>
                <w:p w14:paraId="0139D38A">
                  <w:pPr>
                    <w:keepNext w:val="0"/>
                    <w:keepLines w:val="0"/>
                    <w:pageBreakBefore w:val="0"/>
                    <w:widowControl/>
                    <w:kinsoku/>
                    <w:wordWrap/>
                    <w:overflowPunct/>
                    <w:topLinePunct w:val="0"/>
                    <w:bidi w:val="0"/>
                    <w:adjustRightInd w:val="0"/>
                    <w:snapToGrid w:val="0"/>
                    <w:ind w:left="0" w:right="0"/>
                    <w:contextualSpacing/>
                    <w:jc w:val="center"/>
                    <w:rPr>
                      <w:rFonts w:hint="default" w:ascii="Times New Roman" w:hAnsi="Times New Roman" w:eastAsia="仿宋" w:cs="Times New Roman"/>
                      <w:b/>
                      <w:bCs/>
                      <w:color w:val="auto"/>
                      <w:kern w:val="0"/>
                      <w:szCs w:val="21"/>
                      <w:lang w:val="en-US" w:eastAsia="zh-CN"/>
                    </w:rPr>
                  </w:pPr>
                  <w:r>
                    <w:rPr>
                      <w:rFonts w:hint="default" w:ascii="Times New Roman" w:hAnsi="Times New Roman" w:eastAsia="仿宋" w:cs="Times New Roman"/>
                      <w:b/>
                      <w:bCs/>
                      <w:color w:val="auto"/>
                      <w:kern w:val="0"/>
                      <w:szCs w:val="21"/>
                      <w:lang w:val="en-US" w:eastAsia="zh-CN"/>
                    </w:rPr>
                    <w:t>验收产能</w:t>
                  </w:r>
                </w:p>
              </w:tc>
            </w:tr>
            <w:tr w14:paraId="621BD5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Align w:val="center"/>
                </w:tcPr>
                <w:p w14:paraId="4AF06177">
                  <w:pPr>
                    <w:keepNext w:val="0"/>
                    <w:keepLines w:val="0"/>
                    <w:pageBreakBefore w:val="0"/>
                    <w:widowControl/>
                    <w:kinsoku/>
                    <w:wordWrap/>
                    <w:overflowPunct/>
                    <w:topLinePunct w:val="0"/>
                    <w:bidi w:val="0"/>
                    <w:adjustRightInd w:val="0"/>
                    <w:snapToGrid w:val="0"/>
                    <w:ind w:left="0" w:right="0"/>
                    <w:contextualSpacing/>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bCs/>
                      <w:color w:val="auto"/>
                      <w:szCs w:val="21"/>
                    </w:rPr>
                    <w:t>1</w:t>
                  </w:r>
                </w:p>
              </w:tc>
              <w:tc>
                <w:tcPr>
                  <w:tcW w:w="1076" w:type="pct"/>
                  <w:vAlign w:val="center"/>
                </w:tcPr>
                <w:p w14:paraId="51C0AE05">
                  <w:pPr>
                    <w:keepNext w:val="0"/>
                    <w:keepLines w:val="0"/>
                    <w:pageBreakBefore w:val="0"/>
                    <w:kinsoku/>
                    <w:wordWrap/>
                    <w:overflowPunct/>
                    <w:topLinePunct w:val="0"/>
                    <w:bidi w:val="0"/>
                    <w:adjustRightInd w:val="0"/>
                    <w:snapToGrid w:val="0"/>
                    <w:ind w:left="0" w:right="0"/>
                    <w:contextualSpacing/>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sz w:val="21"/>
                      <w:szCs w:val="21"/>
                      <w:lang w:val="en-US" w:eastAsia="zh-CN"/>
                    </w:rPr>
                    <w:t>新建太阳能铸锭炉与质子医疗仪的制造项目环境影响报告表</w:t>
                  </w:r>
                </w:p>
              </w:tc>
              <w:tc>
                <w:tcPr>
                  <w:tcW w:w="1497" w:type="pct"/>
                  <w:vAlign w:val="center"/>
                </w:tcPr>
                <w:p w14:paraId="79325DB7">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常州市金坛区环境保护局</w:t>
                  </w:r>
                </w:p>
                <w:p w14:paraId="20FECBE2">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坛环</w:t>
                  </w:r>
                  <w:r>
                    <w:rPr>
                      <w:rFonts w:hint="eastAsia" w:eastAsia="仿宋" w:cs="Times New Roman"/>
                      <w:color w:val="auto"/>
                      <w:sz w:val="21"/>
                      <w:szCs w:val="21"/>
                      <w:lang w:val="en-US" w:eastAsia="zh-CN"/>
                    </w:rPr>
                    <w:t>〔2017〕39号</w:t>
                  </w:r>
                </w:p>
                <w:p w14:paraId="69963CE7">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Cs/>
                      <w:color w:val="auto"/>
                      <w:sz w:val="21"/>
                      <w:szCs w:val="21"/>
                      <w:lang w:eastAsia="zh-CN"/>
                    </w:rPr>
                  </w:pPr>
                  <w:r>
                    <w:rPr>
                      <w:rFonts w:hint="default" w:ascii="Times New Roman" w:hAnsi="Times New Roman" w:eastAsia="仿宋" w:cs="Times New Roman"/>
                      <w:color w:val="auto"/>
                      <w:sz w:val="21"/>
                      <w:szCs w:val="21"/>
                      <w:lang w:val="en-US" w:eastAsia="zh-CN"/>
                    </w:rPr>
                    <w:t>2017年6月12日</w:t>
                  </w:r>
                </w:p>
              </w:tc>
              <w:tc>
                <w:tcPr>
                  <w:tcW w:w="1270" w:type="pct"/>
                  <w:vAlign w:val="center"/>
                </w:tcPr>
                <w:p w14:paraId="4574D095">
                  <w:pPr>
                    <w:keepNext w:val="0"/>
                    <w:keepLines w:val="0"/>
                    <w:pageBreakBefore w:val="0"/>
                    <w:widowControl/>
                    <w:kinsoku/>
                    <w:wordWrap/>
                    <w:overflowPunct/>
                    <w:topLinePunct w:val="0"/>
                    <w:bidi w:val="0"/>
                    <w:adjustRightInd w:val="0"/>
                    <w:snapToGrid w:val="0"/>
                    <w:ind w:left="0" w:right="0"/>
                    <w:contextualSpacing/>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自主验收</w:t>
                  </w:r>
                </w:p>
                <w:p w14:paraId="2EA7351E">
                  <w:pPr>
                    <w:keepNext w:val="0"/>
                    <w:keepLines w:val="0"/>
                    <w:pageBreakBefore w:val="0"/>
                    <w:widowControl/>
                    <w:kinsoku/>
                    <w:wordWrap/>
                    <w:overflowPunct/>
                    <w:topLinePunct w:val="0"/>
                    <w:bidi w:val="0"/>
                    <w:adjustRightInd w:val="0"/>
                    <w:snapToGrid w:val="0"/>
                    <w:ind w:left="0" w:right="0"/>
                    <w:contextualSpacing/>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Cs/>
                      <w:color w:val="auto"/>
                      <w:sz w:val="21"/>
                      <w:szCs w:val="21"/>
                      <w:lang w:eastAsia="zh-CN"/>
                    </w:rPr>
                    <w:t>20</w:t>
                  </w:r>
                  <w:r>
                    <w:rPr>
                      <w:rFonts w:hint="default" w:ascii="Times New Roman" w:hAnsi="Times New Roman" w:eastAsia="仿宋" w:cs="Times New Roman"/>
                      <w:bCs/>
                      <w:color w:val="auto"/>
                      <w:sz w:val="21"/>
                      <w:szCs w:val="21"/>
                      <w:lang w:val="en-US" w:eastAsia="zh-CN"/>
                    </w:rPr>
                    <w:t>21</w:t>
                  </w:r>
                  <w:r>
                    <w:rPr>
                      <w:rFonts w:hint="default" w:ascii="Times New Roman" w:hAnsi="Times New Roman" w:eastAsia="仿宋" w:cs="Times New Roman"/>
                      <w:bCs/>
                      <w:color w:val="auto"/>
                      <w:sz w:val="21"/>
                      <w:szCs w:val="21"/>
                      <w:lang w:eastAsia="zh-CN"/>
                    </w:rPr>
                    <w:t>年</w:t>
                  </w:r>
                  <w:r>
                    <w:rPr>
                      <w:rFonts w:hint="default" w:ascii="Times New Roman" w:hAnsi="Times New Roman" w:eastAsia="仿宋" w:cs="Times New Roman"/>
                      <w:bCs/>
                      <w:color w:val="auto"/>
                      <w:sz w:val="21"/>
                      <w:szCs w:val="21"/>
                      <w:lang w:val="en-US" w:eastAsia="zh-CN"/>
                    </w:rPr>
                    <w:t>1</w:t>
                  </w:r>
                  <w:r>
                    <w:rPr>
                      <w:rFonts w:hint="default" w:ascii="Times New Roman" w:hAnsi="Times New Roman" w:eastAsia="仿宋" w:cs="Times New Roman"/>
                      <w:bCs/>
                      <w:color w:val="auto"/>
                      <w:sz w:val="21"/>
                      <w:szCs w:val="21"/>
                      <w:lang w:eastAsia="zh-CN"/>
                    </w:rPr>
                    <w:t>月</w:t>
                  </w:r>
                </w:p>
              </w:tc>
              <w:tc>
                <w:tcPr>
                  <w:tcW w:w="826" w:type="pct"/>
                  <w:vAlign w:val="center"/>
                </w:tcPr>
                <w:p w14:paraId="728047CC">
                  <w:pPr>
                    <w:keepNext w:val="0"/>
                    <w:keepLines w:val="0"/>
                    <w:pageBreakBefore w:val="0"/>
                    <w:widowControl/>
                    <w:kinsoku/>
                    <w:wordWrap/>
                    <w:overflowPunct/>
                    <w:topLinePunct w:val="0"/>
                    <w:bidi w:val="0"/>
                    <w:adjustRightInd w:val="0"/>
                    <w:snapToGrid w:val="0"/>
                    <w:ind w:left="0" w:right="0"/>
                    <w:contextualSpacing/>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color w:val="auto"/>
                      <w:sz w:val="21"/>
                      <w:szCs w:val="21"/>
                      <w:lang w:val="en-US" w:eastAsia="zh-CN"/>
                    </w:rPr>
                    <w:t>年产太阳能铸锭炉330台</w:t>
                  </w:r>
                  <w:r>
                    <w:rPr>
                      <w:rFonts w:hint="default" w:ascii="Times New Roman" w:hAnsi="Times New Roman" w:eastAsia="仿宋" w:cs="Times New Roman"/>
                      <w:color w:val="auto"/>
                      <w:sz w:val="21"/>
                      <w:szCs w:val="21"/>
                      <w:highlight w:val="none"/>
                      <w:lang w:val="en-US" w:eastAsia="zh-CN"/>
                    </w:rPr>
                    <w:t>、质子医疗仪器2台</w:t>
                  </w:r>
                </w:p>
              </w:tc>
            </w:tr>
            <w:tr w14:paraId="7B9499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Align w:val="center"/>
                </w:tcPr>
                <w:p w14:paraId="13432B9B">
                  <w:pPr>
                    <w:keepNext w:val="0"/>
                    <w:keepLines w:val="0"/>
                    <w:pageBreakBefore w:val="0"/>
                    <w:widowControl/>
                    <w:kinsoku/>
                    <w:wordWrap/>
                    <w:overflowPunct/>
                    <w:topLinePunct w:val="0"/>
                    <w:bidi w:val="0"/>
                    <w:adjustRightInd w:val="0"/>
                    <w:snapToGrid w:val="0"/>
                    <w:ind w:left="0" w:right="0"/>
                    <w:contextualSpacing/>
                    <w:jc w:val="center"/>
                    <w:rPr>
                      <w:rFonts w:hint="default" w:ascii="Times New Roman" w:hAnsi="Times New Roman" w:eastAsia="仿宋" w:cs="Times New Roman"/>
                      <w:bCs/>
                      <w:color w:val="auto"/>
                      <w:szCs w:val="21"/>
                      <w:lang w:eastAsia="zh-CN"/>
                    </w:rPr>
                  </w:pPr>
                  <w:r>
                    <w:rPr>
                      <w:rFonts w:hint="default" w:ascii="Times New Roman" w:hAnsi="Times New Roman" w:eastAsia="仿宋" w:cs="Times New Roman"/>
                      <w:bCs/>
                      <w:color w:val="auto"/>
                      <w:szCs w:val="21"/>
                      <w:lang w:val="en-US" w:eastAsia="zh-CN"/>
                    </w:rPr>
                    <w:t>2</w:t>
                  </w:r>
                </w:p>
              </w:tc>
              <w:tc>
                <w:tcPr>
                  <w:tcW w:w="1076" w:type="pct"/>
                  <w:vAlign w:val="center"/>
                </w:tcPr>
                <w:p w14:paraId="05D11E8F">
                  <w:pPr>
                    <w:keepNext w:val="0"/>
                    <w:keepLines w:val="0"/>
                    <w:pageBreakBefore w:val="0"/>
                    <w:kinsoku/>
                    <w:wordWrap/>
                    <w:overflowPunct/>
                    <w:topLinePunct w:val="0"/>
                    <w:bidi w:val="0"/>
                    <w:adjustRightInd w:val="0"/>
                    <w:snapToGrid w:val="0"/>
                    <w:ind w:left="0" w:right="0"/>
                    <w:contextualSpacing/>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排污</w:t>
                  </w:r>
                  <w:r>
                    <w:rPr>
                      <w:rFonts w:hint="default" w:ascii="Times New Roman" w:hAnsi="Times New Roman" w:eastAsia="仿宋" w:cs="Times New Roman"/>
                      <w:color w:val="auto"/>
                      <w:sz w:val="24"/>
                      <w:lang w:val="en-US" w:eastAsia="zh-CN"/>
                    </w:rPr>
                    <w:t>登记</w:t>
                  </w:r>
                </w:p>
              </w:tc>
              <w:tc>
                <w:tcPr>
                  <w:tcW w:w="3594" w:type="pct"/>
                  <w:gridSpan w:val="3"/>
                  <w:vAlign w:val="center"/>
                </w:tcPr>
                <w:p w14:paraId="08136D87">
                  <w:pPr>
                    <w:keepNext w:val="0"/>
                    <w:keepLines w:val="0"/>
                    <w:pageBreakBefore w:val="0"/>
                    <w:kinsoku/>
                    <w:wordWrap/>
                    <w:overflowPunct/>
                    <w:topLinePunct w:val="0"/>
                    <w:bidi w:val="0"/>
                    <w:adjustRightInd w:val="0"/>
                    <w:snapToGrid w:val="0"/>
                    <w:ind w:left="0" w:right="0"/>
                    <w:contextualSpacing/>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常州市生态环境局</w:t>
                  </w:r>
                </w:p>
                <w:p w14:paraId="02BD7E77">
                  <w:pPr>
                    <w:keepNext w:val="0"/>
                    <w:keepLines w:val="0"/>
                    <w:pageBreakBefore w:val="0"/>
                    <w:kinsoku/>
                    <w:wordWrap/>
                    <w:overflowPunct/>
                    <w:topLinePunct w:val="0"/>
                    <w:bidi w:val="0"/>
                    <w:adjustRightInd w:val="0"/>
                    <w:snapToGrid w:val="0"/>
                    <w:ind w:left="0" w:right="0"/>
                    <w:contextualSpacing/>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证书编号：</w:t>
                  </w:r>
                  <w:r>
                    <w:rPr>
                      <w:rFonts w:hint="default" w:ascii="Times New Roman" w:hAnsi="Times New Roman" w:eastAsia="仿宋" w:cs="Times New Roman"/>
                      <w:color w:val="auto"/>
                      <w:sz w:val="21"/>
                      <w:szCs w:val="21"/>
                      <w:lang w:val="en-US" w:eastAsia="zh-CN"/>
                    </w:rPr>
                    <w:t>91320413MA1MQAXY67001W</w:t>
                  </w:r>
                </w:p>
                <w:p w14:paraId="28BB8B5D">
                  <w:pPr>
                    <w:keepNext w:val="0"/>
                    <w:keepLines w:val="0"/>
                    <w:pageBreakBefore w:val="0"/>
                    <w:kinsoku/>
                    <w:wordWrap/>
                    <w:overflowPunct/>
                    <w:topLinePunct w:val="0"/>
                    <w:bidi w:val="0"/>
                    <w:adjustRightInd w:val="0"/>
                    <w:snapToGrid w:val="0"/>
                    <w:ind w:left="0" w:right="0"/>
                    <w:contextualSpacing/>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kern w:val="0"/>
                      <w:sz w:val="21"/>
                      <w:szCs w:val="21"/>
                    </w:rPr>
                    <w:t>有效期限：202</w:t>
                  </w:r>
                  <w:r>
                    <w:rPr>
                      <w:rFonts w:hint="default" w:ascii="Times New Roman" w:hAnsi="Times New Roman" w:eastAsia="仿宋" w:cs="Times New Roman"/>
                      <w:color w:val="auto"/>
                      <w:kern w:val="0"/>
                      <w:sz w:val="21"/>
                      <w:szCs w:val="21"/>
                      <w:lang w:val="en-US" w:eastAsia="zh-CN"/>
                    </w:rPr>
                    <w:t>0</w:t>
                  </w:r>
                  <w:r>
                    <w:rPr>
                      <w:rFonts w:hint="default" w:ascii="Times New Roman" w:hAnsi="Times New Roman" w:eastAsia="仿宋" w:cs="Times New Roman"/>
                      <w:color w:val="auto"/>
                      <w:kern w:val="0"/>
                      <w:sz w:val="21"/>
                      <w:szCs w:val="21"/>
                    </w:rPr>
                    <w:t>年</w:t>
                  </w:r>
                  <w:r>
                    <w:rPr>
                      <w:rFonts w:hint="default" w:ascii="Times New Roman" w:hAnsi="Times New Roman" w:eastAsia="仿宋" w:cs="Times New Roman"/>
                      <w:color w:val="auto"/>
                      <w:kern w:val="0"/>
                      <w:sz w:val="21"/>
                      <w:szCs w:val="21"/>
                      <w:lang w:val="en-US" w:eastAsia="zh-CN"/>
                    </w:rPr>
                    <w:t>5</w:t>
                  </w:r>
                  <w:r>
                    <w:rPr>
                      <w:rFonts w:hint="default" w:ascii="Times New Roman" w:hAnsi="Times New Roman" w:eastAsia="仿宋" w:cs="Times New Roman"/>
                      <w:color w:val="auto"/>
                      <w:kern w:val="0"/>
                      <w:sz w:val="21"/>
                      <w:szCs w:val="21"/>
                    </w:rPr>
                    <w:t>月</w:t>
                  </w:r>
                  <w:r>
                    <w:rPr>
                      <w:rFonts w:hint="default" w:ascii="Times New Roman" w:hAnsi="Times New Roman" w:eastAsia="仿宋" w:cs="Times New Roman"/>
                      <w:color w:val="auto"/>
                      <w:kern w:val="0"/>
                      <w:sz w:val="21"/>
                      <w:szCs w:val="21"/>
                      <w:lang w:val="en-US" w:eastAsia="zh-CN"/>
                    </w:rPr>
                    <w:t>16</w:t>
                  </w:r>
                  <w:r>
                    <w:rPr>
                      <w:rFonts w:hint="default" w:ascii="Times New Roman" w:hAnsi="Times New Roman" w:eastAsia="仿宋" w:cs="Times New Roman"/>
                      <w:color w:val="auto"/>
                      <w:kern w:val="0"/>
                      <w:sz w:val="21"/>
                      <w:szCs w:val="21"/>
                    </w:rPr>
                    <w:t>日至202</w:t>
                  </w:r>
                  <w:r>
                    <w:rPr>
                      <w:rFonts w:hint="default" w:ascii="Times New Roman" w:hAnsi="Times New Roman" w:eastAsia="仿宋" w:cs="Times New Roman"/>
                      <w:color w:val="auto"/>
                      <w:kern w:val="0"/>
                      <w:sz w:val="21"/>
                      <w:szCs w:val="21"/>
                      <w:lang w:val="en-US" w:eastAsia="zh-CN"/>
                    </w:rPr>
                    <w:t>5</w:t>
                  </w:r>
                  <w:r>
                    <w:rPr>
                      <w:rFonts w:hint="default" w:ascii="Times New Roman" w:hAnsi="Times New Roman" w:eastAsia="仿宋" w:cs="Times New Roman"/>
                      <w:color w:val="auto"/>
                      <w:kern w:val="0"/>
                      <w:sz w:val="21"/>
                      <w:szCs w:val="21"/>
                    </w:rPr>
                    <w:t>年</w:t>
                  </w:r>
                  <w:r>
                    <w:rPr>
                      <w:rFonts w:hint="default" w:ascii="Times New Roman" w:hAnsi="Times New Roman" w:eastAsia="仿宋" w:cs="Times New Roman"/>
                      <w:color w:val="auto"/>
                      <w:kern w:val="0"/>
                      <w:sz w:val="21"/>
                      <w:szCs w:val="21"/>
                      <w:lang w:val="en-US" w:eastAsia="zh-CN"/>
                    </w:rPr>
                    <w:t>4</w:t>
                  </w:r>
                  <w:r>
                    <w:rPr>
                      <w:rFonts w:hint="default" w:ascii="Times New Roman" w:hAnsi="Times New Roman" w:eastAsia="仿宋" w:cs="Times New Roman"/>
                      <w:color w:val="auto"/>
                      <w:kern w:val="0"/>
                      <w:sz w:val="21"/>
                      <w:szCs w:val="21"/>
                    </w:rPr>
                    <w:t>月</w:t>
                  </w:r>
                  <w:r>
                    <w:rPr>
                      <w:rFonts w:hint="default" w:ascii="Times New Roman" w:hAnsi="Times New Roman" w:eastAsia="仿宋" w:cs="Times New Roman"/>
                      <w:color w:val="auto"/>
                      <w:kern w:val="0"/>
                      <w:sz w:val="21"/>
                      <w:szCs w:val="21"/>
                      <w:lang w:val="en-US" w:eastAsia="zh-CN"/>
                    </w:rPr>
                    <w:t>28</w:t>
                  </w:r>
                  <w:r>
                    <w:rPr>
                      <w:rFonts w:hint="default" w:ascii="Times New Roman" w:hAnsi="Times New Roman" w:eastAsia="仿宋" w:cs="Times New Roman"/>
                      <w:color w:val="auto"/>
                      <w:kern w:val="0"/>
                      <w:sz w:val="21"/>
                      <w:szCs w:val="21"/>
                    </w:rPr>
                    <w:t>日止</w:t>
                  </w:r>
                </w:p>
              </w:tc>
            </w:tr>
          </w:tbl>
          <w:p w14:paraId="203550DB">
            <w:pPr>
              <w:keepNext w:val="0"/>
              <w:keepLines w:val="0"/>
              <w:pageBreakBefore w:val="0"/>
              <w:kinsoku/>
              <w:wordWrap/>
              <w:overflowPunct/>
              <w:topLinePunct w:val="0"/>
              <w:bidi w:val="0"/>
              <w:adjustRightInd w:val="0"/>
              <w:snapToGrid w:val="0"/>
              <w:spacing w:line="500" w:lineRule="exact"/>
              <w:ind w:left="0" w:right="0" w:firstLine="480" w:firstLineChars="200"/>
              <w:rPr>
                <w:rFonts w:hint="default" w:ascii="Times New Roman" w:hAnsi="Times New Roman" w:eastAsia="仿宋" w:cs="Times New Roman"/>
                <w:b w:val="0"/>
                <w:bCs/>
                <w:color w:val="auto"/>
                <w:sz w:val="24"/>
                <w:lang w:val="en-US" w:eastAsia="zh-CN"/>
              </w:rPr>
            </w:pPr>
            <w:r>
              <w:rPr>
                <w:rFonts w:hint="eastAsia" w:eastAsia="仿宋" w:cs="Times New Roman"/>
                <w:b w:val="0"/>
                <w:bCs/>
                <w:color w:val="auto"/>
                <w:sz w:val="24"/>
                <w:lang w:val="en-US" w:eastAsia="zh-CN"/>
              </w:rPr>
              <w:t>4</w:t>
            </w:r>
            <w:r>
              <w:rPr>
                <w:rFonts w:hint="default" w:ascii="Times New Roman" w:hAnsi="Times New Roman" w:eastAsia="仿宋" w:cs="Times New Roman"/>
                <w:b w:val="0"/>
                <w:bCs/>
                <w:color w:val="auto"/>
                <w:sz w:val="24"/>
                <w:lang w:val="en-US" w:eastAsia="zh-CN"/>
              </w:rPr>
              <w:t>、现有项目产品方案</w:t>
            </w:r>
          </w:p>
          <w:p w14:paraId="7F771C62">
            <w:pPr>
              <w:keepNext w:val="0"/>
              <w:keepLines w:val="0"/>
              <w:pageBreakBefore w:val="0"/>
              <w:widowControl w:val="0"/>
              <w:kinsoku/>
              <w:wordWrap/>
              <w:overflowPunct/>
              <w:topLinePunct w:val="0"/>
              <w:autoSpaceDE/>
              <w:autoSpaceDN/>
              <w:bidi w:val="0"/>
              <w:adjustRightInd w:val="0"/>
              <w:snapToGrid w:val="0"/>
              <w:spacing w:line="500" w:lineRule="exact"/>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表2-</w:t>
            </w:r>
            <w:r>
              <w:rPr>
                <w:rFonts w:hint="default" w:ascii="Times New Roman" w:hAnsi="Times New Roman" w:eastAsia="仿宋" w:cs="Times New Roman"/>
                <w:b/>
                <w:bCs/>
                <w:color w:val="auto"/>
                <w:sz w:val="21"/>
                <w:szCs w:val="21"/>
                <w:highlight w:val="none"/>
                <w:lang w:val="en-US" w:eastAsia="zh-CN"/>
              </w:rPr>
              <w:t>10 现有</w:t>
            </w:r>
            <w:r>
              <w:rPr>
                <w:rFonts w:hint="default" w:ascii="Times New Roman" w:hAnsi="Times New Roman" w:eastAsia="仿宋" w:cs="Times New Roman"/>
                <w:b/>
                <w:bCs/>
                <w:color w:val="auto"/>
                <w:sz w:val="21"/>
                <w:szCs w:val="21"/>
                <w:highlight w:val="none"/>
              </w:rPr>
              <w:t>项目产品方案一览表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33"/>
              <w:gridCol w:w="1933"/>
              <w:gridCol w:w="1939"/>
              <w:gridCol w:w="1940"/>
            </w:tblGrid>
            <w:tr w14:paraId="2BDB36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Align w:val="center"/>
                </w:tcPr>
                <w:p w14:paraId="13920D8D">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1151" w:type="pct"/>
                  <w:vAlign w:val="center"/>
                </w:tcPr>
                <w:p w14:paraId="4E01F10E">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产品名称</w:t>
                  </w:r>
                </w:p>
              </w:tc>
              <w:tc>
                <w:tcPr>
                  <w:tcW w:w="1151" w:type="pct"/>
                  <w:vAlign w:val="center"/>
                </w:tcPr>
                <w:p w14:paraId="2C03FAB9">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设计</w:t>
                  </w:r>
                  <w:r>
                    <w:rPr>
                      <w:rFonts w:hint="default" w:ascii="Times New Roman" w:hAnsi="Times New Roman" w:eastAsia="仿宋" w:cs="Times New Roman"/>
                      <w:b/>
                      <w:bCs/>
                      <w:color w:val="auto"/>
                      <w:sz w:val="21"/>
                      <w:szCs w:val="21"/>
                    </w:rPr>
                    <w:t>生产能力</w:t>
                  </w:r>
                </w:p>
              </w:tc>
              <w:tc>
                <w:tcPr>
                  <w:tcW w:w="1155" w:type="pct"/>
                  <w:vAlign w:val="center"/>
                </w:tcPr>
                <w:p w14:paraId="4E317B34">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实际</w:t>
                  </w:r>
                  <w:r>
                    <w:rPr>
                      <w:rFonts w:hint="default" w:ascii="Times New Roman" w:hAnsi="Times New Roman" w:eastAsia="仿宋" w:cs="Times New Roman"/>
                      <w:b/>
                      <w:bCs/>
                      <w:color w:val="auto"/>
                      <w:sz w:val="21"/>
                      <w:szCs w:val="21"/>
                    </w:rPr>
                    <w:t>生产</w:t>
                  </w:r>
                  <w:r>
                    <w:rPr>
                      <w:rFonts w:hint="default" w:ascii="Times New Roman" w:hAnsi="Times New Roman" w:eastAsia="仿宋" w:cs="Times New Roman"/>
                      <w:b/>
                      <w:bCs/>
                      <w:color w:val="auto"/>
                      <w:sz w:val="21"/>
                      <w:szCs w:val="21"/>
                      <w:lang w:val="en-US" w:eastAsia="zh-CN"/>
                    </w:rPr>
                    <w:t>情况</w:t>
                  </w:r>
                </w:p>
              </w:tc>
              <w:tc>
                <w:tcPr>
                  <w:tcW w:w="1155" w:type="pct"/>
                  <w:vAlign w:val="center"/>
                </w:tcPr>
                <w:p w14:paraId="347B86F0">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年运行时数h</w:t>
                  </w:r>
                </w:p>
              </w:tc>
            </w:tr>
            <w:tr w14:paraId="58E133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Align w:val="center"/>
                </w:tcPr>
                <w:p w14:paraId="2C027C24">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1151" w:type="pct"/>
                  <w:vAlign w:val="center"/>
                </w:tcPr>
                <w:p w14:paraId="3367437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太阳能铸锭炉</w:t>
                  </w:r>
                </w:p>
              </w:tc>
              <w:tc>
                <w:tcPr>
                  <w:tcW w:w="1151" w:type="pct"/>
                  <w:vAlign w:val="center"/>
                </w:tcPr>
                <w:p w14:paraId="7A4883D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 w:val="21"/>
                      <w:szCs w:val="21"/>
                      <w:lang w:val="en-US" w:eastAsia="zh-CN"/>
                    </w:rPr>
                    <w:t>330台</w:t>
                  </w:r>
                  <w:r>
                    <w:rPr>
                      <w:rFonts w:hint="default" w:ascii="Times New Roman" w:hAnsi="Times New Roman" w:eastAsia="仿宋" w:cs="Times New Roman"/>
                      <w:color w:val="auto"/>
                      <w:sz w:val="21"/>
                      <w:szCs w:val="21"/>
                      <w:highlight w:val="none"/>
                      <w:lang w:val="en-US" w:eastAsia="zh-CN"/>
                    </w:rPr>
                    <w:t>/a</w:t>
                  </w:r>
                </w:p>
              </w:tc>
              <w:tc>
                <w:tcPr>
                  <w:tcW w:w="1939" w:type="dxa"/>
                  <w:vAlign w:val="center"/>
                </w:tcPr>
                <w:p w14:paraId="578DE48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330台</w:t>
                  </w:r>
                  <w:r>
                    <w:rPr>
                      <w:rFonts w:hint="default" w:ascii="Times New Roman" w:hAnsi="Times New Roman" w:eastAsia="仿宋" w:cs="Times New Roman"/>
                      <w:color w:val="auto"/>
                      <w:sz w:val="21"/>
                      <w:szCs w:val="21"/>
                      <w:highlight w:val="none"/>
                      <w:lang w:val="en-US" w:eastAsia="zh-CN"/>
                    </w:rPr>
                    <w:t>/a</w:t>
                  </w:r>
                </w:p>
              </w:tc>
              <w:tc>
                <w:tcPr>
                  <w:tcW w:w="1155" w:type="pct"/>
                  <w:vAlign w:val="center"/>
                </w:tcPr>
                <w:p w14:paraId="507B13F1">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2400</w:t>
                  </w:r>
                </w:p>
              </w:tc>
            </w:tr>
            <w:tr w14:paraId="365E3C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Align w:val="center"/>
                </w:tcPr>
                <w:p w14:paraId="21D37052">
                  <w:pPr>
                    <w:pStyle w:val="54"/>
                    <w:keepNext w:val="0"/>
                    <w:keepLines w:val="0"/>
                    <w:pageBreakBefore w:val="0"/>
                    <w:kinsoku/>
                    <w:wordWrap/>
                    <w:overflowPunct/>
                    <w:topLinePunct w:val="0"/>
                    <w:bidi w:val="0"/>
                    <w:adjustRightInd w:val="0"/>
                    <w:snapToGrid w:val="0"/>
                    <w:ind w:left="0" w:right="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1151" w:type="pct"/>
                  <w:vAlign w:val="center"/>
                </w:tcPr>
                <w:p w14:paraId="1730A47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highlight w:val="none"/>
                      <w:lang w:val="en-US" w:eastAsia="zh-CN"/>
                    </w:rPr>
                    <w:t>质子医疗仪器</w:t>
                  </w:r>
                </w:p>
              </w:tc>
              <w:tc>
                <w:tcPr>
                  <w:tcW w:w="1151" w:type="pct"/>
                  <w:vAlign w:val="center"/>
                </w:tcPr>
                <w:p w14:paraId="240A597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2台</w:t>
                  </w:r>
                  <w:r>
                    <w:rPr>
                      <w:rFonts w:hint="default" w:ascii="Times New Roman" w:hAnsi="Times New Roman" w:eastAsia="仿宋" w:cs="Times New Roman"/>
                      <w:color w:val="auto"/>
                      <w:sz w:val="21"/>
                      <w:szCs w:val="21"/>
                      <w:highlight w:val="none"/>
                      <w:lang w:val="en-US" w:eastAsia="zh-CN"/>
                    </w:rPr>
                    <w:t>/a</w:t>
                  </w:r>
                </w:p>
              </w:tc>
              <w:tc>
                <w:tcPr>
                  <w:tcW w:w="1939" w:type="dxa"/>
                  <w:vAlign w:val="center"/>
                </w:tcPr>
                <w:p w14:paraId="509F4A4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0台</w:t>
                  </w:r>
                  <w:r>
                    <w:rPr>
                      <w:rFonts w:hint="default" w:ascii="Times New Roman" w:hAnsi="Times New Roman" w:eastAsia="仿宋" w:cs="Times New Roman"/>
                      <w:color w:val="auto"/>
                      <w:sz w:val="21"/>
                      <w:szCs w:val="21"/>
                      <w:highlight w:val="none"/>
                      <w:lang w:val="en-US" w:eastAsia="zh-CN"/>
                    </w:rPr>
                    <w:t>/a</w:t>
                  </w:r>
                </w:p>
              </w:tc>
              <w:tc>
                <w:tcPr>
                  <w:tcW w:w="1155" w:type="pct"/>
                  <w:vAlign w:val="center"/>
                </w:tcPr>
                <w:p w14:paraId="2023A8EB">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w:t>
                  </w:r>
                </w:p>
              </w:tc>
            </w:tr>
          </w:tbl>
          <w:p w14:paraId="37FFB84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eastAsia="仿宋" w:cs="Times New Roman"/>
                <w:color w:val="auto"/>
                <w:lang w:val="en-US" w:eastAsia="zh-CN"/>
              </w:rPr>
              <w:t xml:space="preserve"> </w:t>
            </w:r>
            <w:r>
              <w:rPr>
                <w:rFonts w:hint="default" w:ascii="Times New Roman" w:hAnsi="Times New Roman" w:eastAsia="仿宋" w:cs="Times New Roman"/>
                <w:b w:val="0"/>
                <w:bCs/>
                <w:color w:val="auto"/>
                <w:sz w:val="24"/>
                <w:lang w:val="en-US" w:eastAsia="zh-CN"/>
              </w:rPr>
              <w:t xml:space="preserve">   5、现有项目主要原辅材料消耗</w:t>
            </w:r>
          </w:p>
          <w:p w14:paraId="4AF48C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16"/>
                <w:lang w:eastAsia="zh-CN"/>
              </w:rPr>
            </w:pPr>
            <w:r>
              <w:rPr>
                <w:rFonts w:hint="default" w:ascii="Times New Roman" w:hAnsi="Times New Roman" w:eastAsia="仿宋" w:cs="Times New Roman"/>
                <w:b/>
                <w:bCs/>
                <w:color w:val="auto"/>
                <w:sz w:val="21"/>
                <w:szCs w:val="16"/>
              </w:rPr>
              <w:t>表2-</w:t>
            </w:r>
            <w:r>
              <w:rPr>
                <w:rFonts w:hint="default" w:ascii="Times New Roman" w:hAnsi="Times New Roman" w:eastAsia="仿宋" w:cs="Times New Roman"/>
                <w:b/>
                <w:bCs/>
                <w:color w:val="auto"/>
                <w:sz w:val="21"/>
                <w:szCs w:val="16"/>
                <w:lang w:val="en-US" w:eastAsia="zh-CN"/>
              </w:rPr>
              <w:t>11</w:t>
            </w:r>
            <w:r>
              <w:rPr>
                <w:rFonts w:hint="default" w:ascii="Times New Roman" w:hAnsi="Times New Roman" w:eastAsia="仿宋" w:cs="Times New Roman"/>
                <w:b/>
                <w:bCs/>
                <w:color w:val="auto"/>
                <w:sz w:val="21"/>
                <w:szCs w:val="16"/>
              </w:rPr>
              <w:t xml:space="preserve"> </w:t>
            </w:r>
            <w:r>
              <w:rPr>
                <w:rFonts w:hint="default" w:ascii="Times New Roman" w:hAnsi="Times New Roman" w:eastAsia="仿宋" w:cs="Times New Roman"/>
                <w:b/>
                <w:bCs/>
                <w:color w:val="auto"/>
                <w:sz w:val="21"/>
                <w:szCs w:val="16"/>
                <w:lang w:eastAsia="zh-CN"/>
              </w:rPr>
              <w:t>现有</w:t>
            </w:r>
            <w:r>
              <w:rPr>
                <w:rFonts w:hint="default" w:ascii="Times New Roman" w:hAnsi="Times New Roman" w:eastAsia="仿宋" w:cs="Times New Roman"/>
                <w:b/>
                <w:bCs/>
                <w:color w:val="auto"/>
                <w:sz w:val="21"/>
                <w:szCs w:val="16"/>
              </w:rPr>
              <w:t>项</w:t>
            </w:r>
            <w:r>
              <w:rPr>
                <w:rFonts w:hint="default" w:ascii="Times New Roman" w:hAnsi="Times New Roman" w:eastAsia="仿宋" w:cs="Times New Roman"/>
                <w:b/>
                <w:bCs/>
                <w:color w:val="auto"/>
                <w:sz w:val="21"/>
                <w:szCs w:val="16"/>
                <w:lang w:eastAsia="zh-CN"/>
              </w:rPr>
              <w:t>目</w:t>
            </w:r>
            <w:r>
              <w:rPr>
                <w:rFonts w:hint="default" w:ascii="Times New Roman" w:hAnsi="Times New Roman" w:eastAsia="仿宋" w:cs="Times New Roman"/>
                <w:b/>
                <w:bCs/>
                <w:color w:val="auto"/>
                <w:sz w:val="21"/>
                <w:szCs w:val="16"/>
                <w:lang w:val="en-US" w:eastAsia="zh-CN"/>
              </w:rPr>
              <w:t>主要原辅材料消耗</w:t>
            </w:r>
            <w:r>
              <w:rPr>
                <w:rFonts w:hint="default" w:ascii="Times New Roman" w:hAnsi="Times New Roman" w:eastAsia="仿宋" w:cs="Times New Roman"/>
                <w:b/>
                <w:bCs/>
                <w:color w:val="auto"/>
                <w:sz w:val="21"/>
                <w:szCs w:val="16"/>
                <w:lang w:eastAsia="zh-CN"/>
              </w:rPr>
              <w:t>情况</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53"/>
              <w:gridCol w:w="1004"/>
              <w:gridCol w:w="2738"/>
              <w:gridCol w:w="1011"/>
              <w:gridCol w:w="818"/>
              <w:gridCol w:w="818"/>
              <w:gridCol w:w="818"/>
              <w:gridCol w:w="833"/>
            </w:tblGrid>
            <w:tr w14:paraId="7EBC8C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210" w:type="pct"/>
                  <w:vMerge w:val="restart"/>
                  <w:noWrap w:val="0"/>
                  <w:vAlign w:val="center"/>
                </w:tcPr>
                <w:p w14:paraId="146FE8F4">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598" w:type="pct"/>
                  <w:vMerge w:val="restart"/>
                  <w:noWrap w:val="0"/>
                  <w:vAlign w:val="center"/>
                </w:tcPr>
                <w:p w14:paraId="45DF3888">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原辅料名称</w:t>
                  </w:r>
                </w:p>
              </w:tc>
              <w:tc>
                <w:tcPr>
                  <w:tcW w:w="1630" w:type="pct"/>
                  <w:vMerge w:val="restart"/>
                  <w:noWrap w:val="0"/>
                  <w:vAlign w:val="center"/>
                </w:tcPr>
                <w:p w14:paraId="32FD9ACE">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组分、规格</w:t>
                  </w:r>
                </w:p>
              </w:tc>
              <w:tc>
                <w:tcPr>
                  <w:tcW w:w="602" w:type="pct"/>
                  <w:vMerge w:val="restart"/>
                  <w:noWrap w:val="0"/>
                  <w:vAlign w:val="center"/>
                </w:tcPr>
                <w:p w14:paraId="28737A72">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包装方式</w:t>
                  </w:r>
                </w:p>
              </w:tc>
              <w:tc>
                <w:tcPr>
                  <w:tcW w:w="1957" w:type="pct"/>
                  <w:gridSpan w:val="4"/>
                  <w:noWrap w:val="0"/>
                  <w:vAlign w:val="center"/>
                </w:tcPr>
                <w:p w14:paraId="400AF562">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消</w:t>
                  </w:r>
                  <w:r>
                    <w:rPr>
                      <w:rFonts w:hint="default" w:ascii="Times New Roman" w:hAnsi="Times New Roman" w:eastAsia="仿宋" w:cs="Times New Roman"/>
                      <w:b/>
                      <w:bCs/>
                      <w:color w:val="auto"/>
                      <w:sz w:val="21"/>
                      <w:szCs w:val="21"/>
                    </w:rPr>
                    <w:t>耗量（t/a）</w:t>
                  </w:r>
                </w:p>
              </w:tc>
            </w:tr>
            <w:tr w14:paraId="1A3165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210" w:type="pct"/>
                  <w:vMerge w:val="continue"/>
                  <w:noWrap w:val="0"/>
                  <w:vAlign w:val="center"/>
                </w:tcPr>
                <w:p w14:paraId="24887575">
                  <w:pPr>
                    <w:adjustRightInd w:val="0"/>
                    <w:snapToGrid w:val="0"/>
                    <w:jc w:val="center"/>
                    <w:rPr>
                      <w:rFonts w:hint="default" w:ascii="Times New Roman" w:hAnsi="Times New Roman" w:eastAsia="仿宋" w:cs="Times New Roman"/>
                      <w:color w:val="auto"/>
                      <w:sz w:val="21"/>
                      <w:szCs w:val="21"/>
                    </w:rPr>
                  </w:pPr>
                </w:p>
              </w:tc>
              <w:tc>
                <w:tcPr>
                  <w:tcW w:w="598" w:type="pct"/>
                  <w:vMerge w:val="continue"/>
                  <w:noWrap w:val="0"/>
                  <w:vAlign w:val="center"/>
                </w:tcPr>
                <w:p w14:paraId="2535690B">
                  <w:pPr>
                    <w:adjustRightInd w:val="0"/>
                    <w:snapToGrid w:val="0"/>
                    <w:jc w:val="center"/>
                    <w:rPr>
                      <w:rFonts w:hint="default" w:ascii="Times New Roman" w:hAnsi="Times New Roman" w:eastAsia="仿宋" w:cs="Times New Roman"/>
                      <w:color w:val="auto"/>
                      <w:sz w:val="21"/>
                      <w:szCs w:val="21"/>
                    </w:rPr>
                  </w:pPr>
                </w:p>
              </w:tc>
              <w:tc>
                <w:tcPr>
                  <w:tcW w:w="1630" w:type="pct"/>
                  <w:vMerge w:val="continue"/>
                  <w:noWrap w:val="0"/>
                  <w:vAlign w:val="center"/>
                </w:tcPr>
                <w:p w14:paraId="79DDBBF7">
                  <w:pPr>
                    <w:adjustRightInd w:val="0"/>
                    <w:snapToGrid w:val="0"/>
                    <w:jc w:val="center"/>
                    <w:rPr>
                      <w:rFonts w:hint="default" w:ascii="Times New Roman" w:hAnsi="Times New Roman" w:eastAsia="仿宋" w:cs="Times New Roman"/>
                      <w:color w:val="auto"/>
                      <w:sz w:val="21"/>
                      <w:szCs w:val="21"/>
                    </w:rPr>
                  </w:pPr>
                </w:p>
              </w:tc>
              <w:tc>
                <w:tcPr>
                  <w:tcW w:w="602" w:type="pct"/>
                  <w:vMerge w:val="continue"/>
                  <w:noWrap w:val="0"/>
                  <w:vAlign w:val="center"/>
                </w:tcPr>
                <w:p w14:paraId="0E4CA631">
                  <w:pPr>
                    <w:adjustRightInd w:val="0"/>
                    <w:snapToGrid w:val="0"/>
                    <w:jc w:val="center"/>
                    <w:rPr>
                      <w:rFonts w:hint="default" w:ascii="Times New Roman" w:hAnsi="Times New Roman" w:eastAsia="仿宋" w:cs="Times New Roman"/>
                      <w:color w:val="auto"/>
                      <w:sz w:val="21"/>
                      <w:szCs w:val="21"/>
                    </w:rPr>
                  </w:pPr>
                </w:p>
              </w:tc>
              <w:tc>
                <w:tcPr>
                  <w:tcW w:w="487" w:type="pct"/>
                  <w:noWrap w:val="0"/>
                  <w:vAlign w:val="center"/>
                </w:tcPr>
                <w:p w14:paraId="1044D96E">
                  <w:pPr>
                    <w:snapToGrid w:val="0"/>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color w:val="auto"/>
                      <w:sz w:val="21"/>
                      <w:szCs w:val="21"/>
                      <w:lang w:val="en-US" w:eastAsia="zh-CN"/>
                    </w:rPr>
                    <w:t>环评</w:t>
                  </w:r>
                </w:p>
              </w:tc>
              <w:tc>
                <w:tcPr>
                  <w:tcW w:w="487" w:type="pct"/>
                  <w:noWrap w:val="0"/>
                  <w:vAlign w:val="center"/>
                </w:tcPr>
                <w:p w14:paraId="69A5EE69">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color w:val="auto"/>
                      <w:sz w:val="21"/>
                      <w:szCs w:val="21"/>
                      <w:lang w:val="en-US" w:eastAsia="zh-CN"/>
                    </w:rPr>
                    <w:t>验收</w:t>
                  </w:r>
                </w:p>
              </w:tc>
              <w:tc>
                <w:tcPr>
                  <w:tcW w:w="487" w:type="pct"/>
                  <w:noWrap w:val="0"/>
                  <w:vAlign w:val="center"/>
                </w:tcPr>
                <w:p w14:paraId="712A75CE">
                  <w:pPr>
                    <w:snapToGrid w:val="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color w:val="auto"/>
                      <w:sz w:val="21"/>
                      <w:szCs w:val="21"/>
                      <w:lang w:val="en-US" w:eastAsia="zh-CN"/>
                    </w:rPr>
                    <w:t>现有</w:t>
                  </w:r>
                </w:p>
              </w:tc>
              <w:tc>
                <w:tcPr>
                  <w:tcW w:w="493" w:type="pct"/>
                  <w:noWrap w:val="0"/>
                  <w:vAlign w:val="center"/>
                </w:tcPr>
                <w:p w14:paraId="68CC2DDA">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增减量</w:t>
                  </w:r>
                </w:p>
              </w:tc>
            </w:tr>
            <w:tr w14:paraId="760047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10" w:type="pct"/>
                  <w:noWrap w:val="0"/>
                  <w:vAlign w:val="center"/>
                </w:tcPr>
                <w:p w14:paraId="4B23A6E9">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998" w:type="dxa"/>
                  <w:noWrap w:val="0"/>
                  <w:vAlign w:val="center"/>
                </w:tcPr>
                <w:p w14:paraId="3A87B5FC">
                  <w:pPr>
                    <w:widowControl/>
                    <w:adjustRightInd w:val="0"/>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sz w:val="21"/>
                      <w:szCs w:val="21"/>
                      <w:lang w:val="en-US" w:eastAsia="zh-CN"/>
                    </w:rPr>
                    <w:t>不锈钢板</w:t>
                  </w:r>
                </w:p>
              </w:tc>
              <w:tc>
                <w:tcPr>
                  <w:tcW w:w="2721" w:type="dxa"/>
                  <w:noWrap w:val="0"/>
                  <w:vAlign w:val="center"/>
                </w:tcPr>
                <w:p w14:paraId="026038C6">
                  <w:pPr>
                    <w:widowControl/>
                    <w:adjustRightInd w:val="0"/>
                    <w:snapToGrid w:val="0"/>
                    <w:jc w:val="center"/>
                    <w:textAlignment w:val="bottom"/>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304</w:t>
                  </w:r>
                </w:p>
              </w:tc>
              <w:tc>
                <w:tcPr>
                  <w:tcW w:w="1005" w:type="dxa"/>
                  <w:noWrap w:val="0"/>
                  <w:vAlign w:val="center"/>
                </w:tcPr>
                <w:p w14:paraId="13FC508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堆放</w:t>
                  </w:r>
                </w:p>
              </w:tc>
              <w:tc>
                <w:tcPr>
                  <w:tcW w:w="813" w:type="dxa"/>
                  <w:noWrap w:val="0"/>
                  <w:vAlign w:val="center"/>
                </w:tcPr>
                <w:p w14:paraId="004FF4A1">
                  <w:pPr>
                    <w:adjustRightInd w:val="0"/>
                    <w:snapToGrid w:val="0"/>
                    <w:ind w:firstLine="12" w:firstLineChars="6"/>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Cs w:val="21"/>
                      <w:lang w:val="en-US" w:eastAsia="zh-CN"/>
                    </w:rPr>
                    <w:t>1000</w:t>
                  </w:r>
                </w:p>
              </w:tc>
              <w:tc>
                <w:tcPr>
                  <w:tcW w:w="814" w:type="dxa"/>
                  <w:noWrap w:val="0"/>
                  <w:vAlign w:val="center"/>
                </w:tcPr>
                <w:p w14:paraId="6D5C8DCB">
                  <w:pPr>
                    <w:adjustRightInd w:val="0"/>
                    <w:snapToGrid w:val="0"/>
                    <w:ind w:firstLine="12" w:firstLineChars="6"/>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lang w:val="en-US" w:eastAsia="zh-CN"/>
                    </w:rPr>
                    <w:t>980</w:t>
                  </w:r>
                </w:p>
              </w:tc>
              <w:tc>
                <w:tcPr>
                  <w:tcW w:w="813" w:type="dxa"/>
                  <w:noWrap w:val="0"/>
                  <w:vAlign w:val="center"/>
                </w:tcPr>
                <w:p w14:paraId="0B52900D">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980</w:t>
                  </w:r>
                </w:p>
              </w:tc>
              <w:tc>
                <w:tcPr>
                  <w:tcW w:w="493" w:type="pct"/>
                  <w:noWrap w:val="0"/>
                  <w:vAlign w:val="center"/>
                </w:tcPr>
                <w:p w14:paraId="417EEB80">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w:t>
                  </w:r>
                  <w:r>
                    <w:rPr>
                      <w:rFonts w:hint="default" w:ascii="Times New Roman" w:hAnsi="Times New Roman" w:eastAsia="仿宋" w:cs="Times New Roman"/>
                      <w:color w:val="auto"/>
                      <w:sz w:val="21"/>
                      <w:szCs w:val="21"/>
                    </w:rPr>
                    <w:t>0</w:t>
                  </w:r>
                </w:p>
              </w:tc>
            </w:tr>
            <w:tr w14:paraId="1979F9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10" w:type="pct"/>
                  <w:noWrap w:val="0"/>
                  <w:vAlign w:val="center"/>
                </w:tcPr>
                <w:p w14:paraId="4265B3BE">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998" w:type="dxa"/>
                  <w:noWrap w:val="0"/>
                  <w:vAlign w:val="center"/>
                </w:tcPr>
                <w:p w14:paraId="31ADF5CE">
                  <w:pPr>
                    <w:widowControl/>
                    <w:adjustRightInd w:val="0"/>
                    <w:snapToGrid w:val="0"/>
                    <w:jc w:val="center"/>
                    <w:textAlignment w:val="bottom"/>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sz w:val="21"/>
                      <w:szCs w:val="21"/>
                      <w:lang w:val="en-US" w:eastAsia="zh-CN"/>
                    </w:rPr>
                    <w:t>角钢</w:t>
                  </w:r>
                </w:p>
              </w:tc>
              <w:tc>
                <w:tcPr>
                  <w:tcW w:w="2721" w:type="dxa"/>
                  <w:noWrap w:val="0"/>
                  <w:vAlign w:val="center"/>
                </w:tcPr>
                <w:p w14:paraId="7283E356">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005" w:type="dxa"/>
                  <w:noWrap w:val="0"/>
                  <w:vAlign w:val="center"/>
                </w:tcPr>
                <w:p w14:paraId="4B87064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堆放</w:t>
                  </w:r>
                </w:p>
              </w:tc>
              <w:tc>
                <w:tcPr>
                  <w:tcW w:w="813" w:type="dxa"/>
                  <w:noWrap w:val="0"/>
                  <w:vAlign w:val="center"/>
                </w:tcPr>
                <w:p w14:paraId="68312EB9">
                  <w:pPr>
                    <w:adjustRightInd w:val="0"/>
                    <w:snapToGrid w:val="0"/>
                    <w:ind w:firstLine="12" w:firstLineChars="6"/>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814" w:type="dxa"/>
                  <w:noWrap w:val="0"/>
                  <w:vAlign w:val="center"/>
                </w:tcPr>
                <w:p w14:paraId="764EE0AE">
                  <w:pPr>
                    <w:adjustRightInd w:val="0"/>
                    <w:snapToGrid w:val="0"/>
                    <w:ind w:firstLine="12" w:firstLineChars="6"/>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w:t>
                  </w:r>
                </w:p>
              </w:tc>
              <w:tc>
                <w:tcPr>
                  <w:tcW w:w="813" w:type="dxa"/>
                  <w:noWrap w:val="0"/>
                  <w:vAlign w:val="center"/>
                </w:tcPr>
                <w:p w14:paraId="0FEA5812">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18</w:t>
                  </w:r>
                </w:p>
              </w:tc>
              <w:tc>
                <w:tcPr>
                  <w:tcW w:w="493" w:type="pct"/>
                  <w:noWrap w:val="0"/>
                  <w:vAlign w:val="center"/>
                </w:tcPr>
                <w:p w14:paraId="25DE67AE">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w:t>
                  </w:r>
                  <w:r>
                    <w:rPr>
                      <w:rFonts w:hint="default" w:ascii="Times New Roman" w:hAnsi="Times New Roman" w:eastAsia="仿宋" w:cs="Times New Roman"/>
                      <w:color w:val="auto"/>
                      <w:sz w:val="21"/>
                      <w:szCs w:val="21"/>
                    </w:rPr>
                    <w:t>0</w:t>
                  </w:r>
                </w:p>
              </w:tc>
            </w:tr>
            <w:tr w14:paraId="38CD8B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10" w:type="pct"/>
                  <w:noWrap w:val="0"/>
                  <w:vAlign w:val="center"/>
                </w:tcPr>
                <w:p w14:paraId="3407D675">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998" w:type="dxa"/>
                  <w:noWrap w:val="0"/>
                  <w:vAlign w:val="center"/>
                </w:tcPr>
                <w:p w14:paraId="537973F9">
                  <w:pPr>
                    <w:widowControl/>
                    <w:adjustRightInd w:val="0"/>
                    <w:snapToGrid w:val="0"/>
                    <w:jc w:val="center"/>
                    <w:textAlignment w:val="bottom"/>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sz w:val="21"/>
                      <w:szCs w:val="21"/>
                      <w:lang w:val="en-US" w:eastAsia="zh-CN"/>
                    </w:rPr>
                    <w:t>圆钢</w:t>
                  </w:r>
                </w:p>
              </w:tc>
              <w:tc>
                <w:tcPr>
                  <w:tcW w:w="2721" w:type="dxa"/>
                  <w:noWrap w:val="0"/>
                  <w:vAlign w:val="center"/>
                </w:tcPr>
                <w:p w14:paraId="6C51FF0E">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005" w:type="dxa"/>
                  <w:noWrap w:val="0"/>
                  <w:vAlign w:val="center"/>
                </w:tcPr>
                <w:p w14:paraId="5A9737A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堆放</w:t>
                  </w:r>
                </w:p>
              </w:tc>
              <w:tc>
                <w:tcPr>
                  <w:tcW w:w="813" w:type="dxa"/>
                  <w:noWrap w:val="0"/>
                  <w:vAlign w:val="center"/>
                </w:tcPr>
                <w:p w14:paraId="48D508AF">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10</w:t>
                  </w:r>
                </w:p>
              </w:tc>
              <w:tc>
                <w:tcPr>
                  <w:tcW w:w="814" w:type="dxa"/>
                  <w:noWrap w:val="0"/>
                  <w:vAlign w:val="center"/>
                </w:tcPr>
                <w:p w14:paraId="354E8BC5">
                  <w:pPr>
                    <w:adjustRightInd w:val="0"/>
                    <w:snapToGrid w:val="0"/>
                    <w:ind w:firstLine="12" w:firstLineChars="6"/>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813" w:type="dxa"/>
                  <w:noWrap w:val="0"/>
                  <w:vAlign w:val="center"/>
                </w:tcPr>
                <w:p w14:paraId="5CA18479">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10</w:t>
                  </w:r>
                </w:p>
              </w:tc>
              <w:tc>
                <w:tcPr>
                  <w:tcW w:w="493" w:type="pct"/>
                  <w:noWrap w:val="0"/>
                  <w:vAlign w:val="center"/>
                </w:tcPr>
                <w:p w14:paraId="31A9EA09">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w:t>
                  </w:r>
                  <w:r>
                    <w:rPr>
                      <w:rFonts w:hint="default" w:ascii="Times New Roman" w:hAnsi="Times New Roman" w:eastAsia="仿宋" w:cs="Times New Roman"/>
                      <w:color w:val="auto"/>
                      <w:sz w:val="21"/>
                      <w:szCs w:val="21"/>
                    </w:rPr>
                    <w:t>0</w:t>
                  </w:r>
                </w:p>
              </w:tc>
            </w:tr>
            <w:tr w14:paraId="5810E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10" w:type="pct"/>
                  <w:noWrap w:val="0"/>
                  <w:vAlign w:val="center"/>
                </w:tcPr>
                <w:p w14:paraId="0940ECC4">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998" w:type="dxa"/>
                  <w:noWrap w:val="0"/>
                  <w:vAlign w:val="center"/>
                </w:tcPr>
                <w:p w14:paraId="56672BB3">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焊丝</w:t>
                  </w:r>
                </w:p>
              </w:tc>
              <w:tc>
                <w:tcPr>
                  <w:tcW w:w="2721" w:type="dxa"/>
                  <w:noWrap w:val="0"/>
                  <w:vAlign w:val="center"/>
                </w:tcPr>
                <w:p w14:paraId="3AA1A0BB">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不含铅</w:t>
                  </w:r>
                </w:p>
              </w:tc>
              <w:tc>
                <w:tcPr>
                  <w:tcW w:w="1005" w:type="dxa"/>
                  <w:noWrap w:val="0"/>
                  <w:vAlign w:val="center"/>
                </w:tcPr>
                <w:p w14:paraId="339198A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highlight w:val="none"/>
                      <w:lang w:val="en-US" w:eastAsia="zh-CN" w:bidi="ar-SA"/>
                    </w:rPr>
                    <w:t>10kg/</w:t>
                  </w:r>
                  <w:r>
                    <w:rPr>
                      <w:rFonts w:hint="default" w:ascii="Times New Roman" w:hAnsi="Times New Roman" w:eastAsia="仿宋" w:cs="Times New Roman"/>
                      <w:color w:val="auto"/>
                      <w:kern w:val="0"/>
                      <w:szCs w:val="21"/>
                      <w:highlight w:val="none"/>
                      <w:lang w:val="en-US" w:eastAsia="zh-CN"/>
                    </w:rPr>
                    <w:t>盒</w:t>
                  </w:r>
                </w:p>
              </w:tc>
              <w:tc>
                <w:tcPr>
                  <w:tcW w:w="813" w:type="dxa"/>
                  <w:noWrap w:val="0"/>
                  <w:vAlign w:val="center"/>
                </w:tcPr>
                <w:p w14:paraId="49DE1D41">
                  <w:pPr>
                    <w:adjustRightInd w:val="0"/>
                    <w:snapToGrid w:val="0"/>
                    <w:ind w:firstLine="12" w:firstLineChars="6"/>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Cs w:val="21"/>
                      <w:lang w:val="en-US" w:eastAsia="zh-CN"/>
                    </w:rPr>
                    <w:t>15</w:t>
                  </w:r>
                </w:p>
              </w:tc>
              <w:tc>
                <w:tcPr>
                  <w:tcW w:w="814" w:type="dxa"/>
                  <w:noWrap w:val="0"/>
                  <w:vAlign w:val="center"/>
                </w:tcPr>
                <w:p w14:paraId="44522E77">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13</w:t>
                  </w:r>
                </w:p>
              </w:tc>
              <w:tc>
                <w:tcPr>
                  <w:tcW w:w="813" w:type="dxa"/>
                  <w:noWrap w:val="0"/>
                  <w:vAlign w:val="center"/>
                </w:tcPr>
                <w:p w14:paraId="7E020F0F">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13</w:t>
                  </w:r>
                </w:p>
              </w:tc>
              <w:tc>
                <w:tcPr>
                  <w:tcW w:w="493" w:type="pct"/>
                  <w:noWrap w:val="0"/>
                  <w:vAlign w:val="center"/>
                </w:tcPr>
                <w:p w14:paraId="70A24E69">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r>
                    <w:rPr>
                      <w:rFonts w:hint="default" w:ascii="Times New Roman" w:hAnsi="Times New Roman" w:eastAsia="仿宋" w:cs="Times New Roman"/>
                      <w:color w:val="auto"/>
                      <w:sz w:val="21"/>
                      <w:szCs w:val="21"/>
                    </w:rPr>
                    <w:t>0</w:t>
                  </w:r>
                </w:p>
              </w:tc>
            </w:tr>
            <w:tr w14:paraId="473C9A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10" w:type="pct"/>
                  <w:noWrap w:val="0"/>
                  <w:vAlign w:val="center"/>
                </w:tcPr>
                <w:p w14:paraId="7AC3286E">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998" w:type="dxa"/>
                  <w:noWrap w:val="0"/>
                  <w:vAlign w:val="center"/>
                </w:tcPr>
                <w:p w14:paraId="1E2ABBD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氩气</w:t>
                  </w:r>
                </w:p>
              </w:tc>
              <w:tc>
                <w:tcPr>
                  <w:tcW w:w="2721" w:type="dxa"/>
                  <w:noWrap w:val="0"/>
                  <w:vAlign w:val="center"/>
                </w:tcPr>
                <w:p w14:paraId="7DB96107">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005" w:type="dxa"/>
                  <w:noWrap w:val="0"/>
                  <w:vAlign w:val="center"/>
                </w:tcPr>
                <w:p w14:paraId="3E48596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Cs w:val="21"/>
                      <w:highlight w:val="none"/>
                      <w:lang w:val="en-US" w:eastAsia="zh-CN"/>
                    </w:rPr>
                    <w:t>40L/瓶</w:t>
                  </w:r>
                </w:p>
              </w:tc>
              <w:tc>
                <w:tcPr>
                  <w:tcW w:w="813" w:type="dxa"/>
                  <w:noWrap w:val="0"/>
                  <w:vAlign w:val="center"/>
                </w:tcPr>
                <w:p w14:paraId="22B9FEDD">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0</w:t>
                  </w:r>
                </w:p>
              </w:tc>
              <w:tc>
                <w:tcPr>
                  <w:tcW w:w="814" w:type="dxa"/>
                  <w:noWrap w:val="0"/>
                  <w:vAlign w:val="center"/>
                </w:tcPr>
                <w:p w14:paraId="2C4D2541">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0</w:t>
                  </w:r>
                </w:p>
              </w:tc>
              <w:tc>
                <w:tcPr>
                  <w:tcW w:w="813" w:type="dxa"/>
                  <w:noWrap w:val="0"/>
                  <w:vAlign w:val="center"/>
                </w:tcPr>
                <w:p w14:paraId="76B46E00">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50</w:t>
                  </w:r>
                  <w:r>
                    <w:rPr>
                      <w:rFonts w:hint="default" w:ascii="Times New Roman" w:hAnsi="Times New Roman" w:eastAsia="仿宋" w:cs="Times New Roman"/>
                      <w:color w:val="auto"/>
                      <w:sz w:val="21"/>
                      <w:szCs w:val="21"/>
                      <w:lang w:val="en-US" w:eastAsia="zh-CN"/>
                    </w:rPr>
                    <w:t>瓶</w:t>
                  </w:r>
                </w:p>
              </w:tc>
              <w:tc>
                <w:tcPr>
                  <w:tcW w:w="833" w:type="dxa"/>
                  <w:noWrap w:val="0"/>
                  <w:vAlign w:val="center"/>
                </w:tcPr>
                <w:p w14:paraId="0DF98941">
                  <w:pPr>
                    <w:adjustRightInd w:val="0"/>
                    <w:snapToGrid w:val="0"/>
                    <w:ind w:firstLine="12" w:firstLineChars="6"/>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r>
                    <w:rPr>
                      <w:rFonts w:hint="default" w:ascii="Times New Roman" w:hAnsi="Times New Roman" w:eastAsia="仿宋" w:cs="Times New Roman"/>
                      <w:color w:val="auto"/>
                      <w:szCs w:val="21"/>
                      <w:lang w:val="en-US" w:eastAsia="zh-CN"/>
                    </w:rPr>
                    <w:t>50</w:t>
                  </w:r>
                  <w:r>
                    <w:rPr>
                      <w:rFonts w:hint="default" w:ascii="Times New Roman" w:hAnsi="Times New Roman" w:eastAsia="仿宋" w:cs="Times New Roman"/>
                      <w:color w:val="auto"/>
                      <w:sz w:val="21"/>
                      <w:szCs w:val="21"/>
                      <w:lang w:val="en-US" w:eastAsia="zh-CN"/>
                    </w:rPr>
                    <w:t>瓶</w:t>
                  </w:r>
                </w:p>
              </w:tc>
            </w:tr>
            <w:tr w14:paraId="098833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10" w:type="pct"/>
                  <w:noWrap w:val="0"/>
                  <w:vAlign w:val="center"/>
                </w:tcPr>
                <w:p w14:paraId="4FBFC943">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998" w:type="dxa"/>
                  <w:noWrap w:val="0"/>
                  <w:vAlign w:val="center"/>
                </w:tcPr>
                <w:p w14:paraId="69FA5CB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氧气</w:t>
                  </w:r>
                </w:p>
              </w:tc>
              <w:tc>
                <w:tcPr>
                  <w:tcW w:w="2721" w:type="dxa"/>
                  <w:noWrap w:val="0"/>
                  <w:vAlign w:val="center"/>
                </w:tcPr>
                <w:p w14:paraId="588AD2A1">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005" w:type="dxa"/>
                  <w:noWrap w:val="0"/>
                  <w:vAlign w:val="center"/>
                </w:tcPr>
                <w:p w14:paraId="446F9F8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Cs w:val="21"/>
                      <w:highlight w:val="none"/>
                      <w:lang w:val="en-US" w:eastAsia="zh-CN"/>
                    </w:rPr>
                    <w:t>40L/瓶</w:t>
                  </w:r>
                </w:p>
              </w:tc>
              <w:tc>
                <w:tcPr>
                  <w:tcW w:w="813" w:type="dxa"/>
                  <w:noWrap w:val="0"/>
                  <w:vAlign w:val="center"/>
                </w:tcPr>
                <w:p w14:paraId="241BE371">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814" w:type="dxa"/>
                  <w:noWrap w:val="0"/>
                  <w:vAlign w:val="center"/>
                </w:tcPr>
                <w:p w14:paraId="6978C20D">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813" w:type="dxa"/>
                  <w:noWrap w:val="0"/>
                  <w:vAlign w:val="center"/>
                </w:tcPr>
                <w:p w14:paraId="36B44535">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500瓶</w:t>
                  </w:r>
                </w:p>
              </w:tc>
              <w:tc>
                <w:tcPr>
                  <w:tcW w:w="833" w:type="dxa"/>
                  <w:noWrap w:val="0"/>
                  <w:vAlign w:val="center"/>
                </w:tcPr>
                <w:p w14:paraId="56E5E2C2">
                  <w:pPr>
                    <w:adjustRightInd w:val="0"/>
                    <w:snapToGrid w:val="0"/>
                    <w:ind w:firstLine="12" w:firstLineChars="6"/>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r>
                    <w:rPr>
                      <w:rFonts w:hint="default" w:ascii="Times New Roman" w:hAnsi="Times New Roman" w:eastAsia="仿宋" w:cs="Times New Roman"/>
                      <w:color w:val="auto"/>
                      <w:sz w:val="21"/>
                      <w:szCs w:val="21"/>
                      <w:lang w:val="en-US" w:eastAsia="zh-CN"/>
                    </w:rPr>
                    <w:t>500瓶</w:t>
                  </w:r>
                </w:p>
              </w:tc>
            </w:tr>
            <w:tr w14:paraId="7C7405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10" w:type="pct"/>
                  <w:noWrap w:val="0"/>
                  <w:vAlign w:val="center"/>
                </w:tcPr>
                <w:p w14:paraId="4FD06E5D">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998" w:type="dxa"/>
                  <w:noWrap w:val="0"/>
                  <w:vAlign w:val="center"/>
                </w:tcPr>
                <w:p w14:paraId="2CC4D55A">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二氧化碳</w:t>
                  </w:r>
                </w:p>
              </w:tc>
              <w:tc>
                <w:tcPr>
                  <w:tcW w:w="2721" w:type="dxa"/>
                  <w:noWrap w:val="0"/>
                  <w:vAlign w:val="center"/>
                </w:tcPr>
                <w:p w14:paraId="6836060A">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005" w:type="dxa"/>
                  <w:noWrap w:val="0"/>
                  <w:vAlign w:val="center"/>
                </w:tcPr>
                <w:p w14:paraId="4C93881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Cs w:val="21"/>
                      <w:highlight w:val="none"/>
                      <w:lang w:val="en-US" w:eastAsia="zh-CN"/>
                    </w:rPr>
                    <w:t>40L/瓶</w:t>
                  </w:r>
                </w:p>
              </w:tc>
              <w:tc>
                <w:tcPr>
                  <w:tcW w:w="813" w:type="dxa"/>
                  <w:noWrap w:val="0"/>
                  <w:vAlign w:val="center"/>
                </w:tcPr>
                <w:p w14:paraId="62FB9EE0">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814" w:type="dxa"/>
                  <w:noWrap w:val="0"/>
                  <w:vAlign w:val="center"/>
                </w:tcPr>
                <w:p w14:paraId="0DCFF278">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813" w:type="dxa"/>
                  <w:noWrap w:val="0"/>
                  <w:vAlign w:val="center"/>
                </w:tcPr>
                <w:p w14:paraId="55C3D55B">
                  <w:pPr>
                    <w:adjustRightInd w:val="0"/>
                    <w:snapToGrid w:val="0"/>
                    <w:ind w:firstLine="12" w:firstLineChars="6"/>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60瓶</w:t>
                  </w:r>
                </w:p>
              </w:tc>
              <w:tc>
                <w:tcPr>
                  <w:tcW w:w="833" w:type="dxa"/>
                  <w:noWrap w:val="0"/>
                  <w:vAlign w:val="center"/>
                </w:tcPr>
                <w:p w14:paraId="63D77C6E">
                  <w:pPr>
                    <w:adjustRightInd w:val="0"/>
                    <w:snapToGrid w:val="0"/>
                    <w:ind w:firstLine="12" w:firstLineChars="6"/>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r>
                    <w:rPr>
                      <w:rFonts w:hint="default" w:ascii="Times New Roman" w:hAnsi="Times New Roman" w:eastAsia="仿宋" w:cs="Times New Roman"/>
                      <w:color w:val="auto"/>
                      <w:sz w:val="21"/>
                      <w:szCs w:val="21"/>
                      <w:lang w:val="en-US" w:eastAsia="zh-CN"/>
                    </w:rPr>
                    <w:t>60瓶</w:t>
                  </w:r>
                </w:p>
              </w:tc>
            </w:tr>
            <w:tr w14:paraId="575317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10" w:type="pct"/>
                  <w:noWrap w:val="0"/>
                  <w:vAlign w:val="center"/>
                </w:tcPr>
                <w:p w14:paraId="2FAFF54D">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998" w:type="dxa"/>
                  <w:noWrap w:val="0"/>
                  <w:vAlign w:val="center"/>
                </w:tcPr>
                <w:p w14:paraId="3126450C">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配件</w:t>
                  </w:r>
                </w:p>
              </w:tc>
              <w:tc>
                <w:tcPr>
                  <w:tcW w:w="2721" w:type="dxa"/>
                  <w:noWrap w:val="0"/>
                  <w:vAlign w:val="center"/>
                </w:tcPr>
                <w:p w14:paraId="6FF32A23">
                  <w:pPr>
                    <w:adjustRightInd w:val="0"/>
                    <w:spacing w:line="300" w:lineRule="exact"/>
                    <w:jc w:val="center"/>
                    <w:textAlignment w:val="baseline"/>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封头、</w:t>
                  </w:r>
                  <w:r>
                    <w:rPr>
                      <w:rFonts w:hint="default" w:ascii="Times New Roman" w:hAnsi="Times New Roman" w:eastAsia="仿宋" w:cs="Times New Roman"/>
                      <w:color w:val="auto"/>
                      <w:sz w:val="21"/>
                      <w:lang w:val="en-US" w:eastAsia="zh-CN"/>
                    </w:rPr>
                    <w:t>法兰、</w:t>
                  </w:r>
                  <w:r>
                    <w:rPr>
                      <w:rFonts w:hint="default" w:ascii="Times New Roman" w:hAnsi="Times New Roman" w:eastAsia="仿宋" w:cs="Times New Roman"/>
                      <w:color w:val="auto"/>
                      <w:sz w:val="21"/>
                      <w:szCs w:val="21"/>
                      <w:lang w:val="en-US" w:eastAsia="zh-CN"/>
                    </w:rPr>
                    <w:t>电机、控制器等</w:t>
                  </w:r>
                </w:p>
              </w:tc>
              <w:tc>
                <w:tcPr>
                  <w:tcW w:w="1005" w:type="dxa"/>
                  <w:noWrap w:val="0"/>
                  <w:vAlign w:val="center"/>
                </w:tcPr>
                <w:p w14:paraId="2D9C2239">
                  <w:pPr>
                    <w:keepNext w:val="0"/>
                    <w:keepLines w:val="0"/>
                    <w:pageBreakBefore w:val="0"/>
                    <w:widowControl/>
                    <w:tabs>
                      <w:tab w:val="left" w:pos="430"/>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堆放</w:t>
                  </w:r>
                </w:p>
              </w:tc>
              <w:tc>
                <w:tcPr>
                  <w:tcW w:w="813" w:type="dxa"/>
                  <w:noWrap w:val="0"/>
                  <w:vAlign w:val="center"/>
                </w:tcPr>
                <w:p w14:paraId="7853BD80">
                  <w:pPr>
                    <w:spacing w:line="32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362套</w:t>
                  </w:r>
                </w:p>
              </w:tc>
              <w:tc>
                <w:tcPr>
                  <w:tcW w:w="814" w:type="dxa"/>
                  <w:noWrap w:val="0"/>
                  <w:vAlign w:val="center"/>
                </w:tcPr>
                <w:p w14:paraId="3D37D9A5">
                  <w:pPr>
                    <w:spacing w:line="32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350套</w:t>
                  </w:r>
                </w:p>
              </w:tc>
              <w:tc>
                <w:tcPr>
                  <w:tcW w:w="813" w:type="dxa"/>
                  <w:noWrap w:val="0"/>
                  <w:vAlign w:val="center"/>
                </w:tcPr>
                <w:p w14:paraId="43375BDB">
                  <w:pPr>
                    <w:spacing w:line="32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330套</w:t>
                  </w:r>
                </w:p>
              </w:tc>
              <w:tc>
                <w:tcPr>
                  <w:tcW w:w="493" w:type="pct"/>
                  <w:noWrap w:val="0"/>
                  <w:vAlign w:val="center"/>
                </w:tcPr>
                <w:p w14:paraId="16E31796">
                  <w:pPr>
                    <w:adjustRightInd w:val="0"/>
                    <w:snapToGrid w:val="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-20</w:t>
                  </w:r>
                  <w:r>
                    <w:rPr>
                      <w:rFonts w:hint="default" w:ascii="Times New Roman" w:hAnsi="Times New Roman" w:eastAsia="仿宋" w:cs="Times New Roman"/>
                      <w:color w:val="auto"/>
                      <w:sz w:val="21"/>
                      <w:szCs w:val="21"/>
                      <w:lang w:val="en-US" w:eastAsia="zh-CN"/>
                    </w:rPr>
                    <w:t>套</w:t>
                  </w:r>
                </w:p>
              </w:tc>
            </w:tr>
            <w:tr w14:paraId="0A22CB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10" w:type="pct"/>
                  <w:noWrap w:val="0"/>
                  <w:vAlign w:val="center"/>
                </w:tcPr>
                <w:p w14:paraId="2B53B3CD">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w:t>
                  </w:r>
                </w:p>
              </w:tc>
              <w:tc>
                <w:tcPr>
                  <w:tcW w:w="998" w:type="dxa"/>
                  <w:noWrap w:val="0"/>
                  <w:vAlign w:val="center"/>
                </w:tcPr>
                <w:p w14:paraId="02D0CB42">
                  <w:pPr>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切削液</w:t>
                  </w:r>
                </w:p>
              </w:tc>
              <w:tc>
                <w:tcPr>
                  <w:tcW w:w="2721" w:type="dxa"/>
                  <w:noWrap w:val="0"/>
                  <w:vAlign w:val="center"/>
                </w:tcPr>
                <w:p w14:paraId="2AE4E288">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sz w:val="21"/>
                      <w:lang w:val="en-US" w:eastAsia="zh-CN"/>
                    </w:rPr>
                    <w:t>矿物油、水</w:t>
                  </w:r>
                </w:p>
              </w:tc>
              <w:tc>
                <w:tcPr>
                  <w:tcW w:w="1005" w:type="dxa"/>
                  <w:noWrap w:val="0"/>
                  <w:vAlign w:val="center"/>
                </w:tcPr>
                <w:p w14:paraId="111ABED6">
                  <w:pPr>
                    <w:pStyle w:val="45"/>
                    <w:tabs>
                      <w:tab w:val="center" w:pos="4153"/>
                      <w:tab w:val="right" w:pos="8306"/>
                    </w:tabs>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160kg/桶</w:t>
                  </w:r>
                </w:p>
              </w:tc>
              <w:tc>
                <w:tcPr>
                  <w:tcW w:w="813" w:type="dxa"/>
                  <w:noWrap w:val="0"/>
                  <w:vAlign w:val="center"/>
                </w:tcPr>
                <w:p w14:paraId="34C78485">
                  <w:pPr>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w:t>
                  </w:r>
                </w:p>
              </w:tc>
              <w:tc>
                <w:tcPr>
                  <w:tcW w:w="814" w:type="dxa"/>
                  <w:noWrap w:val="0"/>
                  <w:vAlign w:val="center"/>
                </w:tcPr>
                <w:p w14:paraId="42DE846B">
                  <w:pPr>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w:t>
                  </w:r>
                </w:p>
              </w:tc>
              <w:tc>
                <w:tcPr>
                  <w:tcW w:w="813" w:type="dxa"/>
                  <w:noWrap w:val="0"/>
                  <w:vAlign w:val="center"/>
                </w:tcPr>
                <w:p w14:paraId="275A52B5">
                  <w:pPr>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w:t>
                  </w:r>
                </w:p>
              </w:tc>
              <w:tc>
                <w:tcPr>
                  <w:tcW w:w="493" w:type="pct"/>
                  <w:noWrap w:val="0"/>
                  <w:vAlign w:val="center"/>
                </w:tcPr>
                <w:p w14:paraId="61FF1B31">
                  <w:pPr>
                    <w:adjustRightInd w:val="0"/>
                    <w:snapToGrid w:val="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rPr>
                    <w:t>+</w:t>
                  </w:r>
                  <w:r>
                    <w:rPr>
                      <w:rFonts w:hint="default" w:ascii="Times New Roman" w:hAnsi="Times New Roman" w:eastAsia="仿宋" w:cs="Times New Roman"/>
                      <w:color w:val="auto"/>
                      <w:sz w:val="21"/>
                      <w:szCs w:val="21"/>
                    </w:rPr>
                    <w:t>0</w:t>
                  </w:r>
                </w:p>
              </w:tc>
            </w:tr>
          </w:tbl>
          <w:p w14:paraId="7EF61C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仿宋" w:cs="Times New Roman"/>
                <w:b w:val="0"/>
                <w:bCs w:val="0"/>
                <w:color w:val="auto"/>
                <w:sz w:val="24"/>
                <w:lang w:val="en-US" w:eastAsia="zh-CN"/>
              </w:rPr>
            </w:pPr>
          </w:p>
          <w:p w14:paraId="2990E1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仿宋" w:cs="Times New Roman"/>
                <w:b w:val="0"/>
                <w:bCs w:val="0"/>
                <w:color w:val="auto"/>
                <w:sz w:val="24"/>
                <w:lang w:val="en-US" w:eastAsia="zh-CN"/>
              </w:rPr>
            </w:pPr>
            <w:r>
              <w:rPr>
                <w:rFonts w:hint="default" w:ascii="Times New Roman" w:hAnsi="Times New Roman" w:eastAsia="仿宋" w:cs="Times New Roman"/>
                <w:b w:val="0"/>
                <w:bCs w:val="0"/>
                <w:color w:val="auto"/>
                <w:sz w:val="24"/>
                <w:lang w:val="en-US" w:eastAsia="zh-CN"/>
              </w:rPr>
              <w:t>6、现有项目主要设备清单</w:t>
            </w:r>
          </w:p>
          <w:p w14:paraId="2FE7EE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16"/>
                <w:lang w:eastAsia="zh-CN"/>
              </w:rPr>
            </w:pPr>
            <w:r>
              <w:rPr>
                <w:rFonts w:hint="default" w:ascii="Times New Roman" w:hAnsi="Times New Roman" w:eastAsia="仿宋" w:cs="Times New Roman"/>
                <w:b/>
                <w:bCs/>
                <w:color w:val="auto"/>
                <w:sz w:val="21"/>
                <w:szCs w:val="16"/>
              </w:rPr>
              <w:t>表2-</w:t>
            </w:r>
            <w:r>
              <w:rPr>
                <w:rFonts w:hint="default" w:ascii="Times New Roman" w:hAnsi="Times New Roman" w:eastAsia="仿宋" w:cs="Times New Roman"/>
                <w:b/>
                <w:bCs/>
                <w:color w:val="auto"/>
                <w:sz w:val="21"/>
                <w:szCs w:val="16"/>
                <w:lang w:val="en-US" w:eastAsia="zh-CN"/>
              </w:rPr>
              <w:t>12</w:t>
            </w:r>
            <w:r>
              <w:rPr>
                <w:rFonts w:hint="default" w:ascii="Times New Roman" w:hAnsi="Times New Roman" w:eastAsia="仿宋" w:cs="Times New Roman"/>
                <w:b/>
                <w:bCs/>
                <w:color w:val="auto"/>
                <w:sz w:val="21"/>
                <w:szCs w:val="16"/>
              </w:rPr>
              <w:t xml:space="preserve"> </w:t>
            </w:r>
            <w:r>
              <w:rPr>
                <w:rFonts w:hint="default" w:ascii="Times New Roman" w:hAnsi="Times New Roman" w:eastAsia="仿宋" w:cs="Times New Roman"/>
                <w:b/>
                <w:bCs/>
                <w:color w:val="auto"/>
                <w:sz w:val="21"/>
                <w:szCs w:val="16"/>
                <w:lang w:eastAsia="zh-CN"/>
              </w:rPr>
              <w:t>现有</w:t>
            </w:r>
            <w:r>
              <w:rPr>
                <w:rFonts w:hint="default" w:ascii="Times New Roman" w:hAnsi="Times New Roman" w:eastAsia="仿宋" w:cs="Times New Roman"/>
                <w:b/>
                <w:bCs/>
                <w:color w:val="auto"/>
                <w:sz w:val="21"/>
                <w:szCs w:val="16"/>
              </w:rPr>
              <w:t>项</w:t>
            </w:r>
            <w:r>
              <w:rPr>
                <w:rFonts w:hint="default" w:ascii="Times New Roman" w:hAnsi="Times New Roman" w:eastAsia="仿宋" w:cs="Times New Roman"/>
                <w:b/>
                <w:bCs/>
                <w:color w:val="auto"/>
                <w:sz w:val="21"/>
                <w:szCs w:val="16"/>
                <w:lang w:eastAsia="zh-CN"/>
              </w:rPr>
              <w:t>目</w:t>
            </w:r>
            <w:r>
              <w:rPr>
                <w:rFonts w:hint="default" w:ascii="Times New Roman" w:hAnsi="Times New Roman" w:eastAsia="仿宋" w:cs="Times New Roman"/>
                <w:b/>
                <w:bCs/>
                <w:color w:val="auto"/>
                <w:sz w:val="21"/>
                <w:szCs w:val="16"/>
                <w:lang w:val="en-US" w:eastAsia="zh-CN"/>
              </w:rPr>
              <w:t>主要设备一览表</w:t>
            </w:r>
          </w:p>
          <w:tbl>
            <w:tblPr>
              <w:tblStyle w:val="27"/>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2196"/>
              <w:gridCol w:w="1610"/>
              <w:gridCol w:w="1152"/>
              <w:gridCol w:w="1154"/>
              <w:gridCol w:w="1154"/>
            </w:tblGrid>
            <w:tr w14:paraId="693EA1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70" w:type="pct"/>
                  <w:noWrap w:val="0"/>
                  <w:vAlign w:val="center"/>
                </w:tcPr>
                <w:p w14:paraId="1E8DB88A">
                  <w:pPr>
                    <w:jc w:val="center"/>
                    <w:rPr>
                      <w:rFonts w:hint="default" w:ascii="Times New Roman" w:hAnsi="Times New Roman" w:eastAsia="仿宋" w:cs="Times New Roman"/>
                      <w:b/>
                      <w:color w:val="auto"/>
                      <w:sz w:val="21"/>
                      <w:szCs w:val="21"/>
                      <w:lang w:eastAsia="zh-CN"/>
                    </w:rPr>
                  </w:pPr>
                  <w:r>
                    <w:rPr>
                      <w:rFonts w:hint="default" w:ascii="Times New Roman" w:hAnsi="Times New Roman" w:eastAsia="仿宋" w:cs="Times New Roman"/>
                      <w:b/>
                      <w:color w:val="auto"/>
                      <w:sz w:val="21"/>
                      <w:szCs w:val="21"/>
                      <w:lang w:val="en-US" w:eastAsia="zh-CN"/>
                    </w:rPr>
                    <w:t>类型</w:t>
                  </w:r>
                </w:p>
              </w:tc>
              <w:tc>
                <w:tcPr>
                  <w:tcW w:w="1308" w:type="pct"/>
                  <w:noWrap w:val="0"/>
                  <w:vAlign w:val="center"/>
                </w:tcPr>
                <w:p w14:paraId="2991F82F">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设备名称</w:t>
                  </w:r>
                </w:p>
              </w:tc>
              <w:tc>
                <w:tcPr>
                  <w:tcW w:w="959" w:type="pct"/>
                  <w:noWrap w:val="0"/>
                  <w:vAlign w:val="center"/>
                </w:tcPr>
                <w:p w14:paraId="50519CFD">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型号</w:t>
                  </w:r>
                </w:p>
              </w:tc>
              <w:tc>
                <w:tcPr>
                  <w:tcW w:w="686" w:type="pct"/>
                  <w:noWrap w:val="0"/>
                  <w:vAlign w:val="center"/>
                </w:tcPr>
                <w:p w14:paraId="37468D3D">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lang w:val="en-US" w:eastAsia="zh-CN"/>
                    </w:rPr>
                    <w:t>环评（台）</w:t>
                  </w:r>
                </w:p>
              </w:tc>
              <w:tc>
                <w:tcPr>
                  <w:tcW w:w="687" w:type="pct"/>
                  <w:noWrap w:val="0"/>
                  <w:vAlign w:val="center"/>
                </w:tcPr>
                <w:p w14:paraId="5F6B63A9">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lang w:val="en-US" w:eastAsia="zh-CN"/>
                    </w:rPr>
                    <w:t>验收（台）</w:t>
                  </w:r>
                </w:p>
              </w:tc>
              <w:tc>
                <w:tcPr>
                  <w:tcW w:w="687" w:type="pct"/>
                  <w:noWrap w:val="0"/>
                  <w:vAlign w:val="center"/>
                </w:tcPr>
                <w:p w14:paraId="104FD111">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lang w:val="en-US" w:eastAsia="zh-CN"/>
                    </w:rPr>
                    <w:t>现有（台）</w:t>
                  </w:r>
                </w:p>
              </w:tc>
            </w:tr>
            <w:tr w14:paraId="41D684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restart"/>
                  <w:noWrap w:val="0"/>
                  <w:vAlign w:val="center"/>
                </w:tcPr>
                <w:p w14:paraId="303E6F2D">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生产设备</w:t>
                  </w:r>
                </w:p>
              </w:tc>
              <w:tc>
                <w:tcPr>
                  <w:tcW w:w="1308" w:type="pct"/>
                  <w:noWrap w:val="0"/>
                  <w:vAlign w:val="center"/>
                </w:tcPr>
                <w:p w14:paraId="70E8C29C">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卧式车床</w:t>
                  </w:r>
                </w:p>
              </w:tc>
              <w:tc>
                <w:tcPr>
                  <w:tcW w:w="959" w:type="pct"/>
                  <w:noWrap w:val="0"/>
                  <w:vAlign w:val="center"/>
                </w:tcPr>
                <w:p w14:paraId="1EA4BC1A">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rPr>
                    <w:t>CW6180</w:t>
                  </w:r>
                </w:p>
              </w:tc>
              <w:tc>
                <w:tcPr>
                  <w:tcW w:w="686" w:type="pct"/>
                  <w:noWrap w:val="0"/>
                  <w:vAlign w:val="center"/>
                </w:tcPr>
                <w:p w14:paraId="435B6270">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4</w:t>
                  </w:r>
                </w:p>
              </w:tc>
              <w:tc>
                <w:tcPr>
                  <w:tcW w:w="687" w:type="pct"/>
                  <w:noWrap w:val="0"/>
                  <w:vAlign w:val="center"/>
                </w:tcPr>
                <w:p w14:paraId="65536B4F">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kern w:val="2"/>
                      <w:sz w:val="21"/>
                      <w:szCs w:val="21"/>
                      <w:lang w:val="en-US" w:eastAsia="zh-CN" w:bidi="ar-SA"/>
                    </w:rPr>
                    <w:t>4</w:t>
                  </w:r>
                </w:p>
              </w:tc>
              <w:tc>
                <w:tcPr>
                  <w:tcW w:w="687" w:type="pct"/>
                  <w:noWrap w:val="0"/>
                  <w:vAlign w:val="center"/>
                </w:tcPr>
                <w:p w14:paraId="4A48C653">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4</w:t>
                  </w:r>
                </w:p>
              </w:tc>
            </w:tr>
            <w:tr w14:paraId="633DB4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noWrap w:val="0"/>
                  <w:vAlign w:val="center"/>
                </w:tcPr>
                <w:p w14:paraId="58B0757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p>
              </w:tc>
              <w:tc>
                <w:tcPr>
                  <w:tcW w:w="1308" w:type="pct"/>
                  <w:noWrap w:val="0"/>
                  <w:vAlign w:val="center"/>
                </w:tcPr>
                <w:p w14:paraId="744DBB92">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摇臂钻床</w:t>
                  </w:r>
                </w:p>
              </w:tc>
              <w:tc>
                <w:tcPr>
                  <w:tcW w:w="959" w:type="pct"/>
                  <w:noWrap w:val="0"/>
                  <w:vAlign w:val="center"/>
                </w:tcPr>
                <w:p w14:paraId="597885C6">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bidi="ar"/>
                    </w:rPr>
                    <w:t>/</w:t>
                  </w:r>
                </w:p>
              </w:tc>
              <w:tc>
                <w:tcPr>
                  <w:tcW w:w="686" w:type="pct"/>
                  <w:noWrap w:val="0"/>
                  <w:vAlign w:val="center"/>
                </w:tcPr>
                <w:p w14:paraId="20D3531C">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3</w:t>
                  </w:r>
                </w:p>
              </w:tc>
              <w:tc>
                <w:tcPr>
                  <w:tcW w:w="687" w:type="pct"/>
                  <w:noWrap w:val="0"/>
                  <w:vAlign w:val="center"/>
                </w:tcPr>
                <w:p w14:paraId="16DCCC5F">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kern w:val="2"/>
                      <w:sz w:val="21"/>
                      <w:szCs w:val="21"/>
                      <w:lang w:val="en-US" w:eastAsia="zh-CN" w:bidi="ar-SA"/>
                    </w:rPr>
                    <w:t>3</w:t>
                  </w:r>
                </w:p>
              </w:tc>
              <w:tc>
                <w:tcPr>
                  <w:tcW w:w="687" w:type="pct"/>
                  <w:noWrap w:val="0"/>
                  <w:vAlign w:val="center"/>
                </w:tcPr>
                <w:p w14:paraId="6F67BB99">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3</w:t>
                  </w:r>
                </w:p>
              </w:tc>
            </w:tr>
            <w:tr w14:paraId="7F2CC3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noWrap w:val="0"/>
                  <w:vAlign w:val="center"/>
                </w:tcPr>
                <w:p w14:paraId="32EA1819">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p>
              </w:tc>
              <w:tc>
                <w:tcPr>
                  <w:tcW w:w="1308" w:type="pct"/>
                  <w:noWrap w:val="0"/>
                  <w:vAlign w:val="center"/>
                </w:tcPr>
                <w:p w14:paraId="692A514A">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卷板机</w:t>
                  </w:r>
                </w:p>
              </w:tc>
              <w:tc>
                <w:tcPr>
                  <w:tcW w:w="959" w:type="pct"/>
                  <w:noWrap w:val="0"/>
                  <w:vAlign w:val="center"/>
                </w:tcPr>
                <w:p w14:paraId="2CA0D68C">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bidi="ar"/>
                    </w:rPr>
                    <w:t>/</w:t>
                  </w:r>
                </w:p>
              </w:tc>
              <w:tc>
                <w:tcPr>
                  <w:tcW w:w="686" w:type="pct"/>
                  <w:noWrap w:val="0"/>
                  <w:vAlign w:val="center"/>
                </w:tcPr>
                <w:p w14:paraId="45080DEC">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1</w:t>
                  </w:r>
                </w:p>
              </w:tc>
              <w:tc>
                <w:tcPr>
                  <w:tcW w:w="687" w:type="pct"/>
                  <w:noWrap w:val="0"/>
                  <w:vAlign w:val="center"/>
                </w:tcPr>
                <w:p w14:paraId="4206BF19">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1</w:t>
                  </w:r>
                </w:p>
              </w:tc>
              <w:tc>
                <w:tcPr>
                  <w:tcW w:w="687" w:type="pct"/>
                  <w:noWrap w:val="0"/>
                  <w:vAlign w:val="center"/>
                </w:tcPr>
                <w:p w14:paraId="354F600C">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1</w:t>
                  </w:r>
                </w:p>
              </w:tc>
            </w:tr>
            <w:tr w14:paraId="2787A7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noWrap w:val="0"/>
                  <w:vAlign w:val="center"/>
                </w:tcPr>
                <w:p w14:paraId="24B49A6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p>
              </w:tc>
              <w:tc>
                <w:tcPr>
                  <w:tcW w:w="1308" w:type="pct"/>
                  <w:noWrap w:val="0"/>
                  <w:vAlign w:val="center"/>
                </w:tcPr>
                <w:p w14:paraId="03B81B22">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锯床</w:t>
                  </w:r>
                </w:p>
              </w:tc>
              <w:tc>
                <w:tcPr>
                  <w:tcW w:w="959" w:type="pct"/>
                  <w:noWrap w:val="0"/>
                  <w:vAlign w:val="center"/>
                </w:tcPr>
                <w:p w14:paraId="200ADF34">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GW4028</w:t>
                  </w:r>
                </w:p>
              </w:tc>
              <w:tc>
                <w:tcPr>
                  <w:tcW w:w="686" w:type="pct"/>
                  <w:noWrap w:val="0"/>
                  <w:vAlign w:val="center"/>
                </w:tcPr>
                <w:p w14:paraId="7BFF677C">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1</w:t>
                  </w:r>
                </w:p>
              </w:tc>
              <w:tc>
                <w:tcPr>
                  <w:tcW w:w="687" w:type="pct"/>
                  <w:noWrap w:val="0"/>
                  <w:vAlign w:val="center"/>
                </w:tcPr>
                <w:p w14:paraId="086C6613">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1</w:t>
                  </w:r>
                </w:p>
              </w:tc>
              <w:tc>
                <w:tcPr>
                  <w:tcW w:w="687" w:type="pct"/>
                  <w:noWrap w:val="0"/>
                  <w:vAlign w:val="center"/>
                </w:tcPr>
                <w:p w14:paraId="6BACA00B">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1</w:t>
                  </w:r>
                </w:p>
              </w:tc>
            </w:tr>
            <w:tr w14:paraId="634B9E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noWrap w:val="0"/>
                  <w:vAlign w:val="center"/>
                </w:tcPr>
                <w:p w14:paraId="4B37984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p>
              </w:tc>
              <w:tc>
                <w:tcPr>
                  <w:tcW w:w="1308" w:type="pct"/>
                  <w:noWrap w:val="0"/>
                  <w:vAlign w:val="center"/>
                </w:tcPr>
                <w:p w14:paraId="2E42C710">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自动焊机</w:t>
                  </w:r>
                </w:p>
              </w:tc>
              <w:tc>
                <w:tcPr>
                  <w:tcW w:w="959" w:type="pct"/>
                  <w:noWrap w:val="0"/>
                  <w:vAlign w:val="center"/>
                </w:tcPr>
                <w:p w14:paraId="3C77371A">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w:t>
                  </w:r>
                </w:p>
              </w:tc>
              <w:tc>
                <w:tcPr>
                  <w:tcW w:w="686" w:type="pct"/>
                  <w:noWrap w:val="0"/>
                  <w:vAlign w:val="center"/>
                </w:tcPr>
                <w:p w14:paraId="149A87BB">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30</w:t>
                  </w:r>
                </w:p>
              </w:tc>
              <w:tc>
                <w:tcPr>
                  <w:tcW w:w="687" w:type="pct"/>
                  <w:noWrap w:val="0"/>
                  <w:vAlign w:val="center"/>
                </w:tcPr>
                <w:p w14:paraId="1E9943B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30</w:t>
                  </w:r>
                </w:p>
              </w:tc>
              <w:tc>
                <w:tcPr>
                  <w:tcW w:w="687" w:type="pct"/>
                  <w:noWrap w:val="0"/>
                  <w:vAlign w:val="center"/>
                </w:tcPr>
                <w:p w14:paraId="41E9797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r>
            <w:tr w14:paraId="3569B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noWrap w:val="0"/>
                  <w:vAlign w:val="center"/>
                </w:tcPr>
                <w:p w14:paraId="438BF0B1">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p>
              </w:tc>
              <w:tc>
                <w:tcPr>
                  <w:tcW w:w="1308" w:type="pct"/>
                  <w:noWrap w:val="0"/>
                  <w:vAlign w:val="center"/>
                </w:tcPr>
                <w:p w14:paraId="1756FBB3">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氩弧焊机</w:t>
                  </w:r>
                </w:p>
              </w:tc>
              <w:tc>
                <w:tcPr>
                  <w:tcW w:w="959" w:type="pct"/>
                  <w:noWrap w:val="0"/>
                  <w:vAlign w:val="center"/>
                </w:tcPr>
                <w:p w14:paraId="628D78F0">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w:t>
                  </w:r>
                </w:p>
              </w:tc>
              <w:tc>
                <w:tcPr>
                  <w:tcW w:w="686" w:type="pct"/>
                  <w:noWrap w:val="0"/>
                  <w:vAlign w:val="center"/>
                </w:tcPr>
                <w:p w14:paraId="78936782">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i w:val="0"/>
                      <w:iCs w:val="0"/>
                      <w:color w:val="auto"/>
                      <w:kern w:val="0"/>
                      <w:sz w:val="21"/>
                      <w:szCs w:val="21"/>
                      <w:u w:val="none"/>
                      <w:lang w:val="en-US" w:eastAsia="zh-CN" w:bidi="ar"/>
                    </w:rPr>
                    <w:t>40</w:t>
                  </w:r>
                </w:p>
              </w:tc>
              <w:tc>
                <w:tcPr>
                  <w:tcW w:w="687" w:type="pct"/>
                  <w:noWrap w:val="0"/>
                  <w:vAlign w:val="center"/>
                </w:tcPr>
                <w:p w14:paraId="1D416EC1">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i w:val="0"/>
                      <w:iCs w:val="0"/>
                      <w:color w:val="auto"/>
                      <w:kern w:val="0"/>
                      <w:sz w:val="21"/>
                      <w:szCs w:val="21"/>
                      <w:u w:val="none"/>
                      <w:lang w:val="en-US" w:eastAsia="zh-CN" w:bidi="ar"/>
                    </w:rPr>
                    <w:t>40</w:t>
                  </w:r>
                </w:p>
              </w:tc>
              <w:tc>
                <w:tcPr>
                  <w:tcW w:w="687" w:type="pct"/>
                  <w:noWrap w:val="0"/>
                  <w:vAlign w:val="center"/>
                </w:tcPr>
                <w:p w14:paraId="04EA4C7F">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20</w:t>
                  </w:r>
                </w:p>
              </w:tc>
            </w:tr>
            <w:tr w14:paraId="742531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noWrap w:val="0"/>
                  <w:vAlign w:val="center"/>
                </w:tcPr>
                <w:p w14:paraId="36B9309F">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p>
              </w:tc>
              <w:tc>
                <w:tcPr>
                  <w:tcW w:w="1308" w:type="pct"/>
                  <w:noWrap w:val="0"/>
                  <w:vAlign w:val="center"/>
                </w:tcPr>
                <w:p w14:paraId="0773EB27">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气保焊机</w:t>
                  </w:r>
                </w:p>
              </w:tc>
              <w:tc>
                <w:tcPr>
                  <w:tcW w:w="959" w:type="pct"/>
                  <w:noWrap w:val="0"/>
                  <w:vAlign w:val="center"/>
                </w:tcPr>
                <w:p w14:paraId="3214B5D4">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w:t>
                  </w:r>
                </w:p>
              </w:tc>
              <w:tc>
                <w:tcPr>
                  <w:tcW w:w="686" w:type="pct"/>
                  <w:noWrap w:val="0"/>
                  <w:vAlign w:val="center"/>
                </w:tcPr>
                <w:p w14:paraId="463BEB2D">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2</w:t>
                  </w:r>
                </w:p>
              </w:tc>
              <w:tc>
                <w:tcPr>
                  <w:tcW w:w="687" w:type="pct"/>
                  <w:noWrap w:val="0"/>
                  <w:vAlign w:val="center"/>
                </w:tcPr>
                <w:p w14:paraId="38EF9630">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2</w:t>
                  </w:r>
                </w:p>
              </w:tc>
              <w:tc>
                <w:tcPr>
                  <w:tcW w:w="687" w:type="pct"/>
                  <w:noWrap w:val="0"/>
                  <w:vAlign w:val="center"/>
                </w:tcPr>
                <w:p w14:paraId="2C1F7854">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2</w:t>
                  </w:r>
                </w:p>
              </w:tc>
            </w:tr>
            <w:tr w14:paraId="1DCCF3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noWrap w:val="0"/>
                  <w:vAlign w:val="center"/>
                </w:tcPr>
                <w:p w14:paraId="727D938B">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p>
              </w:tc>
              <w:tc>
                <w:tcPr>
                  <w:tcW w:w="1308" w:type="pct"/>
                  <w:noWrap w:val="0"/>
                  <w:vAlign w:val="center"/>
                </w:tcPr>
                <w:p w14:paraId="6C236FE1">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龙门加工中心</w:t>
                  </w:r>
                </w:p>
              </w:tc>
              <w:tc>
                <w:tcPr>
                  <w:tcW w:w="959" w:type="pct"/>
                  <w:noWrap w:val="0"/>
                  <w:vAlign w:val="center"/>
                </w:tcPr>
                <w:p w14:paraId="3FD6AC9F">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bidi="ar"/>
                    </w:rPr>
                    <w:t>/</w:t>
                  </w:r>
                </w:p>
              </w:tc>
              <w:tc>
                <w:tcPr>
                  <w:tcW w:w="686" w:type="pct"/>
                  <w:noWrap w:val="0"/>
                  <w:vAlign w:val="center"/>
                </w:tcPr>
                <w:p w14:paraId="1C8E98C5">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1</w:t>
                  </w:r>
                </w:p>
              </w:tc>
              <w:tc>
                <w:tcPr>
                  <w:tcW w:w="687" w:type="pct"/>
                  <w:noWrap w:val="0"/>
                  <w:vAlign w:val="center"/>
                </w:tcPr>
                <w:p w14:paraId="4F51E0C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1</w:t>
                  </w:r>
                </w:p>
              </w:tc>
              <w:tc>
                <w:tcPr>
                  <w:tcW w:w="687" w:type="pct"/>
                  <w:noWrap w:val="0"/>
                  <w:vAlign w:val="center"/>
                </w:tcPr>
                <w:p w14:paraId="15A1A5EA">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1</w:t>
                  </w:r>
                </w:p>
              </w:tc>
            </w:tr>
            <w:tr w14:paraId="14B470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noWrap w:val="0"/>
                  <w:vAlign w:val="center"/>
                </w:tcPr>
                <w:p w14:paraId="0BAD37EB">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p>
              </w:tc>
              <w:tc>
                <w:tcPr>
                  <w:tcW w:w="1308" w:type="pct"/>
                  <w:noWrap w:val="0"/>
                  <w:vAlign w:val="center"/>
                </w:tcPr>
                <w:p w14:paraId="3C3AD650">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bCs/>
                      <w:color w:val="auto"/>
                      <w:kern w:val="2"/>
                      <w:sz w:val="21"/>
                      <w:szCs w:val="21"/>
                      <w:lang w:val="en-US" w:eastAsia="zh-CN" w:bidi="ar-SA"/>
                    </w:rPr>
                    <w:t>角磨机</w:t>
                  </w:r>
                </w:p>
              </w:tc>
              <w:tc>
                <w:tcPr>
                  <w:tcW w:w="959" w:type="pct"/>
                  <w:noWrap w:val="0"/>
                  <w:vAlign w:val="center"/>
                </w:tcPr>
                <w:p w14:paraId="533A68A4">
                  <w:pPr>
                    <w:keepNext w:val="0"/>
                    <w:keepLines w:val="0"/>
                    <w:widowControl/>
                    <w:suppressLineNumbers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bidi="ar"/>
                    </w:rPr>
                    <w:t>/</w:t>
                  </w:r>
                </w:p>
              </w:tc>
              <w:tc>
                <w:tcPr>
                  <w:tcW w:w="686" w:type="pct"/>
                  <w:noWrap w:val="0"/>
                  <w:vAlign w:val="center"/>
                </w:tcPr>
                <w:p w14:paraId="1A258AA0">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20</w:t>
                  </w:r>
                </w:p>
              </w:tc>
              <w:tc>
                <w:tcPr>
                  <w:tcW w:w="687" w:type="pct"/>
                  <w:noWrap w:val="0"/>
                  <w:vAlign w:val="center"/>
                </w:tcPr>
                <w:p w14:paraId="65EB782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20</w:t>
                  </w:r>
                </w:p>
              </w:tc>
              <w:tc>
                <w:tcPr>
                  <w:tcW w:w="687" w:type="pct"/>
                  <w:noWrap w:val="0"/>
                  <w:vAlign w:val="center"/>
                </w:tcPr>
                <w:p w14:paraId="6BA94B32">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20</w:t>
                  </w:r>
                </w:p>
              </w:tc>
            </w:tr>
            <w:tr w14:paraId="50809E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noWrap w:val="0"/>
                  <w:vAlign w:val="center"/>
                </w:tcPr>
                <w:p w14:paraId="52CC29CF">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公辅设备</w:t>
                  </w:r>
                </w:p>
              </w:tc>
              <w:tc>
                <w:tcPr>
                  <w:tcW w:w="1308" w:type="pct"/>
                  <w:noWrap w:val="0"/>
                  <w:vAlign w:val="center"/>
                </w:tcPr>
                <w:p w14:paraId="58DDC654">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空压机</w:t>
                  </w:r>
                </w:p>
              </w:tc>
              <w:tc>
                <w:tcPr>
                  <w:tcW w:w="959" w:type="pct"/>
                  <w:noWrap w:val="0"/>
                  <w:vAlign w:val="center"/>
                </w:tcPr>
                <w:p w14:paraId="43106495">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lang w:eastAsia="zh-CN"/>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 xml:space="preserve"> /</w:t>
                  </w:r>
                  <w:r>
                    <w:rPr>
                      <w:rFonts w:hint="default" w:ascii="Times New Roman" w:hAnsi="Times New Roman" w:eastAsia="仿宋" w:cs="Times New Roman"/>
                      <w:color w:val="auto"/>
                      <w:sz w:val="21"/>
                      <w:szCs w:val="21"/>
                      <w:lang w:eastAsia="zh-CN"/>
                    </w:rPr>
                    <w:t>m</w:t>
                  </w:r>
                  <w:r>
                    <w:rPr>
                      <w:rFonts w:hint="default" w:ascii="Times New Roman" w:hAnsi="Times New Roman" w:eastAsia="仿宋" w:cs="Times New Roman"/>
                      <w:color w:val="auto"/>
                      <w:sz w:val="21"/>
                      <w:szCs w:val="21"/>
                    </w:rPr>
                    <w:t>in</w:t>
                  </w:r>
                </w:p>
              </w:tc>
              <w:tc>
                <w:tcPr>
                  <w:tcW w:w="686" w:type="pct"/>
                  <w:noWrap w:val="0"/>
                  <w:vAlign w:val="center"/>
                </w:tcPr>
                <w:p w14:paraId="0789E95D">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687" w:type="pct"/>
                  <w:noWrap w:val="0"/>
                  <w:vAlign w:val="center"/>
                </w:tcPr>
                <w:p w14:paraId="14547FF6">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687" w:type="pct"/>
                  <w:noWrap w:val="0"/>
                  <w:vAlign w:val="center"/>
                </w:tcPr>
                <w:p w14:paraId="21129B6E">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r>
          </w:tbl>
          <w:p w14:paraId="62A7AEB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仿宋" w:cs="Times New Roman"/>
                <w:b w:val="0"/>
                <w:bCs w:val="0"/>
                <w:color w:val="auto"/>
                <w:sz w:val="24"/>
                <w:lang w:val="en-US" w:eastAsia="zh-CN"/>
              </w:rPr>
            </w:pPr>
            <w:r>
              <w:rPr>
                <w:rFonts w:hint="default" w:ascii="Times New Roman" w:hAnsi="Times New Roman" w:eastAsia="仿宋" w:cs="Times New Roman"/>
                <w:color w:val="auto"/>
                <w:lang w:val="en-US" w:eastAsia="zh-CN"/>
              </w:rPr>
              <w:t xml:space="preserve"> </w:t>
            </w:r>
            <w:r>
              <w:rPr>
                <w:rFonts w:hint="eastAsia" w:eastAsia="仿宋" w:cs="Times New Roman"/>
                <w:b w:val="0"/>
                <w:bCs w:val="0"/>
                <w:color w:val="auto"/>
                <w:lang w:val="en-US" w:eastAsia="zh-CN"/>
              </w:rPr>
              <w:t>7</w:t>
            </w:r>
            <w:r>
              <w:rPr>
                <w:rFonts w:hint="default" w:ascii="Times New Roman" w:hAnsi="Times New Roman" w:eastAsia="仿宋" w:cs="Times New Roman"/>
                <w:b w:val="0"/>
                <w:bCs w:val="0"/>
                <w:color w:val="auto"/>
                <w:lang w:val="en-US" w:eastAsia="zh-CN"/>
              </w:rPr>
              <w:t>、</w:t>
            </w:r>
            <w:r>
              <w:rPr>
                <w:rFonts w:hint="default" w:ascii="Times New Roman" w:hAnsi="Times New Roman" w:eastAsia="仿宋" w:cs="Times New Roman"/>
                <w:b w:val="0"/>
                <w:bCs w:val="0"/>
                <w:color w:val="auto"/>
                <w:sz w:val="24"/>
                <w:lang w:val="en-US" w:eastAsia="zh-CN"/>
              </w:rPr>
              <w:t>现有项目生产工艺流程</w:t>
            </w:r>
          </w:p>
          <w:p w14:paraId="076F9CE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drawing>
                <wp:inline distT="0" distB="0" distL="114300" distR="114300">
                  <wp:extent cx="0" cy="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0" cy="0"/>
                          </a:xfrm>
                          <a:prstGeom prst="rect">
                            <a:avLst/>
                          </a:prstGeom>
                          <a:noFill/>
                          <a:ln>
                            <a:noFill/>
                          </a:ln>
                        </pic:spPr>
                      </pic:pic>
                    </a:graphicData>
                  </a:graphic>
                </wp:inline>
              </w:drawing>
            </w:r>
            <w:r>
              <w:rPr>
                <w:rFonts w:hint="default" w:ascii="Times New Roman" w:hAnsi="Times New Roman" w:eastAsia="仿宋" w:cs="Times New Roman"/>
                <w:color w:val="auto"/>
              </w:rPr>
              <w:drawing>
                <wp:inline distT="0" distB="0" distL="114300" distR="114300">
                  <wp:extent cx="0" cy="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0" cy="0"/>
                          </a:xfrm>
                          <a:prstGeom prst="rect">
                            <a:avLst/>
                          </a:prstGeom>
                          <a:noFill/>
                          <a:ln>
                            <a:noFill/>
                          </a:ln>
                        </pic:spPr>
                      </pic:pic>
                    </a:graphicData>
                  </a:graphic>
                </wp:inline>
              </w:drawing>
            </w:r>
            <w:r>
              <w:rPr>
                <w:rFonts w:hint="default" w:ascii="Times New Roman" w:hAnsi="Times New Roman" w:eastAsia="仿宋" w:cs="Times New Roman"/>
                <w:color w:val="auto"/>
                <w:lang w:eastAsia="zh-CN"/>
              </w:rPr>
              <w:drawing>
                <wp:inline distT="0" distB="0" distL="114300" distR="114300">
                  <wp:extent cx="3646170" cy="4700905"/>
                  <wp:effectExtent l="0" t="0" r="11430" b="4445"/>
                  <wp:docPr id="6" name="图片 6" descr="微信截图_2024060218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40602182156"/>
                          <pic:cNvPicPr>
                            <a:picLocks noChangeAspect="1"/>
                          </pic:cNvPicPr>
                        </pic:nvPicPr>
                        <pic:blipFill>
                          <a:blip r:embed="rId20"/>
                          <a:stretch>
                            <a:fillRect/>
                          </a:stretch>
                        </pic:blipFill>
                        <pic:spPr>
                          <a:xfrm>
                            <a:off x="0" y="0"/>
                            <a:ext cx="3646170" cy="4700905"/>
                          </a:xfrm>
                          <a:prstGeom prst="rect">
                            <a:avLst/>
                          </a:prstGeom>
                        </pic:spPr>
                      </pic:pic>
                    </a:graphicData>
                  </a:graphic>
                </wp:inline>
              </w:drawing>
            </w:r>
          </w:p>
          <w:p w14:paraId="4C204046">
            <w:pPr>
              <w:keepNext w:val="0"/>
              <w:keepLines w:val="0"/>
              <w:pageBreakBefore w:val="0"/>
              <w:widowControl w:val="0"/>
              <w:kinsoku/>
              <w:wordWrap/>
              <w:overflowPunct/>
              <w:topLinePunct w:val="0"/>
              <w:autoSpaceDE/>
              <w:autoSpaceDN/>
              <w:bidi w:val="0"/>
              <w:adjustRightInd w:val="0"/>
              <w:snapToGrid w:val="0"/>
              <w:spacing w:line="500" w:lineRule="exact"/>
              <w:ind w:left="0" w:right="0"/>
              <w:jc w:val="center"/>
              <w:textAlignment w:val="auto"/>
              <w:rPr>
                <w:rFonts w:hint="default" w:ascii="Times New Roman" w:hAnsi="Times New Roman" w:eastAsia="仿宋" w:cs="Times New Roman"/>
                <w:b/>
                <w:color w:val="auto"/>
                <w:sz w:val="24"/>
                <w:lang w:val="en-US" w:eastAsia="zh-CN"/>
              </w:rPr>
            </w:pPr>
            <w:r>
              <w:rPr>
                <w:rFonts w:hint="default" w:ascii="Times New Roman" w:hAnsi="Times New Roman" w:eastAsia="仿宋" w:cs="Times New Roman"/>
                <w:b/>
                <w:color w:val="auto"/>
                <w:sz w:val="21"/>
                <w:szCs w:val="21"/>
                <w:highlight w:val="none"/>
                <w:lang w:val="en-US" w:eastAsia="zh-CN"/>
              </w:rPr>
              <w:t>图2-</w:t>
            </w:r>
            <w:r>
              <w:rPr>
                <w:rFonts w:hint="eastAsia" w:eastAsia="仿宋" w:cs="Times New Roman"/>
                <w:b/>
                <w:color w:val="auto"/>
                <w:sz w:val="21"/>
                <w:szCs w:val="21"/>
                <w:highlight w:val="none"/>
                <w:lang w:val="en-US" w:eastAsia="zh-CN"/>
              </w:rPr>
              <w:t>4</w:t>
            </w:r>
            <w:r>
              <w:rPr>
                <w:rFonts w:hint="default" w:ascii="Times New Roman" w:hAnsi="Times New Roman" w:eastAsia="仿宋" w:cs="Times New Roman"/>
                <w:b/>
                <w:color w:val="auto"/>
                <w:sz w:val="21"/>
                <w:szCs w:val="21"/>
                <w:highlight w:val="none"/>
                <w:lang w:val="en-US" w:eastAsia="zh-CN"/>
              </w:rPr>
              <w:t xml:space="preserve"> </w:t>
            </w:r>
            <w:r>
              <w:rPr>
                <w:rFonts w:hint="default" w:ascii="Times New Roman" w:hAnsi="Times New Roman" w:eastAsia="仿宋" w:cs="Times New Roman"/>
                <w:b/>
                <w:bCs/>
                <w:color w:val="auto"/>
                <w:sz w:val="21"/>
                <w:szCs w:val="21"/>
                <w:lang w:val="en-US" w:eastAsia="zh-CN"/>
              </w:rPr>
              <w:t>现有项目</w:t>
            </w:r>
            <w:r>
              <w:rPr>
                <w:rFonts w:hint="default" w:ascii="Times New Roman" w:hAnsi="Times New Roman" w:eastAsia="仿宋" w:cs="Times New Roman"/>
                <w:b/>
                <w:color w:val="auto"/>
                <w:sz w:val="21"/>
                <w:szCs w:val="21"/>
                <w:highlight w:val="none"/>
                <w:lang w:val="en-US" w:eastAsia="zh-CN"/>
              </w:rPr>
              <w:t>工艺流程及产污环节图</w:t>
            </w:r>
          </w:p>
          <w:p w14:paraId="4BBD9D02">
            <w:pPr>
              <w:pStyle w:val="106"/>
              <w:spacing w:line="360" w:lineRule="auto"/>
              <w:ind w:firstLine="480" w:firstLineChars="200"/>
              <w:rPr>
                <w:rFonts w:hint="default" w:ascii="Times New Roman" w:hAnsi="Times New Roman" w:eastAsia="仿宋" w:cs="Times New Roman"/>
                <w:b w:val="0"/>
                <w:bCs/>
                <w:color w:val="auto"/>
                <w:kern w:val="2"/>
                <w:sz w:val="24"/>
                <w:szCs w:val="24"/>
                <w:lang w:val="en-US" w:eastAsia="zh-CN" w:bidi="ar-SA"/>
              </w:rPr>
            </w:pPr>
            <w:r>
              <w:rPr>
                <w:rFonts w:hint="eastAsia" w:ascii="Times New Roman" w:hAnsi="Times New Roman" w:eastAsia="仿宋" w:cs="Times New Roman"/>
                <w:b w:val="0"/>
                <w:bCs/>
                <w:color w:val="auto"/>
                <w:kern w:val="2"/>
                <w:sz w:val="24"/>
                <w:szCs w:val="24"/>
                <w:lang w:val="en-US" w:eastAsia="zh-CN" w:bidi="ar-SA"/>
              </w:rPr>
              <w:t>生产工艺简述：</w:t>
            </w:r>
          </w:p>
          <w:p w14:paraId="3A73B17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rFonts w:hint="default" w:ascii="Times New Roman" w:hAnsi="Times New Roman" w:eastAsia="仿宋" w:cs="Times New Roman"/>
                <w:b w:val="0"/>
                <w:bCs/>
                <w:color w:val="auto"/>
                <w:kern w:val="2"/>
                <w:sz w:val="24"/>
                <w:szCs w:val="24"/>
                <w:lang w:val="en-US" w:eastAsia="zh-CN" w:bidi="ar-SA"/>
              </w:rPr>
            </w:pPr>
            <w:r>
              <w:rPr>
                <w:rFonts w:hint="default" w:ascii="Times New Roman" w:hAnsi="Times New Roman" w:eastAsia="仿宋" w:cs="Times New Roman"/>
                <w:b w:val="0"/>
                <w:bCs/>
                <w:color w:val="auto"/>
                <w:kern w:val="2"/>
                <w:sz w:val="24"/>
                <w:szCs w:val="24"/>
                <w:lang w:val="en-US" w:eastAsia="zh-CN" w:bidi="ar-SA"/>
              </w:rPr>
              <w:t>(1)下料:对外购的钢材按照工艺要求进行下料。此环节产生噪声、边角废料。</w:t>
            </w:r>
          </w:p>
          <w:p w14:paraId="658454B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rFonts w:hint="default" w:ascii="Times New Roman" w:hAnsi="Times New Roman" w:eastAsia="仿宋" w:cs="Times New Roman"/>
                <w:b w:val="0"/>
                <w:bCs/>
                <w:color w:val="auto"/>
                <w:kern w:val="2"/>
                <w:sz w:val="24"/>
                <w:szCs w:val="24"/>
                <w:lang w:val="en-US" w:eastAsia="zh-CN" w:bidi="ar-SA"/>
              </w:rPr>
            </w:pPr>
            <w:r>
              <w:rPr>
                <w:rFonts w:hint="default" w:ascii="Times New Roman" w:hAnsi="Times New Roman" w:eastAsia="仿宋" w:cs="Times New Roman"/>
                <w:b w:val="0"/>
                <w:bCs/>
                <w:color w:val="auto"/>
                <w:kern w:val="2"/>
                <w:sz w:val="24"/>
                <w:szCs w:val="24"/>
                <w:lang w:val="en-US" w:eastAsia="zh-CN" w:bidi="ar-SA"/>
              </w:rPr>
              <w:t>(2)卷板:对下料后的工件进行卷板。此环节产生噪声。</w:t>
            </w:r>
          </w:p>
          <w:p w14:paraId="0984215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rFonts w:hint="default" w:ascii="Times New Roman" w:hAnsi="Times New Roman" w:eastAsia="仿宋" w:cs="Times New Roman"/>
                <w:b w:val="0"/>
                <w:bCs/>
                <w:color w:val="auto"/>
                <w:kern w:val="2"/>
                <w:sz w:val="24"/>
                <w:szCs w:val="24"/>
                <w:lang w:val="en-US" w:eastAsia="zh-CN" w:bidi="ar-SA"/>
              </w:rPr>
            </w:pPr>
            <w:r>
              <w:rPr>
                <w:rFonts w:hint="default" w:ascii="Times New Roman" w:hAnsi="Times New Roman" w:eastAsia="仿宋" w:cs="Times New Roman"/>
                <w:b w:val="0"/>
                <w:bCs/>
                <w:color w:val="auto"/>
                <w:kern w:val="2"/>
                <w:sz w:val="24"/>
                <w:szCs w:val="24"/>
                <w:lang w:val="en-US" w:eastAsia="zh-CN" w:bidi="ar-SA"/>
              </w:rPr>
              <w:t>(3)拼装焊接:对卷板后的工件进行拼装焊接加工。此环节产生噪声、烟尘、废</w:t>
            </w:r>
          </w:p>
          <w:p w14:paraId="33E3EF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仿宋" w:cs="Times New Roman"/>
                <w:b w:val="0"/>
                <w:bCs/>
                <w:color w:val="auto"/>
                <w:kern w:val="2"/>
                <w:sz w:val="24"/>
                <w:szCs w:val="24"/>
                <w:lang w:val="en-US" w:eastAsia="zh-CN" w:bidi="ar-SA"/>
              </w:rPr>
            </w:pPr>
            <w:r>
              <w:rPr>
                <w:rFonts w:hint="default" w:ascii="Times New Roman" w:hAnsi="Times New Roman" w:eastAsia="仿宋" w:cs="Times New Roman"/>
                <w:b w:val="0"/>
                <w:bCs/>
                <w:color w:val="auto"/>
                <w:kern w:val="2"/>
                <w:sz w:val="24"/>
                <w:szCs w:val="24"/>
                <w:lang w:val="en-US" w:eastAsia="zh-CN" w:bidi="ar-SA"/>
              </w:rPr>
              <w:t>焊材。</w:t>
            </w:r>
          </w:p>
          <w:p w14:paraId="7C7991F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rFonts w:hint="default" w:ascii="Times New Roman" w:hAnsi="Times New Roman" w:eastAsia="仿宋" w:cs="Times New Roman"/>
                <w:b w:val="0"/>
                <w:bCs/>
                <w:color w:val="auto"/>
                <w:kern w:val="2"/>
                <w:sz w:val="24"/>
                <w:szCs w:val="24"/>
                <w:lang w:val="en-US" w:eastAsia="zh-CN" w:bidi="ar-SA"/>
              </w:rPr>
            </w:pPr>
            <w:r>
              <w:rPr>
                <w:rFonts w:hint="default" w:ascii="Times New Roman" w:hAnsi="Times New Roman" w:eastAsia="仿宋" w:cs="Times New Roman"/>
                <w:b w:val="0"/>
                <w:bCs/>
                <w:color w:val="auto"/>
                <w:kern w:val="2"/>
                <w:sz w:val="24"/>
                <w:szCs w:val="24"/>
                <w:lang w:val="en-US" w:eastAsia="zh-CN" w:bidi="ar-SA"/>
              </w:rPr>
              <w:t>(4)打磨:对少量不平整的工件进行打磨处理。此环节产生噪声、粉尘。</w:t>
            </w:r>
          </w:p>
          <w:p w14:paraId="4D1654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rFonts w:hint="default" w:ascii="Times New Roman" w:hAnsi="Times New Roman" w:eastAsia="仿宋" w:cs="Times New Roman"/>
                <w:b w:val="0"/>
                <w:bCs/>
                <w:color w:val="auto"/>
                <w:kern w:val="2"/>
                <w:sz w:val="24"/>
                <w:szCs w:val="24"/>
                <w:lang w:val="en-US" w:eastAsia="zh-CN" w:bidi="ar-SA"/>
              </w:rPr>
            </w:pPr>
            <w:r>
              <w:rPr>
                <w:rFonts w:hint="default" w:ascii="Times New Roman" w:hAnsi="Times New Roman" w:eastAsia="仿宋" w:cs="Times New Roman"/>
                <w:b w:val="0"/>
                <w:bCs/>
                <w:color w:val="auto"/>
                <w:kern w:val="2"/>
                <w:sz w:val="24"/>
                <w:szCs w:val="24"/>
                <w:lang w:val="en-US" w:eastAsia="zh-CN" w:bidi="ar-SA"/>
              </w:rPr>
              <w:t>(5)检验:对打磨后的工件进行检验，对不合格品再次进行焊接。</w:t>
            </w:r>
          </w:p>
          <w:p w14:paraId="68DDFC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rFonts w:hint="default" w:ascii="Times New Roman" w:hAnsi="Times New Roman" w:eastAsia="仿宋" w:cs="Times New Roman"/>
                <w:b w:val="0"/>
                <w:bCs/>
                <w:color w:val="auto"/>
                <w:kern w:val="2"/>
                <w:sz w:val="24"/>
                <w:szCs w:val="24"/>
                <w:lang w:val="en-US" w:eastAsia="zh-CN" w:bidi="ar-SA"/>
              </w:rPr>
            </w:pPr>
            <w:r>
              <w:rPr>
                <w:rFonts w:hint="default" w:ascii="Times New Roman" w:hAnsi="Times New Roman" w:eastAsia="仿宋" w:cs="Times New Roman"/>
                <w:b w:val="0"/>
                <w:bCs/>
                <w:color w:val="auto"/>
                <w:kern w:val="2"/>
                <w:sz w:val="24"/>
                <w:szCs w:val="24"/>
                <w:lang w:val="en-US" w:eastAsia="zh-CN" w:bidi="ar-SA"/>
              </w:rPr>
              <w:t>(6)车加工:标准配件用车床、钻床进行加工，此环节产生噪声、废切削液。</w:t>
            </w:r>
          </w:p>
          <w:p w14:paraId="5760C64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rFonts w:hint="default" w:ascii="Times New Roman" w:hAnsi="Times New Roman" w:eastAsia="仿宋" w:cs="Times New Roman"/>
                <w:b w:val="0"/>
                <w:bCs/>
                <w:color w:val="auto"/>
                <w:kern w:val="2"/>
                <w:sz w:val="24"/>
                <w:szCs w:val="24"/>
                <w:lang w:val="en-US" w:eastAsia="zh-CN" w:bidi="ar-SA"/>
              </w:rPr>
            </w:pPr>
            <w:r>
              <w:rPr>
                <w:rFonts w:hint="default" w:ascii="Times New Roman" w:hAnsi="Times New Roman" w:eastAsia="仿宋" w:cs="Times New Roman"/>
                <w:b w:val="0"/>
                <w:bCs/>
                <w:color w:val="auto"/>
                <w:kern w:val="2"/>
                <w:sz w:val="24"/>
                <w:szCs w:val="24"/>
                <w:lang w:val="en-US" w:eastAsia="zh-CN" w:bidi="ar-SA"/>
              </w:rPr>
              <w:t>(7)组装:对检验合格后的工件与标准配件进行组装。</w:t>
            </w:r>
          </w:p>
          <w:p w14:paraId="0D493F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rFonts w:hint="default" w:ascii="Times New Roman" w:hAnsi="Times New Roman" w:eastAsia="仿宋" w:cs="Times New Roman"/>
                <w:b w:val="0"/>
                <w:bCs/>
                <w:color w:val="auto"/>
                <w:kern w:val="2"/>
                <w:sz w:val="24"/>
                <w:szCs w:val="24"/>
                <w:lang w:val="en-US" w:eastAsia="zh-CN" w:bidi="ar-SA"/>
              </w:rPr>
            </w:pPr>
            <w:r>
              <w:rPr>
                <w:rFonts w:hint="default" w:ascii="Times New Roman" w:hAnsi="Times New Roman" w:eastAsia="仿宋" w:cs="Times New Roman"/>
                <w:b w:val="0"/>
                <w:bCs/>
                <w:color w:val="auto"/>
                <w:kern w:val="2"/>
                <w:sz w:val="24"/>
                <w:szCs w:val="24"/>
                <w:lang w:val="en-US" w:eastAsia="zh-CN" w:bidi="ar-SA"/>
              </w:rPr>
              <w:t>(8)包装:组装完成后进行包装，包装完成即为成品。</w:t>
            </w:r>
          </w:p>
          <w:p w14:paraId="650DCF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rFonts w:hint="default" w:ascii="Times New Roman" w:hAnsi="Times New Roman" w:eastAsia="仿宋" w:cs="Times New Roman"/>
                <w:b w:val="0"/>
                <w:bCs/>
                <w:color w:val="auto"/>
                <w:sz w:val="24"/>
                <w:lang w:eastAsia="zh-CN"/>
              </w:rPr>
            </w:pPr>
            <w:r>
              <w:rPr>
                <w:rFonts w:hint="eastAsia" w:eastAsia="仿宋" w:cs="Times New Roman"/>
                <w:b w:val="0"/>
                <w:bCs/>
                <w:color w:val="auto"/>
                <w:sz w:val="24"/>
                <w:lang w:val="en-US" w:eastAsia="zh-CN"/>
              </w:rPr>
              <w:t>8</w:t>
            </w:r>
            <w:r>
              <w:rPr>
                <w:rFonts w:hint="default" w:ascii="Times New Roman" w:hAnsi="Times New Roman" w:eastAsia="仿宋" w:cs="Times New Roman"/>
                <w:b w:val="0"/>
                <w:bCs/>
                <w:color w:val="auto"/>
                <w:sz w:val="24"/>
                <w:lang w:val="en-US" w:eastAsia="zh-CN"/>
              </w:rPr>
              <w:t>、现有</w:t>
            </w:r>
            <w:r>
              <w:rPr>
                <w:rFonts w:hint="default" w:ascii="Times New Roman" w:hAnsi="Times New Roman" w:eastAsia="仿宋" w:cs="Times New Roman"/>
                <w:b w:val="0"/>
                <w:bCs/>
                <w:color w:val="auto"/>
                <w:sz w:val="24"/>
              </w:rPr>
              <w:t>项目污染物</w:t>
            </w:r>
            <w:r>
              <w:rPr>
                <w:rFonts w:hint="default" w:ascii="Times New Roman" w:hAnsi="Times New Roman" w:eastAsia="仿宋" w:cs="Times New Roman"/>
                <w:b w:val="0"/>
                <w:bCs/>
                <w:color w:val="auto"/>
                <w:sz w:val="24"/>
                <w:lang w:val="en-US" w:eastAsia="zh-CN"/>
              </w:rPr>
              <w:t>实际排放总量</w:t>
            </w:r>
          </w:p>
          <w:p w14:paraId="245339F2">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eastAsia="zh-CN"/>
              </w:rPr>
              <w:t>（</w:t>
            </w:r>
            <w:r>
              <w:rPr>
                <w:rFonts w:hint="default" w:ascii="Times New Roman" w:hAnsi="Times New Roman" w:eastAsia="仿宋" w:cs="Times New Roman"/>
                <w:b/>
                <w:color w:val="auto"/>
                <w:sz w:val="24"/>
                <w:lang w:val="en-US" w:eastAsia="zh-CN"/>
              </w:rPr>
              <w:t>1</w:t>
            </w:r>
            <w:r>
              <w:rPr>
                <w:rFonts w:hint="default" w:ascii="Times New Roman" w:hAnsi="Times New Roman" w:eastAsia="仿宋" w:cs="Times New Roman"/>
                <w:b/>
                <w:color w:val="auto"/>
                <w:sz w:val="24"/>
                <w:lang w:eastAsia="zh-CN"/>
              </w:rPr>
              <w:t>）</w:t>
            </w:r>
            <w:r>
              <w:rPr>
                <w:rFonts w:hint="default" w:ascii="Times New Roman" w:hAnsi="Times New Roman" w:eastAsia="仿宋" w:cs="Times New Roman"/>
                <w:b/>
                <w:color w:val="auto"/>
                <w:sz w:val="24"/>
              </w:rPr>
              <w:t>废水</w:t>
            </w:r>
          </w:p>
          <w:p w14:paraId="1FF00A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①废水治理措施</w:t>
            </w:r>
          </w:p>
          <w:p w14:paraId="4BAC77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现有项目厂区实行“雨污分流”，</w:t>
            </w:r>
            <w:r>
              <w:rPr>
                <w:rFonts w:hint="default" w:ascii="Times New Roman" w:hAnsi="Times New Roman" w:eastAsia="仿宋" w:cs="Times New Roman"/>
                <w:color w:val="FF0000"/>
                <w:kern w:val="2"/>
                <w:sz w:val="24"/>
                <w:szCs w:val="24"/>
                <w:lang w:val="en-US" w:eastAsia="zh-CN" w:bidi="ar-SA"/>
              </w:rPr>
              <w:t>厂区雨水经雨水排放口排入园区市政雨水管网，最终进入附近河流</w:t>
            </w:r>
            <w:r>
              <w:rPr>
                <w:rFonts w:hint="eastAsia" w:eastAsia="仿宋" w:cs="Times New Roman"/>
                <w:color w:val="FF0000"/>
                <w:kern w:val="2"/>
                <w:sz w:val="24"/>
                <w:szCs w:val="24"/>
                <w:lang w:val="en-US" w:eastAsia="zh-CN" w:bidi="ar-SA"/>
              </w:rPr>
              <w:t>；</w:t>
            </w:r>
            <w:r>
              <w:rPr>
                <w:rFonts w:hint="default" w:ascii="Times New Roman" w:hAnsi="Times New Roman" w:eastAsia="仿宋" w:cs="Times New Roman"/>
                <w:color w:val="auto"/>
                <w:kern w:val="2"/>
                <w:sz w:val="24"/>
                <w:szCs w:val="24"/>
                <w:lang w:val="en-US" w:eastAsia="zh-CN" w:bidi="ar-SA"/>
              </w:rPr>
              <w:t>现有项目</w:t>
            </w:r>
            <w:r>
              <w:rPr>
                <w:rFonts w:hint="eastAsia" w:eastAsia="仿宋" w:cs="Times New Roman"/>
                <w:color w:val="auto"/>
                <w:kern w:val="2"/>
                <w:sz w:val="24"/>
                <w:szCs w:val="24"/>
                <w:lang w:val="en-US" w:eastAsia="zh-CN" w:bidi="ar-SA"/>
              </w:rPr>
              <w:t>生活污水</w:t>
            </w:r>
            <w:r>
              <w:rPr>
                <w:rFonts w:hint="default" w:ascii="Times New Roman" w:hAnsi="Times New Roman" w:eastAsia="仿宋" w:cs="Times New Roman"/>
                <w:color w:val="auto"/>
                <w:kern w:val="2"/>
                <w:sz w:val="24"/>
                <w:szCs w:val="24"/>
                <w:lang w:val="en-US" w:eastAsia="zh-CN" w:bidi="ar-SA"/>
              </w:rPr>
              <w:t>经污水管网接管至</w:t>
            </w:r>
            <w:r>
              <w:rPr>
                <w:rFonts w:hint="default" w:ascii="Times New Roman" w:hAnsi="Times New Roman" w:eastAsia="仿宋" w:cs="Times New Roman"/>
                <w:color w:val="auto"/>
                <w:sz w:val="24"/>
                <w:highlight w:val="none"/>
              </w:rPr>
              <w:t>常州</w:t>
            </w:r>
            <w:r>
              <w:rPr>
                <w:rFonts w:hint="default" w:ascii="Times New Roman" w:hAnsi="Times New Roman" w:eastAsia="仿宋" w:cs="Times New Roman"/>
                <w:color w:val="auto"/>
                <w:sz w:val="24"/>
                <w:highlight w:val="none"/>
                <w:lang w:eastAsia="zh-CN"/>
              </w:rPr>
              <w:t>金坛区茅东污水处理厂</w:t>
            </w:r>
            <w:r>
              <w:rPr>
                <w:rFonts w:hint="default" w:ascii="Times New Roman" w:hAnsi="Times New Roman" w:eastAsia="仿宋" w:cs="Times New Roman"/>
                <w:color w:val="auto"/>
                <w:kern w:val="2"/>
                <w:sz w:val="24"/>
                <w:szCs w:val="24"/>
                <w:lang w:val="en-US" w:eastAsia="zh-CN" w:bidi="ar-SA"/>
              </w:rPr>
              <w:t>集中处理。</w:t>
            </w:r>
          </w:p>
          <w:p w14:paraId="07B985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②废水达标检测</w:t>
            </w:r>
          </w:p>
          <w:p w14:paraId="0AF37D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根据</w:t>
            </w:r>
            <w:r>
              <w:rPr>
                <w:rFonts w:hint="default" w:ascii="Times New Roman" w:hAnsi="Times New Roman" w:eastAsia="仿宋" w:cs="Times New Roman"/>
                <w:color w:val="auto"/>
                <w:sz w:val="24"/>
                <w:lang w:val="en-US" w:eastAsia="zh-CN"/>
              </w:rPr>
              <w:t>江苏久诚检验检测有限公司</w:t>
            </w:r>
            <w:r>
              <w:rPr>
                <w:rFonts w:hint="default" w:ascii="Times New Roman" w:hAnsi="Times New Roman" w:eastAsia="仿宋" w:cs="Times New Roman"/>
                <w:color w:val="auto"/>
                <w:kern w:val="2"/>
                <w:sz w:val="24"/>
                <w:szCs w:val="24"/>
                <w:lang w:val="en-US" w:eastAsia="zh-CN" w:bidi="ar-SA"/>
              </w:rPr>
              <w:t>出具的检测报告（</w:t>
            </w:r>
            <w:r>
              <w:rPr>
                <w:rFonts w:hint="eastAsia" w:eastAsia="仿宋" w:cs="Times New Roman"/>
                <w:color w:val="auto"/>
                <w:kern w:val="2"/>
                <w:sz w:val="24"/>
                <w:szCs w:val="24"/>
                <w:lang w:val="en-US" w:eastAsia="zh-CN" w:bidi="ar-SA"/>
              </w:rPr>
              <w:t>NJADT2403010401</w:t>
            </w:r>
            <w:r>
              <w:rPr>
                <w:rFonts w:hint="default" w:ascii="Times New Roman" w:hAnsi="Times New Roman" w:eastAsia="仿宋" w:cs="Times New Roman"/>
                <w:color w:val="auto"/>
                <w:kern w:val="2"/>
                <w:sz w:val="24"/>
                <w:szCs w:val="24"/>
                <w:lang w:val="en-US" w:eastAsia="zh-CN" w:bidi="ar-SA"/>
              </w:rPr>
              <w:t>），废水监测排放情况如下：</w:t>
            </w:r>
          </w:p>
          <w:p w14:paraId="31EE6520">
            <w:pPr>
              <w:pStyle w:val="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仿宋" w:cs="Times New Roman"/>
                <w:b/>
                <w:color w:val="auto"/>
                <w:szCs w:val="21"/>
                <w:lang w:val="en-US"/>
              </w:rPr>
            </w:pPr>
            <w:r>
              <w:rPr>
                <w:rFonts w:hint="default" w:ascii="Times New Roman" w:hAnsi="Times New Roman" w:eastAsia="仿宋" w:cs="Times New Roman"/>
                <w:b/>
                <w:color w:val="auto"/>
                <w:szCs w:val="21"/>
              </w:rPr>
              <w:t>表2-</w:t>
            </w:r>
            <w:r>
              <w:rPr>
                <w:rFonts w:hint="default" w:ascii="Times New Roman" w:hAnsi="Times New Roman" w:eastAsia="仿宋" w:cs="Times New Roman"/>
                <w:b/>
                <w:color w:val="auto"/>
                <w:szCs w:val="21"/>
                <w:lang w:val="en-US" w:eastAsia="zh-CN"/>
              </w:rPr>
              <w:t>1</w:t>
            </w:r>
            <w:r>
              <w:rPr>
                <w:rFonts w:hint="eastAsia" w:ascii="Times New Roman" w:hAnsi="Times New Roman" w:eastAsia="仿宋" w:cs="Times New Roman"/>
                <w:b/>
                <w:color w:val="auto"/>
                <w:szCs w:val="21"/>
                <w:lang w:val="en-US" w:eastAsia="zh-CN"/>
              </w:rPr>
              <w:t>3</w:t>
            </w:r>
            <w:r>
              <w:rPr>
                <w:rFonts w:hint="default" w:ascii="Times New Roman" w:hAnsi="Times New Roman" w:eastAsia="仿宋" w:cs="Times New Roman"/>
                <w:b/>
                <w:color w:val="auto"/>
                <w:szCs w:val="21"/>
                <w:lang w:val="en-US" w:eastAsia="zh-CN"/>
              </w:rPr>
              <w:t xml:space="preserve"> </w:t>
            </w:r>
            <w:r>
              <w:rPr>
                <w:rFonts w:hint="default" w:ascii="Times New Roman" w:hAnsi="Times New Roman" w:eastAsia="仿宋" w:cs="Times New Roman"/>
                <w:b/>
                <w:color w:val="auto"/>
                <w:szCs w:val="21"/>
              </w:rPr>
              <w:t xml:space="preserve"> </w:t>
            </w:r>
            <w:r>
              <w:rPr>
                <w:rFonts w:hint="default" w:ascii="Times New Roman" w:hAnsi="Times New Roman" w:eastAsia="仿宋" w:cs="Times New Roman"/>
                <w:b/>
                <w:color w:val="auto"/>
                <w:szCs w:val="21"/>
                <w:lang w:val="en-US" w:eastAsia="zh-CN"/>
              </w:rPr>
              <w:t>现有</w:t>
            </w:r>
            <w:r>
              <w:rPr>
                <w:rFonts w:hint="default" w:ascii="Times New Roman" w:hAnsi="Times New Roman" w:eastAsia="仿宋" w:cs="Times New Roman"/>
                <w:b/>
                <w:color w:val="auto"/>
                <w:szCs w:val="21"/>
              </w:rPr>
              <w:t>项目废水排放</w:t>
            </w:r>
            <w:r>
              <w:rPr>
                <w:rFonts w:hint="default" w:ascii="Times New Roman" w:hAnsi="Times New Roman" w:eastAsia="仿宋" w:cs="Times New Roman"/>
                <w:b/>
                <w:color w:val="auto"/>
                <w:szCs w:val="21"/>
                <w:lang w:val="en-US" w:eastAsia="zh-CN"/>
              </w:rPr>
              <w:t>监测结果  （mg/L）</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1167"/>
              <w:gridCol w:w="2030"/>
              <w:gridCol w:w="1993"/>
              <w:gridCol w:w="1601"/>
            </w:tblGrid>
            <w:tr w14:paraId="24BD9C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4" w:type="pct"/>
                  <w:vAlign w:val="center"/>
                </w:tcPr>
                <w:p w14:paraId="093B15ED">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检测日期</w:t>
                  </w:r>
                </w:p>
              </w:tc>
              <w:tc>
                <w:tcPr>
                  <w:tcW w:w="695" w:type="pct"/>
                  <w:vAlign w:val="center"/>
                </w:tcPr>
                <w:p w14:paraId="16031094">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污染源</w:t>
                  </w:r>
                </w:p>
              </w:tc>
              <w:tc>
                <w:tcPr>
                  <w:tcW w:w="1209" w:type="pct"/>
                  <w:vAlign w:val="center"/>
                </w:tcPr>
                <w:p w14:paraId="36DC011F">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color w:val="auto"/>
                      <w:kern w:val="2"/>
                      <w:sz w:val="21"/>
                      <w:szCs w:val="21"/>
                      <w:lang w:val="en-US" w:eastAsia="zh-CN" w:bidi="ar-SA"/>
                    </w:rPr>
                  </w:pPr>
                  <w:r>
                    <w:rPr>
                      <w:rFonts w:hint="default" w:ascii="Times New Roman" w:hAnsi="Times New Roman" w:eastAsia="仿宋" w:cs="Times New Roman"/>
                      <w:b/>
                      <w:color w:val="auto"/>
                      <w:szCs w:val="21"/>
                      <w:lang w:val="en-US" w:eastAsia="zh-CN"/>
                    </w:rPr>
                    <w:t>污染物名称</w:t>
                  </w:r>
                </w:p>
              </w:tc>
              <w:tc>
                <w:tcPr>
                  <w:tcW w:w="1187" w:type="pct"/>
                  <w:vAlign w:val="center"/>
                </w:tcPr>
                <w:p w14:paraId="3EE3445F">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color w:val="auto"/>
                      <w:kern w:val="2"/>
                      <w:sz w:val="21"/>
                      <w:szCs w:val="21"/>
                      <w:lang w:val="en-US" w:eastAsia="zh-CN" w:bidi="ar-SA"/>
                    </w:rPr>
                  </w:pPr>
                  <w:r>
                    <w:rPr>
                      <w:rFonts w:hint="default" w:ascii="Times New Roman" w:hAnsi="Times New Roman" w:eastAsia="仿宋" w:cs="Times New Roman"/>
                      <w:b/>
                      <w:color w:val="auto"/>
                      <w:szCs w:val="21"/>
                      <w:lang w:val="en-US" w:eastAsia="zh-CN"/>
                    </w:rPr>
                    <w:t>监测结果</w:t>
                  </w:r>
                </w:p>
              </w:tc>
              <w:tc>
                <w:tcPr>
                  <w:tcW w:w="953" w:type="pct"/>
                  <w:vAlign w:val="center"/>
                </w:tcPr>
                <w:p w14:paraId="3EA0895F">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执行标准</w:t>
                  </w:r>
                </w:p>
              </w:tc>
            </w:tr>
            <w:tr w14:paraId="1AA86F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4" w:type="pct"/>
                  <w:vMerge w:val="restart"/>
                  <w:vAlign w:val="center"/>
                </w:tcPr>
                <w:p w14:paraId="1C1BE0E5">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4.</w:t>
                  </w:r>
                  <w:r>
                    <w:rPr>
                      <w:rFonts w:hint="eastAsia" w:eastAsia="仿宋" w:cs="Times New Roman"/>
                      <w:color w:val="auto"/>
                      <w:sz w:val="21"/>
                      <w:szCs w:val="21"/>
                      <w:lang w:val="en-US" w:eastAsia="zh-CN"/>
                    </w:rPr>
                    <w:t>8.13</w:t>
                  </w:r>
                </w:p>
              </w:tc>
              <w:tc>
                <w:tcPr>
                  <w:tcW w:w="695" w:type="pct"/>
                  <w:vMerge w:val="restart"/>
                  <w:vAlign w:val="center"/>
                </w:tcPr>
                <w:p w14:paraId="20EC9F37">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厂区总排口</w:t>
                  </w:r>
                </w:p>
              </w:tc>
              <w:tc>
                <w:tcPr>
                  <w:tcW w:w="1209" w:type="pct"/>
                  <w:vAlign w:val="center"/>
                </w:tcPr>
                <w:p w14:paraId="3AE20E4E">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val="0"/>
                      <w:bCs w:val="0"/>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lang w:val="en-US" w:eastAsia="zh-CN" w:bidi="ar-SA"/>
                    </w:rPr>
                    <w:t>pH（无量纲）</w:t>
                  </w:r>
                </w:p>
              </w:tc>
              <w:tc>
                <w:tcPr>
                  <w:tcW w:w="1187" w:type="pct"/>
                  <w:vAlign w:val="center"/>
                </w:tcPr>
                <w:p w14:paraId="7CBC9D8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6.9-7.4</w:t>
                  </w:r>
                </w:p>
              </w:tc>
              <w:tc>
                <w:tcPr>
                  <w:tcW w:w="953" w:type="pct"/>
                  <w:vAlign w:val="center"/>
                </w:tcPr>
                <w:p w14:paraId="2D7A0034">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w:t>
                  </w:r>
                  <w:r>
                    <w:rPr>
                      <w:rFonts w:hint="default" w:ascii="Times New Roman" w:hAnsi="Times New Roman" w:eastAsia="仿宋" w:cs="Times New Roman"/>
                      <w:color w:val="auto"/>
                      <w:szCs w:val="21"/>
                      <w:lang w:val="en-US" w:eastAsia="zh-CN"/>
                    </w:rPr>
                    <w:t>~</w:t>
                  </w:r>
                  <w:r>
                    <w:rPr>
                      <w:rFonts w:hint="default" w:ascii="Times New Roman" w:hAnsi="Times New Roman" w:eastAsia="仿宋" w:cs="Times New Roman"/>
                      <w:color w:val="auto"/>
                      <w:kern w:val="2"/>
                      <w:sz w:val="21"/>
                      <w:szCs w:val="21"/>
                      <w:lang w:val="en-US" w:eastAsia="zh-CN" w:bidi="ar-SA"/>
                    </w:rPr>
                    <w:t>9</w:t>
                  </w:r>
                </w:p>
              </w:tc>
            </w:tr>
            <w:tr w14:paraId="5CCFC6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54" w:type="pct"/>
                  <w:vMerge w:val="continue"/>
                  <w:vAlign w:val="center"/>
                </w:tcPr>
                <w:p w14:paraId="18FCBD66">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p>
              </w:tc>
              <w:tc>
                <w:tcPr>
                  <w:tcW w:w="695" w:type="pct"/>
                  <w:vMerge w:val="continue"/>
                  <w:vAlign w:val="center"/>
                </w:tcPr>
                <w:p w14:paraId="5BAE33DD">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p>
              </w:tc>
              <w:tc>
                <w:tcPr>
                  <w:tcW w:w="1209" w:type="pct"/>
                  <w:vAlign w:val="center"/>
                </w:tcPr>
                <w:p w14:paraId="1A46CAF7">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val="0"/>
                      <w:bCs w:val="0"/>
                      <w:color w:val="auto"/>
                      <w:szCs w:val="21"/>
                    </w:rPr>
                  </w:pPr>
                  <w:r>
                    <w:rPr>
                      <w:rFonts w:hint="default" w:ascii="Times New Roman" w:hAnsi="Times New Roman" w:eastAsia="仿宋" w:cs="Times New Roman"/>
                      <w:b w:val="0"/>
                      <w:bCs w:val="0"/>
                      <w:color w:val="auto"/>
                      <w:szCs w:val="21"/>
                    </w:rPr>
                    <w:t>COD</w:t>
                  </w:r>
                </w:p>
              </w:tc>
              <w:tc>
                <w:tcPr>
                  <w:tcW w:w="1187" w:type="pct"/>
                  <w:vAlign w:val="center"/>
                </w:tcPr>
                <w:p w14:paraId="2F16F0CD">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78-85</w:t>
                  </w:r>
                </w:p>
              </w:tc>
              <w:tc>
                <w:tcPr>
                  <w:tcW w:w="953" w:type="pct"/>
                  <w:vAlign w:val="center"/>
                </w:tcPr>
                <w:p w14:paraId="6D2F6AD2">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400</w:t>
                  </w:r>
                </w:p>
              </w:tc>
            </w:tr>
            <w:tr w14:paraId="75207A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4" w:type="pct"/>
                  <w:vMerge w:val="continue"/>
                  <w:vAlign w:val="center"/>
                </w:tcPr>
                <w:p w14:paraId="6452EA66">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p>
              </w:tc>
              <w:tc>
                <w:tcPr>
                  <w:tcW w:w="695" w:type="pct"/>
                  <w:vMerge w:val="continue"/>
                  <w:vAlign w:val="center"/>
                </w:tcPr>
                <w:p w14:paraId="410E2958">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p>
              </w:tc>
              <w:tc>
                <w:tcPr>
                  <w:tcW w:w="1209" w:type="pct"/>
                  <w:vAlign w:val="center"/>
                </w:tcPr>
                <w:p w14:paraId="45099A7A">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val="0"/>
                      <w:bCs w:val="0"/>
                      <w:color w:val="auto"/>
                      <w:szCs w:val="21"/>
                      <w:lang w:val="en-US" w:eastAsia="zh-CN"/>
                    </w:rPr>
                  </w:pPr>
                  <w:r>
                    <w:rPr>
                      <w:rFonts w:hint="default" w:ascii="Times New Roman" w:hAnsi="Times New Roman" w:eastAsia="仿宋" w:cs="Times New Roman"/>
                      <w:b w:val="0"/>
                      <w:bCs w:val="0"/>
                      <w:color w:val="auto"/>
                      <w:szCs w:val="21"/>
                      <w:lang w:val="en-US" w:eastAsia="zh-CN"/>
                    </w:rPr>
                    <w:t>SS</w:t>
                  </w:r>
                </w:p>
              </w:tc>
              <w:tc>
                <w:tcPr>
                  <w:tcW w:w="1187" w:type="pct"/>
                  <w:vAlign w:val="center"/>
                </w:tcPr>
                <w:p w14:paraId="44045A4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13-15</w:t>
                  </w:r>
                </w:p>
              </w:tc>
              <w:tc>
                <w:tcPr>
                  <w:tcW w:w="953" w:type="pct"/>
                  <w:vAlign w:val="center"/>
                </w:tcPr>
                <w:p w14:paraId="6D4CDB87">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250</w:t>
                  </w:r>
                </w:p>
              </w:tc>
            </w:tr>
            <w:tr w14:paraId="420A12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4" w:type="pct"/>
                  <w:vMerge w:val="continue"/>
                  <w:vAlign w:val="center"/>
                </w:tcPr>
                <w:p w14:paraId="0736CBEB">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c>
                <w:tcPr>
                  <w:tcW w:w="695" w:type="pct"/>
                  <w:vMerge w:val="continue"/>
                  <w:vAlign w:val="center"/>
                </w:tcPr>
                <w:p w14:paraId="0F614EB9">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c>
                <w:tcPr>
                  <w:tcW w:w="1209" w:type="pct"/>
                  <w:vAlign w:val="center"/>
                </w:tcPr>
                <w:p w14:paraId="5C3E77D0">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val="0"/>
                      <w:bCs w:val="0"/>
                      <w:color w:val="auto"/>
                      <w:kern w:val="2"/>
                      <w:sz w:val="21"/>
                      <w:szCs w:val="21"/>
                      <w:lang w:val="en-US" w:eastAsia="zh-CN" w:bidi="ar-SA"/>
                    </w:rPr>
                  </w:pPr>
                  <w:r>
                    <w:rPr>
                      <w:rFonts w:hint="default" w:ascii="Times New Roman" w:hAnsi="Times New Roman" w:eastAsia="仿宋" w:cs="Times New Roman"/>
                      <w:b w:val="0"/>
                      <w:bCs w:val="0"/>
                      <w:color w:val="auto"/>
                      <w:szCs w:val="21"/>
                    </w:rPr>
                    <w:t>NH</w:t>
                  </w:r>
                  <w:r>
                    <w:rPr>
                      <w:rFonts w:hint="default" w:ascii="Times New Roman" w:hAnsi="Times New Roman" w:eastAsia="仿宋" w:cs="Times New Roman"/>
                      <w:b w:val="0"/>
                      <w:bCs w:val="0"/>
                      <w:color w:val="auto"/>
                      <w:szCs w:val="21"/>
                      <w:vertAlign w:val="subscript"/>
                    </w:rPr>
                    <w:t>3</w:t>
                  </w:r>
                  <w:r>
                    <w:rPr>
                      <w:rFonts w:hint="default" w:ascii="Times New Roman" w:hAnsi="Times New Roman" w:eastAsia="仿宋" w:cs="Times New Roman"/>
                      <w:b w:val="0"/>
                      <w:bCs w:val="0"/>
                      <w:color w:val="auto"/>
                      <w:szCs w:val="21"/>
                    </w:rPr>
                    <w:t>-N</w:t>
                  </w:r>
                </w:p>
              </w:tc>
              <w:tc>
                <w:tcPr>
                  <w:tcW w:w="1187" w:type="pct"/>
                  <w:vAlign w:val="center"/>
                </w:tcPr>
                <w:p w14:paraId="6526806B">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22-23.5</w:t>
                  </w:r>
                </w:p>
              </w:tc>
              <w:tc>
                <w:tcPr>
                  <w:tcW w:w="953" w:type="pct"/>
                  <w:vAlign w:val="center"/>
                </w:tcPr>
                <w:p w14:paraId="6F8583FB">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30</w:t>
                  </w:r>
                </w:p>
              </w:tc>
            </w:tr>
            <w:tr w14:paraId="584224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4" w:type="pct"/>
                  <w:vMerge w:val="continue"/>
                  <w:vAlign w:val="center"/>
                </w:tcPr>
                <w:p w14:paraId="056929FB">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c>
                <w:tcPr>
                  <w:tcW w:w="695" w:type="pct"/>
                  <w:vMerge w:val="continue"/>
                  <w:vAlign w:val="center"/>
                </w:tcPr>
                <w:p w14:paraId="3BFDF9DE">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c>
                <w:tcPr>
                  <w:tcW w:w="1209" w:type="pct"/>
                  <w:vAlign w:val="center"/>
                </w:tcPr>
                <w:p w14:paraId="7CC50676">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val="0"/>
                      <w:bCs w:val="0"/>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lang w:val="en-US" w:eastAsia="zh-CN" w:bidi="ar-SA"/>
                    </w:rPr>
                    <w:t>TN</w:t>
                  </w:r>
                </w:p>
              </w:tc>
              <w:tc>
                <w:tcPr>
                  <w:tcW w:w="1187" w:type="pct"/>
                  <w:vAlign w:val="center"/>
                </w:tcPr>
                <w:p w14:paraId="0FD3B29F">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28.5-30.5</w:t>
                  </w:r>
                </w:p>
              </w:tc>
              <w:tc>
                <w:tcPr>
                  <w:tcW w:w="953" w:type="pct"/>
                  <w:vAlign w:val="center"/>
                </w:tcPr>
                <w:p w14:paraId="7C54D6BE">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45</w:t>
                  </w:r>
                </w:p>
              </w:tc>
            </w:tr>
            <w:tr w14:paraId="37404C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4" w:type="pct"/>
                  <w:vMerge w:val="continue"/>
                  <w:vAlign w:val="center"/>
                </w:tcPr>
                <w:p w14:paraId="2E9EE286">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c>
                <w:tcPr>
                  <w:tcW w:w="695" w:type="pct"/>
                  <w:vMerge w:val="continue"/>
                  <w:vAlign w:val="center"/>
                </w:tcPr>
                <w:p w14:paraId="400380C1">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c>
                <w:tcPr>
                  <w:tcW w:w="1209" w:type="pct"/>
                  <w:vAlign w:val="center"/>
                </w:tcPr>
                <w:p w14:paraId="26B4AA8D">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val="0"/>
                      <w:bCs w:val="0"/>
                      <w:color w:val="auto"/>
                      <w:szCs w:val="21"/>
                      <w:lang w:val="en-US" w:eastAsia="zh-CN"/>
                    </w:rPr>
                  </w:pPr>
                  <w:r>
                    <w:rPr>
                      <w:rFonts w:hint="default" w:ascii="Times New Roman" w:hAnsi="Times New Roman" w:eastAsia="仿宋" w:cs="Times New Roman"/>
                      <w:b w:val="0"/>
                      <w:bCs w:val="0"/>
                      <w:color w:val="auto"/>
                      <w:szCs w:val="21"/>
                    </w:rPr>
                    <w:t>TP</w:t>
                  </w:r>
                </w:p>
              </w:tc>
              <w:tc>
                <w:tcPr>
                  <w:tcW w:w="1187" w:type="pct"/>
                  <w:vAlign w:val="center"/>
                </w:tcPr>
                <w:p w14:paraId="17B5356E">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1.7-1.74</w:t>
                  </w:r>
                </w:p>
              </w:tc>
              <w:tc>
                <w:tcPr>
                  <w:tcW w:w="953" w:type="pct"/>
                  <w:vAlign w:val="center"/>
                </w:tcPr>
                <w:p w14:paraId="7F225B76">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4</w:t>
                  </w:r>
                </w:p>
              </w:tc>
            </w:tr>
          </w:tbl>
          <w:p w14:paraId="5421958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lang w:val="en-US" w:eastAsia="zh-CN"/>
              </w:rPr>
              <w:t>根据例行检测报告，</w:t>
            </w:r>
            <w:r>
              <w:rPr>
                <w:rFonts w:hint="default" w:ascii="Times New Roman" w:hAnsi="Times New Roman" w:eastAsia="仿宋" w:cs="Times New Roman"/>
                <w:color w:val="auto"/>
                <w:sz w:val="24"/>
                <w:highlight w:val="none"/>
              </w:rPr>
              <w:t>企业</w:t>
            </w:r>
            <w:r>
              <w:rPr>
                <w:rFonts w:hint="default" w:ascii="Times New Roman" w:hAnsi="Times New Roman" w:eastAsia="仿宋" w:cs="Times New Roman"/>
                <w:color w:val="auto"/>
                <w:sz w:val="24"/>
                <w:highlight w:val="none"/>
                <w:lang w:val="en-US" w:eastAsia="zh-CN"/>
              </w:rPr>
              <w:t>总</w:t>
            </w:r>
            <w:r>
              <w:rPr>
                <w:rFonts w:hint="default" w:ascii="Times New Roman" w:hAnsi="Times New Roman" w:eastAsia="仿宋" w:cs="Times New Roman"/>
                <w:color w:val="auto"/>
                <w:sz w:val="24"/>
                <w:highlight w:val="none"/>
              </w:rPr>
              <w:t>排放口排放污水</w:t>
            </w:r>
            <w:r>
              <w:rPr>
                <w:rFonts w:hint="default" w:ascii="Times New Roman" w:hAnsi="Times New Roman" w:eastAsia="仿宋" w:cs="Times New Roman"/>
                <w:color w:val="auto"/>
                <w:sz w:val="24"/>
                <w:highlight w:val="none"/>
                <w:lang w:val="en-US" w:eastAsia="zh-CN"/>
              </w:rPr>
              <w:t>水质</w:t>
            </w:r>
            <w:r>
              <w:rPr>
                <w:rFonts w:hint="default" w:ascii="Times New Roman" w:hAnsi="Times New Roman" w:eastAsia="仿宋" w:cs="Times New Roman"/>
                <w:color w:val="auto"/>
                <w:sz w:val="24"/>
                <w:highlight w:val="none"/>
              </w:rPr>
              <w:t>符合《常州</w:t>
            </w:r>
            <w:r>
              <w:rPr>
                <w:rFonts w:hint="default" w:ascii="Times New Roman" w:hAnsi="Times New Roman" w:eastAsia="仿宋" w:cs="Times New Roman"/>
                <w:color w:val="auto"/>
                <w:sz w:val="24"/>
                <w:highlight w:val="none"/>
                <w:lang w:eastAsia="zh-CN"/>
              </w:rPr>
              <w:t>金坛区茅东污水处理厂</w:t>
            </w:r>
            <w:r>
              <w:rPr>
                <w:rFonts w:hint="default" w:ascii="Times New Roman" w:hAnsi="Times New Roman" w:eastAsia="仿宋" w:cs="Times New Roman"/>
                <w:color w:val="auto"/>
                <w:sz w:val="24"/>
                <w:highlight w:val="none"/>
              </w:rPr>
              <w:t>污水接管</w:t>
            </w:r>
            <w:r>
              <w:rPr>
                <w:rFonts w:hint="default" w:ascii="Times New Roman" w:hAnsi="Times New Roman" w:eastAsia="仿宋" w:cs="Times New Roman"/>
                <w:color w:val="auto"/>
                <w:sz w:val="24"/>
                <w:highlight w:val="none"/>
                <w:lang w:val="en-US" w:eastAsia="zh-CN"/>
              </w:rPr>
              <w:t>水质</w:t>
            </w:r>
            <w:r>
              <w:rPr>
                <w:rFonts w:hint="default" w:ascii="Times New Roman" w:hAnsi="Times New Roman" w:eastAsia="仿宋" w:cs="Times New Roman"/>
                <w:color w:val="auto"/>
                <w:sz w:val="24"/>
                <w:highlight w:val="none"/>
              </w:rPr>
              <w:t>要求》。</w:t>
            </w:r>
          </w:p>
          <w:p w14:paraId="17B3D20D">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eastAsia="zh-CN"/>
              </w:rPr>
              <w:t>（</w:t>
            </w:r>
            <w:r>
              <w:rPr>
                <w:rFonts w:hint="default" w:ascii="Times New Roman" w:hAnsi="Times New Roman" w:eastAsia="仿宋" w:cs="Times New Roman"/>
                <w:b/>
                <w:color w:val="auto"/>
                <w:sz w:val="24"/>
                <w:lang w:val="en-US" w:eastAsia="zh-CN"/>
              </w:rPr>
              <w:t>2</w:t>
            </w:r>
            <w:r>
              <w:rPr>
                <w:rFonts w:hint="default" w:ascii="Times New Roman" w:hAnsi="Times New Roman" w:eastAsia="仿宋" w:cs="Times New Roman"/>
                <w:b/>
                <w:color w:val="auto"/>
                <w:sz w:val="24"/>
                <w:lang w:eastAsia="zh-CN"/>
              </w:rPr>
              <w:t>）</w:t>
            </w:r>
            <w:r>
              <w:rPr>
                <w:rFonts w:hint="default" w:ascii="Times New Roman" w:hAnsi="Times New Roman" w:eastAsia="仿宋" w:cs="Times New Roman"/>
                <w:b/>
                <w:color w:val="auto"/>
                <w:sz w:val="24"/>
              </w:rPr>
              <w:t>废气</w:t>
            </w:r>
          </w:p>
          <w:p w14:paraId="7DAEF5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①废气治理措施</w:t>
            </w:r>
          </w:p>
          <w:p w14:paraId="76382B86">
            <w:pPr>
              <w:keepNext w:val="0"/>
              <w:keepLines w:val="0"/>
              <w:pageBreakBefore w:val="0"/>
              <w:widowControl w:val="0"/>
              <w:tabs>
                <w:tab w:val="left" w:pos="2824"/>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现有项目</w:t>
            </w:r>
            <w:r>
              <w:rPr>
                <w:rFonts w:hint="default" w:ascii="Times New Roman" w:hAnsi="Times New Roman" w:eastAsia="仿宋" w:cs="Times New Roman"/>
                <w:bCs/>
                <w:color w:val="auto"/>
                <w:sz w:val="24"/>
                <w:szCs w:val="24"/>
                <w:lang w:val="en-US" w:eastAsia="zh-CN"/>
              </w:rPr>
              <w:t>焊接废气、打磨</w:t>
            </w:r>
            <w:r>
              <w:rPr>
                <w:rFonts w:hint="default" w:ascii="Times New Roman" w:hAnsi="Times New Roman" w:eastAsia="仿宋" w:cs="Times New Roman"/>
                <w:color w:val="auto"/>
                <w:sz w:val="24"/>
                <w:szCs w:val="24"/>
              </w:rPr>
              <w:t>废气</w:t>
            </w:r>
            <w:r>
              <w:rPr>
                <w:rFonts w:hint="default" w:ascii="Times New Roman" w:hAnsi="Times New Roman" w:eastAsia="仿宋" w:cs="Times New Roman"/>
                <w:bCs/>
                <w:color w:val="auto"/>
                <w:sz w:val="24"/>
                <w:szCs w:val="24"/>
              </w:rPr>
              <w:t>经</w:t>
            </w:r>
            <w:r>
              <w:rPr>
                <w:rFonts w:hint="default" w:ascii="Times New Roman" w:hAnsi="Times New Roman" w:eastAsia="仿宋" w:cs="Times New Roman"/>
                <w:bCs/>
                <w:color w:val="auto"/>
                <w:sz w:val="24"/>
                <w:szCs w:val="24"/>
                <w:lang w:val="en-US" w:eastAsia="zh-CN"/>
              </w:rPr>
              <w:t>布袋除尘</w:t>
            </w:r>
            <w:r>
              <w:rPr>
                <w:rFonts w:hint="default" w:ascii="Times New Roman" w:hAnsi="Times New Roman" w:eastAsia="仿宋" w:cs="Times New Roman"/>
                <w:bCs/>
                <w:color w:val="auto"/>
                <w:sz w:val="24"/>
                <w:szCs w:val="24"/>
              </w:rPr>
              <w:t>装置处理后通过15米高排气筒</w:t>
            </w:r>
            <w:r>
              <w:rPr>
                <w:rFonts w:hint="default" w:ascii="Times New Roman" w:hAnsi="Times New Roman" w:eastAsia="仿宋" w:cs="Times New Roman"/>
                <w:color w:val="auto"/>
                <w:sz w:val="24"/>
                <w:szCs w:val="24"/>
              </w:rPr>
              <w:t>（DA001）</w:t>
            </w:r>
            <w:r>
              <w:rPr>
                <w:rFonts w:hint="default" w:ascii="Times New Roman" w:hAnsi="Times New Roman" w:eastAsia="仿宋" w:cs="Times New Roman"/>
                <w:bCs/>
                <w:color w:val="auto"/>
                <w:sz w:val="24"/>
                <w:szCs w:val="24"/>
              </w:rPr>
              <w:t>排放</w:t>
            </w:r>
            <w:r>
              <w:rPr>
                <w:rFonts w:hint="default" w:ascii="Times New Roman" w:hAnsi="Times New Roman" w:eastAsia="仿宋" w:cs="Times New Roman"/>
                <w:bCs/>
                <w:color w:val="auto"/>
                <w:sz w:val="24"/>
                <w:szCs w:val="24"/>
                <w:lang w:eastAsia="zh-CN"/>
              </w:rPr>
              <w:t>；</w:t>
            </w:r>
            <w:r>
              <w:rPr>
                <w:rFonts w:hint="default" w:ascii="Times New Roman" w:hAnsi="Times New Roman" w:eastAsia="仿宋" w:cs="Times New Roman"/>
                <w:bCs/>
                <w:color w:val="auto"/>
                <w:sz w:val="24"/>
                <w:szCs w:val="24"/>
                <w:lang w:val="en-US" w:eastAsia="zh-CN"/>
              </w:rPr>
              <w:t>未捕集的焊接、打磨</w:t>
            </w:r>
            <w:r>
              <w:rPr>
                <w:rFonts w:hint="default" w:ascii="Times New Roman" w:hAnsi="Times New Roman" w:eastAsia="仿宋" w:cs="Times New Roman"/>
                <w:bCs/>
                <w:color w:val="auto"/>
                <w:sz w:val="24"/>
                <w:szCs w:val="24"/>
              </w:rPr>
              <w:t>废气在</w:t>
            </w:r>
            <w:r>
              <w:rPr>
                <w:rFonts w:hint="default" w:ascii="Times New Roman" w:hAnsi="Times New Roman" w:eastAsia="仿宋" w:cs="Times New Roman"/>
                <w:bCs/>
                <w:color w:val="auto"/>
                <w:sz w:val="24"/>
                <w:szCs w:val="24"/>
                <w:lang w:eastAsia="zh-CN"/>
              </w:rPr>
              <w:t>车间</w:t>
            </w:r>
            <w:r>
              <w:rPr>
                <w:rFonts w:hint="default" w:ascii="Times New Roman" w:hAnsi="Times New Roman" w:eastAsia="仿宋" w:cs="Times New Roman"/>
                <w:bCs/>
                <w:color w:val="auto"/>
                <w:sz w:val="24"/>
                <w:szCs w:val="24"/>
              </w:rPr>
              <w:t>无组织排放。</w:t>
            </w:r>
          </w:p>
          <w:p w14:paraId="3D0F2E2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②废气达标检测</w:t>
            </w:r>
          </w:p>
          <w:p w14:paraId="57A98D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根据南京爱迪信环境技术有限公司出具的检测报告（</w:t>
            </w:r>
            <w:r>
              <w:rPr>
                <w:rFonts w:hint="eastAsia" w:eastAsia="仿宋" w:cs="Times New Roman"/>
                <w:color w:val="auto"/>
                <w:kern w:val="2"/>
                <w:sz w:val="24"/>
                <w:szCs w:val="24"/>
                <w:lang w:val="en-US" w:eastAsia="zh-CN" w:bidi="ar-SA"/>
              </w:rPr>
              <w:t>NJADT2403010401</w:t>
            </w:r>
            <w:r>
              <w:rPr>
                <w:rFonts w:hint="default" w:ascii="Times New Roman" w:hAnsi="Times New Roman" w:eastAsia="仿宋" w:cs="Times New Roman"/>
                <w:color w:val="auto"/>
                <w:kern w:val="2"/>
                <w:sz w:val="24"/>
                <w:szCs w:val="24"/>
                <w:lang w:val="en-US" w:eastAsia="zh-CN" w:bidi="ar-SA"/>
              </w:rPr>
              <w:t>），有组织废气监测达标排放情况如下：</w:t>
            </w:r>
          </w:p>
          <w:p w14:paraId="5CE29D2B">
            <w:pPr>
              <w:pStyle w:val="100"/>
              <w:ind w:firstLine="482"/>
              <w:rPr>
                <w:rFonts w:hint="default" w:ascii="Times New Roman" w:hAnsi="Times New Roman" w:eastAsia="仿宋" w:cs="Times New Roman"/>
                <w:color w:val="auto"/>
                <w:sz w:val="21"/>
                <w:szCs w:val="16"/>
              </w:rPr>
            </w:pPr>
            <w:r>
              <w:rPr>
                <w:rFonts w:hint="default" w:ascii="Times New Roman" w:hAnsi="Times New Roman" w:eastAsia="仿宋" w:cs="Times New Roman"/>
                <w:color w:val="auto"/>
                <w:sz w:val="21"/>
                <w:szCs w:val="16"/>
              </w:rPr>
              <w:t>表2-1</w:t>
            </w:r>
            <w:r>
              <w:rPr>
                <w:rFonts w:hint="eastAsia" w:eastAsia="仿宋" w:cs="Times New Roman"/>
                <w:color w:val="auto"/>
                <w:sz w:val="21"/>
                <w:szCs w:val="16"/>
                <w:lang w:val="en-US" w:eastAsia="zh-CN"/>
              </w:rPr>
              <w:t>4</w:t>
            </w:r>
            <w:r>
              <w:rPr>
                <w:rFonts w:hint="default" w:ascii="Times New Roman" w:hAnsi="Times New Roman" w:eastAsia="仿宋" w:cs="Times New Roman"/>
                <w:color w:val="auto"/>
                <w:sz w:val="21"/>
                <w:szCs w:val="16"/>
              </w:rPr>
              <w:t xml:space="preserve">  有组织废气监测结果</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056"/>
              <w:gridCol w:w="2154"/>
              <w:gridCol w:w="838"/>
              <w:gridCol w:w="838"/>
              <w:gridCol w:w="840"/>
              <w:gridCol w:w="868"/>
              <w:gridCol w:w="921"/>
            </w:tblGrid>
            <w:tr w14:paraId="57D67D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23" w:type="pct"/>
                  <w:vMerge w:val="restart"/>
                  <w:vAlign w:val="center"/>
                </w:tcPr>
                <w:p w14:paraId="2B284A6D">
                  <w:pPr>
                    <w:pStyle w:val="101"/>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监测点位</w:t>
                  </w:r>
                </w:p>
              </w:tc>
              <w:tc>
                <w:tcPr>
                  <w:tcW w:w="629" w:type="pct"/>
                  <w:vMerge w:val="restart"/>
                  <w:vAlign w:val="center"/>
                </w:tcPr>
                <w:p w14:paraId="52C15831">
                  <w:pPr>
                    <w:pStyle w:val="101"/>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监测日期</w:t>
                  </w:r>
                </w:p>
              </w:tc>
              <w:tc>
                <w:tcPr>
                  <w:tcW w:w="1283" w:type="pct"/>
                  <w:vMerge w:val="restart"/>
                  <w:vAlign w:val="center"/>
                </w:tcPr>
                <w:p w14:paraId="4A707BD2">
                  <w:pPr>
                    <w:pStyle w:val="101"/>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监测项目</w:t>
                  </w:r>
                </w:p>
              </w:tc>
              <w:tc>
                <w:tcPr>
                  <w:tcW w:w="1498" w:type="pct"/>
                  <w:gridSpan w:val="3"/>
                  <w:vAlign w:val="center"/>
                </w:tcPr>
                <w:p w14:paraId="031B678E">
                  <w:pPr>
                    <w:pStyle w:val="101"/>
                    <w:rPr>
                      <w:rFonts w:hint="default" w:ascii="Times New Roman" w:hAnsi="Times New Roman" w:eastAsia="仿宋" w:cs="Times New Roman"/>
                      <w:b/>
                      <w:bCs/>
                      <w:color w:val="auto"/>
                    </w:rPr>
                  </w:pPr>
                  <w:r>
                    <w:rPr>
                      <w:rFonts w:hint="default" w:ascii="Times New Roman" w:hAnsi="Times New Roman" w:eastAsia="仿宋" w:cs="Times New Roman"/>
                      <w:b/>
                      <w:bCs/>
                      <w:color w:val="auto"/>
                    </w:rPr>
                    <w:t>出口</w:t>
                  </w:r>
                </w:p>
              </w:tc>
              <w:tc>
                <w:tcPr>
                  <w:tcW w:w="517" w:type="pct"/>
                  <w:vMerge w:val="restart"/>
                  <w:vAlign w:val="center"/>
                </w:tcPr>
                <w:p w14:paraId="63A741BA">
                  <w:pPr>
                    <w:pStyle w:val="101"/>
                    <w:rPr>
                      <w:rFonts w:hint="default" w:ascii="Times New Roman" w:hAnsi="Times New Roman" w:eastAsia="仿宋" w:cs="Times New Roman"/>
                      <w:b/>
                      <w:bCs/>
                      <w:color w:val="auto"/>
                    </w:rPr>
                  </w:pPr>
                  <w:r>
                    <w:rPr>
                      <w:rFonts w:hint="default" w:ascii="Times New Roman" w:hAnsi="Times New Roman" w:eastAsia="仿宋" w:cs="Times New Roman"/>
                      <w:b/>
                      <w:bCs/>
                      <w:color w:val="auto"/>
                    </w:rPr>
                    <w:t>排放限值</w:t>
                  </w:r>
                </w:p>
              </w:tc>
              <w:tc>
                <w:tcPr>
                  <w:tcW w:w="548" w:type="pct"/>
                  <w:vMerge w:val="restart"/>
                  <w:vAlign w:val="center"/>
                </w:tcPr>
                <w:p w14:paraId="117CCE30">
                  <w:pPr>
                    <w:pStyle w:val="101"/>
                    <w:rPr>
                      <w:rFonts w:hint="default" w:ascii="Times New Roman" w:hAnsi="Times New Roman" w:eastAsia="仿宋" w:cs="Times New Roman"/>
                      <w:b/>
                      <w:bCs/>
                      <w:color w:val="auto"/>
                    </w:rPr>
                  </w:pPr>
                  <w:r>
                    <w:rPr>
                      <w:rFonts w:hint="default" w:ascii="Times New Roman" w:hAnsi="Times New Roman" w:eastAsia="仿宋" w:cs="Times New Roman"/>
                      <w:b/>
                      <w:bCs/>
                      <w:color w:val="auto"/>
                    </w:rPr>
                    <w:t>达标情况</w:t>
                  </w:r>
                </w:p>
              </w:tc>
            </w:tr>
            <w:tr w14:paraId="16E356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23" w:type="pct"/>
                  <w:vMerge w:val="continue"/>
                  <w:vAlign w:val="center"/>
                </w:tcPr>
                <w:p w14:paraId="2B8780F8">
                  <w:pPr>
                    <w:pStyle w:val="101"/>
                    <w:rPr>
                      <w:rFonts w:hint="default" w:ascii="Times New Roman" w:hAnsi="Times New Roman" w:eastAsia="仿宋" w:cs="Times New Roman"/>
                      <w:b/>
                      <w:bCs/>
                      <w:color w:val="auto"/>
                    </w:rPr>
                  </w:pPr>
                </w:p>
              </w:tc>
              <w:tc>
                <w:tcPr>
                  <w:tcW w:w="629" w:type="pct"/>
                  <w:vMerge w:val="continue"/>
                  <w:vAlign w:val="center"/>
                </w:tcPr>
                <w:p w14:paraId="55CF8B76">
                  <w:pPr>
                    <w:pStyle w:val="101"/>
                    <w:rPr>
                      <w:rFonts w:hint="default" w:ascii="Times New Roman" w:hAnsi="Times New Roman" w:eastAsia="仿宋" w:cs="Times New Roman"/>
                      <w:b/>
                      <w:bCs/>
                      <w:color w:val="auto"/>
                    </w:rPr>
                  </w:pPr>
                </w:p>
              </w:tc>
              <w:tc>
                <w:tcPr>
                  <w:tcW w:w="1283" w:type="pct"/>
                  <w:vMerge w:val="continue"/>
                  <w:vAlign w:val="center"/>
                </w:tcPr>
                <w:p w14:paraId="75612B51">
                  <w:pPr>
                    <w:pStyle w:val="101"/>
                    <w:rPr>
                      <w:rFonts w:hint="default" w:ascii="Times New Roman" w:hAnsi="Times New Roman" w:eastAsia="仿宋" w:cs="Times New Roman"/>
                      <w:b/>
                      <w:bCs/>
                      <w:color w:val="auto"/>
                    </w:rPr>
                  </w:pPr>
                </w:p>
              </w:tc>
              <w:tc>
                <w:tcPr>
                  <w:tcW w:w="499" w:type="pct"/>
                  <w:vAlign w:val="center"/>
                </w:tcPr>
                <w:p w14:paraId="5B406080">
                  <w:pPr>
                    <w:pStyle w:val="101"/>
                    <w:jc w:val="center"/>
                    <w:rPr>
                      <w:rFonts w:hint="default" w:ascii="Times New Roman" w:hAnsi="Times New Roman" w:eastAsia="仿宋" w:cs="Times New Roman"/>
                      <w:b/>
                      <w:bCs/>
                      <w:color w:val="auto"/>
                      <w:lang w:val="en-US" w:eastAsia="zh-CN"/>
                    </w:rPr>
                  </w:pPr>
                  <w:r>
                    <w:rPr>
                      <w:rFonts w:hint="eastAsia" w:eastAsia="仿宋" w:cs="Times New Roman"/>
                      <w:b/>
                      <w:bCs/>
                      <w:color w:val="auto"/>
                      <w:lang w:val="en-US" w:eastAsia="zh-CN"/>
                    </w:rPr>
                    <w:t>第一次</w:t>
                  </w:r>
                </w:p>
              </w:tc>
              <w:tc>
                <w:tcPr>
                  <w:tcW w:w="499" w:type="pct"/>
                  <w:vAlign w:val="center"/>
                </w:tcPr>
                <w:p w14:paraId="688432DD">
                  <w:pPr>
                    <w:pStyle w:val="101"/>
                    <w:jc w:val="center"/>
                    <w:rPr>
                      <w:rFonts w:hint="default" w:ascii="Times New Roman" w:hAnsi="Times New Roman" w:eastAsia="仿宋" w:cs="Times New Roman"/>
                      <w:b/>
                      <w:bCs/>
                      <w:color w:val="auto"/>
                      <w:lang w:val="en-US" w:eastAsia="zh-CN"/>
                    </w:rPr>
                  </w:pPr>
                  <w:r>
                    <w:rPr>
                      <w:rFonts w:hint="eastAsia" w:eastAsia="仿宋" w:cs="Times New Roman"/>
                      <w:b/>
                      <w:bCs/>
                      <w:color w:val="auto"/>
                      <w:lang w:val="en-US" w:eastAsia="zh-CN"/>
                    </w:rPr>
                    <w:t>第二次</w:t>
                  </w:r>
                </w:p>
              </w:tc>
              <w:tc>
                <w:tcPr>
                  <w:tcW w:w="500" w:type="pct"/>
                  <w:vAlign w:val="center"/>
                </w:tcPr>
                <w:p w14:paraId="4FBCD54C">
                  <w:pPr>
                    <w:pStyle w:val="101"/>
                    <w:jc w:val="center"/>
                    <w:rPr>
                      <w:rFonts w:hint="eastAsia" w:ascii="Times New Roman" w:hAnsi="Times New Roman" w:eastAsia="仿宋" w:cs="Times New Roman"/>
                      <w:b/>
                      <w:bCs/>
                      <w:color w:val="auto"/>
                      <w:lang w:val="en-US" w:eastAsia="zh-CN"/>
                    </w:rPr>
                  </w:pPr>
                  <w:r>
                    <w:rPr>
                      <w:rFonts w:hint="eastAsia" w:eastAsia="仿宋" w:cs="Times New Roman"/>
                      <w:b/>
                      <w:bCs/>
                      <w:color w:val="auto"/>
                      <w:lang w:val="en-US" w:eastAsia="zh-CN"/>
                    </w:rPr>
                    <w:t>第三次</w:t>
                  </w:r>
                </w:p>
              </w:tc>
              <w:tc>
                <w:tcPr>
                  <w:tcW w:w="517" w:type="pct"/>
                  <w:vMerge w:val="continue"/>
                  <w:vAlign w:val="center"/>
                </w:tcPr>
                <w:p w14:paraId="7760BB2A">
                  <w:pPr>
                    <w:pStyle w:val="101"/>
                    <w:rPr>
                      <w:rFonts w:hint="default" w:ascii="Times New Roman" w:hAnsi="Times New Roman" w:eastAsia="仿宋" w:cs="Times New Roman"/>
                      <w:b/>
                      <w:bCs/>
                      <w:color w:val="auto"/>
                    </w:rPr>
                  </w:pPr>
                </w:p>
              </w:tc>
              <w:tc>
                <w:tcPr>
                  <w:tcW w:w="548" w:type="pct"/>
                  <w:vMerge w:val="continue"/>
                  <w:vAlign w:val="center"/>
                </w:tcPr>
                <w:p w14:paraId="39BAF679">
                  <w:pPr>
                    <w:pStyle w:val="101"/>
                    <w:rPr>
                      <w:rFonts w:hint="default" w:ascii="Times New Roman" w:hAnsi="Times New Roman" w:eastAsia="仿宋" w:cs="Times New Roman"/>
                      <w:b/>
                      <w:bCs/>
                      <w:color w:val="auto"/>
                    </w:rPr>
                  </w:pPr>
                </w:p>
              </w:tc>
            </w:tr>
            <w:tr w14:paraId="171510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restart"/>
                  <w:vAlign w:val="center"/>
                </w:tcPr>
                <w:p w14:paraId="7C2E5CD5">
                  <w:pPr>
                    <w:pStyle w:val="101"/>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rPr>
                    <w:t>排气筒</w:t>
                  </w:r>
                  <w:r>
                    <w:rPr>
                      <w:rFonts w:hint="default" w:ascii="Times New Roman" w:hAnsi="Times New Roman" w:eastAsia="仿宋" w:cs="Times New Roman"/>
                      <w:color w:val="auto"/>
                      <w:kern w:val="2"/>
                      <w:sz w:val="21"/>
                      <w:szCs w:val="21"/>
                      <w:lang w:val="en-US" w:eastAsia="zh-CN" w:bidi="ar-SA"/>
                    </w:rPr>
                    <w:t>DA001出口</w:t>
                  </w:r>
                </w:p>
              </w:tc>
              <w:tc>
                <w:tcPr>
                  <w:tcW w:w="629" w:type="pct"/>
                  <w:vMerge w:val="restart"/>
                  <w:vAlign w:val="center"/>
                </w:tcPr>
                <w:p w14:paraId="06E34E93">
                  <w:pPr>
                    <w:pStyle w:val="101"/>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4.</w:t>
                  </w:r>
                  <w:r>
                    <w:rPr>
                      <w:rFonts w:hint="eastAsia" w:eastAsia="仿宋" w:cs="Times New Roman"/>
                      <w:color w:val="auto"/>
                      <w:sz w:val="21"/>
                      <w:szCs w:val="21"/>
                      <w:lang w:val="en-US" w:eastAsia="zh-CN"/>
                    </w:rPr>
                    <w:t>8.13</w:t>
                  </w:r>
                </w:p>
              </w:tc>
              <w:tc>
                <w:tcPr>
                  <w:tcW w:w="1283" w:type="pct"/>
                  <w:vAlign w:val="center"/>
                </w:tcPr>
                <w:p w14:paraId="267BA78B">
                  <w:pPr>
                    <w:pStyle w:val="101"/>
                    <w:ind w:firstLine="0" w:firstLineChars="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rPr>
                    <w:t>烟气温度（℃）</w:t>
                  </w:r>
                </w:p>
              </w:tc>
              <w:tc>
                <w:tcPr>
                  <w:tcW w:w="499" w:type="pct"/>
                  <w:vAlign w:val="center"/>
                </w:tcPr>
                <w:p w14:paraId="20AD7FDD">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35</w:t>
                  </w:r>
                </w:p>
              </w:tc>
              <w:tc>
                <w:tcPr>
                  <w:tcW w:w="499" w:type="pct"/>
                  <w:vAlign w:val="center"/>
                </w:tcPr>
                <w:p w14:paraId="4EEE04BC">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36</w:t>
                  </w:r>
                </w:p>
              </w:tc>
              <w:tc>
                <w:tcPr>
                  <w:tcW w:w="500" w:type="pct"/>
                  <w:vAlign w:val="center"/>
                </w:tcPr>
                <w:p w14:paraId="10B7E92A">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36</w:t>
                  </w:r>
                </w:p>
              </w:tc>
              <w:tc>
                <w:tcPr>
                  <w:tcW w:w="517" w:type="pct"/>
                  <w:vAlign w:val="center"/>
                </w:tcPr>
                <w:p w14:paraId="083E09D5">
                  <w:pPr>
                    <w:pStyle w:val="101"/>
                    <w:ind w:firstLine="0" w:firstLineChars="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w:t>
                  </w:r>
                </w:p>
              </w:tc>
              <w:tc>
                <w:tcPr>
                  <w:tcW w:w="548" w:type="pct"/>
                  <w:vAlign w:val="center"/>
                </w:tcPr>
                <w:p w14:paraId="19882DD0">
                  <w:pPr>
                    <w:pStyle w:val="101"/>
                    <w:ind w:firstLine="0" w:firstLineChars="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w:t>
                  </w:r>
                </w:p>
              </w:tc>
            </w:tr>
            <w:tr w14:paraId="5D4970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continue"/>
                  <w:vAlign w:val="center"/>
                </w:tcPr>
                <w:p w14:paraId="3C182A65">
                  <w:pPr>
                    <w:pStyle w:val="101"/>
                    <w:rPr>
                      <w:rFonts w:hint="default" w:ascii="Times New Roman" w:hAnsi="Times New Roman" w:eastAsia="仿宋" w:cs="Times New Roman"/>
                      <w:color w:val="auto"/>
                      <w:sz w:val="21"/>
                      <w:szCs w:val="21"/>
                    </w:rPr>
                  </w:pPr>
                </w:p>
              </w:tc>
              <w:tc>
                <w:tcPr>
                  <w:tcW w:w="629" w:type="pct"/>
                  <w:vMerge w:val="continue"/>
                  <w:vAlign w:val="center"/>
                </w:tcPr>
                <w:p w14:paraId="5C6567B4">
                  <w:pPr>
                    <w:pStyle w:val="101"/>
                    <w:rPr>
                      <w:rFonts w:hint="default" w:ascii="Times New Roman" w:hAnsi="Times New Roman" w:eastAsia="仿宋" w:cs="Times New Roman"/>
                      <w:color w:val="auto"/>
                      <w:sz w:val="21"/>
                      <w:szCs w:val="21"/>
                    </w:rPr>
                  </w:pPr>
                </w:p>
              </w:tc>
              <w:tc>
                <w:tcPr>
                  <w:tcW w:w="1283" w:type="pct"/>
                  <w:vAlign w:val="center"/>
                </w:tcPr>
                <w:p w14:paraId="514925FD">
                  <w:pPr>
                    <w:pStyle w:val="101"/>
                    <w:ind w:firstLine="0" w:firstLineChars="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rPr>
                    <w:t>烟气流速（m/s）</w:t>
                  </w:r>
                </w:p>
              </w:tc>
              <w:tc>
                <w:tcPr>
                  <w:tcW w:w="499" w:type="pct"/>
                  <w:vAlign w:val="center"/>
                </w:tcPr>
                <w:p w14:paraId="1727B3A2">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13.2</w:t>
                  </w:r>
                </w:p>
              </w:tc>
              <w:tc>
                <w:tcPr>
                  <w:tcW w:w="499" w:type="pct"/>
                  <w:vAlign w:val="center"/>
                </w:tcPr>
                <w:p w14:paraId="06E55CA8">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12.8</w:t>
                  </w:r>
                </w:p>
              </w:tc>
              <w:tc>
                <w:tcPr>
                  <w:tcW w:w="500" w:type="pct"/>
                  <w:vAlign w:val="center"/>
                </w:tcPr>
                <w:p w14:paraId="23A1CFAC">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13.3</w:t>
                  </w:r>
                </w:p>
              </w:tc>
              <w:tc>
                <w:tcPr>
                  <w:tcW w:w="517" w:type="pct"/>
                  <w:vAlign w:val="center"/>
                </w:tcPr>
                <w:p w14:paraId="3D0D017C">
                  <w:pPr>
                    <w:pStyle w:val="101"/>
                    <w:ind w:firstLine="0" w:firstLineChars="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w:t>
                  </w:r>
                </w:p>
              </w:tc>
              <w:tc>
                <w:tcPr>
                  <w:tcW w:w="548" w:type="pct"/>
                  <w:vAlign w:val="center"/>
                </w:tcPr>
                <w:p w14:paraId="35B2B52A">
                  <w:pPr>
                    <w:pStyle w:val="101"/>
                    <w:ind w:firstLine="0" w:firstLineChars="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w:t>
                  </w:r>
                </w:p>
              </w:tc>
            </w:tr>
            <w:tr w14:paraId="7C0527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continue"/>
                  <w:vAlign w:val="center"/>
                </w:tcPr>
                <w:p w14:paraId="2F8033F6">
                  <w:pPr>
                    <w:pStyle w:val="101"/>
                    <w:rPr>
                      <w:rFonts w:hint="default" w:ascii="Times New Roman" w:hAnsi="Times New Roman" w:eastAsia="仿宋" w:cs="Times New Roman"/>
                      <w:color w:val="auto"/>
                      <w:sz w:val="21"/>
                      <w:szCs w:val="21"/>
                    </w:rPr>
                  </w:pPr>
                </w:p>
              </w:tc>
              <w:tc>
                <w:tcPr>
                  <w:tcW w:w="629" w:type="pct"/>
                  <w:vMerge w:val="continue"/>
                  <w:vAlign w:val="center"/>
                </w:tcPr>
                <w:p w14:paraId="67F03B29">
                  <w:pPr>
                    <w:pStyle w:val="101"/>
                    <w:rPr>
                      <w:rFonts w:hint="default" w:ascii="Times New Roman" w:hAnsi="Times New Roman" w:eastAsia="仿宋" w:cs="Times New Roman"/>
                      <w:color w:val="auto"/>
                      <w:sz w:val="21"/>
                      <w:szCs w:val="21"/>
                    </w:rPr>
                  </w:pPr>
                </w:p>
              </w:tc>
              <w:tc>
                <w:tcPr>
                  <w:tcW w:w="1283" w:type="pct"/>
                  <w:vAlign w:val="center"/>
                </w:tcPr>
                <w:p w14:paraId="3F09BD52">
                  <w:pPr>
                    <w:pStyle w:val="101"/>
                    <w:ind w:firstLine="0" w:firstLineChars="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rPr>
                    <w:t>标干流量（Nm</w:t>
                  </w:r>
                  <w:r>
                    <w:rPr>
                      <w:rFonts w:hint="default" w:ascii="Times New Roman" w:hAnsi="Times New Roman" w:eastAsia="仿宋" w:cs="Times New Roman"/>
                      <w:color w:val="auto"/>
                      <w:vertAlign w:val="superscript"/>
                    </w:rPr>
                    <w:t>3</w:t>
                  </w:r>
                  <w:r>
                    <w:rPr>
                      <w:rFonts w:hint="default" w:ascii="Times New Roman" w:hAnsi="Times New Roman" w:eastAsia="仿宋" w:cs="Times New Roman"/>
                      <w:color w:val="auto"/>
                    </w:rPr>
                    <w:t>/h）</w:t>
                  </w:r>
                </w:p>
              </w:tc>
              <w:tc>
                <w:tcPr>
                  <w:tcW w:w="499" w:type="pct"/>
                  <w:vAlign w:val="center"/>
                </w:tcPr>
                <w:p w14:paraId="7DBC3B88">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11589</w:t>
                  </w:r>
                </w:p>
              </w:tc>
              <w:tc>
                <w:tcPr>
                  <w:tcW w:w="499" w:type="pct"/>
                  <w:vAlign w:val="center"/>
                </w:tcPr>
                <w:p w14:paraId="21DA69DD">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11169</w:t>
                  </w:r>
                </w:p>
              </w:tc>
              <w:tc>
                <w:tcPr>
                  <w:tcW w:w="500" w:type="pct"/>
                  <w:vAlign w:val="center"/>
                </w:tcPr>
                <w:p w14:paraId="71370E82">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11567</w:t>
                  </w:r>
                </w:p>
              </w:tc>
              <w:tc>
                <w:tcPr>
                  <w:tcW w:w="517" w:type="pct"/>
                  <w:vAlign w:val="center"/>
                </w:tcPr>
                <w:p w14:paraId="66C48297">
                  <w:pPr>
                    <w:pStyle w:val="101"/>
                    <w:ind w:firstLine="0" w:firstLineChars="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w:t>
                  </w:r>
                </w:p>
              </w:tc>
              <w:tc>
                <w:tcPr>
                  <w:tcW w:w="548" w:type="pct"/>
                  <w:vAlign w:val="center"/>
                </w:tcPr>
                <w:p w14:paraId="2B7C9F46">
                  <w:pPr>
                    <w:pStyle w:val="101"/>
                    <w:ind w:firstLine="0" w:firstLineChars="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w:t>
                  </w:r>
                </w:p>
              </w:tc>
            </w:tr>
            <w:tr w14:paraId="21C5AD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continue"/>
                  <w:vAlign w:val="center"/>
                </w:tcPr>
                <w:p w14:paraId="195F3460">
                  <w:pPr>
                    <w:pStyle w:val="101"/>
                    <w:rPr>
                      <w:rFonts w:hint="default" w:ascii="Times New Roman" w:hAnsi="Times New Roman" w:eastAsia="仿宋" w:cs="Times New Roman"/>
                      <w:color w:val="auto"/>
                      <w:sz w:val="21"/>
                      <w:szCs w:val="21"/>
                      <w:lang w:val="en-US"/>
                    </w:rPr>
                  </w:pPr>
                </w:p>
              </w:tc>
              <w:tc>
                <w:tcPr>
                  <w:tcW w:w="629" w:type="pct"/>
                  <w:vMerge w:val="continue"/>
                  <w:vAlign w:val="center"/>
                </w:tcPr>
                <w:p w14:paraId="33E6676E">
                  <w:pPr>
                    <w:pStyle w:val="101"/>
                    <w:rPr>
                      <w:rFonts w:hint="default" w:ascii="Times New Roman" w:hAnsi="Times New Roman" w:eastAsia="仿宋" w:cs="Times New Roman"/>
                      <w:color w:val="auto"/>
                      <w:sz w:val="21"/>
                      <w:szCs w:val="21"/>
                    </w:rPr>
                  </w:pPr>
                </w:p>
              </w:tc>
              <w:tc>
                <w:tcPr>
                  <w:tcW w:w="1283" w:type="pct"/>
                  <w:vAlign w:val="center"/>
                </w:tcPr>
                <w:p w14:paraId="23358CA4">
                  <w:pPr>
                    <w:pStyle w:val="101"/>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颗粒物</w:t>
                  </w:r>
                  <w:r>
                    <w:rPr>
                      <w:rFonts w:hint="default" w:ascii="Times New Roman" w:hAnsi="Times New Roman" w:eastAsia="仿宋" w:cs="Times New Roman"/>
                      <w:color w:val="auto"/>
                      <w:sz w:val="21"/>
                      <w:szCs w:val="21"/>
                    </w:rPr>
                    <w:t>排放浓度（mg/m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p>
              </w:tc>
              <w:tc>
                <w:tcPr>
                  <w:tcW w:w="499" w:type="pct"/>
                  <w:vAlign w:val="center"/>
                </w:tcPr>
                <w:p w14:paraId="4AB085DD">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2.0</w:t>
                  </w:r>
                </w:p>
              </w:tc>
              <w:tc>
                <w:tcPr>
                  <w:tcW w:w="499" w:type="pct"/>
                  <w:vAlign w:val="center"/>
                </w:tcPr>
                <w:p w14:paraId="3539F235">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1.8</w:t>
                  </w:r>
                </w:p>
              </w:tc>
              <w:tc>
                <w:tcPr>
                  <w:tcW w:w="500" w:type="pct"/>
                  <w:vAlign w:val="center"/>
                </w:tcPr>
                <w:p w14:paraId="4D0A04FA">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1.7</w:t>
                  </w:r>
                </w:p>
              </w:tc>
              <w:tc>
                <w:tcPr>
                  <w:tcW w:w="517" w:type="pct"/>
                  <w:vAlign w:val="center"/>
                </w:tcPr>
                <w:p w14:paraId="1981ED6C">
                  <w:pPr>
                    <w:pStyle w:val="101"/>
                    <w:ind w:firstLine="0" w:firstLineChars="0"/>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20</w:t>
                  </w:r>
                </w:p>
              </w:tc>
              <w:tc>
                <w:tcPr>
                  <w:tcW w:w="548" w:type="pct"/>
                  <w:vAlign w:val="center"/>
                </w:tcPr>
                <w:p w14:paraId="1CB32B2A">
                  <w:pPr>
                    <w:pStyle w:val="101"/>
                    <w:ind w:firstLine="0" w:firstLineChars="0"/>
                    <w:rPr>
                      <w:rFonts w:hint="default" w:ascii="Times New Roman" w:hAnsi="Times New Roman" w:eastAsia="仿宋" w:cs="Times New Roman"/>
                      <w:color w:val="auto"/>
                    </w:rPr>
                  </w:pPr>
                  <w:r>
                    <w:rPr>
                      <w:rFonts w:hint="default" w:ascii="Times New Roman" w:hAnsi="Times New Roman" w:eastAsia="仿宋" w:cs="Times New Roman"/>
                      <w:color w:val="auto"/>
                    </w:rPr>
                    <w:t>达标</w:t>
                  </w:r>
                </w:p>
              </w:tc>
            </w:tr>
            <w:tr w14:paraId="3BB5FA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continue"/>
                  <w:vAlign w:val="center"/>
                </w:tcPr>
                <w:p w14:paraId="669BCA80">
                  <w:pPr>
                    <w:pStyle w:val="101"/>
                    <w:rPr>
                      <w:rFonts w:hint="default" w:ascii="Times New Roman" w:hAnsi="Times New Roman" w:eastAsia="仿宋" w:cs="Times New Roman"/>
                      <w:color w:val="auto"/>
                      <w:sz w:val="21"/>
                      <w:szCs w:val="21"/>
                    </w:rPr>
                  </w:pPr>
                </w:p>
              </w:tc>
              <w:tc>
                <w:tcPr>
                  <w:tcW w:w="629" w:type="pct"/>
                  <w:vMerge w:val="continue"/>
                  <w:vAlign w:val="center"/>
                </w:tcPr>
                <w:p w14:paraId="46F81DA1">
                  <w:pPr>
                    <w:pStyle w:val="101"/>
                    <w:rPr>
                      <w:rFonts w:hint="default" w:ascii="Times New Roman" w:hAnsi="Times New Roman" w:eastAsia="仿宋" w:cs="Times New Roman"/>
                      <w:color w:val="auto"/>
                      <w:sz w:val="21"/>
                      <w:szCs w:val="21"/>
                    </w:rPr>
                  </w:pPr>
                </w:p>
              </w:tc>
              <w:tc>
                <w:tcPr>
                  <w:tcW w:w="1283" w:type="pct"/>
                  <w:vAlign w:val="center"/>
                </w:tcPr>
                <w:p w14:paraId="6E6E6470">
                  <w:pPr>
                    <w:pStyle w:val="101"/>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颗粒物</w:t>
                  </w:r>
                  <w:r>
                    <w:rPr>
                      <w:rFonts w:hint="default" w:ascii="Times New Roman" w:hAnsi="Times New Roman" w:eastAsia="仿宋" w:cs="Times New Roman"/>
                      <w:color w:val="auto"/>
                      <w:sz w:val="21"/>
                      <w:szCs w:val="21"/>
                    </w:rPr>
                    <w:t>排放速率（kg/h）</w:t>
                  </w:r>
                </w:p>
              </w:tc>
              <w:tc>
                <w:tcPr>
                  <w:tcW w:w="499" w:type="pct"/>
                  <w:vAlign w:val="center"/>
                </w:tcPr>
                <w:p w14:paraId="7114854C">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0.023</w:t>
                  </w:r>
                </w:p>
              </w:tc>
              <w:tc>
                <w:tcPr>
                  <w:tcW w:w="499" w:type="pct"/>
                  <w:vAlign w:val="center"/>
                </w:tcPr>
                <w:p w14:paraId="6D15D1B1">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0.02</w:t>
                  </w:r>
                </w:p>
              </w:tc>
              <w:tc>
                <w:tcPr>
                  <w:tcW w:w="500" w:type="pct"/>
                  <w:vAlign w:val="center"/>
                </w:tcPr>
                <w:p w14:paraId="2CBE9430">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0.02</w:t>
                  </w:r>
                </w:p>
              </w:tc>
              <w:tc>
                <w:tcPr>
                  <w:tcW w:w="517" w:type="pct"/>
                  <w:vAlign w:val="center"/>
                </w:tcPr>
                <w:p w14:paraId="1210988D">
                  <w:pPr>
                    <w:pStyle w:val="101"/>
                    <w:ind w:firstLine="0" w:firstLineChars="0"/>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1</w:t>
                  </w:r>
                </w:p>
              </w:tc>
              <w:tc>
                <w:tcPr>
                  <w:tcW w:w="548" w:type="pct"/>
                  <w:vAlign w:val="center"/>
                </w:tcPr>
                <w:p w14:paraId="3928793E">
                  <w:pPr>
                    <w:pStyle w:val="101"/>
                    <w:ind w:firstLine="0" w:firstLineChars="0"/>
                    <w:rPr>
                      <w:rFonts w:hint="default" w:ascii="Times New Roman" w:hAnsi="Times New Roman" w:eastAsia="仿宋" w:cs="Times New Roman"/>
                      <w:color w:val="auto"/>
                    </w:rPr>
                  </w:pPr>
                  <w:r>
                    <w:rPr>
                      <w:rFonts w:hint="default" w:ascii="Times New Roman" w:hAnsi="Times New Roman" w:eastAsia="仿宋" w:cs="Times New Roman"/>
                      <w:color w:val="auto"/>
                    </w:rPr>
                    <w:t>达标</w:t>
                  </w:r>
                </w:p>
              </w:tc>
            </w:tr>
          </w:tbl>
          <w:p w14:paraId="63DCF1A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注：例行监测在正常工况下进行。</w:t>
            </w:r>
          </w:p>
          <w:p w14:paraId="73F7DE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由上表可知，现有项目DA001排气筒颗粒物的排放浓度、速率均符合</w:t>
            </w:r>
            <w:r>
              <w:rPr>
                <w:rFonts w:hint="default" w:ascii="Times New Roman" w:hAnsi="Times New Roman" w:eastAsia="仿宋" w:cs="Times New Roman"/>
                <w:color w:val="auto"/>
                <w:sz w:val="24"/>
                <w:szCs w:val="24"/>
              </w:rPr>
              <w:t>《大气污染物综合排放标准》（DB32/4041-2021）</w:t>
            </w:r>
            <w:r>
              <w:rPr>
                <w:rFonts w:hint="default" w:ascii="Times New Roman" w:hAnsi="Times New Roman" w:eastAsia="仿宋" w:cs="Times New Roman"/>
                <w:color w:val="auto"/>
                <w:sz w:val="24"/>
                <w:szCs w:val="24"/>
                <w:lang w:eastAsia="zh-CN"/>
              </w:rPr>
              <w:t>中</w:t>
            </w:r>
            <w:r>
              <w:rPr>
                <w:rFonts w:hint="default" w:ascii="Times New Roman" w:hAnsi="Times New Roman" w:eastAsia="仿宋" w:cs="Times New Roman"/>
                <w:color w:val="auto"/>
                <w:kern w:val="2"/>
                <w:sz w:val="24"/>
                <w:szCs w:val="24"/>
                <w:lang w:val="en-US" w:eastAsia="zh-CN" w:bidi="ar-SA"/>
              </w:rPr>
              <w:t>相关限值要求。</w:t>
            </w:r>
          </w:p>
          <w:p w14:paraId="5579B0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根据</w:t>
            </w:r>
            <w:r>
              <w:rPr>
                <w:rFonts w:hint="eastAsia" w:eastAsia="仿宋" w:cs="Times New Roman"/>
                <w:color w:val="auto"/>
                <w:kern w:val="2"/>
                <w:sz w:val="24"/>
                <w:szCs w:val="24"/>
                <w:lang w:val="en-US" w:eastAsia="zh-CN" w:bidi="ar-SA"/>
              </w:rPr>
              <w:t>南京爱迪信环境技术有限公司</w:t>
            </w:r>
            <w:r>
              <w:rPr>
                <w:rFonts w:hint="default" w:ascii="Times New Roman" w:hAnsi="Times New Roman" w:eastAsia="仿宋" w:cs="Times New Roman"/>
                <w:color w:val="auto"/>
                <w:kern w:val="2"/>
                <w:sz w:val="24"/>
                <w:szCs w:val="24"/>
                <w:lang w:val="en-US" w:eastAsia="zh-CN" w:bidi="ar-SA"/>
              </w:rPr>
              <w:t>出具的检测报告（</w:t>
            </w:r>
            <w:r>
              <w:rPr>
                <w:rFonts w:hint="eastAsia" w:eastAsia="仿宋" w:cs="Times New Roman"/>
                <w:color w:val="auto"/>
                <w:kern w:val="2"/>
                <w:sz w:val="24"/>
                <w:szCs w:val="24"/>
                <w:lang w:val="en-US" w:eastAsia="zh-CN" w:bidi="ar-SA"/>
              </w:rPr>
              <w:t>NJADT2403010401</w:t>
            </w:r>
            <w:r>
              <w:rPr>
                <w:rFonts w:hint="default" w:ascii="Times New Roman" w:hAnsi="Times New Roman" w:eastAsia="仿宋" w:cs="Times New Roman"/>
                <w:color w:val="auto"/>
                <w:kern w:val="2"/>
                <w:sz w:val="24"/>
                <w:szCs w:val="24"/>
                <w:lang w:val="en-US" w:eastAsia="zh-CN" w:bidi="ar-SA"/>
              </w:rPr>
              <w:t>），无组织废气监测达标排放情况如下：</w:t>
            </w:r>
          </w:p>
          <w:p w14:paraId="79618FE8">
            <w:pPr>
              <w:pStyle w:val="100"/>
              <w:ind w:firstLine="482"/>
              <w:rPr>
                <w:rFonts w:hint="default" w:ascii="Times New Roman" w:hAnsi="Times New Roman" w:eastAsia="仿宋" w:cs="Times New Roman"/>
                <w:color w:val="auto"/>
                <w:sz w:val="21"/>
                <w:szCs w:val="16"/>
              </w:rPr>
            </w:pPr>
            <w:r>
              <w:rPr>
                <w:rFonts w:hint="default" w:ascii="Times New Roman" w:hAnsi="Times New Roman" w:eastAsia="仿宋" w:cs="Times New Roman"/>
                <w:color w:val="auto"/>
                <w:sz w:val="21"/>
                <w:szCs w:val="16"/>
              </w:rPr>
              <w:t>表2-1</w:t>
            </w:r>
            <w:r>
              <w:rPr>
                <w:rFonts w:hint="eastAsia" w:eastAsia="仿宋" w:cs="Times New Roman"/>
                <w:color w:val="auto"/>
                <w:sz w:val="21"/>
                <w:szCs w:val="16"/>
                <w:lang w:val="en-US" w:eastAsia="zh-CN"/>
              </w:rPr>
              <w:t>5</w:t>
            </w:r>
            <w:r>
              <w:rPr>
                <w:rFonts w:hint="default" w:ascii="Times New Roman" w:hAnsi="Times New Roman" w:eastAsia="仿宋" w:cs="Times New Roman"/>
                <w:color w:val="auto"/>
                <w:sz w:val="21"/>
                <w:szCs w:val="16"/>
              </w:rPr>
              <w:t xml:space="preserve">  无组织废气监测结果</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530"/>
              <w:gridCol w:w="1909"/>
              <w:gridCol w:w="1909"/>
              <w:gridCol w:w="1911"/>
            </w:tblGrid>
            <w:tr w14:paraId="6FD587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pct"/>
                  <w:vMerge w:val="restart"/>
                  <w:vAlign w:val="center"/>
                </w:tcPr>
                <w:p w14:paraId="172128F6">
                  <w:pPr>
                    <w:pStyle w:val="101"/>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监测日期</w:t>
                  </w:r>
                </w:p>
              </w:tc>
              <w:tc>
                <w:tcPr>
                  <w:tcW w:w="910" w:type="pct"/>
                  <w:vMerge w:val="restart"/>
                  <w:vAlign w:val="center"/>
                </w:tcPr>
                <w:p w14:paraId="12C6990B">
                  <w:pPr>
                    <w:pStyle w:val="101"/>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监测点位</w:t>
                  </w:r>
                </w:p>
              </w:tc>
              <w:tc>
                <w:tcPr>
                  <w:tcW w:w="3412" w:type="pct"/>
                  <w:gridSpan w:val="3"/>
                  <w:vAlign w:val="center"/>
                </w:tcPr>
                <w:p w14:paraId="2FDD398D">
                  <w:pPr>
                    <w:pStyle w:val="101"/>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颗粒物</w:t>
                  </w:r>
                  <w:r>
                    <w:rPr>
                      <w:rFonts w:hint="default" w:ascii="Times New Roman" w:hAnsi="Times New Roman" w:eastAsia="仿宋" w:cs="Times New Roman"/>
                      <w:b/>
                      <w:bCs/>
                      <w:color w:val="auto"/>
                    </w:rPr>
                    <w:t>（mg/m</w:t>
                  </w:r>
                  <w:r>
                    <w:rPr>
                      <w:rFonts w:hint="default" w:ascii="Times New Roman" w:hAnsi="Times New Roman" w:eastAsia="仿宋" w:cs="Times New Roman"/>
                      <w:b/>
                      <w:bCs/>
                      <w:color w:val="auto"/>
                      <w:vertAlign w:val="superscript"/>
                    </w:rPr>
                    <w:t>3</w:t>
                  </w:r>
                  <w:r>
                    <w:rPr>
                      <w:rFonts w:hint="default" w:ascii="Times New Roman" w:hAnsi="Times New Roman" w:eastAsia="仿宋" w:cs="Times New Roman"/>
                      <w:b/>
                      <w:bCs/>
                      <w:color w:val="auto"/>
                    </w:rPr>
                    <w:t>）</w:t>
                  </w:r>
                </w:p>
              </w:tc>
            </w:tr>
            <w:tr w14:paraId="26AD5C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pct"/>
                  <w:vMerge w:val="continue"/>
                  <w:vAlign w:val="center"/>
                </w:tcPr>
                <w:p w14:paraId="73BB81BA">
                  <w:pPr>
                    <w:pStyle w:val="101"/>
                    <w:rPr>
                      <w:rFonts w:hint="default" w:ascii="Times New Roman" w:hAnsi="Times New Roman" w:eastAsia="仿宋" w:cs="Times New Roman"/>
                      <w:b/>
                      <w:bCs/>
                      <w:color w:val="auto"/>
                    </w:rPr>
                  </w:pPr>
                </w:p>
              </w:tc>
              <w:tc>
                <w:tcPr>
                  <w:tcW w:w="910" w:type="pct"/>
                  <w:vMerge w:val="continue"/>
                  <w:vAlign w:val="center"/>
                </w:tcPr>
                <w:p w14:paraId="5B8D902B">
                  <w:pPr>
                    <w:pStyle w:val="101"/>
                    <w:rPr>
                      <w:rFonts w:hint="default" w:ascii="Times New Roman" w:hAnsi="Times New Roman" w:eastAsia="仿宋" w:cs="Times New Roman"/>
                      <w:b/>
                      <w:bCs/>
                      <w:color w:val="auto"/>
                    </w:rPr>
                  </w:pPr>
                </w:p>
              </w:tc>
              <w:tc>
                <w:tcPr>
                  <w:tcW w:w="1137" w:type="pct"/>
                  <w:vAlign w:val="center"/>
                </w:tcPr>
                <w:p w14:paraId="49A1BCD0">
                  <w:pPr>
                    <w:pStyle w:val="101"/>
                    <w:ind w:firstLine="0" w:firstLineChars="0"/>
                    <w:jc w:val="center"/>
                    <w:rPr>
                      <w:rFonts w:hint="default" w:ascii="Times New Roman" w:hAnsi="Times New Roman" w:eastAsia="仿宋" w:cs="Times New Roman"/>
                      <w:b/>
                      <w:bCs/>
                      <w:color w:val="auto"/>
                      <w:lang w:val="en-US" w:eastAsia="zh-CN"/>
                    </w:rPr>
                  </w:pPr>
                  <w:r>
                    <w:rPr>
                      <w:rFonts w:hint="eastAsia" w:eastAsia="仿宋" w:cs="Times New Roman"/>
                      <w:b/>
                      <w:bCs/>
                      <w:color w:val="auto"/>
                      <w:lang w:val="en-US" w:eastAsia="zh-CN"/>
                    </w:rPr>
                    <w:t>第一次</w:t>
                  </w:r>
                </w:p>
              </w:tc>
              <w:tc>
                <w:tcPr>
                  <w:tcW w:w="1137" w:type="pct"/>
                  <w:vAlign w:val="center"/>
                </w:tcPr>
                <w:p w14:paraId="5F8EF957">
                  <w:pPr>
                    <w:pStyle w:val="101"/>
                    <w:ind w:firstLine="0" w:firstLineChars="0"/>
                    <w:jc w:val="center"/>
                    <w:rPr>
                      <w:rFonts w:hint="default" w:ascii="Times New Roman" w:hAnsi="Times New Roman" w:eastAsia="仿宋" w:cs="Times New Roman"/>
                      <w:b/>
                      <w:bCs/>
                      <w:color w:val="auto"/>
                      <w:lang w:val="en-US" w:eastAsia="zh-CN"/>
                    </w:rPr>
                  </w:pPr>
                  <w:r>
                    <w:rPr>
                      <w:rFonts w:hint="eastAsia" w:eastAsia="仿宋" w:cs="Times New Roman"/>
                      <w:b/>
                      <w:bCs/>
                      <w:color w:val="auto"/>
                      <w:lang w:val="en-US" w:eastAsia="zh-CN"/>
                    </w:rPr>
                    <w:t>第二次</w:t>
                  </w:r>
                </w:p>
              </w:tc>
              <w:tc>
                <w:tcPr>
                  <w:tcW w:w="1138" w:type="pct"/>
                  <w:vAlign w:val="center"/>
                </w:tcPr>
                <w:p w14:paraId="0994C85D">
                  <w:pPr>
                    <w:pStyle w:val="101"/>
                    <w:ind w:firstLine="0" w:firstLineChars="0"/>
                    <w:jc w:val="center"/>
                    <w:rPr>
                      <w:rFonts w:hint="default" w:ascii="Times New Roman" w:hAnsi="Times New Roman" w:eastAsia="仿宋" w:cs="Times New Roman"/>
                      <w:b/>
                      <w:bCs/>
                      <w:color w:val="auto"/>
                      <w:lang w:val="en-US" w:eastAsia="zh-CN"/>
                    </w:rPr>
                  </w:pPr>
                  <w:r>
                    <w:rPr>
                      <w:rFonts w:hint="eastAsia" w:eastAsia="仿宋" w:cs="Times New Roman"/>
                      <w:b/>
                      <w:bCs/>
                      <w:color w:val="auto"/>
                      <w:lang w:val="en-US" w:eastAsia="zh-CN"/>
                    </w:rPr>
                    <w:t>第三次</w:t>
                  </w:r>
                </w:p>
              </w:tc>
            </w:tr>
            <w:tr w14:paraId="07BEC3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pct"/>
                  <w:vMerge w:val="restart"/>
                  <w:vAlign w:val="center"/>
                </w:tcPr>
                <w:p w14:paraId="49C365DC">
                  <w:pPr>
                    <w:pStyle w:val="101"/>
                    <w:rPr>
                      <w:rFonts w:hint="default" w:ascii="Times New Roman" w:hAnsi="Times New Roman" w:eastAsia="仿宋" w:cs="Times New Roman"/>
                      <w:color w:val="auto"/>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4.</w:t>
                  </w:r>
                  <w:r>
                    <w:rPr>
                      <w:rFonts w:hint="eastAsia" w:eastAsia="仿宋" w:cs="Times New Roman"/>
                      <w:color w:val="auto"/>
                      <w:sz w:val="21"/>
                      <w:szCs w:val="21"/>
                      <w:lang w:val="en-US" w:eastAsia="zh-CN"/>
                    </w:rPr>
                    <w:t>8.13</w:t>
                  </w:r>
                </w:p>
              </w:tc>
              <w:tc>
                <w:tcPr>
                  <w:tcW w:w="910" w:type="pct"/>
                  <w:vAlign w:val="center"/>
                </w:tcPr>
                <w:p w14:paraId="14378BBD">
                  <w:pPr>
                    <w:pStyle w:val="101"/>
                    <w:rPr>
                      <w:rFonts w:hint="default" w:ascii="Times New Roman" w:hAnsi="Times New Roman" w:eastAsia="仿宋" w:cs="Times New Roman"/>
                      <w:color w:val="auto"/>
                    </w:rPr>
                  </w:pPr>
                  <w:r>
                    <w:rPr>
                      <w:rFonts w:hint="default" w:ascii="Times New Roman" w:hAnsi="Times New Roman" w:eastAsia="仿宋" w:cs="Times New Roman"/>
                      <w:color w:val="auto"/>
                    </w:rPr>
                    <w:t>上风向Ο1</w:t>
                  </w:r>
                </w:p>
              </w:tc>
              <w:tc>
                <w:tcPr>
                  <w:tcW w:w="1137" w:type="pct"/>
                  <w:vAlign w:val="center"/>
                </w:tcPr>
                <w:p w14:paraId="6132575B">
                  <w:pPr>
                    <w:pStyle w:val="101"/>
                    <w:rPr>
                      <w:rFonts w:hint="default" w:ascii="Times New Roman" w:hAnsi="Times New Roman" w:eastAsia="仿宋" w:cs="Times New Roman"/>
                      <w:color w:val="auto"/>
                      <w:lang w:val="en-US" w:eastAsia="zh-CN"/>
                    </w:rPr>
                  </w:pPr>
                  <w:r>
                    <w:rPr>
                      <w:rFonts w:hint="eastAsia" w:eastAsia="仿宋" w:cs="Times New Roman"/>
                      <w:color w:val="auto"/>
                      <w:lang w:val="en-US" w:eastAsia="zh-CN"/>
                    </w:rPr>
                    <w:t>0.206</w:t>
                  </w:r>
                </w:p>
              </w:tc>
              <w:tc>
                <w:tcPr>
                  <w:tcW w:w="1137" w:type="pct"/>
                  <w:vAlign w:val="center"/>
                </w:tcPr>
                <w:p w14:paraId="7231A9F4">
                  <w:pPr>
                    <w:pStyle w:val="101"/>
                    <w:rPr>
                      <w:rFonts w:hint="default" w:ascii="Times New Roman" w:hAnsi="Times New Roman" w:eastAsia="仿宋" w:cs="Times New Roman"/>
                      <w:color w:val="auto"/>
                      <w:lang w:val="en-US" w:eastAsia="zh-CN"/>
                    </w:rPr>
                  </w:pPr>
                  <w:r>
                    <w:rPr>
                      <w:rFonts w:hint="eastAsia" w:eastAsia="仿宋" w:cs="Times New Roman"/>
                      <w:color w:val="auto"/>
                      <w:lang w:val="en-US" w:eastAsia="zh-CN"/>
                    </w:rPr>
                    <w:t>0.243</w:t>
                  </w:r>
                </w:p>
              </w:tc>
              <w:tc>
                <w:tcPr>
                  <w:tcW w:w="1138" w:type="pct"/>
                  <w:vAlign w:val="center"/>
                </w:tcPr>
                <w:p w14:paraId="34503AA1">
                  <w:pPr>
                    <w:pStyle w:val="101"/>
                    <w:rPr>
                      <w:rFonts w:hint="default" w:ascii="Times New Roman" w:hAnsi="Times New Roman" w:eastAsia="仿宋" w:cs="Times New Roman"/>
                      <w:color w:val="auto"/>
                      <w:lang w:val="en-US" w:eastAsia="zh-CN"/>
                    </w:rPr>
                  </w:pPr>
                  <w:r>
                    <w:rPr>
                      <w:rFonts w:hint="eastAsia" w:eastAsia="仿宋" w:cs="Times New Roman"/>
                      <w:color w:val="auto"/>
                      <w:lang w:val="en-US" w:eastAsia="zh-CN"/>
                    </w:rPr>
                    <w:t>0.253</w:t>
                  </w:r>
                </w:p>
              </w:tc>
            </w:tr>
            <w:tr w14:paraId="7B09C4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pct"/>
                  <w:vMerge w:val="continue"/>
                  <w:vAlign w:val="center"/>
                </w:tcPr>
                <w:p w14:paraId="5B020A59">
                  <w:pPr>
                    <w:pStyle w:val="101"/>
                    <w:rPr>
                      <w:rFonts w:hint="default" w:ascii="Times New Roman" w:hAnsi="Times New Roman" w:eastAsia="仿宋" w:cs="Times New Roman"/>
                      <w:color w:val="auto"/>
                    </w:rPr>
                  </w:pPr>
                </w:p>
              </w:tc>
              <w:tc>
                <w:tcPr>
                  <w:tcW w:w="910" w:type="pct"/>
                  <w:vAlign w:val="center"/>
                </w:tcPr>
                <w:p w14:paraId="40175F75">
                  <w:pPr>
                    <w:pStyle w:val="101"/>
                    <w:rPr>
                      <w:rFonts w:hint="default" w:ascii="Times New Roman" w:hAnsi="Times New Roman" w:eastAsia="仿宋" w:cs="Times New Roman"/>
                      <w:color w:val="auto"/>
                    </w:rPr>
                  </w:pPr>
                  <w:r>
                    <w:rPr>
                      <w:rFonts w:hint="default" w:ascii="Times New Roman" w:hAnsi="Times New Roman" w:eastAsia="仿宋" w:cs="Times New Roman"/>
                      <w:color w:val="auto"/>
                    </w:rPr>
                    <w:t>下风向Ο2</w:t>
                  </w:r>
                </w:p>
              </w:tc>
              <w:tc>
                <w:tcPr>
                  <w:tcW w:w="1137" w:type="pct"/>
                  <w:vAlign w:val="center"/>
                </w:tcPr>
                <w:p w14:paraId="7B33E336">
                  <w:pPr>
                    <w:pStyle w:val="101"/>
                    <w:rPr>
                      <w:rFonts w:hint="default" w:ascii="Times New Roman" w:hAnsi="Times New Roman" w:eastAsia="仿宋" w:cs="Times New Roman"/>
                      <w:color w:val="auto"/>
                      <w:lang w:val="en-US" w:eastAsia="zh-CN"/>
                    </w:rPr>
                  </w:pPr>
                  <w:r>
                    <w:rPr>
                      <w:rFonts w:hint="eastAsia" w:eastAsia="仿宋" w:cs="Times New Roman"/>
                      <w:color w:val="auto"/>
                      <w:lang w:val="en-US" w:eastAsia="zh-CN"/>
                    </w:rPr>
                    <w:t>0.271</w:t>
                  </w:r>
                </w:p>
              </w:tc>
              <w:tc>
                <w:tcPr>
                  <w:tcW w:w="1137" w:type="pct"/>
                  <w:vAlign w:val="center"/>
                </w:tcPr>
                <w:p w14:paraId="7D50EFF5">
                  <w:pPr>
                    <w:pStyle w:val="101"/>
                    <w:rPr>
                      <w:rFonts w:hint="default" w:ascii="Times New Roman" w:hAnsi="Times New Roman" w:eastAsia="仿宋" w:cs="Times New Roman"/>
                      <w:color w:val="auto"/>
                      <w:lang w:val="en-US" w:eastAsia="zh-CN"/>
                    </w:rPr>
                  </w:pPr>
                  <w:r>
                    <w:rPr>
                      <w:rFonts w:hint="eastAsia" w:eastAsia="仿宋" w:cs="Times New Roman"/>
                      <w:color w:val="auto"/>
                      <w:lang w:val="en-US" w:eastAsia="zh-CN"/>
                    </w:rPr>
                    <w:t>0.3</w:t>
                  </w:r>
                </w:p>
              </w:tc>
              <w:tc>
                <w:tcPr>
                  <w:tcW w:w="1138" w:type="pct"/>
                  <w:vAlign w:val="center"/>
                </w:tcPr>
                <w:p w14:paraId="4A259F70">
                  <w:pPr>
                    <w:pStyle w:val="101"/>
                    <w:rPr>
                      <w:rFonts w:hint="default" w:ascii="Times New Roman" w:hAnsi="Times New Roman" w:eastAsia="仿宋" w:cs="Times New Roman"/>
                      <w:color w:val="auto"/>
                      <w:lang w:val="en-US" w:eastAsia="zh-CN"/>
                    </w:rPr>
                  </w:pPr>
                  <w:r>
                    <w:rPr>
                      <w:rFonts w:hint="eastAsia" w:eastAsia="仿宋" w:cs="Times New Roman"/>
                      <w:color w:val="auto"/>
                      <w:lang w:val="en-US" w:eastAsia="zh-CN"/>
                    </w:rPr>
                    <w:t>0.28</w:t>
                  </w:r>
                </w:p>
              </w:tc>
            </w:tr>
            <w:tr w14:paraId="693801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pct"/>
                  <w:vMerge w:val="continue"/>
                  <w:vAlign w:val="center"/>
                </w:tcPr>
                <w:p w14:paraId="5B6D3062">
                  <w:pPr>
                    <w:pStyle w:val="101"/>
                    <w:rPr>
                      <w:rFonts w:hint="default" w:ascii="Times New Roman" w:hAnsi="Times New Roman" w:eastAsia="仿宋" w:cs="Times New Roman"/>
                      <w:color w:val="auto"/>
                    </w:rPr>
                  </w:pPr>
                </w:p>
              </w:tc>
              <w:tc>
                <w:tcPr>
                  <w:tcW w:w="910" w:type="pct"/>
                  <w:vAlign w:val="center"/>
                </w:tcPr>
                <w:p w14:paraId="59819748">
                  <w:pPr>
                    <w:pStyle w:val="101"/>
                    <w:rPr>
                      <w:rFonts w:hint="default" w:ascii="Times New Roman" w:hAnsi="Times New Roman" w:eastAsia="仿宋" w:cs="Times New Roman"/>
                      <w:color w:val="auto"/>
                    </w:rPr>
                  </w:pPr>
                  <w:r>
                    <w:rPr>
                      <w:rFonts w:hint="default" w:ascii="Times New Roman" w:hAnsi="Times New Roman" w:eastAsia="仿宋" w:cs="Times New Roman"/>
                      <w:color w:val="auto"/>
                    </w:rPr>
                    <w:t>下风向Ο3</w:t>
                  </w:r>
                </w:p>
              </w:tc>
              <w:tc>
                <w:tcPr>
                  <w:tcW w:w="1137" w:type="pct"/>
                  <w:vAlign w:val="center"/>
                </w:tcPr>
                <w:p w14:paraId="03FCB1C2">
                  <w:pPr>
                    <w:pStyle w:val="101"/>
                    <w:rPr>
                      <w:rFonts w:hint="default" w:ascii="Times New Roman" w:hAnsi="Times New Roman" w:eastAsia="仿宋" w:cs="Times New Roman"/>
                      <w:color w:val="auto"/>
                      <w:lang w:val="en-US" w:eastAsia="zh-CN"/>
                    </w:rPr>
                  </w:pPr>
                  <w:r>
                    <w:rPr>
                      <w:rFonts w:hint="eastAsia" w:eastAsia="仿宋" w:cs="Times New Roman"/>
                      <w:color w:val="auto"/>
                      <w:lang w:val="en-US" w:eastAsia="zh-CN"/>
                    </w:rPr>
                    <w:t>0.294</w:t>
                  </w:r>
                </w:p>
              </w:tc>
              <w:tc>
                <w:tcPr>
                  <w:tcW w:w="1137" w:type="pct"/>
                  <w:vAlign w:val="center"/>
                </w:tcPr>
                <w:p w14:paraId="16172A50">
                  <w:pPr>
                    <w:pStyle w:val="101"/>
                    <w:rPr>
                      <w:rFonts w:hint="default" w:ascii="Times New Roman" w:hAnsi="Times New Roman" w:eastAsia="仿宋" w:cs="Times New Roman"/>
                      <w:color w:val="auto"/>
                      <w:lang w:val="en-US" w:eastAsia="zh-CN"/>
                    </w:rPr>
                  </w:pPr>
                  <w:r>
                    <w:rPr>
                      <w:rFonts w:hint="eastAsia" w:eastAsia="仿宋" w:cs="Times New Roman"/>
                      <w:color w:val="auto"/>
                      <w:lang w:val="en-US" w:eastAsia="zh-CN"/>
                    </w:rPr>
                    <w:t>0.311</w:t>
                  </w:r>
                </w:p>
              </w:tc>
              <w:tc>
                <w:tcPr>
                  <w:tcW w:w="1138" w:type="pct"/>
                  <w:vAlign w:val="center"/>
                </w:tcPr>
                <w:p w14:paraId="17AC820F">
                  <w:pPr>
                    <w:pStyle w:val="101"/>
                    <w:rPr>
                      <w:rFonts w:hint="default" w:ascii="Times New Roman" w:hAnsi="Times New Roman" w:eastAsia="仿宋" w:cs="Times New Roman"/>
                      <w:color w:val="auto"/>
                      <w:lang w:val="en-US" w:eastAsia="zh-CN"/>
                    </w:rPr>
                  </w:pPr>
                  <w:r>
                    <w:rPr>
                      <w:rFonts w:hint="eastAsia" w:eastAsia="仿宋" w:cs="Times New Roman"/>
                      <w:color w:val="auto"/>
                      <w:lang w:val="en-US" w:eastAsia="zh-CN"/>
                    </w:rPr>
                    <w:t>0.325</w:t>
                  </w:r>
                </w:p>
              </w:tc>
            </w:tr>
            <w:tr w14:paraId="460E57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pct"/>
                  <w:vMerge w:val="continue"/>
                  <w:vAlign w:val="center"/>
                </w:tcPr>
                <w:p w14:paraId="48E4FB9B">
                  <w:pPr>
                    <w:pStyle w:val="101"/>
                    <w:rPr>
                      <w:rFonts w:hint="default" w:ascii="Times New Roman" w:hAnsi="Times New Roman" w:eastAsia="仿宋" w:cs="Times New Roman"/>
                      <w:color w:val="auto"/>
                    </w:rPr>
                  </w:pPr>
                </w:p>
              </w:tc>
              <w:tc>
                <w:tcPr>
                  <w:tcW w:w="910" w:type="pct"/>
                  <w:vAlign w:val="center"/>
                </w:tcPr>
                <w:p w14:paraId="77001AA7">
                  <w:pPr>
                    <w:pStyle w:val="101"/>
                    <w:rPr>
                      <w:rFonts w:hint="default" w:ascii="Times New Roman" w:hAnsi="Times New Roman" w:eastAsia="仿宋" w:cs="Times New Roman"/>
                      <w:color w:val="auto"/>
                    </w:rPr>
                  </w:pPr>
                  <w:r>
                    <w:rPr>
                      <w:rFonts w:hint="default" w:ascii="Times New Roman" w:hAnsi="Times New Roman" w:eastAsia="仿宋" w:cs="Times New Roman"/>
                      <w:color w:val="auto"/>
                    </w:rPr>
                    <w:t>下风向Ο4</w:t>
                  </w:r>
                </w:p>
              </w:tc>
              <w:tc>
                <w:tcPr>
                  <w:tcW w:w="1137" w:type="pct"/>
                  <w:vAlign w:val="center"/>
                </w:tcPr>
                <w:p w14:paraId="2FDB65E1">
                  <w:pPr>
                    <w:pStyle w:val="101"/>
                    <w:rPr>
                      <w:rFonts w:hint="default" w:ascii="Times New Roman" w:hAnsi="Times New Roman" w:eastAsia="仿宋" w:cs="Times New Roman"/>
                      <w:color w:val="auto"/>
                      <w:lang w:val="en-US" w:eastAsia="zh-CN"/>
                    </w:rPr>
                  </w:pPr>
                  <w:r>
                    <w:rPr>
                      <w:rFonts w:hint="eastAsia" w:eastAsia="仿宋" w:cs="Times New Roman"/>
                      <w:color w:val="auto"/>
                      <w:lang w:val="en-US" w:eastAsia="zh-CN"/>
                    </w:rPr>
                    <w:t>0.361</w:t>
                  </w:r>
                </w:p>
              </w:tc>
              <w:tc>
                <w:tcPr>
                  <w:tcW w:w="1137" w:type="pct"/>
                  <w:vAlign w:val="center"/>
                </w:tcPr>
                <w:p w14:paraId="63D5285B">
                  <w:pPr>
                    <w:pStyle w:val="101"/>
                    <w:rPr>
                      <w:rFonts w:hint="default" w:ascii="Times New Roman" w:hAnsi="Times New Roman" w:eastAsia="仿宋" w:cs="Times New Roman"/>
                      <w:color w:val="auto"/>
                      <w:lang w:val="en-US" w:eastAsia="zh-CN"/>
                    </w:rPr>
                  </w:pPr>
                  <w:r>
                    <w:rPr>
                      <w:rFonts w:hint="eastAsia" w:eastAsia="仿宋" w:cs="Times New Roman"/>
                      <w:color w:val="auto"/>
                      <w:lang w:val="en-US" w:eastAsia="zh-CN"/>
                    </w:rPr>
                    <w:t>0.395</w:t>
                  </w:r>
                </w:p>
              </w:tc>
              <w:tc>
                <w:tcPr>
                  <w:tcW w:w="1138" w:type="pct"/>
                  <w:vAlign w:val="center"/>
                </w:tcPr>
                <w:p w14:paraId="1CDE5605">
                  <w:pPr>
                    <w:pStyle w:val="101"/>
                    <w:rPr>
                      <w:rFonts w:hint="default" w:ascii="Times New Roman" w:hAnsi="Times New Roman" w:eastAsia="仿宋" w:cs="Times New Roman"/>
                      <w:color w:val="auto"/>
                      <w:lang w:val="en-US" w:eastAsia="zh-CN"/>
                    </w:rPr>
                  </w:pPr>
                  <w:r>
                    <w:rPr>
                      <w:rFonts w:hint="eastAsia" w:eastAsia="仿宋" w:cs="Times New Roman"/>
                      <w:color w:val="auto"/>
                      <w:lang w:val="en-US" w:eastAsia="zh-CN"/>
                    </w:rPr>
                    <w:t>0.409</w:t>
                  </w:r>
                </w:p>
              </w:tc>
            </w:tr>
            <w:tr w14:paraId="7B1661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7" w:type="pct"/>
                  <w:gridSpan w:val="2"/>
                  <w:vAlign w:val="center"/>
                </w:tcPr>
                <w:p w14:paraId="5FF43CB9">
                  <w:pPr>
                    <w:pStyle w:val="101"/>
                    <w:rPr>
                      <w:rFonts w:hint="default" w:ascii="Times New Roman" w:hAnsi="Times New Roman" w:eastAsia="仿宋" w:cs="Times New Roman"/>
                      <w:color w:val="auto"/>
                    </w:rPr>
                  </w:pPr>
                  <w:r>
                    <w:rPr>
                      <w:rFonts w:hint="default" w:ascii="Times New Roman" w:hAnsi="Times New Roman" w:eastAsia="仿宋" w:cs="Times New Roman"/>
                      <w:color w:val="auto"/>
                    </w:rPr>
                    <w:t>监控点浓度最大值</w:t>
                  </w:r>
                </w:p>
              </w:tc>
              <w:tc>
                <w:tcPr>
                  <w:tcW w:w="1137" w:type="pct"/>
                  <w:vAlign w:val="center"/>
                </w:tcPr>
                <w:p w14:paraId="44F57553">
                  <w:pPr>
                    <w:pStyle w:val="101"/>
                    <w:rPr>
                      <w:rFonts w:hint="default" w:ascii="Times New Roman" w:hAnsi="Times New Roman" w:eastAsia="仿宋" w:cs="Times New Roman"/>
                      <w:color w:val="auto"/>
                      <w:lang w:val="en-US" w:eastAsia="zh-CN"/>
                    </w:rPr>
                  </w:pPr>
                  <w:r>
                    <w:rPr>
                      <w:rFonts w:hint="eastAsia" w:eastAsia="仿宋" w:cs="Times New Roman"/>
                      <w:color w:val="auto"/>
                      <w:lang w:val="en-US" w:eastAsia="zh-CN"/>
                    </w:rPr>
                    <w:t>0.361</w:t>
                  </w:r>
                </w:p>
              </w:tc>
              <w:tc>
                <w:tcPr>
                  <w:tcW w:w="1909" w:type="dxa"/>
                  <w:vAlign w:val="center"/>
                </w:tcPr>
                <w:p w14:paraId="4DF86AFB">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0.395</w:t>
                  </w:r>
                </w:p>
              </w:tc>
              <w:tc>
                <w:tcPr>
                  <w:tcW w:w="1911" w:type="dxa"/>
                  <w:vAlign w:val="center"/>
                </w:tcPr>
                <w:p w14:paraId="1DFA6DD6">
                  <w:pPr>
                    <w:pStyle w:val="101"/>
                    <w:ind w:firstLine="0" w:firstLineChars="0"/>
                    <w:rPr>
                      <w:rFonts w:hint="default" w:ascii="Times New Roman" w:hAnsi="Times New Roman" w:eastAsia="仿宋" w:cs="Times New Roman"/>
                      <w:color w:val="auto"/>
                      <w:lang w:val="en-US" w:eastAsia="zh-CN"/>
                    </w:rPr>
                  </w:pPr>
                  <w:r>
                    <w:rPr>
                      <w:rFonts w:hint="eastAsia" w:eastAsia="仿宋" w:cs="Times New Roman"/>
                      <w:color w:val="auto"/>
                      <w:lang w:val="en-US" w:eastAsia="zh-CN"/>
                    </w:rPr>
                    <w:t>0.409</w:t>
                  </w:r>
                </w:p>
              </w:tc>
            </w:tr>
            <w:tr w14:paraId="628DD6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7" w:type="pct"/>
                  <w:gridSpan w:val="2"/>
                  <w:vAlign w:val="center"/>
                </w:tcPr>
                <w:p w14:paraId="090B159A">
                  <w:pPr>
                    <w:pStyle w:val="101"/>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排放限值</w:t>
                  </w:r>
                </w:p>
              </w:tc>
              <w:tc>
                <w:tcPr>
                  <w:tcW w:w="3412" w:type="pct"/>
                  <w:gridSpan w:val="3"/>
                  <w:vAlign w:val="center"/>
                </w:tcPr>
                <w:p w14:paraId="6B9AC1EE">
                  <w:pPr>
                    <w:pStyle w:val="101"/>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0.5</w:t>
                  </w:r>
                </w:p>
              </w:tc>
            </w:tr>
          </w:tbl>
          <w:p w14:paraId="4EBC0D5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注：例行监测在正常工况下进行。</w:t>
            </w:r>
          </w:p>
          <w:p w14:paraId="435DB6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由上表可知，无组织颗粒物浓度符合《大气污染物综合排放标准》（DB32/4041-2021）表3限值要求。</w:t>
            </w:r>
          </w:p>
          <w:p w14:paraId="3A89E8C8">
            <w:pPr>
              <w:keepNext w:val="0"/>
              <w:keepLines w:val="0"/>
              <w:pageBreakBefore w:val="0"/>
              <w:kinsoku/>
              <w:wordWrap/>
              <w:overflowPunct/>
              <w:topLinePunct w:val="0"/>
              <w:bidi w:val="0"/>
              <w:adjustRightInd w:val="0"/>
              <w:snapToGrid w:val="0"/>
              <w:spacing w:line="460" w:lineRule="exact"/>
              <w:ind w:left="0" w:right="0" w:firstLine="482" w:firstLineChars="200"/>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w:t>
            </w:r>
            <w:r>
              <w:rPr>
                <w:rFonts w:hint="default" w:ascii="Times New Roman" w:hAnsi="Times New Roman" w:eastAsia="仿宋" w:cs="Times New Roman"/>
                <w:b/>
                <w:bCs/>
                <w:color w:val="auto"/>
                <w:sz w:val="24"/>
                <w:lang w:val="en-US" w:eastAsia="zh-CN"/>
              </w:rPr>
              <w:t>3</w:t>
            </w:r>
            <w:r>
              <w:rPr>
                <w:rFonts w:hint="default" w:ascii="Times New Roman" w:hAnsi="Times New Roman" w:eastAsia="仿宋" w:cs="Times New Roman"/>
                <w:b/>
                <w:bCs/>
                <w:color w:val="auto"/>
                <w:sz w:val="24"/>
                <w:lang w:eastAsia="zh-CN"/>
              </w:rPr>
              <w:t>）</w:t>
            </w:r>
            <w:r>
              <w:rPr>
                <w:rFonts w:hint="default" w:ascii="Times New Roman" w:hAnsi="Times New Roman" w:eastAsia="仿宋" w:cs="Times New Roman"/>
                <w:b/>
                <w:bCs/>
                <w:color w:val="auto"/>
                <w:sz w:val="24"/>
              </w:rPr>
              <w:t>噪声</w:t>
            </w:r>
          </w:p>
          <w:p w14:paraId="3CD001B1">
            <w:pPr>
              <w:keepNext w:val="0"/>
              <w:keepLines w:val="0"/>
              <w:pageBreakBefore w:val="0"/>
              <w:kinsoku/>
              <w:wordWrap/>
              <w:overflowPunct/>
              <w:topLinePunct w:val="0"/>
              <w:bidi w:val="0"/>
              <w:adjustRightInd w:val="0"/>
              <w:snapToGrid w:val="0"/>
              <w:spacing w:line="500" w:lineRule="exact"/>
              <w:ind w:left="0" w:right="0"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现有项目噪声主要为</w:t>
            </w:r>
            <w:r>
              <w:rPr>
                <w:rFonts w:hint="default" w:ascii="Times New Roman" w:hAnsi="Times New Roman" w:eastAsia="仿宋" w:cs="Times New Roman"/>
                <w:i w:val="0"/>
                <w:iCs w:val="0"/>
                <w:color w:val="auto"/>
                <w:kern w:val="0"/>
                <w:sz w:val="24"/>
                <w:szCs w:val="24"/>
                <w:u w:val="none"/>
                <w:lang w:val="en-US" w:eastAsia="zh-CN" w:bidi="ar"/>
              </w:rPr>
              <w:t>机加工设备、空压机等</w:t>
            </w:r>
            <w:r>
              <w:rPr>
                <w:rFonts w:hint="default" w:ascii="Times New Roman" w:hAnsi="Times New Roman" w:eastAsia="仿宋" w:cs="Times New Roman"/>
                <w:color w:val="auto"/>
                <w:sz w:val="24"/>
                <w:szCs w:val="24"/>
                <w:highlight w:val="none"/>
                <w:lang w:val="en-US" w:eastAsia="zh-CN"/>
              </w:rPr>
              <w:t>运行产生的噪声，通过选用低噪声设备、合理布局、安装减震垫、隔声罩墙体隔声等措施来控制。</w:t>
            </w:r>
            <w:r>
              <w:rPr>
                <w:rFonts w:hint="default" w:ascii="Times New Roman" w:hAnsi="Times New Roman" w:eastAsia="仿宋" w:cs="Times New Roman"/>
                <w:color w:val="auto"/>
                <w:kern w:val="2"/>
                <w:sz w:val="24"/>
                <w:szCs w:val="24"/>
                <w:lang w:val="en-US" w:eastAsia="zh-CN" w:bidi="ar-SA"/>
              </w:rPr>
              <w:t>根据南京爱迪信环境技术有限公司出具的检测报告（</w:t>
            </w:r>
            <w:r>
              <w:rPr>
                <w:rFonts w:hint="eastAsia" w:eastAsia="仿宋" w:cs="Times New Roman"/>
                <w:color w:val="auto"/>
                <w:kern w:val="2"/>
                <w:sz w:val="24"/>
                <w:szCs w:val="24"/>
                <w:lang w:val="en-US" w:eastAsia="zh-CN" w:bidi="ar-SA"/>
              </w:rPr>
              <w:t>NJADT2403010401</w:t>
            </w:r>
            <w:r>
              <w:rPr>
                <w:rFonts w:hint="default" w:ascii="Times New Roman" w:hAnsi="Times New Roman" w:eastAsia="仿宋" w:cs="Times New Roman"/>
                <w:color w:val="auto"/>
                <w:kern w:val="2"/>
                <w:sz w:val="24"/>
                <w:szCs w:val="24"/>
                <w:lang w:val="en-US" w:eastAsia="zh-CN" w:bidi="ar-SA"/>
              </w:rPr>
              <w:t>），现有项目厂区噪声排放情况见下表。</w:t>
            </w:r>
          </w:p>
          <w:p w14:paraId="793B8E54">
            <w:pPr>
              <w:keepNext w:val="0"/>
              <w:keepLines w:val="0"/>
              <w:pageBreakBefore w:val="0"/>
              <w:widowControl w:val="0"/>
              <w:kinsoku/>
              <w:wordWrap/>
              <w:overflowPunct/>
              <w:topLinePunct w:val="0"/>
              <w:autoSpaceDE/>
              <w:autoSpaceDN/>
              <w:bidi w:val="0"/>
              <w:adjustRightInd w:val="0"/>
              <w:snapToGrid w:val="0"/>
              <w:spacing w:line="460" w:lineRule="exact"/>
              <w:ind w:left="0" w:right="0"/>
              <w:jc w:val="center"/>
              <w:textAlignment w:val="auto"/>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b/>
                <w:color w:val="auto"/>
                <w:szCs w:val="21"/>
              </w:rPr>
              <w:t>表2-1</w:t>
            </w:r>
            <w:r>
              <w:rPr>
                <w:rFonts w:hint="eastAsia" w:eastAsia="仿宋" w:cs="Times New Roman"/>
                <w:b/>
                <w:color w:val="auto"/>
                <w:szCs w:val="21"/>
                <w:lang w:val="en-US" w:eastAsia="zh-CN"/>
              </w:rPr>
              <w:t>6</w:t>
            </w:r>
            <w:r>
              <w:rPr>
                <w:rFonts w:hint="default" w:ascii="Times New Roman" w:hAnsi="Times New Roman" w:eastAsia="仿宋" w:cs="Times New Roman"/>
                <w:b/>
                <w:color w:val="auto"/>
                <w:szCs w:val="21"/>
                <w:lang w:val="en-US" w:eastAsia="zh-CN"/>
              </w:rPr>
              <w:t xml:space="preserve"> </w:t>
            </w:r>
            <w:r>
              <w:rPr>
                <w:rFonts w:hint="default" w:ascii="Times New Roman" w:hAnsi="Times New Roman" w:eastAsia="仿宋" w:cs="Times New Roman"/>
                <w:b/>
                <w:color w:val="auto"/>
                <w:szCs w:val="21"/>
              </w:rPr>
              <w:t xml:space="preserve"> </w:t>
            </w:r>
            <w:r>
              <w:rPr>
                <w:rFonts w:hint="default" w:ascii="Times New Roman" w:hAnsi="Times New Roman" w:eastAsia="仿宋" w:cs="Times New Roman"/>
                <w:b/>
                <w:color w:val="auto"/>
                <w:szCs w:val="21"/>
                <w:lang w:val="en-US" w:eastAsia="zh-CN"/>
              </w:rPr>
              <w:t>现有</w:t>
            </w:r>
            <w:r>
              <w:rPr>
                <w:rFonts w:hint="default" w:ascii="Times New Roman" w:hAnsi="Times New Roman" w:eastAsia="仿宋" w:cs="Times New Roman"/>
                <w:b/>
                <w:color w:val="auto"/>
                <w:szCs w:val="21"/>
              </w:rPr>
              <w:t>项目</w:t>
            </w:r>
            <w:r>
              <w:rPr>
                <w:rFonts w:hint="default" w:ascii="Times New Roman" w:hAnsi="Times New Roman" w:eastAsia="仿宋" w:cs="Times New Roman"/>
                <w:b/>
                <w:color w:val="auto"/>
                <w:szCs w:val="21"/>
                <w:lang w:val="en-US" w:eastAsia="zh-CN"/>
              </w:rPr>
              <w:t>噪声监测</w:t>
            </w:r>
            <w:r>
              <w:rPr>
                <w:rFonts w:hint="default" w:ascii="Times New Roman" w:hAnsi="Times New Roman" w:eastAsia="仿宋" w:cs="Times New Roman"/>
                <w:b/>
                <w:color w:val="auto"/>
                <w:szCs w:val="21"/>
              </w:rPr>
              <w:t>情况</w:t>
            </w:r>
          </w:p>
          <w:tbl>
            <w:tblPr>
              <w:tblStyle w:val="27"/>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2096"/>
              <w:gridCol w:w="1251"/>
              <w:gridCol w:w="1253"/>
              <w:gridCol w:w="1251"/>
              <w:gridCol w:w="1256"/>
            </w:tblGrid>
            <w:tr w14:paraId="51B317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6" w:type="pct"/>
                  <w:vMerge w:val="restart"/>
                  <w:tcBorders>
                    <w:tl2br w:val="nil"/>
                    <w:tr2bl w:val="nil"/>
                  </w:tcBorders>
                  <w:vAlign w:val="center"/>
                </w:tcPr>
                <w:p w14:paraId="7D843F9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检测日期</w:t>
                  </w:r>
                </w:p>
              </w:tc>
              <w:tc>
                <w:tcPr>
                  <w:tcW w:w="1248" w:type="pct"/>
                  <w:vMerge w:val="restart"/>
                  <w:tcBorders>
                    <w:tl2br w:val="nil"/>
                    <w:tr2bl w:val="nil"/>
                  </w:tcBorders>
                  <w:vAlign w:val="center"/>
                </w:tcPr>
                <w:p w14:paraId="1D369D3A">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检测点位</w:t>
                  </w:r>
                </w:p>
              </w:tc>
              <w:tc>
                <w:tcPr>
                  <w:tcW w:w="1491" w:type="pct"/>
                  <w:gridSpan w:val="2"/>
                  <w:tcBorders>
                    <w:tl2br w:val="nil"/>
                    <w:tr2bl w:val="nil"/>
                  </w:tcBorders>
                  <w:vAlign w:val="center"/>
                </w:tcPr>
                <w:p w14:paraId="7E9D9644">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val="en-US" w:eastAsia="zh-CN"/>
                    </w:rPr>
                    <w:t>监测结果dB</w:t>
                  </w:r>
                  <w:r>
                    <w:rPr>
                      <w:rFonts w:hint="default" w:ascii="Times New Roman" w:hAnsi="Times New Roman" w:eastAsia="仿宋" w:cs="Times New Roman"/>
                      <w:b/>
                      <w:bCs/>
                      <w:color w:val="auto"/>
                      <w:szCs w:val="21"/>
                      <w:lang w:eastAsia="zh-CN"/>
                    </w:rPr>
                    <w:t>（</w:t>
                  </w:r>
                  <w:r>
                    <w:rPr>
                      <w:rFonts w:hint="default" w:ascii="Times New Roman" w:hAnsi="Times New Roman" w:eastAsia="仿宋" w:cs="Times New Roman"/>
                      <w:b/>
                      <w:bCs/>
                      <w:color w:val="auto"/>
                      <w:szCs w:val="21"/>
                      <w:lang w:val="en-US" w:eastAsia="zh-CN"/>
                    </w:rPr>
                    <w:t>A</w:t>
                  </w:r>
                  <w:r>
                    <w:rPr>
                      <w:rFonts w:hint="default" w:ascii="Times New Roman" w:hAnsi="Times New Roman" w:eastAsia="仿宋" w:cs="Times New Roman"/>
                      <w:b/>
                      <w:bCs/>
                      <w:color w:val="auto"/>
                      <w:szCs w:val="21"/>
                      <w:lang w:eastAsia="zh-CN"/>
                    </w:rPr>
                    <w:t>）</w:t>
                  </w:r>
                </w:p>
              </w:tc>
              <w:tc>
                <w:tcPr>
                  <w:tcW w:w="1492" w:type="pct"/>
                  <w:gridSpan w:val="2"/>
                  <w:tcBorders>
                    <w:tl2br w:val="nil"/>
                    <w:tr2bl w:val="nil"/>
                  </w:tcBorders>
                  <w:vAlign w:val="center"/>
                </w:tcPr>
                <w:p w14:paraId="251E7402">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kern w:val="0"/>
                      <w:szCs w:val="21"/>
                      <w:lang w:val="en-US" w:eastAsia="zh-CN"/>
                    </w:rPr>
                    <w:t>标准值</w:t>
                  </w:r>
                  <w:r>
                    <w:rPr>
                      <w:rFonts w:hint="default" w:ascii="Times New Roman" w:hAnsi="Times New Roman" w:eastAsia="仿宋" w:cs="Times New Roman"/>
                      <w:b/>
                      <w:bCs/>
                      <w:color w:val="auto"/>
                      <w:szCs w:val="21"/>
                      <w:lang w:val="en-US" w:eastAsia="zh-CN"/>
                    </w:rPr>
                    <w:t>dB</w:t>
                  </w:r>
                  <w:r>
                    <w:rPr>
                      <w:rFonts w:hint="default" w:ascii="Times New Roman" w:hAnsi="Times New Roman" w:eastAsia="仿宋" w:cs="Times New Roman"/>
                      <w:b/>
                      <w:bCs/>
                      <w:color w:val="auto"/>
                      <w:szCs w:val="21"/>
                      <w:lang w:eastAsia="zh-CN"/>
                    </w:rPr>
                    <w:t>（</w:t>
                  </w:r>
                  <w:r>
                    <w:rPr>
                      <w:rFonts w:hint="default" w:ascii="Times New Roman" w:hAnsi="Times New Roman" w:eastAsia="仿宋" w:cs="Times New Roman"/>
                      <w:b/>
                      <w:bCs/>
                      <w:color w:val="auto"/>
                      <w:szCs w:val="21"/>
                      <w:lang w:val="en-US" w:eastAsia="zh-CN"/>
                    </w:rPr>
                    <w:t>A</w:t>
                  </w:r>
                  <w:r>
                    <w:rPr>
                      <w:rFonts w:hint="default" w:ascii="Times New Roman" w:hAnsi="Times New Roman" w:eastAsia="仿宋" w:cs="Times New Roman"/>
                      <w:b/>
                      <w:bCs/>
                      <w:color w:val="auto"/>
                      <w:szCs w:val="21"/>
                      <w:lang w:eastAsia="zh-CN"/>
                    </w:rPr>
                    <w:t>）</w:t>
                  </w:r>
                </w:p>
              </w:tc>
            </w:tr>
            <w:tr w14:paraId="47BCE8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6" w:type="pct"/>
                  <w:vMerge w:val="continue"/>
                  <w:tcBorders>
                    <w:tl2br w:val="nil"/>
                    <w:tr2bl w:val="nil"/>
                  </w:tcBorders>
                  <w:vAlign w:val="center"/>
                </w:tcPr>
                <w:p w14:paraId="44179100">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lang w:val="en-US" w:eastAsia="zh-CN"/>
                    </w:rPr>
                  </w:pPr>
                </w:p>
              </w:tc>
              <w:tc>
                <w:tcPr>
                  <w:tcW w:w="1248" w:type="pct"/>
                  <w:vMerge w:val="continue"/>
                  <w:tcBorders>
                    <w:tl2br w:val="nil"/>
                    <w:tr2bl w:val="nil"/>
                  </w:tcBorders>
                  <w:vAlign w:val="center"/>
                </w:tcPr>
                <w:p w14:paraId="5808D2A4">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lang w:val="en-US" w:eastAsia="zh-CN"/>
                    </w:rPr>
                  </w:pPr>
                </w:p>
              </w:tc>
              <w:tc>
                <w:tcPr>
                  <w:tcW w:w="745" w:type="pct"/>
                  <w:tcBorders>
                    <w:tl2br w:val="nil"/>
                    <w:tr2bl w:val="nil"/>
                  </w:tcBorders>
                  <w:vAlign w:val="center"/>
                </w:tcPr>
                <w:p w14:paraId="27C5CFF1">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kern w:val="0"/>
                      <w:szCs w:val="21"/>
                      <w:lang w:val="en-US" w:eastAsia="zh-CN"/>
                    </w:rPr>
                    <w:t>昼间</w:t>
                  </w:r>
                </w:p>
              </w:tc>
              <w:tc>
                <w:tcPr>
                  <w:tcW w:w="746" w:type="pct"/>
                  <w:tcBorders>
                    <w:tl2br w:val="nil"/>
                    <w:tr2bl w:val="nil"/>
                  </w:tcBorders>
                  <w:vAlign w:val="center"/>
                </w:tcPr>
                <w:p w14:paraId="1BC66003">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kern w:val="0"/>
                      <w:szCs w:val="21"/>
                      <w:lang w:val="en-US" w:eastAsia="zh-CN"/>
                    </w:rPr>
                    <w:t>夜间</w:t>
                  </w:r>
                </w:p>
              </w:tc>
              <w:tc>
                <w:tcPr>
                  <w:tcW w:w="745" w:type="pct"/>
                  <w:tcBorders>
                    <w:tl2br w:val="nil"/>
                    <w:tr2bl w:val="nil"/>
                  </w:tcBorders>
                  <w:vAlign w:val="center"/>
                </w:tcPr>
                <w:p w14:paraId="7DA78079">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kern w:val="0"/>
                      <w:szCs w:val="21"/>
                      <w:lang w:val="en-US" w:eastAsia="zh-CN"/>
                    </w:rPr>
                  </w:pPr>
                  <w:r>
                    <w:rPr>
                      <w:rFonts w:hint="default" w:ascii="Times New Roman" w:hAnsi="Times New Roman" w:eastAsia="仿宋" w:cs="Times New Roman"/>
                      <w:b/>
                      <w:bCs/>
                      <w:color w:val="auto"/>
                      <w:kern w:val="0"/>
                      <w:szCs w:val="21"/>
                      <w:lang w:val="en-US" w:eastAsia="zh-CN"/>
                    </w:rPr>
                    <w:t>昼间</w:t>
                  </w:r>
                </w:p>
              </w:tc>
              <w:tc>
                <w:tcPr>
                  <w:tcW w:w="747" w:type="pct"/>
                  <w:tcBorders>
                    <w:tl2br w:val="nil"/>
                    <w:tr2bl w:val="nil"/>
                  </w:tcBorders>
                  <w:vAlign w:val="center"/>
                </w:tcPr>
                <w:p w14:paraId="59092FDF">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kern w:val="0"/>
                      <w:szCs w:val="21"/>
                      <w:lang w:val="en-US" w:eastAsia="zh-CN"/>
                    </w:rPr>
                  </w:pPr>
                  <w:r>
                    <w:rPr>
                      <w:rFonts w:hint="default" w:ascii="Times New Roman" w:hAnsi="Times New Roman" w:eastAsia="仿宋" w:cs="Times New Roman"/>
                      <w:b/>
                      <w:bCs/>
                      <w:color w:val="auto"/>
                      <w:kern w:val="0"/>
                      <w:szCs w:val="21"/>
                      <w:lang w:val="en-US" w:eastAsia="zh-CN"/>
                    </w:rPr>
                    <w:t>夜间</w:t>
                  </w:r>
                </w:p>
              </w:tc>
            </w:tr>
            <w:tr w14:paraId="0BB249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restart"/>
                  <w:tcBorders>
                    <w:tl2br w:val="nil"/>
                    <w:tr2bl w:val="nil"/>
                  </w:tcBorders>
                  <w:vAlign w:val="center"/>
                </w:tcPr>
                <w:p w14:paraId="17736513">
                  <w:pPr>
                    <w:pStyle w:val="5"/>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4.</w:t>
                  </w:r>
                  <w:r>
                    <w:rPr>
                      <w:rFonts w:hint="eastAsia" w:eastAsia="仿宋" w:cs="Times New Roman"/>
                      <w:color w:val="auto"/>
                      <w:sz w:val="21"/>
                      <w:szCs w:val="21"/>
                      <w:lang w:val="en-US" w:eastAsia="zh-CN"/>
                    </w:rPr>
                    <w:t>8.13</w:t>
                  </w:r>
                </w:p>
              </w:tc>
              <w:tc>
                <w:tcPr>
                  <w:tcW w:w="1248" w:type="pct"/>
                  <w:tcBorders>
                    <w:tl2br w:val="nil"/>
                    <w:tr2bl w:val="nil"/>
                  </w:tcBorders>
                  <w:vAlign w:val="center"/>
                </w:tcPr>
                <w:p w14:paraId="7C185A63">
                  <w:pPr>
                    <w:pStyle w:val="5"/>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东厂界外1m</w:t>
                  </w:r>
                </w:p>
              </w:tc>
              <w:tc>
                <w:tcPr>
                  <w:tcW w:w="745" w:type="pct"/>
                  <w:tcBorders>
                    <w:tl2br w:val="nil"/>
                    <w:tr2bl w:val="nil"/>
                  </w:tcBorders>
                  <w:vAlign w:val="center"/>
                </w:tcPr>
                <w:p w14:paraId="7E52566C">
                  <w:pPr>
                    <w:pStyle w:val="58"/>
                    <w:keepNext w:val="0"/>
                    <w:keepLines w:val="0"/>
                    <w:pageBreakBefore w:val="0"/>
                    <w:kinsoku/>
                    <w:wordWrap/>
                    <w:overflowPunct/>
                    <w:topLinePunct w:val="0"/>
                    <w:bidi w:val="0"/>
                    <w:adjustRightInd w:val="0"/>
                    <w:snapToGrid w:val="0"/>
                    <w:spacing w:line="240" w:lineRule="auto"/>
                    <w:ind w:left="0" w:right="0"/>
                    <w:rPr>
                      <w:rFonts w:hint="default" w:ascii="Times New Roman" w:hAnsi="Times New Roman" w:eastAsia="仿宋" w:cs="Times New Roman"/>
                      <w:bCs w:val="0"/>
                      <w:color w:val="auto"/>
                      <w:szCs w:val="21"/>
                      <w:lang w:val="en-US" w:eastAsia="zh-CN"/>
                    </w:rPr>
                  </w:pPr>
                  <w:r>
                    <w:rPr>
                      <w:rFonts w:hint="eastAsia" w:ascii="Times New Roman" w:hAnsi="Times New Roman" w:eastAsia="仿宋" w:cs="Times New Roman"/>
                      <w:bCs w:val="0"/>
                      <w:color w:val="auto"/>
                      <w:szCs w:val="21"/>
                      <w:lang w:val="en-US" w:eastAsia="zh-CN"/>
                    </w:rPr>
                    <w:t>56.8</w:t>
                  </w:r>
                </w:p>
              </w:tc>
              <w:tc>
                <w:tcPr>
                  <w:tcW w:w="746" w:type="pct"/>
                  <w:tcBorders>
                    <w:tl2br w:val="nil"/>
                    <w:tr2bl w:val="nil"/>
                  </w:tcBorders>
                  <w:vAlign w:val="center"/>
                </w:tcPr>
                <w:p w14:paraId="3D26AC84">
                  <w:pPr>
                    <w:keepNext w:val="0"/>
                    <w:keepLines w:val="0"/>
                    <w:pageBreakBefore w:val="0"/>
                    <w:tabs>
                      <w:tab w:val="center" w:pos="4393"/>
                      <w:tab w:val="left" w:pos="7140"/>
                    </w:tabs>
                    <w:kinsoku/>
                    <w:wordWrap/>
                    <w:overflowPunct/>
                    <w:topLinePunct w:val="0"/>
                    <w:bidi w:val="0"/>
                    <w:adjustRightInd w:val="0"/>
                    <w:snapToGrid w:val="0"/>
                    <w:ind w:left="0" w:right="0"/>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46.9</w:t>
                  </w:r>
                </w:p>
              </w:tc>
              <w:tc>
                <w:tcPr>
                  <w:tcW w:w="745" w:type="pct"/>
                  <w:tcBorders>
                    <w:tl2br w:val="nil"/>
                    <w:tr2bl w:val="nil"/>
                  </w:tcBorders>
                  <w:vAlign w:val="center"/>
                </w:tcPr>
                <w:p w14:paraId="277DE2B4">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65</w:t>
                  </w:r>
                </w:p>
              </w:tc>
              <w:tc>
                <w:tcPr>
                  <w:tcW w:w="747" w:type="pct"/>
                  <w:tcBorders>
                    <w:tl2br w:val="nil"/>
                    <w:tr2bl w:val="nil"/>
                  </w:tcBorders>
                  <w:vAlign w:val="center"/>
                </w:tcPr>
                <w:p w14:paraId="6F8671F6">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55</w:t>
                  </w:r>
                </w:p>
              </w:tc>
            </w:tr>
            <w:tr w14:paraId="25364A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tcBorders>
                    <w:tl2br w:val="nil"/>
                    <w:tr2bl w:val="nil"/>
                  </w:tcBorders>
                  <w:vAlign w:val="center"/>
                </w:tcPr>
                <w:p w14:paraId="174F457C">
                  <w:pPr>
                    <w:pStyle w:val="5"/>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仿宋" w:cs="Times New Roman"/>
                      <w:color w:val="auto"/>
                      <w:szCs w:val="21"/>
                      <w:lang w:val="en-US" w:eastAsia="zh-CN"/>
                    </w:rPr>
                  </w:pPr>
                </w:p>
              </w:tc>
              <w:tc>
                <w:tcPr>
                  <w:tcW w:w="1248" w:type="pct"/>
                  <w:tcBorders>
                    <w:tl2br w:val="nil"/>
                    <w:tr2bl w:val="nil"/>
                  </w:tcBorders>
                  <w:vAlign w:val="center"/>
                </w:tcPr>
                <w:p w14:paraId="40D95499">
                  <w:pPr>
                    <w:pStyle w:val="5"/>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南厂界外1m</w:t>
                  </w:r>
                </w:p>
              </w:tc>
              <w:tc>
                <w:tcPr>
                  <w:tcW w:w="745" w:type="pct"/>
                  <w:tcBorders>
                    <w:tl2br w:val="nil"/>
                    <w:tr2bl w:val="nil"/>
                  </w:tcBorders>
                  <w:vAlign w:val="center"/>
                </w:tcPr>
                <w:p w14:paraId="6EA53BBF">
                  <w:pPr>
                    <w:pStyle w:val="58"/>
                    <w:keepNext w:val="0"/>
                    <w:keepLines w:val="0"/>
                    <w:pageBreakBefore w:val="0"/>
                    <w:kinsoku/>
                    <w:wordWrap/>
                    <w:overflowPunct/>
                    <w:topLinePunct w:val="0"/>
                    <w:bidi w:val="0"/>
                    <w:adjustRightInd w:val="0"/>
                    <w:snapToGrid w:val="0"/>
                    <w:spacing w:line="240" w:lineRule="auto"/>
                    <w:ind w:left="0" w:right="0"/>
                    <w:rPr>
                      <w:rFonts w:hint="default" w:ascii="Times New Roman" w:hAnsi="Times New Roman" w:eastAsia="仿宋" w:cs="Times New Roman"/>
                      <w:bCs w:val="0"/>
                      <w:color w:val="auto"/>
                      <w:szCs w:val="21"/>
                      <w:lang w:val="en-US" w:eastAsia="zh-CN"/>
                    </w:rPr>
                  </w:pPr>
                  <w:r>
                    <w:rPr>
                      <w:rFonts w:hint="eastAsia" w:ascii="Times New Roman" w:hAnsi="Times New Roman" w:eastAsia="仿宋" w:cs="Times New Roman"/>
                      <w:bCs w:val="0"/>
                      <w:color w:val="auto"/>
                      <w:szCs w:val="21"/>
                      <w:lang w:val="en-US" w:eastAsia="zh-CN"/>
                    </w:rPr>
                    <w:t>56.5</w:t>
                  </w:r>
                </w:p>
              </w:tc>
              <w:tc>
                <w:tcPr>
                  <w:tcW w:w="746" w:type="pct"/>
                  <w:tcBorders>
                    <w:tl2br w:val="nil"/>
                    <w:tr2bl w:val="nil"/>
                  </w:tcBorders>
                  <w:vAlign w:val="center"/>
                </w:tcPr>
                <w:p w14:paraId="434C1FBD">
                  <w:pPr>
                    <w:keepNext w:val="0"/>
                    <w:keepLines w:val="0"/>
                    <w:pageBreakBefore w:val="0"/>
                    <w:tabs>
                      <w:tab w:val="center" w:pos="4393"/>
                      <w:tab w:val="left" w:pos="7140"/>
                    </w:tabs>
                    <w:kinsoku/>
                    <w:wordWrap/>
                    <w:overflowPunct/>
                    <w:topLinePunct w:val="0"/>
                    <w:bidi w:val="0"/>
                    <w:adjustRightInd w:val="0"/>
                    <w:snapToGrid w:val="0"/>
                    <w:ind w:left="0" w:right="0"/>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45.9</w:t>
                  </w:r>
                </w:p>
              </w:tc>
              <w:tc>
                <w:tcPr>
                  <w:tcW w:w="745" w:type="pct"/>
                  <w:tcBorders>
                    <w:tl2br w:val="nil"/>
                    <w:tr2bl w:val="nil"/>
                  </w:tcBorders>
                  <w:vAlign w:val="center"/>
                </w:tcPr>
                <w:p w14:paraId="4FAB0C07">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65</w:t>
                  </w:r>
                </w:p>
              </w:tc>
              <w:tc>
                <w:tcPr>
                  <w:tcW w:w="747" w:type="pct"/>
                  <w:tcBorders>
                    <w:tl2br w:val="nil"/>
                    <w:tr2bl w:val="nil"/>
                  </w:tcBorders>
                  <w:vAlign w:val="center"/>
                </w:tcPr>
                <w:p w14:paraId="04912C9B">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55</w:t>
                  </w:r>
                </w:p>
              </w:tc>
            </w:tr>
            <w:tr w14:paraId="5F92B3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tcBorders>
                    <w:tl2br w:val="nil"/>
                    <w:tr2bl w:val="nil"/>
                  </w:tcBorders>
                  <w:vAlign w:val="center"/>
                </w:tcPr>
                <w:p w14:paraId="12AA9571">
                  <w:pPr>
                    <w:pStyle w:val="5"/>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仿宋" w:cs="Times New Roman"/>
                      <w:color w:val="auto"/>
                      <w:szCs w:val="21"/>
                      <w:lang w:val="en-US" w:eastAsia="zh-CN"/>
                    </w:rPr>
                  </w:pPr>
                </w:p>
              </w:tc>
              <w:tc>
                <w:tcPr>
                  <w:tcW w:w="1248" w:type="pct"/>
                  <w:tcBorders>
                    <w:tl2br w:val="nil"/>
                    <w:tr2bl w:val="nil"/>
                  </w:tcBorders>
                  <w:vAlign w:val="center"/>
                </w:tcPr>
                <w:p w14:paraId="35DE1241">
                  <w:pPr>
                    <w:pStyle w:val="5"/>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西厂界外1m</w:t>
                  </w:r>
                </w:p>
              </w:tc>
              <w:tc>
                <w:tcPr>
                  <w:tcW w:w="745" w:type="pct"/>
                  <w:tcBorders>
                    <w:tl2br w:val="nil"/>
                    <w:tr2bl w:val="nil"/>
                  </w:tcBorders>
                  <w:vAlign w:val="center"/>
                </w:tcPr>
                <w:p w14:paraId="70AE8E39">
                  <w:pPr>
                    <w:pStyle w:val="58"/>
                    <w:keepNext w:val="0"/>
                    <w:keepLines w:val="0"/>
                    <w:pageBreakBefore w:val="0"/>
                    <w:kinsoku/>
                    <w:wordWrap/>
                    <w:overflowPunct/>
                    <w:topLinePunct w:val="0"/>
                    <w:bidi w:val="0"/>
                    <w:adjustRightInd w:val="0"/>
                    <w:snapToGrid w:val="0"/>
                    <w:spacing w:line="240" w:lineRule="auto"/>
                    <w:ind w:left="0" w:right="0"/>
                    <w:rPr>
                      <w:rFonts w:hint="default" w:ascii="Times New Roman" w:hAnsi="Times New Roman" w:eastAsia="仿宋" w:cs="Times New Roman"/>
                      <w:bCs w:val="0"/>
                      <w:color w:val="auto"/>
                      <w:szCs w:val="21"/>
                      <w:lang w:val="en-US" w:eastAsia="zh-CN"/>
                    </w:rPr>
                  </w:pPr>
                  <w:r>
                    <w:rPr>
                      <w:rFonts w:hint="eastAsia" w:ascii="Times New Roman" w:hAnsi="Times New Roman" w:eastAsia="仿宋" w:cs="Times New Roman"/>
                      <w:bCs w:val="0"/>
                      <w:color w:val="auto"/>
                      <w:szCs w:val="21"/>
                      <w:lang w:val="en-US" w:eastAsia="zh-CN"/>
                    </w:rPr>
                    <w:t>55.1</w:t>
                  </w:r>
                </w:p>
              </w:tc>
              <w:tc>
                <w:tcPr>
                  <w:tcW w:w="746" w:type="pct"/>
                  <w:tcBorders>
                    <w:tl2br w:val="nil"/>
                    <w:tr2bl w:val="nil"/>
                  </w:tcBorders>
                  <w:vAlign w:val="center"/>
                </w:tcPr>
                <w:p w14:paraId="4AD199E9">
                  <w:pPr>
                    <w:keepNext w:val="0"/>
                    <w:keepLines w:val="0"/>
                    <w:pageBreakBefore w:val="0"/>
                    <w:tabs>
                      <w:tab w:val="center" w:pos="4393"/>
                      <w:tab w:val="left" w:pos="7140"/>
                    </w:tabs>
                    <w:kinsoku/>
                    <w:wordWrap/>
                    <w:overflowPunct/>
                    <w:topLinePunct w:val="0"/>
                    <w:bidi w:val="0"/>
                    <w:adjustRightInd w:val="0"/>
                    <w:snapToGrid w:val="0"/>
                    <w:ind w:left="0" w:right="0"/>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47.8</w:t>
                  </w:r>
                </w:p>
              </w:tc>
              <w:tc>
                <w:tcPr>
                  <w:tcW w:w="745" w:type="pct"/>
                  <w:tcBorders>
                    <w:tl2br w:val="nil"/>
                    <w:tr2bl w:val="nil"/>
                  </w:tcBorders>
                  <w:vAlign w:val="center"/>
                </w:tcPr>
                <w:p w14:paraId="13B143CE">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65</w:t>
                  </w:r>
                </w:p>
              </w:tc>
              <w:tc>
                <w:tcPr>
                  <w:tcW w:w="747" w:type="pct"/>
                  <w:tcBorders>
                    <w:tl2br w:val="nil"/>
                    <w:tr2bl w:val="nil"/>
                  </w:tcBorders>
                  <w:vAlign w:val="center"/>
                </w:tcPr>
                <w:p w14:paraId="60F629D7">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55</w:t>
                  </w:r>
                </w:p>
              </w:tc>
            </w:tr>
            <w:tr w14:paraId="2B579B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tcBorders>
                    <w:tl2br w:val="nil"/>
                    <w:tr2bl w:val="nil"/>
                  </w:tcBorders>
                  <w:vAlign w:val="center"/>
                </w:tcPr>
                <w:p w14:paraId="3440EF87">
                  <w:pPr>
                    <w:pStyle w:val="5"/>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仿宋" w:cs="Times New Roman"/>
                      <w:color w:val="auto"/>
                      <w:szCs w:val="21"/>
                      <w:lang w:val="en-US" w:eastAsia="zh-CN"/>
                    </w:rPr>
                  </w:pPr>
                </w:p>
              </w:tc>
              <w:tc>
                <w:tcPr>
                  <w:tcW w:w="1248" w:type="pct"/>
                  <w:tcBorders>
                    <w:tl2br w:val="nil"/>
                    <w:tr2bl w:val="nil"/>
                  </w:tcBorders>
                  <w:vAlign w:val="center"/>
                </w:tcPr>
                <w:p w14:paraId="0C49215B">
                  <w:pPr>
                    <w:pStyle w:val="5"/>
                    <w:keepNext w:val="0"/>
                    <w:keepLines w:val="0"/>
                    <w:pageBreakBefore w:val="0"/>
                    <w:kinsoku/>
                    <w:wordWrap/>
                    <w:overflowPunct/>
                    <w:topLinePunct w:val="0"/>
                    <w:bidi w:val="0"/>
                    <w:adjustRightInd w:val="0"/>
                    <w:snapToGrid w:val="0"/>
                    <w:ind w:left="0" w:right="0" w:firstLine="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北厂界外1m</w:t>
                  </w:r>
                </w:p>
              </w:tc>
              <w:tc>
                <w:tcPr>
                  <w:tcW w:w="745" w:type="pct"/>
                  <w:tcBorders>
                    <w:tl2br w:val="nil"/>
                    <w:tr2bl w:val="nil"/>
                  </w:tcBorders>
                  <w:vAlign w:val="center"/>
                </w:tcPr>
                <w:p w14:paraId="0473E774">
                  <w:pPr>
                    <w:pStyle w:val="58"/>
                    <w:keepNext w:val="0"/>
                    <w:keepLines w:val="0"/>
                    <w:pageBreakBefore w:val="0"/>
                    <w:kinsoku/>
                    <w:wordWrap/>
                    <w:overflowPunct/>
                    <w:topLinePunct w:val="0"/>
                    <w:bidi w:val="0"/>
                    <w:adjustRightInd w:val="0"/>
                    <w:snapToGrid w:val="0"/>
                    <w:spacing w:line="240" w:lineRule="auto"/>
                    <w:ind w:left="0" w:right="0"/>
                    <w:rPr>
                      <w:rFonts w:hint="default" w:ascii="Times New Roman" w:hAnsi="Times New Roman" w:eastAsia="仿宋" w:cs="Times New Roman"/>
                      <w:bCs w:val="0"/>
                      <w:color w:val="auto"/>
                      <w:szCs w:val="21"/>
                      <w:lang w:val="en-US" w:eastAsia="zh-CN"/>
                    </w:rPr>
                  </w:pPr>
                  <w:r>
                    <w:rPr>
                      <w:rFonts w:hint="eastAsia" w:ascii="Times New Roman" w:hAnsi="Times New Roman" w:eastAsia="仿宋" w:cs="Times New Roman"/>
                      <w:bCs w:val="0"/>
                      <w:color w:val="auto"/>
                      <w:szCs w:val="21"/>
                      <w:lang w:val="en-US" w:eastAsia="zh-CN"/>
                    </w:rPr>
                    <w:t>55</w:t>
                  </w:r>
                </w:p>
              </w:tc>
              <w:tc>
                <w:tcPr>
                  <w:tcW w:w="746" w:type="pct"/>
                  <w:tcBorders>
                    <w:tl2br w:val="nil"/>
                    <w:tr2bl w:val="nil"/>
                  </w:tcBorders>
                  <w:vAlign w:val="center"/>
                </w:tcPr>
                <w:p w14:paraId="012BC019">
                  <w:pPr>
                    <w:keepNext w:val="0"/>
                    <w:keepLines w:val="0"/>
                    <w:pageBreakBefore w:val="0"/>
                    <w:tabs>
                      <w:tab w:val="center" w:pos="4393"/>
                      <w:tab w:val="left" w:pos="7140"/>
                    </w:tabs>
                    <w:kinsoku/>
                    <w:wordWrap/>
                    <w:overflowPunct/>
                    <w:topLinePunct w:val="0"/>
                    <w:bidi w:val="0"/>
                    <w:adjustRightInd w:val="0"/>
                    <w:snapToGrid w:val="0"/>
                    <w:ind w:left="0" w:right="0"/>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47.9</w:t>
                  </w:r>
                </w:p>
              </w:tc>
              <w:tc>
                <w:tcPr>
                  <w:tcW w:w="745" w:type="pct"/>
                  <w:tcBorders>
                    <w:tl2br w:val="nil"/>
                    <w:tr2bl w:val="nil"/>
                  </w:tcBorders>
                  <w:vAlign w:val="center"/>
                </w:tcPr>
                <w:p w14:paraId="3E5084A5">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65</w:t>
                  </w:r>
                </w:p>
              </w:tc>
              <w:tc>
                <w:tcPr>
                  <w:tcW w:w="747" w:type="pct"/>
                  <w:tcBorders>
                    <w:tl2br w:val="nil"/>
                    <w:tr2bl w:val="nil"/>
                  </w:tcBorders>
                  <w:vAlign w:val="center"/>
                </w:tcPr>
                <w:p w14:paraId="26C121D6">
                  <w:pPr>
                    <w:keepNext w:val="0"/>
                    <w:keepLines w:val="0"/>
                    <w:pageBreakBefore w:val="0"/>
                    <w:widowControl/>
                    <w:kinsoku/>
                    <w:wordWrap/>
                    <w:overflowPunct/>
                    <w:topLinePunct w:val="0"/>
                    <w:bidi w:val="0"/>
                    <w:adjustRightInd w:val="0"/>
                    <w:snapToGrid w:val="0"/>
                    <w:ind w:left="0" w:right="0"/>
                    <w:jc w:val="center"/>
                    <w:textAlignment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55</w:t>
                  </w:r>
                </w:p>
              </w:tc>
            </w:tr>
          </w:tbl>
          <w:p w14:paraId="3C7E3369">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rPr>
              <w:t>由监测结果可见：</w:t>
            </w:r>
            <w:r>
              <w:rPr>
                <w:rFonts w:hint="default" w:ascii="Times New Roman" w:hAnsi="Times New Roman" w:eastAsia="仿宋" w:cs="Times New Roman"/>
                <w:color w:val="auto"/>
                <w:sz w:val="24"/>
                <w:szCs w:val="24"/>
                <w:lang w:val="en-US" w:eastAsia="zh-CN"/>
              </w:rPr>
              <w:t>项目</w:t>
            </w:r>
            <w:r>
              <w:rPr>
                <w:rFonts w:hint="default" w:ascii="Times New Roman" w:hAnsi="Times New Roman" w:eastAsia="仿宋" w:cs="Times New Roman"/>
                <w:color w:val="auto"/>
                <w:sz w:val="24"/>
                <w:szCs w:val="24"/>
              </w:rPr>
              <w:t>厂界昼间噪声符合《工业企业厂界环境噪声排放标准》（GB12348-2008）</w:t>
            </w:r>
            <w:r>
              <w:rPr>
                <w:rFonts w:hint="default" w:ascii="Times New Roman" w:hAnsi="Times New Roman" w:eastAsia="仿宋" w:cs="Times New Roman"/>
                <w:color w:val="auto"/>
                <w:sz w:val="24"/>
                <w:szCs w:val="24"/>
                <w:lang w:val="en-US" w:eastAsia="zh-CN"/>
              </w:rPr>
              <w:t>中3</w:t>
            </w:r>
            <w:r>
              <w:rPr>
                <w:rFonts w:hint="default" w:ascii="Times New Roman" w:hAnsi="Times New Roman" w:eastAsia="仿宋" w:cs="Times New Roman"/>
                <w:color w:val="auto"/>
                <w:sz w:val="24"/>
                <w:szCs w:val="24"/>
              </w:rPr>
              <w:t>类标准</w:t>
            </w:r>
            <w:r>
              <w:rPr>
                <w:rFonts w:hint="default" w:ascii="Times New Roman" w:hAnsi="Times New Roman" w:eastAsia="仿宋" w:cs="Times New Roman"/>
                <w:color w:val="auto"/>
                <w:sz w:val="24"/>
                <w:szCs w:val="24"/>
                <w:lang w:val="en-US" w:eastAsia="zh-CN"/>
              </w:rPr>
              <w:t>要求</w:t>
            </w:r>
            <w:r>
              <w:rPr>
                <w:rFonts w:hint="default" w:ascii="Times New Roman" w:hAnsi="Times New Roman" w:eastAsia="仿宋" w:cs="Times New Roman"/>
                <w:color w:val="auto"/>
                <w:sz w:val="24"/>
                <w:szCs w:val="24"/>
                <w:highlight w:val="none"/>
                <w:lang w:val="en-US" w:eastAsia="zh-CN"/>
              </w:rPr>
              <w:t>。</w:t>
            </w:r>
          </w:p>
          <w:p w14:paraId="4A8229FA">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w:t>
            </w:r>
            <w:r>
              <w:rPr>
                <w:rFonts w:hint="default" w:ascii="Times New Roman" w:hAnsi="Times New Roman" w:eastAsia="仿宋" w:cs="Times New Roman"/>
                <w:b/>
                <w:bCs/>
                <w:color w:val="auto"/>
                <w:sz w:val="24"/>
                <w:lang w:val="en-US" w:eastAsia="zh-CN"/>
              </w:rPr>
              <w:t>4</w:t>
            </w:r>
            <w:r>
              <w:rPr>
                <w:rFonts w:hint="default" w:ascii="Times New Roman" w:hAnsi="Times New Roman" w:eastAsia="仿宋" w:cs="Times New Roman"/>
                <w:b/>
                <w:bCs/>
                <w:color w:val="auto"/>
                <w:sz w:val="24"/>
                <w:lang w:eastAsia="zh-CN"/>
              </w:rPr>
              <w:t>）</w:t>
            </w:r>
            <w:r>
              <w:rPr>
                <w:rFonts w:hint="default" w:ascii="Times New Roman" w:hAnsi="Times New Roman" w:eastAsia="仿宋" w:cs="Times New Roman"/>
                <w:b/>
                <w:bCs/>
                <w:color w:val="auto"/>
                <w:sz w:val="24"/>
              </w:rPr>
              <w:t>固废</w:t>
            </w:r>
          </w:p>
          <w:p w14:paraId="57971826">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现有项目已设置1个危废仓库（占地5m</w:t>
            </w:r>
            <w:r>
              <w:rPr>
                <w:rFonts w:hint="default" w:ascii="Times New Roman" w:hAnsi="Times New Roman" w:eastAsia="仿宋" w:cs="Times New Roman"/>
                <w:color w:val="auto"/>
                <w:sz w:val="24"/>
                <w:vertAlign w:val="superscript"/>
                <w:lang w:val="en-US" w:eastAsia="zh-CN"/>
              </w:rPr>
              <w:t>2</w:t>
            </w:r>
            <w:r>
              <w:rPr>
                <w:rFonts w:hint="default" w:ascii="Times New Roman" w:hAnsi="Times New Roman" w:eastAsia="仿宋" w:cs="Times New Roman"/>
                <w:color w:val="auto"/>
                <w:sz w:val="24"/>
                <w:lang w:val="en-US" w:eastAsia="zh-CN"/>
              </w:rPr>
              <w:t>），已根据《危险废物贮存污染控制标准》（GB18597-2023）中要求进行设置。</w:t>
            </w:r>
          </w:p>
          <w:p w14:paraId="033C3CD8">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已设置1个一般固废仓库，已按《一般工业固体废物贮存和填埋污染控制标准》（GB18599-2020）中要求设置，满足防渗漏、防雨淋、防扬尘等要求。</w:t>
            </w:r>
          </w:p>
          <w:p w14:paraId="4DEB4C7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现有</w:t>
            </w:r>
            <w:r>
              <w:rPr>
                <w:rFonts w:hint="default" w:ascii="Times New Roman" w:hAnsi="Times New Roman" w:eastAsia="仿宋" w:cs="Times New Roman"/>
                <w:color w:val="auto"/>
                <w:sz w:val="24"/>
              </w:rPr>
              <w:t>项目固体废物利用处置方式见下表。</w:t>
            </w:r>
          </w:p>
          <w:p w14:paraId="1300A85B">
            <w:pPr>
              <w:keepNext w:val="0"/>
              <w:keepLines w:val="0"/>
              <w:pageBreakBefore w:val="0"/>
              <w:widowControl w:val="0"/>
              <w:kinsoku/>
              <w:wordWrap/>
              <w:overflowPunct/>
              <w:topLinePunct w:val="0"/>
              <w:autoSpaceDE/>
              <w:autoSpaceDN/>
              <w:bidi w:val="0"/>
              <w:adjustRightInd w:val="0"/>
              <w:snapToGrid w:val="0"/>
              <w:spacing w:before="95" w:beforeLines="30" w:line="240" w:lineRule="auto"/>
              <w:ind w:left="0" w:right="0"/>
              <w:jc w:val="center"/>
              <w:textAlignment w:val="auto"/>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表2-1</w:t>
            </w:r>
            <w:r>
              <w:rPr>
                <w:rFonts w:hint="eastAsia" w:eastAsia="仿宋" w:cs="Times New Roman"/>
                <w:b/>
                <w:color w:val="auto"/>
                <w:szCs w:val="21"/>
                <w:lang w:val="en-US" w:eastAsia="zh-CN"/>
              </w:rPr>
              <w:t>7</w:t>
            </w:r>
            <w:r>
              <w:rPr>
                <w:rFonts w:hint="default" w:ascii="Times New Roman" w:hAnsi="Times New Roman" w:eastAsia="仿宋" w:cs="Times New Roman"/>
                <w:b/>
                <w:color w:val="auto"/>
                <w:szCs w:val="21"/>
                <w:lang w:val="en-US" w:eastAsia="zh-CN"/>
              </w:rPr>
              <w:t>现有项目固体废物产生及处置情况一览表</w:t>
            </w:r>
          </w:p>
          <w:tbl>
            <w:tblPr>
              <w:tblStyle w:val="27"/>
              <w:tblW w:w="488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79" w:type="dxa"/>
                <w:bottom w:w="0" w:type="dxa"/>
                <w:right w:w="79" w:type="dxa"/>
              </w:tblCellMar>
            </w:tblPr>
            <w:tblGrid>
              <w:gridCol w:w="2093"/>
              <w:gridCol w:w="841"/>
              <w:gridCol w:w="1306"/>
              <w:gridCol w:w="1150"/>
              <w:gridCol w:w="1209"/>
              <w:gridCol w:w="1611"/>
            </w:tblGrid>
            <w:tr w14:paraId="5B765C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684" w:hRule="atLeast"/>
                <w:jc w:val="center"/>
              </w:trPr>
              <w:tc>
                <w:tcPr>
                  <w:tcW w:w="1274" w:type="pct"/>
                  <w:tcBorders>
                    <w:tl2br w:val="nil"/>
                    <w:tr2bl w:val="nil"/>
                  </w:tcBorders>
                  <w:vAlign w:val="center"/>
                </w:tcPr>
                <w:p w14:paraId="3C93A4E8">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固体废物名称</w:t>
                  </w:r>
                </w:p>
              </w:tc>
              <w:tc>
                <w:tcPr>
                  <w:tcW w:w="512" w:type="pct"/>
                  <w:tcBorders>
                    <w:tl2br w:val="nil"/>
                    <w:tr2bl w:val="nil"/>
                  </w:tcBorders>
                  <w:vAlign w:val="center"/>
                </w:tcPr>
                <w:p w14:paraId="6788FF7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val="en-US" w:eastAsia="zh-CN"/>
                    </w:rPr>
                    <w:t>形态</w:t>
                  </w:r>
                </w:p>
              </w:tc>
              <w:tc>
                <w:tcPr>
                  <w:tcW w:w="795" w:type="pct"/>
                  <w:tcBorders>
                    <w:tl2br w:val="nil"/>
                    <w:tr2bl w:val="nil"/>
                  </w:tcBorders>
                  <w:vAlign w:val="center"/>
                </w:tcPr>
                <w:p w14:paraId="63ACFFF9">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lang w:val="en-US" w:eastAsia="zh-CN"/>
                    </w:rPr>
                    <w:t>废物</w:t>
                  </w:r>
                  <w:r>
                    <w:rPr>
                      <w:rFonts w:hint="default" w:ascii="Times New Roman" w:hAnsi="Times New Roman" w:eastAsia="仿宋" w:cs="Times New Roman"/>
                      <w:b/>
                      <w:bCs/>
                      <w:color w:val="auto"/>
                      <w:szCs w:val="21"/>
                    </w:rPr>
                    <w:t>类别及代码</w:t>
                  </w:r>
                </w:p>
              </w:tc>
              <w:tc>
                <w:tcPr>
                  <w:tcW w:w="700" w:type="pct"/>
                  <w:tcBorders>
                    <w:tl2br w:val="nil"/>
                    <w:tr2bl w:val="nil"/>
                  </w:tcBorders>
                  <w:vAlign w:val="center"/>
                </w:tcPr>
                <w:p w14:paraId="51266DE4">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属性</w:t>
                  </w:r>
                </w:p>
              </w:tc>
              <w:tc>
                <w:tcPr>
                  <w:tcW w:w="736" w:type="pct"/>
                  <w:tcBorders>
                    <w:tl2br w:val="nil"/>
                    <w:tr2bl w:val="nil"/>
                  </w:tcBorders>
                  <w:vAlign w:val="center"/>
                </w:tcPr>
                <w:p w14:paraId="2A71D859">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产生量（t/a）</w:t>
                  </w:r>
                </w:p>
              </w:tc>
              <w:tc>
                <w:tcPr>
                  <w:tcW w:w="981" w:type="pct"/>
                  <w:tcBorders>
                    <w:tl2br w:val="nil"/>
                    <w:tr2bl w:val="nil"/>
                  </w:tcBorders>
                  <w:vAlign w:val="center"/>
                </w:tcPr>
                <w:p w14:paraId="4267D0EE">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处理处置方式</w:t>
                  </w:r>
                </w:p>
              </w:tc>
            </w:tr>
            <w:tr w14:paraId="324F7D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1274" w:type="pct"/>
                  <w:tcBorders>
                    <w:tl2br w:val="nil"/>
                    <w:tr2bl w:val="nil"/>
                  </w:tcBorders>
                  <w:vAlign w:val="center"/>
                </w:tcPr>
                <w:p w14:paraId="17FFAF9A">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边角料</w:t>
                  </w:r>
                </w:p>
              </w:tc>
              <w:tc>
                <w:tcPr>
                  <w:tcW w:w="512" w:type="pct"/>
                  <w:tcBorders>
                    <w:tl2br w:val="nil"/>
                    <w:tr2bl w:val="nil"/>
                  </w:tcBorders>
                  <w:vAlign w:val="center"/>
                </w:tcPr>
                <w:p w14:paraId="1B6AA00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固态</w:t>
                  </w:r>
                </w:p>
              </w:tc>
              <w:tc>
                <w:tcPr>
                  <w:tcW w:w="795" w:type="pct"/>
                  <w:tcBorders>
                    <w:tl2br w:val="nil"/>
                    <w:tr2bl w:val="nil"/>
                  </w:tcBorders>
                  <w:vAlign w:val="center"/>
                </w:tcPr>
                <w:p w14:paraId="11A5D48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SW17</w:t>
                  </w:r>
                </w:p>
                <w:p w14:paraId="0C525CEE">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900-001-S17</w:t>
                  </w:r>
                </w:p>
              </w:tc>
              <w:tc>
                <w:tcPr>
                  <w:tcW w:w="700" w:type="pct"/>
                  <w:vMerge w:val="restart"/>
                  <w:tcBorders>
                    <w:tl2br w:val="nil"/>
                    <w:tr2bl w:val="nil"/>
                  </w:tcBorders>
                  <w:vAlign w:val="center"/>
                </w:tcPr>
                <w:p w14:paraId="16B522A4">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一般固废</w:t>
                  </w:r>
                </w:p>
              </w:tc>
              <w:tc>
                <w:tcPr>
                  <w:tcW w:w="736" w:type="pct"/>
                  <w:tcBorders>
                    <w:tl2br w:val="nil"/>
                    <w:tr2bl w:val="nil"/>
                  </w:tcBorders>
                  <w:vAlign w:val="center"/>
                </w:tcPr>
                <w:p w14:paraId="38C357E8">
                  <w:pPr>
                    <w:pStyle w:val="57"/>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lang w:val="en-US" w:eastAsia="zh-CN"/>
                    </w:rPr>
                  </w:pPr>
                  <w:r>
                    <w:rPr>
                      <w:rFonts w:hint="default" w:ascii="Times New Roman" w:hAnsi="Times New Roman" w:eastAsia="仿宋" w:cs="Times New Roman"/>
                      <w:color w:val="auto"/>
                      <w:kern w:val="2"/>
                      <w:sz w:val="21"/>
                      <w:lang w:val="en-US" w:eastAsia="zh-CN"/>
                    </w:rPr>
                    <w:t>1</w:t>
                  </w:r>
                </w:p>
              </w:tc>
              <w:tc>
                <w:tcPr>
                  <w:tcW w:w="981" w:type="pct"/>
                  <w:vMerge w:val="restart"/>
                  <w:tcBorders>
                    <w:tl2br w:val="nil"/>
                    <w:tr2bl w:val="nil"/>
                  </w:tcBorders>
                  <w:vAlign w:val="center"/>
                </w:tcPr>
                <w:p w14:paraId="42A23AD0">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外售综合利用</w:t>
                  </w:r>
                </w:p>
              </w:tc>
            </w:tr>
            <w:tr w14:paraId="59534E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1274" w:type="pct"/>
                  <w:tcBorders>
                    <w:tl2br w:val="nil"/>
                    <w:tr2bl w:val="nil"/>
                  </w:tcBorders>
                  <w:vAlign w:val="center"/>
                </w:tcPr>
                <w:p w14:paraId="59CE560B">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焊渣</w:t>
                  </w:r>
                </w:p>
              </w:tc>
              <w:tc>
                <w:tcPr>
                  <w:tcW w:w="512" w:type="pct"/>
                  <w:tcBorders>
                    <w:tl2br w:val="nil"/>
                    <w:tr2bl w:val="nil"/>
                  </w:tcBorders>
                  <w:vAlign w:val="center"/>
                </w:tcPr>
                <w:p w14:paraId="4006360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固态</w:t>
                  </w:r>
                </w:p>
              </w:tc>
              <w:tc>
                <w:tcPr>
                  <w:tcW w:w="795" w:type="pct"/>
                  <w:tcBorders>
                    <w:tl2br w:val="nil"/>
                    <w:tr2bl w:val="nil"/>
                  </w:tcBorders>
                  <w:vAlign w:val="center"/>
                </w:tcPr>
                <w:p w14:paraId="6EA1610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SW59</w:t>
                  </w:r>
                </w:p>
                <w:p w14:paraId="0502E51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900-099-S59</w:t>
                  </w:r>
                </w:p>
              </w:tc>
              <w:tc>
                <w:tcPr>
                  <w:tcW w:w="700" w:type="pct"/>
                  <w:vMerge w:val="continue"/>
                  <w:tcBorders>
                    <w:tl2br w:val="nil"/>
                    <w:tr2bl w:val="nil"/>
                  </w:tcBorders>
                  <w:vAlign w:val="center"/>
                </w:tcPr>
                <w:p w14:paraId="6762379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c>
                <w:tcPr>
                  <w:tcW w:w="736" w:type="pct"/>
                  <w:tcBorders>
                    <w:tl2br w:val="nil"/>
                    <w:tr2bl w:val="nil"/>
                  </w:tcBorders>
                  <w:vAlign w:val="center"/>
                </w:tcPr>
                <w:p w14:paraId="16118065">
                  <w:pPr>
                    <w:pStyle w:val="57"/>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lang w:val="en-US" w:eastAsia="zh-CN"/>
                    </w:rPr>
                  </w:pPr>
                  <w:r>
                    <w:rPr>
                      <w:rFonts w:hint="default" w:ascii="Times New Roman" w:hAnsi="Times New Roman" w:eastAsia="仿宋" w:cs="Times New Roman"/>
                      <w:color w:val="auto"/>
                      <w:kern w:val="2"/>
                      <w:sz w:val="21"/>
                      <w:lang w:val="en-US" w:eastAsia="zh-CN"/>
                    </w:rPr>
                    <w:t>0.3</w:t>
                  </w:r>
                </w:p>
              </w:tc>
              <w:tc>
                <w:tcPr>
                  <w:tcW w:w="981" w:type="pct"/>
                  <w:vMerge w:val="continue"/>
                  <w:tcBorders>
                    <w:tl2br w:val="nil"/>
                    <w:tr2bl w:val="nil"/>
                  </w:tcBorders>
                  <w:vAlign w:val="center"/>
                </w:tcPr>
                <w:p w14:paraId="71912EB1">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r>
            <w:tr w14:paraId="153B57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1274" w:type="pct"/>
                  <w:tcBorders>
                    <w:tl2br w:val="nil"/>
                    <w:tr2bl w:val="nil"/>
                  </w:tcBorders>
                  <w:vAlign w:val="center"/>
                </w:tcPr>
                <w:p w14:paraId="0E2BA63D">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收尘</w:t>
                  </w:r>
                </w:p>
              </w:tc>
              <w:tc>
                <w:tcPr>
                  <w:tcW w:w="512" w:type="pct"/>
                  <w:tcBorders>
                    <w:tl2br w:val="nil"/>
                    <w:tr2bl w:val="nil"/>
                  </w:tcBorders>
                  <w:vAlign w:val="center"/>
                </w:tcPr>
                <w:p w14:paraId="1524E097">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固态</w:t>
                  </w:r>
                </w:p>
              </w:tc>
              <w:tc>
                <w:tcPr>
                  <w:tcW w:w="795" w:type="pct"/>
                  <w:tcBorders>
                    <w:tl2br w:val="nil"/>
                    <w:tr2bl w:val="nil"/>
                  </w:tcBorders>
                  <w:vAlign w:val="center"/>
                </w:tcPr>
                <w:p w14:paraId="0372167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SW17</w:t>
                  </w:r>
                </w:p>
                <w:p w14:paraId="2DC378D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900-001-S17</w:t>
                  </w:r>
                </w:p>
              </w:tc>
              <w:tc>
                <w:tcPr>
                  <w:tcW w:w="700" w:type="pct"/>
                  <w:vMerge w:val="continue"/>
                  <w:tcBorders>
                    <w:tl2br w:val="nil"/>
                    <w:tr2bl w:val="nil"/>
                  </w:tcBorders>
                  <w:vAlign w:val="center"/>
                </w:tcPr>
                <w:p w14:paraId="2E881004">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c>
                <w:tcPr>
                  <w:tcW w:w="736" w:type="pct"/>
                  <w:tcBorders>
                    <w:tl2br w:val="nil"/>
                    <w:tr2bl w:val="nil"/>
                  </w:tcBorders>
                  <w:vAlign w:val="center"/>
                </w:tcPr>
                <w:p w14:paraId="5263AB8E">
                  <w:pPr>
                    <w:pStyle w:val="57"/>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lang w:val="en-US" w:eastAsia="zh-CN"/>
                    </w:rPr>
                  </w:pPr>
                  <w:r>
                    <w:rPr>
                      <w:rFonts w:hint="default" w:ascii="Times New Roman" w:hAnsi="Times New Roman" w:eastAsia="仿宋" w:cs="Times New Roman"/>
                      <w:color w:val="auto"/>
                      <w:kern w:val="2"/>
                      <w:sz w:val="21"/>
                      <w:lang w:val="en-US" w:eastAsia="zh-CN"/>
                    </w:rPr>
                    <w:t>0.53</w:t>
                  </w:r>
                </w:p>
              </w:tc>
              <w:tc>
                <w:tcPr>
                  <w:tcW w:w="981" w:type="pct"/>
                  <w:vMerge w:val="continue"/>
                  <w:tcBorders>
                    <w:tl2br w:val="nil"/>
                    <w:tr2bl w:val="nil"/>
                  </w:tcBorders>
                  <w:vAlign w:val="center"/>
                </w:tcPr>
                <w:p w14:paraId="61DD6CF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r>
            <w:tr w14:paraId="519A11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1274" w:type="pct"/>
                  <w:tcBorders>
                    <w:tl2br w:val="nil"/>
                    <w:tr2bl w:val="nil"/>
                  </w:tcBorders>
                  <w:vAlign w:val="center"/>
                </w:tcPr>
                <w:p w14:paraId="22CC60FB">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废切削液</w:t>
                  </w:r>
                </w:p>
              </w:tc>
              <w:tc>
                <w:tcPr>
                  <w:tcW w:w="512" w:type="pct"/>
                  <w:tcBorders>
                    <w:tl2br w:val="nil"/>
                    <w:tr2bl w:val="nil"/>
                  </w:tcBorders>
                  <w:vAlign w:val="center"/>
                </w:tcPr>
                <w:p w14:paraId="6CE1952F">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lang w:val="en-US" w:eastAsia="zh-CN"/>
                    </w:rPr>
                    <w:t>液态</w:t>
                  </w:r>
                </w:p>
              </w:tc>
              <w:tc>
                <w:tcPr>
                  <w:tcW w:w="795" w:type="pct"/>
                  <w:tcBorders>
                    <w:tl2br w:val="nil"/>
                    <w:tr2bl w:val="nil"/>
                  </w:tcBorders>
                  <w:vAlign w:val="center"/>
                </w:tcPr>
                <w:p w14:paraId="3AEC7B09">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HW0</w:t>
                  </w:r>
                  <w:r>
                    <w:rPr>
                      <w:rFonts w:hint="default" w:ascii="Times New Roman" w:hAnsi="Times New Roman" w:eastAsia="仿宋" w:cs="Times New Roman"/>
                      <w:color w:val="auto"/>
                      <w:lang w:val="en-US" w:eastAsia="zh-CN"/>
                    </w:rPr>
                    <w:t>9</w:t>
                  </w:r>
                </w:p>
                <w:p w14:paraId="11DEE219">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highlight w:val="none"/>
                      <w:lang w:val="en-US" w:eastAsia="zh-CN"/>
                    </w:rPr>
                    <w:t>900-006-09</w:t>
                  </w:r>
                </w:p>
              </w:tc>
              <w:tc>
                <w:tcPr>
                  <w:tcW w:w="700" w:type="pct"/>
                  <w:vMerge w:val="restart"/>
                  <w:tcBorders>
                    <w:tl2br w:val="nil"/>
                    <w:tr2bl w:val="nil"/>
                  </w:tcBorders>
                  <w:vAlign w:val="center"/>
                </w:tcPr>
                <w:p w14:paraId="3A27F1DD">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危险固废</w:t>
                  </w:r>
                </w:p>
              </w:tc>
              <w:tc>
                <w:tcPr>
                  <w:tcW w:w="736" w:type="pct"/>
                  <w:tcBorders>
                    <w:tl2br w:val="nil"/>
                    <w:tr2bl w:val="nil"/>
                  </w:tcBorders>
                  <w:vAlign w:val="center"/>
                </w:tcPr>
                <w:p w14:paraId="3B53076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0.5</w:t>
                  </w:r>
                </w:p>
              </w:tc>
              <w:tc>
                <w:tcPr>
                  <w:tcW w:w="981" w:type="pct"/>
                  <w:vMerge w:val="restart"/>
                  <w:tcBorders>
                    <w:tl2br w:val="nil"/>
                    <w:tr2bl w:val="nil"/>
                  </w:tcBorders>
                  <w:vAlign w:val="center"/>
                </w:tcPr>
                <w:p w14:paraId="631B652B">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highlight w:val="none"/>
                    </w:rPr>
                    <w:t>委托</w:t>
                  </w:r>
                  <w:r>
                    <w:rPr>
                      <w:rFonts w:hint="default" w:ascii="Times New Roman" w:hAnsi="Times New Roman" w:eastAsia="仿宋" w:cs="Times New Roman"/>
                      <w:color w:val="auto"/>
                      <w:szCs w:val="21"/>
                      <w:highlight w:val="none"/>
                      <w:lang w:val="en-US" w:eastAsia="zh-CN"/>
                    </w:rPr>
                    <w:t>资质单位</w:t>
                  </w:r>
                  <w:r>
                    <w:rPr>
                      <w:rFonts w:hint="default" w:ascii="Times New Roman" w:hAnsi="Times New Roman" w:eastAsia="仿宋" w:cs="Times New Roman"/>
                      <w:color w:val="auto"/>
                      <w:szCs w:val="21"/>
                      <w:highlight w:val="none"/>
                    </w:rPr>
                    <w:t>处置</w:t>
                  </w:r>
                </w:p>
              </w:tc>
            </w:tr>
            <w:tr w14:paraId="5D716F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1274" w:type="pct"/>
                  <w:tcBorders>
                    <w:tl2br w:val="nil"/>
                    <w:tr2bl w:val="nil"/>
                  </w:tcBorders>
                  <w:vAlign w:val="center"/>
                </w:tcPr>
                <w:p w14:paraId="6A5718C2">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 w:val="21"/>
                      <w:szCs w:val="21"/>
                      <w:highlight w:val="none"/>
                      <w:lang w:eastAsia="zh-CN"/>
                    </w:rPr>
                    <w:t>含油抹布手套</w:t>
                  </w:r>
                </w:p>
              </w:tc>
              <w:tc>
                <w:tcPr>
                  <w:tcW w:w="512" w:type="pct"/>
                  <w:tcBorders>
                    <w:tl2br w:val="nil"/>
                    <w:tr2bl w:val="nil"/>
                  </w:tcBorders>
                  <w:vAlign w:val="center"/>
                </w:tcPr>
                <w:p w14:paraId="341B0D53">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固态</w:t>
                  </w:r>
                </w:p>
              </w:tc>
              <w:tc>
                <w:tcPr>
                  <w:tcW w:w="795" w:type="pct"/>
                  <w:tcBorders>
                    <w:tl2br w:val="nil"/>
                    <w:tr2bl w:val="nil"/>
                  </w:tcBorders>
                  <w:vAlign w:val="center"/>
                </w:tcPr>
                <w:p w14:paraId="5FFD4A2D">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HW49</w:t>
                  </w:r>
                </w:p>
                <w:p w14:paraId="19A05211">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900-0</w:t>
                  </w:r>
                  <w:r>
                    <w:rPr>
                      <w:rFonts w:hint="default" w:ascii="Times New Roman" w:hAnsi="Times New Roman" w:eastAsia="仿宋" w:cs="Times New Roman"/>
                      <w:color w:val="auto"/>
                      <w:highlight w:val="none"/>
                      <w:lang w:val="en-US" w:eastAsia="zh-CN"/>
                    </w:rPr>
                    <w:t>41</w:t>
                  </w:r>
                  <w:r>
                    <w:rPr>
                      <w:rFonts w:hint="default" w:ascii="Times New Roman" w:hAnsi="Times New Roman" w:eastAsia="仿宋" w:cs="Times New Roman"/>
                      <w:color w:val="auto"/>
                      <w:highlight w:val="none"/>
                    </w:rPr>
                    <w:t>-49</w:t>
                  </w:r>
                </w:p>
              </w:tc>
              <w:tc>
                <w:tcPr>
                  <w:tcW w:w="700" w:type="pct"/>
                  <w:vMerge w:val="continue"/>
                  <w:tcBorders>
                    <w:tl2br w:val="nil"/>
                    <w:tr2bl w:val="nil"/>
                  </w:tcBorders>
                  <w:vAlign w:val="center"/>
                </w:tcPr>
                <w:p w14:paraId="7618634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highlight w:val="yellow"/>
                    </w:rPr>
                  </w:pPr>
                </w:p>
              </w:tc>
              <w:tc>
                <w:tcPr>
                  <w:tcW w:w="736" w:type="pct"/>
                  <w:tcBorders>
                    <w:tl2br w:val="nil"/>
                    <w:tr2bl w:val="nil"/>
                  </w:tcBorders>
                  <w:vAlign w:val="center"/>
                </w:tcPr>
                <w:p w14:paraId="20EE9798">
                  <w:pPr>
                    <w:pStyle w:val="57"/>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kern w:val="2"/>
                      <w:sz w:val="21"/>
                      <w:szCs w:val="24"/>
                      <w:lang w:val="en-US" w:eastAsia="zh-CN" w:bidi="ar-SA"/>
                    </w:rPr>
                    <w:t>0.05</w:t>
                  </w:r>
                </w:p>
              </w:tc>
              <w:tc>
                <w:tcPr>
                  <w:tcW w:w="981" w:type="pct"/>
                  <w:vMerge w:val="continue"/>
                  <w:tcBorders>
                    <w:tl2br w:val="nil"/>
                    <w:tr2bl w:val="nil"/>
                  </w:tcBorders>
                  <w:vAlign w:val="center"/>
                </w:tcPr>
                <w:p w14:paraId="7D9D39DE">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p>
              </w:tc>
            </w:tr>
            <w:tr w14:paraId="007E7F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1274" w:type="pct"/>
                  <w:tcBorders>
                    <w:tl2br w:val="nil"/>
                    <w:tr2bl w:val="nil"/>
                  </w:tcBorders>
                  <w:vAlign w:val="center"/>
                </w:tcPr>
                <w:p w14:paraId="798CE3F5">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生活垃圾</w:t>
                  </w:r>
                </w:p>
              </w:tc>
              <w:tc>
                <w:tcPr>
                  <w:tcW w:w="512" w:type="pct"/>
                  <w:tcBorders>
                    <w:tl2br w:val="nil"/>
                    <w:tr2bl w:val="nil"/>
                  </w:tcBorders>
                  <w:vAlign w:val="center"/>
                </w:tcPr>
                <w:p w14:paraId="476FC1BE">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固态</w:t>
                  </w:r>
                </w:p>
              </w:tc>
              <w:tc>
                <w:tcPr>
                  <w:tcW w:w="795" w:type="pct"/>
                  <w:tcBorders>
                    <w:tl2br w:val="nil"/>
                    <w:tr2bl w:val="nil"/>
                  </w:tcBorders>
                  <w:vAlign w:val="center"/>
                </w:tcPr>
                <w:p w14:paraId="491B40C8">
                  <w:pPr>
                    <w:adjustRightInd w:val="0"/>
                    <w:snapToGrid w:val="0"/>
                    <w:contextualSpacing/>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SW64</w:t>
                  </w:r>
                </w:p>
                <w:p w14:paraId="43C2DA5A">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900-099-S64</w:t>
                  </w:r>
                </w:p>
              </w:tc>
              <w:tc>
                <w:tcPr>
                  <w:tcW w:w="700" w:type="pct"/>
                  <w:tcBorders>
                    <w:tl2br w:val="nil"/>
                    <w:tr2bl w:val="nil"/>
                  </w:tcBorders>
                  <w:vAlign w:val="center"/>
                </w:tcPr>
                <w:p w14:paraId="680C624D">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生活垃圾</w:t>
                  </w:r>
                </w:p>
              </w:tc>
              <w:tc>
                <w:tcPr>
                  <w:tcW w:w="736" w:type="pct"/>
                  <w:tcBorders>
                    <w:tl2br w:val="nil"/>
                    <w:tr2bl w:val="nil"/>
                  </w:tcBorders>
                  <w:vAlign w:val="center"/>
                </w:tcPr>
                <w:p w14:paraId="4B1EF821">
                  <w:pPr>
                    <w:pStyle w:val="57"/>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kern w:val="2"/>
                      <w:sz w:val="21"/>
                      <w:szCs w:val="24"/>
                      <w:lang w:val="en-US" w:eastAsia="zh-CN" w:bidi="ar-SA"/>
                    </w:rPr>
                    <w:t>9</w:t>
                  </w:r>
                </w:p>
              </w:tc>
              <w:tc>
                <w:tcPr>
                  <w:tcW w:w="981" w:type="pct"/>
                  <w:tcBorders>
                    <w:tl2br w:val="nil"/>
                    <w:tr2bl w:val="nil"/>
                  </w:tcBorders>
                  <w:vAlign w:val="center"/>
                </w:tcPr>
                <w:p w14:paraId="6112CA16">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环卫部门</w:t>
                  </w:r>
                </w:p>
              </w:tc>
            </w:tr>
          </w:tbl>
          <w:p w14:paraId="2727484D">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b w:val="0"/>
                <w:bCs/>
                <w:color w:val="auto"/>
                <w:sz w:val="24"/>
              </w:rPr>
            </w:pPr>
            <w:r>
              <w:rPr>
                <w:rFonts w:hint="default" w:ascii="Times New Roman" w:hAnsi="Times New Roman" w:eastAsia="仿宋" w:cs="Times New Roman"/>
                <w:b w:val="0"/>
                <w:bCs/>
                <w:color w:val="auto"/>
                <w:sz w:val="24"/>
                <w:lang w:val="en-US" w:eastAsia="zh-CN"/>
              </w:rPr>
              <w:t>现有项目</w:t>
            </w:r>
            <w:r>
              <w:rPr>
                <w:rFonts w:hint="default" w:ascii="Times New Roman" w:hAnsi="Times New Roman" w:eastAsia="仿宋" w:cs="Times New Roman"/>
                <w:b w:val="0"/>
                <w:bCs/>
                <w:color w:val="auto"/>
                <w:sz w:val="24"/>
              </w:rPr>
              <w:t>固体废物100%处置，零排放。</w:t>
            </w:r>
          </w:p>
          <w:p w14:paraId="3BCCC064">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eastAsia" w:ascii="Times New Roman" w:hAnsi="Times New Roman" w:eastAsia="仿宋" w:cs="Times New Roman"/>
                <w:b/>
                <w:bCs/>
                <w:color w:val="auto"/>
                <w:sz w:val="24"/>
                <w:lang w:val="en-US" w:eastAsia="zh-CN"/>
              </w:rPr>
            </w:pPr>
            <w:r>
              <w:rPr>
                <w:rFonts w:hint="eastAsia" w:ascii="Times New Roman" w:hAnsi="Times New Roman" w:eastAsia="仿宋" w:cs="Times New Roman"/>
                <w:b/>
                <w:bCs/>
                <w:color w:val="auto"/>
                <w:sz w:val="24"/>
                <w:lang w:val="en-US" w:eastAsia="zh-CN"/>
              </w:rPr>
              <w:t>9、</w:t>
            </w:r>
            <w:r>
              <w:rPr>
                <w:rFonts w:hint="default" w:ascii="Times New Roman" w:hAnsi="Times New Roman" w:eastAsia="仿宋" w:cs="Times New Roman"/>
                <w:b/>
                <w:bCs/>
                <w:color w:val="auto"/>
                <w:sz w:val="24"/>
                <w:lang w:val="en-US" w:eastAsia="zh-CN"/>
              </w:rPr>
              <w:t>现有项目</w:t>
            </w:r>
            <w:r>
              <w:rPr>
                <w:rFonts w:hint="eastAsia" w:ascii="Times New Roman" w:hAnsi="Times New Roman" w:eastAsia="仿宋" w:cs="Times New Roman"/>
                <w:b/>
                <w:bCs/>
                <w:color w:val="auto"/>
                <w:sz w:val="24"/>
                <w:lang w:val="en-US" w:eastAsia="zh-CN"/>
              </w:rPr>
              <w:t>批建相符性分析</w:t>
            </w:r>
          </w:p>
          <w:p w14:paraId="4DC52AB2">
            <w:pPr>
              <w:keepNext w:val="0"/>
              <w:keepLines w:val="0"/>
              <w:pageBreakBefore w:val="0"/>
              <w:widowControl w:val="0"/>
              <w:kinsoku/>
              <w:wordWrap/>
              <w:overflowPunct/>
              <w:topLinePunct w:val="0"/>
              <w:autoSpaceDE/>
              <w:autoSpaceDN/>
              <w:bidi w:val="0"/>
              <w:adjustRightInd w:val="0"/>
              <w:snapToGrid w:val="0"/>
              <w:spacing w:before="95" w:beforeLines="30" w:line="240" w:lineRule="auto"/>
              <w:ind w:left="0" w:right="0"/>
              <w:jc w:val="center"/>
              <w:textAlignment w:val="auto"/>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表2-1</w:t>
            </w:r>
            <w:r>
              <w:rPr>
                <w:rFonts w:hint="eastAsia" w:ascii="Times New Roman" w:hAnsi="Times New Roman" w:eastAsia="仿宋" w:cs="Times New Roman"/>
                <w:b/>
                <w:color w:val="auto"/>
                <w:szCs w:val="21"/>
                <w:lang w:val="en-US" w:eastAsia="zh-CN"/>
              </w:rPr>
              <w:t>8</w:t>
            </w:r>
            <w:r>
              <w:rPr>
                <w:rFonts w:hint="default" w:ascii="Times New Roman" w:hAnsi="Times New Roman" w:eastAsia="仿宋" w:cs="Times New Roman"/>
                <w:b/>
                <w:color w:val="auto"/>
                <w:szCs w:val="21"/>
                <w:lang w:val="en-US" w:eastAsia="zh-CN"/>
              </w:rPr>
              <w:t xml:space="preserve">  现有项目</w:t>
            </w:r>
            <w:r>
              <w:rPr>
                <w:rFonts w:hint="eastAsia" w:ascii="Times New Roman" w:hAnsi="Times New Roman" w:eastAsia="仿宋" w:cs="Times New Roman"/>
                <w:b/>
                <w:color w:val="auto"/>
                <w:szCs w:val="21"/>
                <w:lang w:val="en-US" w:eastAsia="zh-CN"/>
              </w:rPr>
              <w:t>批建相符性分析</w:t>
            </w:r>
          </w:p>
          <w:tbl>
            <w:tblPr>
              <w:tblStyle w:val="2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36"/>
              <w:gridCol w:w="2947"/>
              <w:gridCol w:w="1013"/>
            </w:tblGrid>
            <w:tr w14:paraId="28477C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C9FC3A6">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环评批复及要求</w:t>
                  </w:r>
                </w:p>
              </w:tc>
              <w:tc>
                <w:tcPr>
                  <w:tcW w:w="2947" w:type="dxa"/>
                  <w:vAlign w:val="center"/>
                </w:tcPr>
                <w:p w14:paraId="5D3CF9D5">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highlight w:val="none"/>
                      <w:lang w:val="en-US" w:eastAsia="zh-CN"/>
                    </w:rPr>
                    <w:t>实际建设情况</w:t>
                  </w:r>
                </w:p>
              </w:tc>
              <w:tc>
                <w:tcPr>
                  <w:tcW w:w="1013" w:type="dxa"/>
                  <w:vAlign w:val="center"/>
                </w:tcPr>
                <w:p w14:paraId="7F4E8FE8">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color w:val="auto"/>
                      <w:sz w:val="21"/>
                      <w:szCs w:val="21"/>
                      <w:lang w:val="en-US"/>
                    </w:rPr>
                  </w:pPr>
                  <w:r>
                    <w:rPr>
                      <w:rFonts w:hint="default" w:ascii="Times New Roman" w:hAnsi="Times New Roman" w:eastAsia="仿宋" w:cs="Times New Roman"/>
                      <w:b/>
                      <w:color w:val="auto"/>
                      <w:sz w:val="21"/>
                      <w:szCs w:val="21"/>
                      <w:lang w:val="en-US" w:eastAsia="zh-CN"/>
                    </w:rPr>
                    <w:t>相符性分析</w:t>
                  </w:r>
                </w:p>
              </w:tc>
            </w:tr>
            <w:tr w14:paraId="702538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BD49A4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按“雨污分流”原则建设厂区给</w:t>
                  </w:r>
                  <w:r>
                    <w:rPr>
                      <w:rFonts w:hint="eastAsia" w:eastAsia="仿宋" w:cs="Times New Roman"/>
                      <w:color w:val="auto"/>
                      <w:sz w:val="21"/>
                      <w:szCs w:val="21"/>
                      <w:lang w:val="en-US" w:eastAsia="zh-CN"/>
                    </w:rPr>
                    <w:t>排</w:t>
                  </w:r>
                  <w:r>
                    <w:rPr>
                      <w:rFonts w:hint="default" w:ascii="Times New Roman" w:hAnsi="Times New Roman" w:eastAsia="仿宋" w:cs="Times New Roman"/>
                      <w:color w:val="auto"/>
                      <w:sz w:val="21"/>
                      <w:szCs w:val="21"/>
                    </w:rPr>
                    <w:t>水管网系统。本项目无生产性</w:t>
                  </w:r>
                  <w:r>
                    <w:rPr>
                      <w:rFonts w:hint="eastAsia" w:eastAsia="仿宋" w:cs="Times New Roman"/>
                      <w:color w:val="auto"/>
                      <w:sz w:val="21"/>
                      <w:szCs w:val="21"/>
                      <w:lang w:eastAsia="zh-CN"/>
                    </w:rPr>
                    <w:t>废水</w:t>
                  </w:r>
                  <w:r>
                    <w:rPr>
                      <w:rFonts w:hint="default" w:ascii="Times New Roman" w:hAnsi="Times New Roman" w:eastAsia="仿宋" w:cs="Times New Roman"/>
                      <w:color w:val="auto"/>
                      <w:sz w:val="21"/>
                      <w:szCs w:val="21"/>
                    </w:rPr>
                    <w:t>产生和</w:t>
                  </w:r>
                  <w:r>
                    <w:rPr>
                      <w:rFonts w:hint="eastAsia" w:eastAsia="仿宋" w:cs="Times New Roman"/>
                      <w:color w:val="auto"/>
                      <w:sz w:val="21"/>
                      <w:szCs w:val="21"/>
                      <w:lang w:eastAsia="zh-CN"/>
                    </w:rPr>
                    <w:t>排放</w:t>
                  </w:r>
                  <w:r>
                    <w:rPr>
                      <w:rFonts w:hint="default" w:ascii="Times New Roman" w:hAnsi="Times New Roman" w:eastAsia="仿宋" w:cs="Times New Roman"/>
                      <w:color w:val="auto"/>
                      <w:sz w:val="21"/>
                      <w:szCs w:val="21"/>
                    </w:rPr>
                    <w:t>;生活污水达标排入园区污水管网至茅东污水处理厂处理。</w:t>
                  </w:r>
                </w:p>
              </w:tc>
              <w:tc>
                <w:tcPr>
                  <w:tcW w:w="2947" w:type="dxa"/>
                  <w:vAlign w:val="center"/>
                </w:tcPr>
                <w:p w14:paraId="55F1C366">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项目厂区已雨污分流，无生产性废水产生和排放，生活污水接管茅东污水处理厂处理。</w:t>
                  </w:r>
                </w:p>
              </w:tc>
              <w:tc>
                <w:tcPr>
                  <w:tcW w:w="1013" w:type="dxa"/>
                  <w:vAlign w:val="center"/>
                </w:tcPr>
                <w:p w14:paraId="7F5F81FF">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相符</w:t>
                  </w:r>
                </w:p>
              </w:tc>
            </w:tr>
            <w:tr w14:paraId="7D6F92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0E925FDC">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工程设计中，进一步优化废气处理方案，确保各类工艺</w:t>
                  </w:r>
                  <w:r>
                    <w:rPr>
                      <w:rFonts w:hint="eastAsia" w:eastAsia="仿宋" w:cs="Times New Roman"/>
                      <w:color w:val="auto"/>
                      <w:sz w:val="21"/>
                      <w:szCs w:val="21"/>
                      <w:lang w:eastAsia="zh-CN"/>
                    </w:rPr>
                    <w:t>废气</w:t>
                  </w:r>
                  <w:r>
                    <w:rPr>
                      <w:rFonts w:hint="default" w:ascii="Times New Roman" w:hAnsi="Times New Roman" w:eastAsia="仿宋" w:cs="Times New Roman"/>
                      <w:color w:val="auto"/>
                      <w:sz w:val="21"/>
                      <w:szCs w:val="21"/>
                    </w:rPr>
                    <w:t>的收集、处理效率及</w:t>
                  </w:r>
                  <w:r>
                    <w:rPr>
                      <w:rFonts w:hint="eastAsia" w:eastAsia="仿宋" w:cs="Times New Roman"/>
                      <w:color w:val="auto"/>
                      <w:sz w:val="21"/>
                      <w:szCs w:val="21"/>
                      <w:lang w:eastAsia="zh-CN"/>
                    </w:rPr>
                    <w:t>排气筒</w:t>
                  </w:r>
                  <w:r>
                    <w:rPr>
                      <w:rFonts w:hint="eastAsia" w:eastAsia="仿宋" w:cs="Times New Roman"/>
                      <w:color w:val="auto"/>
                      <w:sz w:val="21"/>
                      <w:szCs w:val="21"/>
                      <w:lang w:val="en-US" w:eastAsia="zh-CN"/>
                    </w:rPr>
                    <w:t>高</w:t>
                  </w:r>
                  <w:r>
                    <w:rPr>
                      <w:rFonts w:hint="default" w:ascii="Times New Roman" w:hAnsi="Times New Roman" w:eastAsia="仿宋" w:cs="Times New Roman"/>
                      <w:color w:val="auto"/>
                      <w:sz w:val="21"/>
                      <w:szCs w:val="21"/>
                    </w:rPr>
                    <w:t>度等达到环评提出的要求。加强生产管理，减少无组织</w:t>
                  </w:r>
                  <w:r>
                    <w:rPr>
                      <w:rFonts w:hint="eastAsia" w:eastAsia="仿宋" w:cs="Times New Roman"/>
                      <w:color w:val="auto"/>
                      <w:sz w:val="21"/>
                      <w:szCs w:val="21"/>
                      <w:lang w:eastAsia="zh-CN"/>
                    </w:rPr>
                    <w:t>废气</w:t>
                  </w:r>
                  <w:r>
                    <w:rPr>
                      <w:rFonts w:hint="default" w:ascii="Times New Roman" w:hAnsi="Times New Roman" w:eastAsia="仿宋" w:cs="Times New Roman"/>
                      <w:color w:val="auto"/>
                      <w:sz w:val="21"/>
                      <w:szCs w:val="21"/>
                    </w:rPr>
                    <w:t>对周围环境的影响。颗粒物的排放执行《大气污染物综合排放标准》(GB16297-1996)中表2相关标准。</w:t>
                  </w:r>
                </w:p>
              </w:tc>
              <w:tc>
                <w:tcPr>
                  <w:tcW w:w="2947" w:type="dxa"/>
                  <w:vAlign w:val="center"/>
                </w:tcPr>
                <w:p w14:paraId="273438DB">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焊接和打磨粉尘经布袋除尘器处理后通过1根15米高</w:t>
                  </w:r>
                  <w:r>
                    <w:rPr>
                      <w:rFonts w:hint="eastAsia" w:eastAsia="仿宋" w:cs="Times New Roman"/>
                      <w:color w:val="auto"/>
                      <w:sz w:val="21"/>
                      <w:szCs w:val="21"/>
                      <w:lang w:eastAsia="zh-CN"/>
                    </w:rPr>
                    <w:t>排气筒</w:t>
                  </w:r>
                  <w:r>
                    <w:rPr>
                      <w:rFonts w:hint="default" w:ascii="Times New Roman" w:hAnsi="Times New Roman" w:eastAsia="仿宋" w:cs="Times New Roman"/>
                      <w:color w:val="auto"/>
                      <w:sz w:val="21"/>
                      <w:szCs w:val="21"/>
                    </w:rPr>
                    <w:t>(1#)达标排放，能确保收集和处理效率，颗粒物的排放执行</w:t>
                  </w:r>
                  <w:r>
                    <w:rPr>
                      <w:rFonts w:hint="default" w:ascii="Times New Roman" w:hAnsi="Times New Roman" w:eastAsia="仿宋" w:cs="Times New Roman"/>
                      <w:color w:val="auto"/>
                      <w:kern w:val="2"/>
                      <w:sz w:val="21"/>
                      <w:szCs w:val="21"/>
                      <w:lang w:val="en-US" w:eastAsia="zh-CN" w:bidi="ar-SA"/>
                    </w:rPr>
                    <w:t>《大气污染物综合排放标准》（DB32/4041-2021）</w:t>
                  </w:r>
                  <w:r>
                    <w:rPr>
                      <w:rFonts w:hint="default" w:ascii="Times New Roman" w:hAnsi="Times New Roman" w:eastAsia="仿宋" w:cs="Times New Roman"/>
                      <w:color w:val="auto"/>
                      <w:sz w:val="21"/>
                      <w:szCs w:val="21"/>
                    </w:rPr>
                    <w:t>中表</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相关标准。</w:t>
                  </w:r>
                </w:p>
              </w:tc>
              <w:tc>
                <w:tcPr>
                  <w:tcW w:w="1013" w:type="dxa"/>
                  <w:vAlign w:val="center"/>
                </w:tcPr>
                <w:p w14:paraId="4F2DA5B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eastAsia="仿宋" w:cs="Times New Roman"/>
                      <w:color w:val="auto"/>
                      <w:sz w:val="21"/>
                      <w:szCs w:val="21"/>
                      <w:lang w:val="en-US" w:eastAsia="zh-CN"/>
                    </w:rPr>
                    <w:t>相符</w:t>
                  </w:r>
                </w:p>
              </w:tc>
            </w:tr>
            <w:tr w14:paraId="142DC3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1704E855">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选用低噪声设备，加强设备的维护和管理，并采取有效的减震、隔声以及距离衰减等隔音措施降低噪声对周边影响，确保厂界噪声符合《工业企业厂界环境噪声排放标准》(GB12348-2008)3类区排放限值要求。</w:t>
                  </w:r>
                </w:p>
              </w:tc>
              <w:tc>
                <w:tcPr>
                  <w:tcW w:w="2947" w:type="dxa"/>
                  <w:vAlign w:val="center"/>
                </w:tcPr>
                <w:p w14:paraId="36DB7CE7">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本项目选用了低噪声设备，加强了设备的维护和管理，并采取了有效的减震、隔声以及距离衰减等隔音措施降低噪声对周边影响，确保厂界噪声符合《工业企业厂界环境噪声排放标准》(GB12348-2008)3类区排放限值要求。</w:t>
                  </w:r>
                </w:p>
              </w:tc>
              <w:tc>
                <w:tcPr>
                  <w:tcW w:w="1013" w:type="dxa"/>
                  <w:vAlign w:val="center"/>
                </w:tcPr>
                <w:p w14:paraId="48F71EB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eastAsia="仿宋" w:cs="Times New Roman"/>
                      <w:color w:val="auto"/>
                      <w:sz w:val="21"/>
                      <w:szCs w:val="21"/>
                      <w:lang w:val="en-US" w:eastAsia="zh-CN"/>
                    </w:rPr>
                    <w:t>相符</w:t>
                  </w:r>
                </w:p>
              </w:tc>
            </w:tr>
            <w:tr w14:paraId="10E978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3FBEA138">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按</w:t>
                  </w:r>
                  <w:r>
                    <w:rPr>
                      <w:rFonts w:hint="eastAsia" w:ascii="Times New Roman" w:hAnsi="Times New Roman" w:eastAsia="仿宋" w:cs="Times New Roman"/>
                      <w:color w:val="auto"/>
                      <w:sz w:val="21"/>
                      <w:szCs w:val="21"/>
                      <w:lang w:eastAsia="zh-CN"/>
                    </w:rPr>
                    <w:t>固废</w:t>
                  </w:r>
                  <w:r>
                    <w:rPr>
                      <w:rFonts w:hint="default" w:ascii="Times New Roman" w:hAnsi="Times New Roman" w:eastAsia="仿宋" w:cs="Times New Roman"/>
                      <w:color w:val="auto"/>
                      <w:sz w:val="21"/>
                      <w:szCs w:val="21"/>
                    </w:rPr>
                    <w:t>“减量化、资源化、无害化”处置原则，落实各类</w:t>
                  </w:r>
                  <w:r>
                    <w:rPr>
                      <w:rFonts w:hint="eastAsia" w:ascii="Times New Roman" w:hAnsi="Times New Roman" w:eastAsia="仿宋" w:cs="Times New Roman"/>
                      <w:color w:val="auto"/>
                      <w:sz w:val="21"/>
                      <w:szCs w:val="21"/>
                      <w:lang w:eastAsia="zh-CN"/>
                    </w:rPr>
                    <w:t>固废</w:t>
                  </w:r>
                  <w:r>
                    <w:rPr>
                      <w:rFonts w:hint="default" w:ascii="Times New Roman" w:hAnsi="Times New Roman" w:eastAsia="仿宋" w:cs="Times New Roman"/>
                      <w:color w:val="auto"/>
                      <w:sz w:val="21"/>
                      <w:szCs w:val="21"/>
                    </w:rPr>
                    <w:t>的收集、贮存和综合利用措施，实现“零排放”，并按《一般工业固体废物贮存、处置场污染控制标准》(GB18599-2001)和《危险</w:t>
                  </w:r>
                  <w:r>
                    <w:rPr>
                      <w:rFonts w:hint="eastAsia" w:ascii="Times New Roman" w:hAnsi="Times New Roman" w:eastAsia="仿宋" w:cs="Times New Roman"/>
                      <w:color w:val="auto"/>
                      <w:sz w:val="21"/>
                      <w:szCs w:val="21"/>
                      <w:lang w:eastAsia="zh-CN"/>
                    </w:rPr>
                    <w:t>废物</w:t>
                  </w:r>
                  <w:r>
                    <w:rPr>
                      <w:rFonts w:hint="default" w:ascii="Times New Roman" w:hAnsi="Times New Roman" w:eastAsia="仿宋" w:cs="Times New Roman"/>
                      <w:color w:val="auto"/>
                      <w:sz w:val="21"/>
                      <w:szCs w:val="21"/>
                    </w:rPr>
                    <w:t>贮存污染控制标准》(GB18597-2001)的要求规范建设一般</w:t>
                  </w:r>
                  <w:r>
                    <w:rPr>
                      <w:rFonts w:hint="eastAsia" w:ascii="Times New Roman" w:hAnsi="Times New Roman" w:eastAsia="仿宋" w:cs="Times New Roman"/>
                      <w:color w:val="auto"/>
                      <w:sz w:val="21"/>
                      <w:szCs w:val="21"/>
                      <w:lang w:eastAsia="zh-CN"/>
                    </w:rPr>
                    <w:t>固废</w:t>
                  </w:r>
                  <w:r>
                    <w:rPr>
                      <w:rFonts w:hint="default" w:ascii="Times New Roman" w:hAnsi="Times New Roman" w:eastAsia="仿宋" w:cs="Times New Roman"/>
                      <w:color w:val="auto"/>
                      <w:sz w:val="21"/>
                      <w:szCs w:val="21"/>
                    </w:rPr>
                    <w:t>及危废暂存场所。本项目产生的危险</w:t>
                  </w:r>
                  <w:r>
                    <w:rPr>
                      <w:rFonts w:hint="eastAsia" w:ascii="Times New Roman" w:hAnsi="Times New Roman" w:eastAsia="仿宋" w:cs="Times New Roman"/>
                      <w:color w:val="auto"/>
                      <w:sz w:val="21"/>
                      <w:szCs w:val="21"/>
                      <w:lang w:eastAsia="zh-CN"/>
                    </w:rPr>
                    <w:t>废物</w:t>
                  </w:r>
                  <w:r>
                    <w:rPr>
                      <w:rFonts w:hint="default" w:ascii="Times New Roman" w:hAnsi="Times New Roman" w:eastAsia="仿宋" w:cs="Times New Roman"/>
                      <w:color w:val="auto"/>
                      <w:sz w:val="21"/>
                      <w:szCs w:val="21"/>
                    </w:rPr>
                    <w:t>HW09(</w:t>
                  </w:r>
                  <w:r>
                    <w:rPr>
                      <w:rFonts w:hint="eastAsia" w:ascii="Times New Roman" w:hAnsi="Times New Roman" w:eastAsia="仿宋" w:cs="Times New Roman"/>
                      <w:color w:val="auto"/>
                      <w:sz w:val="21"/>
                      <w:szCs w:val="21"/>
                      <w:lang w:val="en-US" w:eastAsia="zh-CN"/>
                    </w:rPr>
                    <w:t>废</w:t>
                  </w:r>
                  <w:r>
                    <w:rPr>
                      <w:rFonts w:hint="default" w:ascii="Times New Roman" w:hAnsi="Times New Roman" w:eastAsia="仿宋" w:cs="Times New Roman"/>
                      <w:color w:val="auto"/>
                      <w:sz w:val="21"/>
                      <w:szCs w:val="21"/>
                    </w:rPr>
                    <w:t>切削液)委托有资质单位安全处置，并在正式投产前签订处置协议:一般固质综合利用:生活垃圾由环卫部门统一收集处理。所有固体</w:t>
                  </w:r>
                  <w:r>
                    <w:rPr>
                      <w:rFonts w:hint="eastAsia" w:ascii="Times New Roman" w:hAnsi="Times New Roman" w:eastAsia="仿宋" w:cs="Times New Roman"/>
                      <w:color w:val="auto"/>
                      <w:sz w:val="21"/>
                      <w:szCs w:val="21"/>
                      <w:lang w:eastAsia="zh-CN"/>
                    </w:rPr>
                    <w:t>废物</w:t>
                  </w:r>
                  <w:r>
                    <w:rPr>
                      <w:rFonts w:hint="default" w:ascii="Times New Roman" w:hAnsi="Times New Roman" w:eastAsia="仿宋" w:cs="Times New Roman"/>
                      <w:color w:val="auto"/>
                      <w:sz w:val="21"/>
                      <w:szCs w:val="21"/>
                    </w:rPr>
                    <w:t>实现“零排放”防止造成二次污染。</w:t>
                  </w:r>
                </w:p>
              </w:tc>
              <w:tc>
                <w:tcPr>
                  <w:tcW w:w="2947" w:type="dxa"/>
                  <w:vAlign w:val="center"/>
                </w:tcPr>
                <w:p w14:paraId="4B6FBBAA">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本项目按规范建设了一般</w:t>
                  </w:r>
                  <w:r>
                    <w:rPr>
                      <w:rFonts w:hint="eastAsia" w:ascii="Times New Roman" w:hAnsi="Times New Roman" w:eastAsia="仿宋" w:cs="Times New Roman"/>
                      <w:color w:val="auto"/>
                      <w:sz w:val="21"/>
                      <w:szCs w:val="21"/>
                      <w:lang w:eastAsia="zh-CN"/>
                    </w:rPr>
                    <w:t>固废</w:t>
                  </w:r>
                  <w:r>
                    <w:rPr>
                      <w:rFonts w:hint="default" w:ascii="Times New Roman" w:hAnsi="Times New Roman" w:eastAsia="仿宋" w:cs="Times New Roman"/>
                      <w:color w:val="auto"/>
                      <w:sz w:val="21"/>
                      <w:szCs w:val="21"/>
                    </w:rPr>
                    <w:t>及</w:t>
                  </w:r>
                  <w:r>
                    <w:rPr>
                      <w:rFonts w:hint="eastAsia" w:ascii="Times New Roman" w:hAnsi="Times New Roman" w:eastAsia="仿宋" w:cs="Times New Roman"/>
                      <w:color w:val="auto"/>
                      <w:sz w:val="21"/>
                      <w:szCs w:val="21"/>
                      <w:lang w:eastAsia="zh-CN"/>
                    </w:rPr>
                    <w:t>危废</w:t>
                  </w:r>
                  <w:r>
                    <w:rPr>
                      <w:rFonts w:hint="default" w:ascii="Times New Roman" w:hAnsi="Times New Roman" w:eastAsia="仿宋" w:cs="Times New Roman"/>
                      <w:color w:val="auto"/>
                      <w:sz w:val="21"/>
                      <w:szCs w:val="21"/>
                    </w:rPr>
                    <w:t>暂存场所。本项目产生的危险</w:t>
                  </w:r>
                  <w:r>
                    <w:rPr>
                      <w:rFonts w:hint="eastAsia" w:ascii="Times New Roman" w:hAnsi="Times New Roman" w:eastAsia="仿宋" w:cs="Times New Roman"/>
                      <w:color w:val="auto"/>
                      <w:sz w:val="21"/>
                      <w:szCs w:val="21"/>
                      <w:lang w:eastAsia="zh-CN"/>
                    </w:rPr>
                    <w:t>废物</w:t>
                  </w:r>
                  <w:r>
                    <w:rPr>
                      <w:rFonts w:hint="default" w:ascii="Times New Roman" w:hAnsi="Times New Roman" w:eastAsia="仿宋" w:cs="Times New Roman"/>
                      <w:color w:val="auto"/>
                      <w:sz w:val="21"/>
                      <w:szCs w:val="21"/>
                    </w:rPr>
                    <w:t>HW09(</w:t>
                  </w:r>
                  <w:r>
                    <w:rPr>
                      <w:rFonts w:hint="eastAsia" w:ascii="Times New Roman" w:hAnsi="Times New Roman" w:eastAsia="仿宋" w:cs="Times New Roman"/>
                      <w:color w:val="auto"/>
                      <w:sz w:val="21"/>
                      <w:szCs w:val="21"/>
                      <w:lang w:val="en-US" w:eastAsia="zh-CN"/>
                    </w:rPr>
                    <w:t>废</w:t>
                  </w:r>
                  <w:r>
                    <w:rPr>
                      <w:rFonts w:hint="default" w:ascii="Times New Roman" w:hAnsi="Times New Roman" w:eastAsia="仿宋" w:cs="Times New Roman"/>
                      <w:color w:val="auto"/>
                      <w:sz w:val="21"/>
                      <w:szCs w:val="21"/>
                    </w:rPr>
                    <w:t>切削液)委托有资质单位安全处置，并签订了处置协议:一般</w:t>
                  </w:r>
                  <w:r>
                    <w:rPr>
                      <w:rFonts w:hint="eastAsia" w:ascii="Times New Roman" w:hAnsi="Times New Roman" w:eastAsia="仿宋" w:cs="Times New Roman"/>
                      <w:color w:val="auto"/>
                      <w:sz w:val="21"/>
                      <w:szCs w:val="21"/>
                      <w:lang w:eastAsia="zh-CN"/>
                    </w:rPr>
                    <w:t>固废</w:t>
                  </w:r>
                  <w:r>
                    <w:rPr>
                      <w:rFonts w:hint="default" w:ascii="Times New Roman" w:hAnsi="Times New Roman" w:eastAsia="仿宋" w:cs="Times New Roman"/>
                      <w:color w:val="auto"/>
                      <w:sz w:val="21"/>
                      <w:szCs w:val="21"/>
                    </w:rPr>
                    <w:t>综合利用;生活垃圾由环卫部门统一收集处理。所有固体</w:t>
                  </w:r>
                  <w:r>
                    <w:rPr>
                      <w:rFonts w:hint="eastAsia" w:ascii="Times New Roman" w:hAnsi="Times New Roman" w:eastAsia="仿宋" w:cs="Times New Roman"/>
                      <w:color w:val="auto"/>
                      <w:sz w:val="21"/>
                      <w:szCs w:val="21"/>
                      <w:lang w:eastAsia="zh-CN"/>
                    </w:rPr>
                    <w:t>废物</w:t>
                  </w:r>
                  <w:r>
                    <w:rPr>
                      <w:rFonts w:hint="default" w:ascii="Times New Roman" w:hAnsi="Times New Roman" w:eastAsia="仿宋" w:cs="Times New Roman"/>
                      <w:color w:val="auto"/>
                      <w:sz w:val="21"/>
                      <w:szCs w:val="21"/>
                    </w:rPr>
                    <w:t>实现“零排放”</w:t>
                  </w:r>
                </w:p>
              </w:tc>
              <w:tc>
                <w:tcPr>
                  <w:tcW w:w="1013" w:type="dxa"/>
                  <w:vAlign w:val="center"/>
                </w:tcPr>
                <w:p w14:paraId="05FB9B0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eastAsia="仿宋" w:cs="Times New Roman"/>
                      <w:color w:val="auto"/>
                      <w:sz w:val="21"/>
                      <w:szCs w:val="21"/>
                      <w:lang w:val="en-US" w:eastAsia="zh-CN"/>
                    </w:rPr>
                    <w:t>相符</w:t>
                  </w:r>
                </w:p>
              </w:tc>
            </w:tr>
            <w:tr w14:paraId="70A927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785C75A">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按《江苏省排污口设置及规范化整治管理办法》(苏环控[19971122号)的规定设置各类排污口和标识，本项目设雨水排口1个，污水排口1个。</w:t>
                  </w:r>
                </w:p>
              </w:tc>
              <w:tc>
                <w:tcPr>
                  <w:tcW w:w="2947" w:type="dxa"/>
                  <w:vAlign w:val="center"/>
                </w:tcPr>
                <w:p w14:paraId="7E280825">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本项目新增废气排口1个，</w:t>
                  </w:r>
                  <w:r>
                    <w:rPr>
                      <w:rFonts w:hint="default" w:ascii="Times New Roman" w:hAnsi="Times New Roman" w:eastAsia="仿宋" w:cs="Times New Roman"/>
                      <w:color w:val="auto"/>
                      <w:sz w:val="21"/>
                      <w:szCs w:val="21"/>
                    </w:rPr>
                    <w:t>雨水</w:t>
                  </w:r>
                  <w:r>
                    <w:rPr>
                      <w:rFonts w:hint="default" w:ascii="Times New Roman" w:hAnsi="Times New Roman" w:eastAsia="仿宋" w:cs="Times New Roman"/>
                      <w:color w:val="auto"/>
                      <w:sz w:val="21"/>
                      <w:szCs w:val="21"/>
                      <w:lang w:val="en-US" w:eastAsia="zh-CN"/>
                    </w:rPr>
                    <w:t>排口1个，污水接管口1个。</w:t>
                  </w:r>
                </w:p>
              </w:tc>
              <w:tc>
                <w:tcPr>
                  <w:tcW w:w="1013" w:type="dxa"/>
                  <w:vAlign w:val="center"/>
                </w:tcPr>
                <w:p w14:paraId="57D6A72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eastAsia="仿宋" w:cs="Times New Roman"/>
                      <w:color w:val="auto"/>
                      <w:sz w:val="21"/>
                      <w:szCs w:val="21"/>
                      <w:lang w:val="en-US" w:eastAsia="zh-CN"/>
                    </w:rPr>
                    <w:t>相符</w:t>
                  </w:r>
                </w:p>
              </w:tc>
            </w:tr>
          </w:tbl>
          <w:p w14:paraId="301EF75B">
            <w:pPr>
              <w:pStyle w:val="7"/>
              <w:numPr>
                <w:ilvl w:val="0"/>
                <w:numId w:val="0"/>
              </w:numPr>
              <w:ind w:right="113" w:rightChars="0"/>
              <w:rPr>
                <w:rFonts w:hint="default"/>
                <w:color w:val="auto"/>
                <w:lang w:val="en-US" w:eastAsia="zh-CN"/>
              </w:rPr>
            </w:pPr>
          </w:p>
          <w:p w14:paraId="067A5A10">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仿宋" w:cs="Times New Roman"/>
                <w:b/>
                <w:bCs/>
                <w:color w:val="auto"/>
                <w:sz w:val="24"/>
              </w:rPr>
            </w:pPr>
            <w:r>
              <w:rPr>
                <w:rFonts w:hint="eastAsia" w:eastAsia="仿宋" w:cs="Times New Roman"/>
                <w:b/>
                <w:bCs/>
                <w:color w:val="auto"/>
                <w:sz w:val="24"/>
                <w:lang w:val="en-US" w:eastAsia="zh-CN"/>
              </w:rPr>
              <w:t>10、</w:t>
            </w:r>
            <w:r>
              <w:rPr>
                <w:rFonts w:hint="default" w:ascii="Times New Roman" w:hAnsi="Times New Roman" w:eastAsia="仿宋" w:cs="Times New Roman"/>
                <w:b/>
                <w:bCs/>
                <w:color w:val="auto"/>
                <w:sz w:val="24"/>
                <w:lang w:val="en-US" w:eastAsia="zh-CN"/>
              </w:rPr>
              <w:t>现有</w:t>
            </w:r>
            <w:r>
              <w:rPr>
                <w:rFonts w:hint="default" w:ascii="Times New Roman" w:hAnsi="Times New Roman" w:eastAsia="仿宋" w:cs="Times New Roman"/>
                <w:b/>
                <w:bCs/>
                <w:color w:val="auto"/>
                <w:sz w:val="24"/>
              </w:rPr>
              <w:t>项目</w:t>
            </w:r>
            <w:r>
              <w:rPr>
                <w:rFonts w:hint="default" w:ascii="Times New Roman" w:hAnsi="Times New Roman" w:eastAsia="仿宋" w:cs="Times New Roman"/>
                <w:b/>
                <w:bCs/>
                <w:color w:val="auto"/>
                <w:sz w:val="24"/>
                <w:lang w:val="en-US" w:eastAsia="zh-CN"/>
              </w:rPr>
              <w:t>污染物</w:t>
            </w:r>
            <w:r>
              <w:rPr>
                <w:rFonts w:hint="default" w:ascii="Times New Roman" w:hAnsi="Times New Roman" w:eastAsia="仿宋" w:cs="Times New Roman"/>
                <w:b/>
                <w:bCs/>
                <w:color w:val="auto"/>
                <w:sz w:val="24"/>
              </w:rPr>
              <w:t>排放情况</w:t>
            </w:r>
          </w:p>
          <w:p w14:paraId="2DAA68EC">
            <w:pPr>
              <w:keepNext w:val="0"/>
              <w:keepLines w:val="0"/>
              <w:pageBreakBefore w:val="0"/>
              <w:widowControl w:val="0"/>
              <w:kinsoku/>
              <w:wordWrap/>
              <w:overflowPunct/>
              <w:topLinePunct w:val="0"/>
              <w:autoSpaceDE/>
              <w:autoSpaceDN/>
              <w:bidi w:val="0"/>
              <w:adjustRightInd w:val="0"/>
              <w:snapToGrid w:val="0"/>
              <w:spacing w:before="95" w:beforeLines="30" w:line="240" w:lineRule="auto"/>
              <w:ind w:left="0" w:right="0"/>
              <w:jc w:val="center"/>
              <w:textAlignment w:val="auto"/>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表2-1</w:t>
            </w:r>
            <w:r>
              <w:rPr>
                <w:rFonts w:hint="eastAsia" w:eastAsia="仿宋" w:cs="Times New Roman"/>
                <w:b/>
                <w:color w:val="auto"/>
                <w:szCs w:val="21"/>
                <w:lang w:val="en-US" w:eastAsia="zh-CN"/>
              </w:rPr>
              <w:t>9</w:t>
            </w:r>
            <w:r>
              <w:rPr>
                <w:rFonts w:hint="default" w:ascii="Times New Roman" w:hAnsi="Times New Roman" w:eastAsia="仿宋" w:cs="Times New Roman"/>
                <w:b/>
                <w:color w:val="auto"/>
                <w:szCs w:val="21"/>
                <w:lang w:val="en-US" w:eastAsia="zh-CN"/>
              </w:rPr>
              <w:t xml:space="preserve"> 现有项目污染物排放情况一览表（t/a）</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123"/>
              <w:gridCol w:w="2421"/>
              <w:gridCol w:w="2175"/>
              <w:gridCol w:w="1895"/>
            </w:tblGrid>
            <w:tr w14:paraId="096FF9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gridSpan w:val="2"/>
                  <w:vAlign w:val="center"/>
                </w:tcPr>
                <w:p w14:paraId="2E62F1F5">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种类</w:t>
                  </w:r>
                </w:p>
              </w:tc>
              <w:tc>
                <w:tcPr>
                  <w:tcW w:w="1442" w:type="pct"/>
                  <w:vAlign w:val="center"/>
                </w:tcPr>
                <w:p w14:paraId="04BA2DE6">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污染物名称</w:t>
                  </w:r>
                </w:p>
              </w:tc>
              <w:tc>
                <w:tcPr>
                  <w:tcW w:w="1295" w:type="pct"/>
                  <w:vAlign w:val="center"/>
                </w:tcPr>
                <w:p w14:paraId="2FB2D2DF">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highlight w:val="none"/>
                    </w:rPr>
                    <w:t>环评</w:t>
                  </w:r>
                  <w:r>
                    <w:rPr>
                      <w:rFonts w:hint="default" w:ascii="Times New Roman" w:hAnsi="Times New Roman" w:eastAsia="仿宋" w:cs="Times New Roman"/>
                      <w:b/>
                      <w:color w:val="auto"/>
                      <w:szCs w:val="21"/>
                      <w:highlight w:val="none"/>
                      <w:lang w:val="en-US" w:eastAsia="zh-CN"/>
                    </w:rPr>
                    <w:t>批复</w:t>
                  </w:r>
                  <w:r>
                    <w:rPr>
                      <w:rFonts w:hint="default" w:ascii="Times New Roman" w:hAnsi="Times New Roman" w:eastAsia="仿宋" w:cs="Times New Roman"/>
                      <w:b/>
                      <w:color w:val="auto"/>
                      <w:szCs w:val="21"/>
                      <w:highlight w:val="none"/>
                    </w:rPr>
                    <w:t>量</w:t>
                  </w:r>
                </w:p>
              </w:tc>
              <w:tc>
                <w:tcPr>
                  <w:tcW w:w="1128" w:type="pct"/>
                  <w:vAlign w:val="center"/>
                </w:tcPr>
                <w:p w14:paraId="04F2D8E6">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实际排放量（根据验收报告</w:t>
                  </w:r>
                  <w:r>
                    <w:rPr>
                      <w:rFonts w:hint="eastAsia" w:eastAsia="仿宋" w:cs="Times New Roman"/>
                      <w:b/>
                      <w:color w:val="auto"/>
                      <w:szCs w:val="21"/>
                      <w:lang w:val="en-US" w:eastAsia="zh-CN"/>
                    </w:rPr>
                    <w:t>核算</w:t>
                  </w:r>
                  <w:r>
                    <w:rPr>
                      <w:rFonts w:hint="default" w:ascii="Times New Roman" w:hAnsi="Times New Roman" w:eastAsia="仿宋" w:cs="Times New Roman"/>
                      <w:b/>
                      <w:color w:val="auto"/>
                      <w:szCs w:val="21"/>
                      <w:lang w:val="en-US" w:eastAsia="zh-CN"/>
                    </w:rPr>
                    <w:t>）</w:t>
                  </w:r>
                </w:p>
              </w:tc>
            </w:tr>
            <w:tr w14:paraId="6A29E4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gridSpan w:val="2"/>
                  <w:vMerge w:val="restart"/>
                  <w:vAlign w:val="center"/>
                </w:tcPr>
                <w:p w14:paraId="6CCE8CBF">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废水</w:t>
                  </w:r>
                </w:p>
              </w:tc>
              <w:tc>
                <w:tcPr>
                  <w:tcW w:w="1442" w:type="pct"/>
                  <w:vAlign w:val="center"/>
                </w:tcPr>
                <w:p w14:paraId="17665E6A">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水量</w:t>
                  </w:r>
                </w:p>
              </w:tc>
              <w:tc>
                <w:tcPr>
                  <w:tcW w:w="1295" w:type="pct"/>
                  <w:vAlign w:val="center"/>
                </w:tcPr>
                <w:p w14:paraId="46E2E9F2">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1440</w:t>
                  </w:r>
                </w:p>
              </w:tc>
              <w:tc>
                <w:tcPr>
                  <w:tcW w:w="1128" w:type="pct"/>
                  <w:vAlign w:val="center"/>
                </w:tcPr>
                <w:p w14:paraId="27F015B1">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720</w:t>
                  </w:r>
                </w:p>
              </w:tc>
            </w:tr>
            <w:tr w14:paraId="029840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gridSpan w:val="2"/>
                  <w:vMerge w:val="continue"/>
                  <w:vAlign w:val="center"/>
                </w:tcPr>
                <w:p w14:paraId="11D4D0BB">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c>
                <w:tcPr>
                  <w:tcW w:w="1442" w:type="pct"/>
                  <w:vAlign w:val="center"/>
                </w:tcPr>
                <w:p w14:paraId="59313918">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1295" w:type="pct"/>
                  <w:vAlign w:val="center"/>
                </w:tcPr>
                <w:p w14:paraId="6835404E">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0.504</w:t>
                  </w:r>
                </w:p>
              </w:tc>
              <w:tc>
                <w:tcPr>
                  <w:tcW w:w="1128" w:type="pct"/>
                  <w:vAlign w:val="center"/>
                </w:tcPr>
                <w:p w14:paraId="494957A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0.118</w:t>
                  </w:r>
                </w:p>
              </w:tc>
            </w:tr>
            <w:tr w14:paraId="4BAF12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gridSpan w:val="2"/>
                  <w:vMerge w:val="continue"/>
                  <w:vAlign w:val="center"/>
                </w:tcPr>
                <w:p w14:paraId="22DC3249">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c>
                <w:tcPr>
                  <w:tcW w:w="1442" w:type="pct"/>
                  <w:vAlign w:val="center"/>
                </w:tcPr>
                <w:p w14:paraId="4158E2B8">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1295" w:type="pct"/>
                  <w:vAlign w:val="center"/>
                </w:tcPr>
                <w:p w14:paraId="583584BA">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0.288</w:t>
                  </w:r>
                </w:p>
              </w:tc>
              <w:tc>
                <w:tcPr>
                  <w:tcW w:w="1128" w:type="pct"/>
                  <w:vAlign w:val="center"/>
                </w:tcPr>
                <w:p w14:paraId="0AADC3A1">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0.055</w:t>
                  </w:r>
                </w:p>
              </w:tc>
            </w:tr>
            <w:tr w14:paraId="4D3C34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gridSpan w:val="2"/>
                  <w:vMerge w:val="continue"/>
                  <w:vAlign w:val="center"/>
                </w:tcPr>
                <w:p w14:paraId="02E53107">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c>
                <w:tcPr>
                  <w:tcW w:w="1442" w:type="pct"/>
                  <w:vAlign w:val="center"/>
                </w:tcPr>
                <w:p w14:paraId="1B4F8D78">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NH</w:t>
                  </w:r>
                  <w:r>
                    <w:rPr>
                      <w:rFonts w:hint="default" w:ascii="Times New Roman" w:hAnsi="Times New Roman" w:eastAsia="仿宋" w:cs="Times New Roman"/>
                      <w:color w:val="auto"/>
                      <w:szCs w:val="21"/>
                      <w:vertAlign w:val="subscript"/>
                    </w:rPr>
                    <w:t>3</w:t>
                  </w:r>
                  <w:r>
                    <w:rPr>
                      <w:rFonts w:hint="default" w:ascii="Times New Roman" w:hAnsi="Times New Roman" w:eastAsia="仿宋" w:cs="Times New Roman"/>
                      <w:color w:val="auto"/>
                      <w:szCs w:val="21"/>
                    </w:rPr>
                    <w:t>-N</w:t>
                  </w:r>
                </w:p>
              </w:tc>
              <w:tc>
                <w:tcPr>
                  <w:tcW w:w="1295" w:type="pct"/>
                  <w:vAlign w:val="center"/>
                </w:tcPr>
                <w:p w14:paraId="15B7F15A">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0.036</w:t>
                  </w:r>
                </w:p>
              </w:tc>
              <w:tc>
                <w:tcPr>
                  <w:tcW w:w="1128" w:type="pct"/>
                  <w:vAlign w:val="center"/>
                </w:tcPr>
                <w:p w14:paraId="492F835C">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0.028</w:t>
                  </w:r>
                </w:p>
              </w:tc>
            </w:tr>
            <w:tr w14:paraId="29562B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gridSpan w:val="2"/>
                  <w:vMerge w:val="continue"/>
                  <w:vAlign w:val="center"/>
                </w:tcPr>
                <w:p w14:paraId="43932692">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p>
              </w:tc>
              <w:tc>
                <w:tcPr>
                  <w:tcW w:w="1442" w:type="pct"/>
                  <w:vAlign w:val="center"/>
                </w:tcPr>
                <w:p w14:paraId="38162F13">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TP</w:t>
                  </w:r>
                </w:p>
              </w:tc>
              <w:tc>
                <w:tcPr>
                  <w:tcW w:w="1295" w:type="pct"/>
                  <w:vAlign w:val="center"/>
                </w:tcPr>
                <w:p w14:paraId="361BEABB">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0.0058</w:t>
                  </w:r>
                </w:p>
              </w:tc>
              <w:tc>
                <w:tcPr>
                  <w:tcW w:w="1128" w:type="pct"/>
                  <w:vAlign w:val="center"/>
                </w:tcPr>
                <w:p w14:paraId="05A0E29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0.004</w:t>
                  </w:r>
                </w:p>
              </w:tc>
            </w:tr>
            <w:tr w14:paraId="3962D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restart"/>
                  <w:vAlign w:val="center"/>
                </w:tcPr>
                <w:p w14:paraId="368D516F">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w:t>
                  </w:r>
                </w:p>
              </w:tc>
              <w:tc>
                <w:tcPr>
                  <w:tcW w:w="669" w:type="pct"/>
                  <w:vAlign w:val="center"/>
                </w:tcPr>
                <w:p w14:paraId="2A6F373A">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有组织</w:t>
                  </w:r>
                </w:p>
              </w:tc>
              <w:tc>
                <w:tcPr>
                  <w:tcW w:w="1442" w:type="pct"/>
                  <w:vAlign w:val="center"/>
                </w:tcPr>
                <w:p w14:paraId="0655596F">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val="en-US" w:eastAsia="zh-CN"/>
                    </w:rPr>
                    <w:t>颗粒物</w:t>
                  </w:r>
                </w:p>
              </w:tc>
              <w:tc>
                <w:tcPr>
                  <w:tcW w:w="1295" w:type="pct"/>
                  <w:vAlign w:val="center"/>
                </w:tcPr>
                <w:p w14:paraId="33CA2C7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szCs w:val="21"/>
                      <w:lang w:val="en-US" w:eastAsia="zh-CN"/>
                    </w:rPr>
                    <w:t>/</w:t>
                  </w:r>
                </w:p>
              </w:tc>
              <w:tc>
                <w:tcPr>
                  <w:tcW w:w="1128" w:type="pct"/>
                  <w:vAlign w:val="center"/>
                </w:tcPr>
                <w:p w14:paraId="6F33F30C">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0.1</w:t>
                  </w:r>
                </w:p>
              </w:tc>
            </w:tr>
            <w:tr w14:paraId="52D7A4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vAlign w:val="center"/>
                </w:tcPr>
                <w:p w14:paraId="65E283FE">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szCs w:val="21"/>
                    </w:rPr>
                  </w:pPr>
                </w:p>
              </w:tc>
              <w:tc>
                <w:tcPr>
                  <w:tcW w:w="669" w:type="pct"/>
                  <w:vAlign w:val="center"/>
                </w:tcPr>
                <w:p w14:paraId="1FDB9E96">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无组织</w:t>
                  </w:r>
                </w:p>
              </w:tc>
              <w:tc>
                <w:tcPr>
                  <w:tcW w:w="1442" w:type="pct"/>
                  <w:vAlign w:val="center"/>
                </w:tcPr>
                <w:p w14:paraId="5BEAC36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颗粒物</w:t>
                  </w:r>
                </w:p>
              </w:tc>
              <w:tc>
                <w:tcPr>
                  <w:tcW w:w="1295" w:type="pct"/>
                  <w:vAlign w:val="center"/>
                </w:tcPr>
                <w:p w14:paraId="0E650D9D">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0.115</w:t>
                  </w:r>
                </w:p>
              </w:tc>
              <w:tc>
                <w:tcPr>
                  <w:tcW w:w="1128" w:type="pct"/>
                  <w:vAlign w:val="center"/>
                </w:tcPr>
                <w:p w14:paraId="5CB1E0AB">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p>
              </w:tc>
            </w:tr>
          </w:tbl>
          <w:p w14:paraId="335D8F2B">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注：环评阶段项目废气无组织排放，验收阶段调整为有组织排放。</w:t>
            </w:r>
          </w:p>
          <w:p w14:paraId="05460563">
            <w:pPr>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val="en-US" w:eastAsia="zh-CN"/>
              </w:rPr>
              <w:t>二</w:t>
            </w:r>
            <w:r>
              <w:rPr>
                <w:rFonts w:hint="default" w:ascii="Times New Roman" w:hAnsi="Times New Roman" w:eastAsia="仿宋" w:cs="Times New Roman"/>
                <w:b/>
                <w:bCs/>
                <w:color w:val="auto"/>
                <w:sz w:val="24"/>
              </w:rPr>
              <w:t>、现有项目存在的主要问题及</w:t>
            </w:r>
            <w:r>
              <w:rPr>
                <w:rFonts w:hint="default" w:ascii="Times New Roman" w:hAnsi="Times New Roman" w:eastAsia="仿宋" w:cs="Times New Roman"/>
                <w:b/>
                <w:color w:val="auto"/>
                <w:sz w:val="24"/>
                <w:lang w:val="en-US" w:eastAsia="zh-CN"/>
              </w:rPr>
              <w:t>整改</w:t>
            </w:r>
            <w:r>
              <w:rPr>
                <w:rFonts w:hint="default" w:ascii="Times New Roman" w:hAnsi="Times New Roman" w:eastAsia="仿宋" w:cs="Times New Roman"/>
                <w:b/>
                <w:color w:val="auto"/>
                <w:sz w:val="24"/>
              </w:rPr>
              <w:t>措施</w:t>
            </w:r>
          </w:p>
          <w:p w14:paraId="73CCBCE8">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b w:val="0"/>
                <w:bCs w:val="0"/>
                <w:color w:val="auto"/>
                <w:sz w:val="24"/>
                <w:lang w:val="en-US" w:eastAsia="zh-CN"/>
              </w:rPr>
            </w:pPr>
            <w:r>
              <w:rPr>
                <w:rFonts w:hint="default" w:ascii="Times New Roman" w:hAnsi="Times New Roman" w:eastAsia="仿宋" w:cs="Times New Roman"/>
                <w:b w:val="0"/>
                <w:bCs/>
                <w:color w:val="auto"/>
                <w:sz w:val="24"/>
                <w:lang w:val="en-US" w:eastAsia="zh-CN"/>
              </w:rPr>
              <w:t>1、</w:t>
            </w:r>
            <w:r>
              <w:rPr>
                <w:rFonts w:hint="default" w:ascii="Times New Roman" w:hAnsi="Times New Roman" w:eastAsia="仿宋" w:cs="Times New Roman"/>
                <w:b w:val="0"/>
                <w:bCs w:val="0"/>
                <w:color w:val="auto"/>
                <w:sz w:val="24"/>
              </w:rPr>
              <w:t>现有项目存在的主要问题</w:t>
            </w:r>
          </w:p>
          <w:p w14:paraId="51DA90B4">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（1）</w:t>
            </w:r>
            <w:r>
              <w:rPr>
                <w:rFonts w:hint="default" w:ascii="Times New Roman" w:hAnsi="Times New Roman" w:eastAsia="仿宋" w:cs="Times New Roman"/>
                <w:color w:val="auto"/>
                <w:kern w:val="0"/>
                <w:sz w:val="24"/>
                <w:szCs w:val="24"/>
                <w:lang w:val="en-US" w:eastAsia="zh-CN" w:bidi="ar-SA"/>
              </w:rPr>
              <w:t>现有项目危废库标识标牌未根据《危险废物识别标志设置技术规范》（HJ 1276-2022）中要求进行更新。</w:t>
            </w:r>
          </w:p>
          <w:p w14:paraId="3D4879EA">
            <w:pPr>
              <w:pStyle w:val="10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2）现有项目有组织废气颗粒物排放浓度及排放速率执行《大气污染物综合排放标准》(GB16297-1996)表2中标准；无组织废气颗粒物排放执行《大气污染物综合排放标准》(GB16297-1996)表2中标准，废气排放标准需更新。</w:t>
            </w:r>
          </w:p>
          <w:p w14:paraId="1EF9354B">
            <w:pPr>
              <w:pStyle w:val="10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仿宋" w:cs="Times New Roman"/>
                <w:color w:val="auto"/>
                <w:kern w:val="0"/>
                <w:sz w:val="24"/>
                <w:szCs w:val="24"/>
                <w:lang w:val="en-US" w:eastAsia="zh-CN" w:bidi="ar-SA"/>
              </w:rPr>
            </w:pPr>
            <w:r>
              <w:rPr>
                <w:rFonts w:hint="eastAsia" w:eastAsia="仿宋" w:cs="Times New Roman"/>
                <w:color w:val="auto"/>
                <w:kern w:val="0"/>
                <w:sz w:val="24"/>
                <w:szCs w:val="24"/>
                <w:lang w:val="en-US" w:eastAsia="zh-CN" w:bidi="ar-SA"/>
              </w:rPr>
              <w:t>（3）</w:t>
            </w:r>
            <w:r>
              <w:rPr>
                <w:rFonts w:hint="eastAsia" w:ascii="Times New Roman" w:hAnsi="Times New Roman" w:eastAsia="仿宋" w:cs="Times New Roman"/>
                <w:color w:val="auto"/>
                <w:kern w:val="0"/>
                <w:sz w:val="24"/>
                <w:szCs w:val="24"/>
                <w:lang w:val="en-US" w:eastAsia="zh-CN" w:bidi="ar-SA"/>
              </w:rPr>
              <w:t>现有项目雨水排放口已安装阀门，但尚未建设事故应急池，未定期开展突发环境事故应急演练。</w:t>
            </w:r>
          </w:p>
          <w:p w14:paraId="71E63362">
            <w:pPr>
              <w:pStyle w:val="6"/>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整改措施</w:t>
            </w:r>
          </w:p>
          <w:p w14:paraId="3709D89A">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 xml:space="preserve">   </w:t>
            </w:r>
            <w:r>
              <w:rPr>
                <w:rFonts w:hint="eastAsia" w:ascii="Times New Roman" w:hAnsi="Times New Roman" w:eastAsia="仿宋" w:cs="Times New Roman"/>
                <w:color w:val="auto"/>
                <w:kern w:val="0"/>
                <w:sz w:val="24"/>
                <w:szCs w:val="24"/>
                <w:lang w:val="en-US" w:eastAsia="zh-CN" w:bidi="ar-SA"/>
              </w:rPr>
              <w:t>（1）</w:t>
            </w:r>
            <w:r>
              <w:rPr>
                <w:rFonts w:hint="default" w:ascii="Times New Roman" w:hAnsi="Times New Roman" w:eastAsia="仿宋" w:cs="Times New Roman"/>
                <w:color w:val="auto"/>
                <w:kern w:val="0"/>
                <w:sz w:val="24"/>
                <w:szCs w:val="24"/>
                <w:lang w:val="en-US" w:eastAsia="zh-CN" w:bidi="ar-SA"/>
              </w:rPr>
              <w:t>危废库标识标牌根据《危险废物识别标志设置技术规范》（HJ 1276-2022）中要求进行更新。</w:t>
            </w:r>
          </w:p>
          <w:p w14:paraId="748835B9">
            <w:pPr>
              <w:pStyle w:val="104"/>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（2）现有项目排气筒废气颗粒物排放浓度及排放速率执行《大气污染物综合排放标准》(DB32/4041-2021)表1中标准，无组织废气颗粒物排放执行《大气污染物综合排放标准》(DB32/4041-2021)表3中标准。</w:t>
            </w:r>
            <w:r>
              <w:rPr>
                <w:rFonts w:hint="eastAsia" w:ascii="Times New Roman" w:hAnsi="Times New Roman" w:eastAsia="仿宋" w:cs="Times New Roman"/>
                <w:color w:val="auto"/>
                <w:kern w:val="0"/>
                <w:sz w:val="24"/>
                <w:szCs w:val="24"/>
                <w:lang w:val="en-US" w:eastAsia="zh-CN" w:bidi="ar-SA"/>
              </w:rPr>
              <w:br w:type="textWrapping"/>
            </w:r>
            <w:r>
              <w:rPr>
                <w:rFonts w:hint="eastAsia" w:eastAsia="仿宋" w:cs="Times New Roman"/>
                <w:color w:val="auto"/>
                <w:kern w:val="0"/>
                <w:sz w:val="24"/>
                <w:szCs w:val="24"/>
                <w:lang w:val="en-US" w:eastAsia="zh-CN" w:bidi="ar-SA"/>
              </w:rPr>
              <w:t xml:space="preserve">    （3）</w:t>
            </w:r>
            <w:r>
              <w:rPr>
                <w:rFonts w:hint="eastAsia" w:ascii="Times New Roman" w:hAnsi="Times New Roman" w:eastAsia="仿宋" w:cs="Times New Roman"/>
                <w:color w:val="auto"/>
                <w:kern w:val="0"/>
                <w:sz w:val="24"/>
                <w:szCs w:val="24"/>
                <w:lang w:val="en-US" w:eastAsia="zh-CN" w:bidi="ar-SA"/>
              </w:rPr>
              <w:t>现有项目需新建事故应急池并设置切换阀门，需定期开展突发环境事故应急演练。</w:t>
            </w:r>
          </w:p>
          <w:p w14:paraId="6765CE30">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三、现有项目设备搬迁过程注意事项</w:t>
            </w:r>
          </w:p>
          <w:p w14:paraId="14207CB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Autospacing="0" w:after="0" w:afterAutospacing="0" w:line="360" w:lineRule="auto"/>
              <w:ind w:left="0" w:leftChars="0" w:right="0" w:firstLine="480" w:firstLineChars="20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根据《</w:t>
            </w:r>
            <w:r>
              <w:rPr>
                <w:rFonts w:hint="default" w:ascii="Times New Roman" w:hAnsi="Times New Roman" w:eastAsia="仿宋" w:cs="Times New Roman"/>
                <w:color w:val="auto"/>
                <w:kern w:val="0"/>
                <w:sz w:val="24"/>
                <w:szCs w:val="24"/>
                <w:lang w:val="en-US" w:eastAsia="zh-CN" w:bidi="ar-SA"/>
              </w:rPr>
              <w:t>关于加强工业企业关停、搬迁及原址场地再开发利用过程中污染防治工作的通知</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(环发</w:t>
            </w:r>
            <w:r>
              <w:rPr>
                <w:rFonts w:hint="eastAsia" w:eastAsia="仿宋" w:cs="Times New Roman"/>
                <w:color w:val="auto"/>
                <w:kern w:val="0"/>
                <w:sz w:val="24"/>
                <w:szCs w:val="24"/>
                <w:lang w:val="en-US" w:eastAsia="zh-CN" w:bidi="ar-SA"/>
              </w:rPr>
              <w:t>〔2014〕66号</w:t>
            </w:r>
            <w:r>
              <w:rPr>
                <w:rFonts w:hint="default" w:ascii="Times New Roman" w:hAnsi="Times New Roman" w:eastAsia="仿宋" w:cs="Times New Roman"/>
                <w:color w:val="auto"/>
                <w:kern w:val="0"/>
                <w:sz w:val="24"/>
                <w:szCs w:val="24"/>
                <w:lang w:val="en-US" w:eastAsia="zh-CN" w:bidi="ar-SA"/>
              </w:rPr>
              <w:t>)</w:t>
            </w:r>
            <w:r>
              <w:rPr>
                <w:rFonts w:hint="eastAsia" w:ascii="Times New Roman" w:hAnsi="Times New Roman" w:eastAsia="仿宋" w:cs="Times New Roman"/>
                <w:color w:val="auto"/>
                <w:kern w:val="0"/>
                <w:sz w:val="24"/>
                <w:szCs w:val="24"/>
                <w:lang w:val="en-US" w:eastAsia="zh-CN" w:bidi="ar-SA"/>
              </w:rPr>
              <w:t>要求，现有项目生产设备搬迁过程需做好以下工作。</w:t>
            </w:r>
          </w:p>
          <w:p w14:paraId="0AA2EAD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Autospacing="0" w:after="0" w:afterAutospacing="0" w:line="360" w:lineRule="auto"/>
              <w:ind w:left="0" w:leftChars="0" w:right="0" w:firstLine="480" w:firstLineChars="20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（1）规范各类设施拆除流程</w:t>
            </w:r>
          </w:p>
          <w:p w14:paraId="68B7C09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Autospacing="0" w:after="0" w:afterAutospacing="0" w:line="360" w:lineRule="auto"/>
              <w:ind w:left="0" w:leftChars="0" w:right="0" w:firstLine="480" w:firstLineChars="20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确保车间现有的污染防治设施正常运行，妥善处理搬迁过程中产生的污染物，待生产设备拆除完毕且相关污染物处理处置结束后方可拆除污染治理设施；对车间生产装置、管线、废气治理设施、危废暂存间等予以规范清理和拆除。</w:t>
            </w:r>
          </w:p>
          <w:p w14:paraId="3EAF138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Autospacing="0" w:after="0" w:afterAutospacing="0" w:line="360" w:lineRule="auto"/>
              <w:ind w:left="0" w:leftChars="0" w:right="0" w:firstLine="480" w:firstLineChars="20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（2）安全处置企业遗留固体废物</w:t>
            </w:r>
          </w:p>
          <w:p w14:paraId="10034DE5">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企业应对</w:t>
            </w:r>
            <w:r>
              <w:rPr>
                <w:rFonts w:hint="eastAsia" w:ascii="Times New Roman" w:hAnsi="Times New Roman" w:eastAsia="仿宋" w:cs="Times New Roman"/>
                <w:color w:val="auto"/>
                <w:kern w:val="0"/>
                <w:sz w:val="24"/>
                <w:szCs w:val="24"/>
                <w:lang w:val="en-US" w:eastAsia="zh-CN" w:bidi="ar-SA"/>
              </w:rPr>
              <w:t>车间内</w:t>
            </w:r>
            <w:r>
              <w:rPr>
                <w:rFonts w:hint="default" w:ascii="Times New Roman" w:hAnsi="Times New Roman" w:eastAsia="仿宋" w:cs="Times New Roman"/>
                <w:color w:val="auto"/>
                <w:kern w:val="0"/>
                <w:sz w:val="24"/>
                <w:szCs w:val="24"/>
                <w:lang w:val="en-US" w:eastAsia="zh-CN" w:bidi="ar-SA"/>
              </w:rPr>
              <w:t>残留和搬迁过程中产生的有毒有害物质、危险废物、一般工业固体废物等进行处理处置。属危险废物的，应委托具有危险废物经营许可证的专业单位进行安全处置，并执行危险废物转移联单制度;属一般工业固体废物的，应按照国家相关环保标准制定处置方案;对不能直接判定其危险特性的固体废物，应按照《危险废物鉴别标准》的有关要求进行鉴别。</w:t>
            </w:r>
          </w:p>
          <w:p w14:paraId="164A580B">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仿宋" w:cs="Times New Roman"/>
                <w:color w:val="auto"/>
                <w:sz w:val="24"/>
                <w:szCs w:val="24"/>
                <w:lang w:val="en-US" w:eastAsia="zh-CN"/>
              </w:rPr>
            </w:pPr>
          </w:p>
          <w:p w14:paraId="61B20751">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仿宋" w:cs="Times New Roman"/>
                <w:b w:val="0"/>
                <w:bCs/>
                <w:color w:val="auto"/>
                <w:sz w:val="24"/>
                <w:lang w:val="en-US" w:eastAsia="zh-CN"/>
              </w:rPr>
            </w:pPr>
          </w:p>
          <w:p w14:paraId="04E4CE21">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仿宋" w:cs="Times New Roman"/>
                <w:b w:val="0"/>
                <w:bCs/>
                <w:color w:val="auto"/>
                <w:sz w:val="24"/>
                <w:lang w:val="en-US" w:eastAsia="zh-CN"/>
              </w:rPr>
            </w:pPr>
          </w:p>
        </w:tc>
      </w:tr>
    </w:tbl>
    <w:p w14:paraId="33D151BA">
      <w:pPr>
        <w:pStyle w:val="22"/>
        <w:spacing w:before="0" w:beforeAutospacing="0" w:after="0" w:afterAutospacing="0"/>
        <w:jc w:val="center"/>
        <w:outlineLvl w:val="0"/>
        <w:rPr>
          <w:rFonts w:hint="default" w:ascii="Times New Roman" w:hAnsi="Times New Roman" w:eastAsia="仿宋" w:cs="Times New Roman"/>
          <w:snapToGrid w:val="0"/>
          <w:color w:val="auto"/>
          <w:sz w:val="30"/>
          <w:szCs w:val="30"/>
        </w:rPr>
      </w:pPr>
      <w:bookmarkStart w:id="3" w:name="_Toc17832"/>
    </w:p>
    <w:p w14:paraId="434F5172">
      <w:pPr>
        <w:pStyle w:val="22"/>
        <w:spacing w:before="0" w:beforeAutospacing="0" w:after="0" w:afterAutospacing="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三、区域环境质量现状、环境保护目标及评价标准</w:t>
      </w:r>
      <w:bookmarkEnd w:id="3"/>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228"/>
      </w:tblGrid>
      <w:tr w14:paraId="2150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dxa"/>
            <w:vAlign w:val="center"/>
          </w:tcPr>
          <w:p w14:paraId="1CDA4DFB">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区域</w:t>
            </w:r>
          </w:p>
          <w:p w14:paraId="08336CBD">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环境</w:t>
            </w:r>
          </w:p>
          <w:p w14:paraId="7B6D0F9A">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质量</w:t>
            </w:r>
          </w:p>
          <w:p w14:paraId="549D9B10">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rPr>
              <w:t>现状</w:t>
            </w:r>
          </w:p>
        </w:tc>
        <w:tc>
          <w:tcPr>
            <w:tcW w:w="8228" w:type="dxa"/>
            <w:vAlign w:val="center"/>
          </w:tcPr>
          <w:p w14:paraId="13F4FE30">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1、环境空气质量现状</w:t>
            </w:r>
          </w:p>
          <w:p w14:paraId="283D199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（1）区域达标判定</w:t>
            </w:r>
          </w:p>
          <w:p w14:paraId="098528E0">
            <w:pPr>
              <w:snapToGrid w:val="0"/>
              <w:spacing w:line="360" w:lineRule="auto"/>
              <w:ind w:firstLine="480" w:firstLineChars="200"/>
              <w:rPr>
                <w:rFonts w:eastAsia="仿宋"/>
                <w:bCs/>
                <w:color w:val="auto"/>
                <w:sz w:val="24"/>
              </w:rPr>
            </w:pPr>
            <w:r>
              <w:rPr>
                <w:rFonts w:eastAsia="仿宋"/>
                <w:color w:val="auto"/>
                <w:sz w:val="24"/>
              </w:rPr>
              <w:t>根据《</w:t>
            </w:r>
            <w:r>
              <w:rPr>
                <w:rFonts w:hint="eastAsia" w:eastAsia="仿宋"/>
                <w:bCs/>
                <w:color w:val="auto"/>
                <w:sz w:val="24"/>
                <w:lang w:eastAsia="zh-CN"/>
              </w:rPr>
              <w:t>2023年常州市生态环境状况公报</w:t>
            </w:r>
            <w:r>
              <w:rPr>
                <w:rFonts w:eastAsia="仿宋"/>
                <w:color w:val="auto"/>
                <w:sz w:val="24"/>
              </w:rPr>
              <w:t>》中相关内容，常州市环境质量现状见下表。</w:t>
            </w:r>
          </w:p>
          <w:p w14:paraId="2F8B8AE6">
            <w:pPr>
              <w:snapToGrid w:val="0"/>
              <w:jc w:val="center"/>
              <w:rPr>
                <w:rFonts w:eastAsia="仿宋"/>
                <w:b/>
                <w:color w:val="auto"/>
                <w:szCs w:val="21"/>
              </w:rPr>
            </w:pPr>
            <w:r>
              <w:rPr>
                <w:rFonts w:eastAsia="仿宋"/>
                <w:b/>
                <w:color w:val="auto"/>
                <w:szCs w:val="21"/>
              </w:rPr>
              <w:t xml:space="preserve">表3-1 </w:t>
            </w:r>
            <w:r>
              <w:rPr>
                <w:rFonts w:eastAsia="仿宋"/>
                <w:b/>
                <w:bCs/>
                <w:color w:val="auto"/>
                <w:szCs w:val="21"/>
              </w:rPr>
              <w:t xml:space="preserve">项目所在区域大气环境质量现状评价表  </w:t>
            </w:r>
            <w:r>
              <w:rPr>
                <w:rFonts w:eastAsia="仿宋"/>
                <w:b/>
                <w:color w:val="auto"/>
                <w:szCs w:val="21"/>
              </w:rPr>
              <w:t>单位：μg/m</w:t>
            </w:r>
            <w:r>
              <w:rPr>
                <w:rFonts w:eastAsia="仿宋"/>
                <w:b/>
                <w:color w:val="auto"/>
                <w:szCs w:val="21"/>
                <w:vertAlign w:val="superscript"/>
              </w:rPr>
              <w:t>3</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99"/>
              <w:gridCol w:w="2111"/>
              <w:gridCol w:w="1322"/>
              <w:gridCol w:w="1576"/>
              <w:gridCol w:w="968"/>
              <w:gridCol w:w="1136"/>
            </w:tblGrid>
            <w:tr w14:paraId="1DAEA6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6FB8D5A0">
                  <w:pPr>
                    <w:adjustRightInd w:val="0"/>
                    <w:snapToGrid w:val="0"/>
                    <w:spacing w:line="240" w:lineRule="auto"/>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污染物</w:t>
                  </w:r>
                </w:p>
              </w:tc>
              <w:tc>
                <w:tcPr>
                  <w:tcW w:w="1317" w:type="pct"/>
                  <w:tcBorders>
                    <w:tl2br w:val="nil"/>
                    <w:tr2bl w:val="nil"/>
                  </w:tcBorders>
                  <w:noWrap w:val="0"/>
                  <w:vAlign w:val="center"/>
                </w:tcPr>
                <w:p w14:paraId="5A8198BA">
                  <w:pPr>
                    <w:adjustRightInd w:val="0"/>
                    <w:snapToGrid w:val="0"/>
                    <w:spacing w:line="240" w:lineRule="auto"/>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年平均指标</w:t>
                  </w:r>
                </w:p>
              </w:tc>
              <w:tc>
                <w:tcPr>
                  <w:tcW w:w="825" w:type="pct"/>
                  <w:tcBorders>
                    <w:tl2br w:val="nil"/>
                    <w:tr2bl w:val="nil"/>
                  </w:tcBorders>
                  <w:noWrap w:val="0"/>
                  <w:vAlign w:val="center"/>
                </w:tcPr>
                <w:p w14:paraId="0C3182D0">
                  <w:pPr>
                    <w:adjustRightInd w:val="0"/>
                    <w:snapToGrid w:val="0"/>
                    <w:spacing w:line="240" w:lineRule="auto"/>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现状浓度μg/m</w:t>
                  </w:r>
                  <w:r>
                    <w:rPr>
                      <w:rFonts w:hint="default" w:ascii="Times New Roman" w:hAnsi="Times New Roman" w:eastAsia="仿宋" w:cs="Times New Roman"/>
                      <w:b/>
                      <w:color w:val="auto"/>
                      <w:sz w:val="21"/>
                      <w:szCs w:val="21"/>
                      <w:highlight w:val="none"/>
                      <w:vertAlign w:val="superscript"/>
                    </w:rPr>
                    <w:t>3</w:t>
                  </w:r>
                </w:p>
              </w:tc>
              <w:tc>
                <w:tcPr>
                  <w:tcW w:w="983" w:type="pct"/>
                  <w:tcBorders>
                    <w:tl2br w:val="nil"/>
                    <w:tr2bl w:val="nil"/>
                  </w:tcBorders>
                  <w:noWrap w:val="0"/>
                  <w:vAlign w:val="center"/>
                </w:tcPr>
                <w:p w14:paraId="714F8AB8">
                  <w:pPr>
                    <w:adjustRightInd w:val="0"/>
                    <w:snapToGrid w:val="0"/>
                    <w:spacing w:line="240" w:lineRule="auto"/>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标准限值μg/m</w:t>
                  </w:r>
                  <w:r>
                    <w:rPr>
                      <w:rFonts w:hint="default" w:ascii="Times New Roman" w:hAnsi="Times New Roman" w:eastAsia="仿宋" w:cs="Times New Roman"/>
                      <w:b/>
                      <w:color w:val="auto"/>
                      <w:sz w:val="21"/>
                      <w:szCs w:val="21"/>
                      <w:highlight w:val="none"/>
                      <w:vertAlign w:val="superscript"/>
                    </w:rPr>
                    <w:t>3</w:t>
                  </w:r>
                </w:p>
              </w:tc>
              <w:tc>
                <w:tcPr>
                  <w:tcW w:w="604" w:type="pct"/>
                  <w:tcBorders>
                    <w:tl2br w:val="nil"/>
                    <w:tr2bl w:val="nil"/>
                  </w:tcBorders>
                  <w:noWrap w:val="0"/>
                  <w:vAlign w:val="center"/>
                </w:tcPr>
                <w:p w14:paraId="5E9A102A">
                  <w:pPr>
                    <w:adjustRightInd w:val="0"/>
                    <w:snapToGrid w:val="0"/>
                    <w:spacing w:line="240" w:lineRule="auto"/>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lang w:val="en-US" w:eastAsia="zh-CN"/>
                    </w:rPr>
                    <w:t>达标率</w:t>
                  </w:r>
                  <w:r>
                    <w:rPr>
                      <w:rFonts w:hint="default" w:ascii="Times New Roman" w:hAnsi="Times New Roman" w:eastAsia="仿宋" w:cs="Times New Roman"/>
                      <w:b/>
                      <w:color w:val="auto"/>
                      <w:kern w:val="0"/>
                      <w:sz w:val="21"/>
                      <w:szCs w:val="21"/>
                      <w:highlight w:val="none"/>
                    </w:rPr>
                    <w:t>%</w:t>
                  </w:r>
                </w:p>
              </w:tc>
              <w:tc>
                <w:tcPr>
                  <w:tcW w:w="708" w:type="pct"/>
                  <w:tcBorders>
                    <w:tl2br w:val="nil"/>
                    <w:tr2bl w:val="nil"/>
                  </w:tcBorders>
                  <w:noWrap w:val="0"/>
                  <w:vAlign w:val="center"/>
                </w:tcPr>
                <w:p w14:paraId="79A116D9">
                  <w:pPr>
                    <w:adjustRightInd w:val="0"/>
                    <w:snapToGrid w:val="0"/>
                    <w:spacing w:line="240" w:lineRule="auto"/>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达标情况</w:t>
                  </w:r>
                </w:p>
              </w:tc>
            </w:tr>
            <w:tr w14:paraId="7A91A7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315752E5">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PM</w:t>
                  </w:r>
                  <w:r>
                    <w:rPr>
                      <w:rFonts w:hint="default" w:ascii="Times New Roman" w:hAnsi="Times New Roman" w:eastAsia="仿宋" w:cs="Times New Roman"/>
                      <w:color w:val="auto"/>
                      <w:kern w:val="0"/>
                      <w:sz w:val="21"/>
                      <w:szCs w:val="21"/>
                      <w:highlight w:val="none"/>
                      <w:vertAlign w:val="subscript"/>
                    </w:rPr>
                    <w:t>2.5</w:t>
                  </w:r>
                </w:p>
              </w:tc>
              <w:tc>
                <w:tcPr>
                  <w:tcW w:w="1317" w:type="pct"/>
                  <w:tcBorders>
                    <w:tl2br w:val="nil"/>
                    <w:tr2bl w:val="nil"/>
                  </w:tcBorders>
                  <w:noWrap w:val="0"/>
                  <w:vAlign w:val="center"/>
                </w:tcPr>
                <w:p w14:paraId="6A147452">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年平均质量浓度</w:t>
                  </w:r>
                </w:p>
              </w:tc>
              <w:tc>
                <w:tcPr>
                  <w:tcW w:w="825" w:type="pct"/>
                  <w:tcBorders>
                    <w:tl2br w:val="nil"/>
                    <w:tr2bl w:val="nil"/>
                  </w:tcBorders>
                  <w:noWrap w:val="0"/>
                  <w:vAlign w:val="center"/>
                </w:tcPr>
                <w:p w14:paraId="25B13557">
                  <w:pPr>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34</w:t>
                  </w:r>
                </w:p>
              </w:tc>
              <w:tc>
                <w:tcPr>
                  <w:tcW w:w="983" w:type="pct"/>
                  <w:tcBorders>
                    <w:tl2br w:val="nil"/>
                    <w:tr2bl w:val="nil"/>
                  </w:tcBorders>
                  <w:noWrap w:val="0"/>
                  <w:vAlign w:val="center"/>
                </w:tcPr>
                <w:p w14:paraId="3AB83D10">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35</w:t>
                  </w:r>
                </w:p>
              </w:tc>
              <w:tc>
                <w:tcPr>
                  <w:tcW w:w="604" w:type="pct"/>
                  <w:tcBorders>
                    <w:tl2br w:val="nil"/>
                    <w:tr2bl w:val="nil"/>
                  </w:tcBorders>
                  <w:noWrap w:val="0"/>
                  <w:vAlign w:val="center"/>
                </w:tcPr>
                <w:p w14:paraId="00A71432">
                  <w:pPr>
                    <w:widowControl/>
                    <w:spacing w:line="240" w:lineRule="auto"/>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bidi="ar"/>
                    </w:rPr>
                    <w:t>100</w:t>
                  </w:r>
                </w:p>
              </w:tc>
              <w:tc>
                <w:tcPr>
                  <w:tcW w:w="708" w:type="pct"/>
                  <w:vMerge w:val="restart"/>
                  <w:tcBorders>
                    <w:tl2br w:val="nil"/>
                    <w:tr2bl w:val="nil"/>
                  </w:tcBorders>
                  <w:noWrap w:val="0"/>
                  <w:vAlign w:val="center"/>
                </w:tcPr>
                <w:p w14:paraId="24596513">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不</w:t>
                  </w:r>
                  <w:r>
                    <w:rPr>
                      <w:rFonts w:hint="default" w:ascii="Times New Roman" w:hAnsi="Times New Roman" w:eastAsia="仿宋" w:cs="Times New Roman"/>
                      <w:color w:val="auto"/>
                      <w:kern w:val="0"/>
                      <w:sz w:val="21"/>
                      <w:szCs w:val="21"/>
                      <w:highlight w:val="none"/>
                    </w:rPr>
                    <w:t>达标</w:t>
                  </w:r>
                </w:p>
              </w:tc>
            </w:tr>
            <w:tr w14:paraId="089FE6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339E032F">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p>
              </w:tc>
              <w:tc>
                <w:tcPr>
                  <w:tcW w:w="1317" w:type="pct"/>
                  <w:tcBorders>
                    <w:tl2br w:val="nil"/>
                    <w:tr2bl w:val="nil"/>
                  </w:tcBorders>
                  <w:noWrap w:val="0"/>
                  <w:vAlign w:val="center"/>
                </w:tcPr>
                <w:p w14:paraId="0B628E56">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日平均浓度</w:t>
                  </w:r>
                </w:p>
              </w:tc>
              <w:tc>
                <w:tcPr>
                  <w:tcW w:w="825" w:type="pct"/>
                  <w:tcBorders>
                    <w:tl2br w:val="nil"/>
                    <w:tr2bl w:val="nil"/>
                  </w:tcBorders>
                  <w:noWrap w:val="0"/>
                  <w:vAlign w:val="center"/>
                </w:tcPr>
                <w:p w14:paraId="6C12723D">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6-151</w:t>
                  </w:r>
                </w:p>
              </w:tc>
              <w:tc>
                <w:tcPr>
                  <w:tcW w:w="983" w:type="pct"/>
                  <w:tcBorders>
                    <w:tl2br w:val="nil"/>
                    <w:tr2bl w:val="nil"/>
                  </w:tcBorders>
                  <w:noWrap w:val="0"/>
                  <w:vAlign w:val="center"/>
                </w:tcPr>
                <w:p w14:paraId="165FECDE">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75</w:t>
                  </w:r>
                </w:p>
              </w:tc>
              <w:tc>
                <w:tcPr>
                  <w:tcW w:w="604" w:type="pct"/>
                  <w:tcBorders>
                    <w:tl2br w:val="nil"/>
                    <w:tr2bl w:val="nil"/>
                  </w:tcBorders>
                  <w:noWrap w:val="0"/>
                  <w:vAlign w:val="center"/>
                </w:tcPr>
                <w:p w14:paraId="32E4FC75">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93.6</w:t>
                  </w:r>
                </w:p>
              </w:tc>
              <w:tc>
                <w:tcPr>
                  <w:tcW w:w="708" w:type="pct"/>
                  <w:vMerge w:val="continue"/>
                  <w:tcBorders>
                    <w:tl2br w:val="nil"/>
                    <w:tr2bl w:val="nil"/>
                  </w:tcBorders>
                  <w:noWrap w:val="0"/>
                  <w:vAlign w:val="center"/>
                </w:tcPr>
                <w:p w14:paraId="63B1149F">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p>
              </w:tc>
            </w:tr>
            <w:tr w14:paraId="2611B3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5EF249E3">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PM</w:t>
                  </w:r>
                  <w:r>
                    <w:rPr>
                      <w:rFonts w:hint="default" w:ascii="Times New Roman" w:hAnsi="Times New Roman" w:eastAsia="仿宋" w:cs="Times New Roman"/>
                      <w:color w:val="auto"/>
                      <w:kern w:val="0"/>
                      <w:sz w:val="21"/>
                      <w:szCs w:val="21"/>
                      <w:highlight w:val="none"/>
                      <w:vertAlign w:val="subscript"/>
                    </w:rPr>
                    <w:t>10</w:t>
                  </w:r>
                </w:p>
              </w:tc>
              <w:tc>
                <w:tcPr>
                  <w:tcW w:w="1317" w:type="pct"/>
                  <w:tcBorders>
                    <w:tl2br w:val="nil"/>
                    <w:tr2bl w:val="nil"/>
                  </w:tcBorders>
                  <w:noWrap w:val="0"/>
                  <w:vAlign w:val="center"/>
                </w:tcPr>
                <w:p w14:paraId="20AEE35C">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年平均质量浓度</w:t>
                  </w:r>
                </w:p>
              </w:tc>
              <w:tc>
                <w:tcPr>
                  <w:tcW w:w="825" w:type="pct"/>
                  <w:tcBorders>
                    <w:tl2br w:val="nil"/>
                    <w:tr2bl w:val="nil"/>
                  </w:tcBorders>
                  <w:noWrap w:val="0"/>
                  <w:vAlign w:val="center"/>
                </w:tcPr>
                <w:p w14:paraId="13DB5B2C">
                  <w:pPr>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57</w:t>
                  </w:r>
                </w:p>
              </w:tc>
              <w:tc>
                <w:tcPr>
                  <w:tcW w:w="983" w:type="pct"/>
                  <w:tcBorders>
                    <w:tl2br w:val="nil"/>
                    <w:tr2bl w:val="nil"/>
                  </w:tcBorders>
                  <w:noWrap w:val="0"/>
                  <w:vAlign w:val="center"/>
                </w:tcPr>
                <w:p w14:paraId="35179F23">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70</w:t>
                  </w:r>
                </w:p>
              </w:tc>
              <w:tc>
                <w:tcPr>
                  <w:tcW w:w="604" w:type="pct"/>
                  <w:tcBorders>
                    <w:tl2br w:val="nil"/>
                    <w:tr2bl w:val="nil"/>
                  </w:tcBorders>
                  <w:noWrap w:val="0"/>
                  <w:vAlign w:val="center"/>
                </w:tcPr>
                <w:p w14:paraId="28836908">
                  <w:pPr>
                    <w:widowControl/>
                    <w:spacing w:line="240" w:lineRule="auto"/>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450DBDD0">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达标</w:t>
                  </w:r>
                </w:p>
              </w:tc>
            </w:tr>
            <w:tr w14:paraId="79583F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3DB13381">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p>
              </w:tc>
              <w:tc>
                <w:tcPr>
                  <w:tcW w:w="1317" w:type="pct"/>
                  <w:tcBorders>
                    <w:tl2br w:val="nil"/>
                    <w:tr2bl w:val="nil"/>
                  </w:tcBorders>
                  <w:noWrap w:val="0"/>
                  <w:vAlign w:val="center"/>
                </w:tcPr>
                <w:p w14:paraId="0AEC99FF">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日平均浓度</w:t>
                  </w:r>
                </w:p>
              </w:tc>
              <w:tc>
                <w:tcPr>
                  <w:tcW w:w="825" w:type="pct"/>
                  <w:tcBorders>
                    <w:tl2br w:val="nil"/>
                    <w:tr2bl w:val="nil"/>
                  </w:tcBorders>
                  <w:noWrap w:val="0"/>
                  <w:vAlign w:val="center"/>
                </w:tcPr>
                <w:p w14:paraId="43BC79C1">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12-188</w:t>
                  </w:r>
                </w:p>
              </w:tc>
              <w:tc>
                <w:tcPr>
                  <w:tcW w:w="983" w:type="pct"/>
                  <w:tcBorders>
                    <w:tl2br w:val="nil"/>
                    <w:tr2bl w:val="nil"/>
                  </w:tcBorders>
                  <w:noWrap w:val="0"/>
                  <w:vAlign w:val="center"/>
                </w:tcPr>
                <w:p w14:paraId="5AF10D0A">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150</w:t>
                  </w:r>
                </w:p>
              </w:tc>
              <w:tc>
                <w:tcPr>
                  <w:tcW w:w="604" w:type="pct"/>
                  <w:tcBorders>
                    <w:tl2br w:val="nil"/>
                    <w:tr2bl w:val="nil"/>
                  </w:tcBorders>
                  <w:noWrap w:val="0"/>
                  <w:vAlign w:val="center"/>
                </w:tcPr>
                <w:p w14:paraId="1D585CD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98.8</w:t>
                  </w:r>
                </w:p>
              </w:tc>
              <w:tc>
                <w:tcPr>
                  <w:tcW w:w="708" w:type="pct"/>
                  <w:vMerge w:val="continue"/>
                  <w:tcBorders>
                    <w:tl2br w:val="nil"/>
                    <w:tr2bl w:val="nil"/>
                  </w:tcBorders>
                  <w:noWrap w:val="0"/>
                  <w:vAlign w:val="center"/>
                </w:tcPr>
                <w:p w14:paraId="7576A1D6">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p>
              </w:tc>
            </w:tr>
            <w:tr w14:paraId="008B05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62604098">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SO</w:t>
                  </w:r>
                  <w:r>
                    <w:rPr>
                      <w:rFonts w:hint="default" w:ascii="Times New Roman" w:hAnsi="Times New Roman" w:eastAsia="仿宋" w:cs="Times New Roman"/>
                      <w:color w:val="auto"/>
                      <w:kern w:val="0"/>
                      <w:sz w:val="21"/>
                      <w:szCs w:val="21"/>
                      <w:highlight w:val="none"/>
                      <w:vertAlign w:val="subscript"/>
                    </w:rPr>
                    <w:t>2</w:t>
                  </w:r>
                </w:p>
              </w:tc>
              <w:tc>
                <w:tcPr>
                  <w:tcW w:w="1317" w:type="pct"/>
                  <w:tcBorders>
                    <w:tl2br w:val="nil"/>
                    <w:tr2bl w:val="nil"/>
                  </w:tcBorders>
                  <w:noWrap w:val="0"/>
                  <w:vAlign w:val="center"/>
                </w:tcPr>
                <w:p w14:paraId="4C6E5039">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年平均质量浓度</w:t>
                  </w:r>
                </w:p>
              </w:tc>
              <w:tc>
                <w:tcPr>
                  <w:tcW w:w="825" w:type="pct"/>
                  <w:tcBorders>
                    <w:tl2br w:val="nil"/>
                    <w:tr2bl w:val="nil"/>
                  </w:tcBorders>
                  <w:noWrap w:val="0"/>
                  <w:vAlign w:val="center"/>
                </w:tcPr>
                <w:p w14:paraId="4B9C4C6C">
                  <w:pPr>
                    <w:adjustRightInd w:val="0"/>
                    <w:snapToGrid w:val="0"/>
                    <w:spacing w:line="240" w:lineRule="auto"/>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rPr>
                    <w:t>8</w:t>
                  </w:r>
                </w:p>
              </w:tc>
              <w:tc>
                <w:tcPr>
                  <w:tcW w:w="983" w:type="pct"/>
                  <w:tcBorders>
                    <w:tl2br w:val="nil"/>
                    <w:tr2bl w:val="nil"/>
                  </w:tcBorders>
                  <w:noWrap w:val="0"/>
                  <w:vAlign w:val="center"/>
                </w:tcPr>
                <w:p w14:paraId="27DBEE2D">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60</w:t>
                  </w:r>
                </w:p>
              </w:tc>
              <w:tc>
                <w:tcPr>
                  <w:tcW w:w="604" w:type="pct"/>
                  <w:tcBorders>
                    <w:tl2br w:val="nil"/>
                    <w:tr2bl w:val="nil"/>
                  </w:tcBorders>
                  <w:noWrap w:val="0"/>
                  <w:vAlign w:val="center"/>
                </w:tcPr>
                <w:p w14:paraId="61985534">
                  <w:pPr>
                    <w:widowControl/>
                    <w:spacing w:line="240" w:lineRule="auto"/>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46CB35BF">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达标</w:t>
                  </w:r>
                </w:p>
              </w:tc>
            </w:tr>
            <w:tr w14:paraId="373D00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2B3EEE4E">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p>
              </w:tc>
              <w:tc>
                <w:tcPr>
                  <w:tcW w:w="1317" w:type="pct"/>
                  <w:tcBorders>
                    <w:tl2br w:val="nil"/>
                    <w:tr2bl w:val="nil"/>
                  </w:tcBorders>
                  <w:noWrap w:val="0"/>
                  <w:vAlign w:val="center"/>
                </w:tcPr>
                <w:p w14:paraId="6CEE4BE6">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日平均浓度</w:t>
                  </w:r>
                </w:p>
              </w:tc>
              <w:tc>
                <w:tcPr>
                  <w:tcW w:w="825" w:type="pct"/>
                  <w:tcBorders>
                    <w:tl2br w:val="nil"/>
                    <w:tr2bl w:val="nil"/>
                  </w:tcBorders>
                  <w:noWrap w:val="0"/>
                  <w:vAlign w:val="center"/>
                </w:tcPr>
                <w:p w14:paraId="7C32013A">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4-17</w:t>
                  </w:r>
                </w:p>
              </w:tc>
              <w:tc>
                <w:tcPr>
                  <w:tcW w:w="983" w:type="pct"/>
                  <w:tcBorders>
                    <w:tl2br w:val="nil"/>
                    <w:tr2bl w:val="nil"/>
                  </w:tcBorders>
                  <w:noWrap w:val="0"/>
                  <w:vAlign w:val="center"/>
                </w:tcPr>
                <w:p w14:paraId="19A4BD11">
                  <w:pPr>
                    <w:keepNext w:val="0"/>
                    <w:keepLines w:val="0"/>
                    <w:suppressLineNumbers w:val="0"/>
                    <w:snapToGrid w:val="0"/>
                    <w:spacing w:before="0" w:beforeAutospacing="0" w:after="0" w:afterAutospacing="0" w:line="240" w:lineRule="auto"/>
                    <w:ind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150</w:t>
                  </w:r>
                </w:p>
              </w:tc>
              <w:tc>
                <w:tcPr>
                  <w:tcW w:w="604" w:type="pct"/>
                  <w:tcBorders>
                    <w:tl2br w:val="nil"/>
                    <w:tr2bl w:val="nil"/>
                  </w:tcBorders>
                  <w:noWrap w:val="0"/>
                  <w:vAlign w:val="center"/>
                </w:tcPr>
                <w:p w14:paraId="649754F8">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100</w:t>
                  </w:r>
                </w:p>
              </w:tc>
              <w:tc>
                <w:tcPr>
                  <w:tcW w:w="708" w:type="pct"/>
                  <w:vMerge w:val="continue"/>
                  <w:tcBorders>
                    <w:tl2br w:val="nil"/>
                    <w:tr2bl w:val="nil"/>
                  </w:tcBorders>
                  <w:noWrap w:val="0"/>
                  <w:vAlign w:val="center"/>
                </w:tcPr>
                <w:p w14:paraId="544D510D">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p>
              </w:tc>
            </w:tr>
            <w:tr w14:paraId="5F80A6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68452B39">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NO</w:t>
                  </w:r>
                  <w:r>
                    <w:rPr>
                      <w:rFonts w:hint="default" w:ascii="Times New Roman" w:hAnsi="Times New Roman" w:eastAsia="仿宋" w:cs="Times New Roman"/>
                      <w:color w:val="auto"/>
                      <w:kern w:val="0"/>
                      <w:sz w:val="21"/>
                      <w:szCs w:val="21"/>
                      <w:highlight w:val="none"/>
                      <w:vertAlign w:val="subscript"/>
                    </w:rPr>
                    <w:t>2</w:t>
                  </w:r>
                </w:p>
              </w:tc>
              <w:tc>
                <w:tcPr>
                  <w:tcW w:w="1317" w:type="pct"/>
                  <w:tcBorders>
                    <w:tl2br w:val="nil"/>
                    <w:tr2bl w:val="nil"/>
                  </w:tcBorders>
                  <w:noWrap w:val="0"/>
                  <w:vAlign w:val="center"/>
                </w:tcPr>
                <w:p w14:paraId="084FA933">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年平均质量浓度</w:t>
                  </w:r>
                </w:p>
              </w:tc>
              <w:tc>
                <w:tcPr>
                  <w:tcW w:w="825" w:type="pct"/>
                  <w:tcBorders>
                    <w:tl2br w:val="nil"/>
                    <w:tr2bl w:val="nil"/>
                  </w:tcBorders>
                  <w:noWrap w:val="0"/>
                  <w:vAlign w:val="center"/>
                </w:tcPr>
                <w:p w14:paraId="220948C9">
                  <w:pPr>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30</w:t>
                  </w:r>
                </w:p>
              </w:tc>
              <w:tc>
                <w:tcPr>
                  <w:tcW w:w="983" w:type="pct"/>
                  <w:tcBorders>
                    <w:tl2br w:val="nil"/>
                    <w:tr2bl w:val="nil"/>
                  </w:tcBorders>
                  <w:noWrap w:val="0"/>
                  <w:vAlign w:val="center"/>
                </w:tcPr>
                <w:p w14:paraId="64DBA9CF">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40</w:t>
                  </w:r>
                </w:p>
              </w:tc>
              <w:tc>
                <w:tcPr>
                  <w:tcW w:w="604" w:type="pct"/>
                  <w:tcBorders>
                    <w:tl2br w:val="nil"/>
                    <w:tr2bl w:val="nil"/>
                  </w:tcBorders>
                  <w:noWrap w:val="0"/>
                  <w:vAlign w:val="center"/>
                </w:tcPr>
                <w:p w14:paraId="023DB8C8">
                  <w:pPr>
                    <w:widowControl/>
                    <w:spacing w:line="240" w:lineRule="auto"/>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0F38A277">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达标</w:t>
                  </w:r>
                </w:p>
              </w:tc>
            </w:tr>
            <w:tr w14:paraId="198370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1CCDE6CD">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p>
              </w:tc>
              <w:tc>
                <w:tcPr>
                  <w:tcW w:w="1317" w:type="pct"/>
                  <w:tcBorders>
                    <w:tl2br w:val="nil"/>
                    <w:tr2bl w:val="nil"/>
                  </w:tcBorders>
                  <w:noWrap w:val="0"/>
                  <w:vAlign w:val="center"/>
                </w:tcPr>
                <w:p w14:paraId="4823A018">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日平均浓度</w:t>
                  </w:r>
                </w:p>
              </w:tc>
              <w:tc>
                <w:tcPr>
                  <w:tcW w:w="825" w:type="pct"/>
                  <w:tcBorders>
                    <w:tl2br w:val="nil"/>
                    <w:tr2bl w:val="nil"/>
                  </w:tcBorders>
                  <w:noWrap w:val="0"/>
                  <w:vAlign w:val="center"/>
                </w:tcPr>
                <w:p w14:paraId="472E3AE6">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6-106</w:t>
                  </w:r>
                </w:p>
              </w:tc>
              <w:tc>
                <w:tcPr>
                  <w:tcW w:w="983" w:type="pct"/>
                  <w:tcBorders>
                    <w:tl2br w:val="nil"/>
                    <w:tr2bl w:val="nil"/>
                  </w:tcBorders>
                  <w:noWrap w:val="0"/>
                  <w:vAlign w:val="center"/>
                </w:tcPr>
                <w:p w14:paraId="1C5A63A7">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rPr>
                    <w:t>80</w:t>
                  </w:r>
                </w:p>
              </w:tc>
              <w:tc>
                <w:tcPr>
                  <w:tcW w:w="604" w:type="pct"/>
                  <w:tcBorders>
                    <w:tl2br w:val="nil"/>
                    <w:tr2bl w:val="nil"/>
                  </w:tcBorders>
                  <w:noWrap w:val="0"/>
                  <w:vAlign w:val="center"/>
                </w:tcPr>
                <w:p w14:paraId="4E409DEC">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98.1</w:t>
                  </w:r>
                </w:p>
              </w:tc>
              <w:tc>
                <w:tcPr>
                  <w:tcW w:w="708" w:type="pct"/>
                  <w:vMerge w:val="continue"/>
                  <w:tcBorders>
                    <w:tl2br w:val="nil"/>
                    <w:tr2bl w:val="nil"/>
                  </w:tcBorders>
                  <w:noWrap w:val="0"/>
                  <w:vAlign w:val="center"/>
                </w:tcPr>
                <w:p w14:paraId="00C4DD16">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p>
              </w:tc>
            </w:tr>
            <w:tr w14:paraId="14B778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48014C61">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CO</w:t>
                  </w:r>
                </w:p>
              </w:tc>
              <w:tc>
                <w:tcPr>
                  <w:tcW w:w="1317" w:type="pct"/>
                  <w:tcBorders>
                    <w:tl2br w:val="nil"/>
                    <w:tr2bl w:val="nil"/>
                  </w:tcBorders>
                  <w:noWrap w:val="0"/>
                  <w:vAlign w:val="center"/>
                </w:tcPr>
                <w:p w14:paraId="2DC6412F">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日均值的第95百分位数</w:t>
                  </w:r>
                </w:p>
              </w:tc>
              <w:tc>
                <w:tcPr>
                  <w:tcW w:w="825" w:type="pct"/>
                  <w:tcBorders>
                    <w:tl2br w:val="nil"/>
                    <w:tr2bl w:val="nil"/>
                  </w:tcBorders>
                  <w:noWrap w:val="0"/>
                  <w:vAlign w:val="center"/>
                </w:tcPr>
                <w:p w14:paraId="3DF72DAF">
                  <w:pPr>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1100</w:t>
                  </w:r>
                </w:p>
              </w:tc>
              <w:tc>
                <w:tcPr>
                  <w:tcW w:w="983" w:type="pct"/>
                  <w:tcBorders>
                    <w:tl2br w:val="nil"/>
                    <w:tr2bl w:val="nil"/>
                  </w:tcBorders>
                  <w:noWrap w:val="0"/>
                  <w:vAlign w:val="center"/>
                </w:tcPr>
                <w:p w14:paraId="6F2114A1">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4000</w:t>
                  </w:r>
                </w:p>
              </w:tc>
              <w:tc>
                <w:tcPr>
                  <w:tcW w:w="604" w:type="pct"/>
                  <w:tcBorders>
                    <w:tl2br w:val="nil"/>
                    <w:tr2bl w:val="nil"/>
                  </w:tcBorders>
                  <w:noWrap w:val="0"/>
                  <w:vAlign w:val="center"/>
                </w:tcPr>
                <w:p w14:paraId="1ED0644E">
                  <w:pPr>
                    <w:widowControl/>
                    <w:spacing w:line="240" w:lineRule="auto"/>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100</w:t>
                  </w:r>
                </w:p>
              </w:tc>
              <w:tc>
                <w:tcPr>
                  <w:tcW w:w="708" w:type="pct"/>
                  <w:tcBorders>
                    <w:tl2br w:val="nil"/>
                    <w:tr2bl w:val="nil"/>
                  </w:tcBorders>
                  <w:noWrap w:val="0"/>
                  <w:vAlign w:val="center"/>
                </w:tcPr>
                <w:p w14:paraId="573BB42D">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达标</w:t>
                  </w:r>
                </w:p>
              </w:tc>
            </w:tr>
            <w:tr w14:paraId="2EEB74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6AF31B68">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O</w:t>
                  </w:r>
                  <w:r>
                    <w:rPr>
                      <w:rFonts w:hint="default" w:ascii="Times New Roman" w:hAnsi="Times New Roman" w:eastAsia="仿宋" w:cs="Times New Roman"/>
                      <w:color w:val="auto"/>
                      <w:kern w:val="0"/>
                      <w:sz w:val="21"/>
                      <w:szCs w:val="21"/>
                      <w:highlight w:val="none"/>
                      <w:vertAlign w:val="subscript"/>
                    </w:rPr>
                    <w:t>3</w:t>
                  </w:r>
                </w:p>
              </w:tc>
              <w:tc>
                <w:tcPr>
                  <w:tcW w:w="1317" w:type="pct"/>
                  <w:tcBorders>
                    <w:tl2br w:val="nil"/>
                    <w:tr2bl w:val="nil"/>
                  </w:tcBorders>
                  <w:noWrap w:val="0"/>
                  <w:vAlign w:val="center"/>
                </w:tcPr>
                <w:p w14:paraId="0218B875">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日最大8小时滑动平均值的第90百分位数</w:t>
                  </w:r>
                </w:p>
              </w:tc>
              <w:tc>
                <w:tcPr>
                  <w:tcW w:w="825" w:type="pct"/>
                  <w:tcBorders>
                    <w:tl2br w:val="nil"/>
                    <w:tr2bl w:val="nil"/>
                  </w:tcBorders>
                  <w:noWrap w:val="0"/>
                  <w:vAlign w:val="center"/>
                </w:tcPr>
                <w:p w14:paraId="2EF30A9D">
                  <w:pPr>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174</w:t>
                  </w:r>
                </w:p>
              </w:tc>
              <w:tc>
                <w:tcPr>
                  <w:tcW w:w="983" w:type="pct"/>
                  <w:tcBorders>
                    <w:tl2br w:val="nil"/>
                    <w:tr2bl w:val="nil"/>
                  </w:tcBorders>
                  <w:noWrap w:val="0"/>
                  <w:vAlign w:val="center"/>
                </w:tcPr>
                <w:p w14:paraId="3FF7FC21">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160</w:t>
                  </w:r>
                </w:p>
              </w:tc>
              <w:tc>
                <w:tcPr>
                  <w:tcW w:w="604" w:type="pct"/>
                  <w:tcBorders>
                    <w:tl2br w:val="nil"/>
                    <w:tr2bl w:val="nil"/>
                  </w:tcBorders>
                  <w:noWrap w:val="0"/>
                  <w:vAlign w:val="center"/>
                </w:tcPr>
                <w:p w14:paraId="2CFDF3B9">
                  <w:pPr>
                    <w:widowControl/>
                    <w:spacing w:line="240" w:lineRule="auto"/>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85.5</w:t>
                  </w:r>
                </w:p>
              </w:tc>
              <w:tc>
                <w:tcPr>
                  <w:tcW w:w="708" w:type="pct"/>
                  <w:tcBorders>
                    <w:tl2br w:val="nil"/>
                    <w:tr2bl w:val="nil"/>
                  </w:tcBorders>
                  <w:noWrap w:val="0"/>
                  <w:vAlign w:val="center"/>
                </w:tcPr>
                <w:p w14:paraId="56B3FF0C">
                  <w:pPr>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不达标</w:t>
                  </w:r>
                </w:p>
              </w:tc>
            </w:tr>
          </w:tbl>
          <w:p w14:paraId="2F4147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4"/>
              </w:rPr>
            </w:pPr>
            <w:r>
              <w:rPr>
                <w:rFonts w:eastAsia="仿宋"/>
                <w:color w:val="auto"/>
                <w:sz w:val="24"/>
                <w:szCs w:val="24"/>
              </w:rPr>
              <w:t>依据《环境空气质量标准》（GB3095-2012）、《环境空气质量评价技术规范（试行）》（HJ663-2013），202</w:t>
            </w:r>
            <w:r>
              <w:rPr>
                <w:rFonts w:hint="eastAsia" w:eastAsia="仿宋"/>
                <w:color w:val="auto"/>
                <w:sz w:val="24"/>
                <w:szCs w:val="24"/>
                <w:lang w:val="en-US" w:eastAsia="zh-CN"/>
              </w:rPr>
              <w:t>3</w:t>
            </w:r>
            <w:r>
              <w:rPr>
                <w:rFonts w:eastAsia="仿宋"/>
                <w:color w:val="auto"/>
                <w:sz w:val="24"/>
                <w:szCs w:val="24"/>
              </w:rPr>
              <w:t>年常州市环境空气中SO</w:t>
            </w:r>
            <w:r>
              <w:rPr>
                <w:rFonts w:eastAsia="仿宋"/>
                <w:color w:val="auto"/>
                <w:sz w:val="24"/>
                <w:szCs w:val="24"/>
                <w:vertAlign w:val="subscript"/>
              </w:rPr>
              <w:t>2</w:t>
            </w:r>
            <w:r>
              <w:rPr>
                <w:rFonts w:eastAsia="仿宋"/>
                <w:color w:val="auto"/>
                <w:sz w:val="24"/>
                <w:szCs w:val="24"/>
              </w:rPr>
              <w:t>、NO</w:t>
            </w:r>
            <w:r>
              <w:rPr>
                <w:rFonts w:eastAsia="仿宋"/>
                <w:color w:val="auto"/>
                <w:sz w:val="24"/>
                <w:szCs w:val="24"/>
                <w:vertAlign w:val="subscript"/>
              </w:rPr>
              <w:t>2</w:t>
            </w:r>
            <w:r>
              <w:rPr>
                <w:rFonts w:eastAsia="仿宋"/>
                <w:color w:val="auto"/>
                <w:sz w:val="24"/>
                <w:szCs w:val="24"/>
              </w:rPr>
              <w:t>、CO、PM</w:t>
            </w:r>
            <w:r>
              <w:rPr>
                <w:rFonts w:eastAsia="仿宋"/>
                <w:color w:val="auto"/>
                <w:sz w:val="24"/>
                <w:szCs w:val="24"/>
                <w:vertAlign w:val="subscript"/>
              </w:rPr>
              <w:t>10</w:t>
            </w:r>
            <w:r>
              <w:rPr>
                <w:rFonts w:eastAsia="仿宋"/>
                <w:color w:val="auto"/>
                <w:sz w:val="24"/>
                <w:szCs w:val="24"/>
              </w:rPr>
              <w:t>达标，PM</w:t>
            </w:r>
            <w:r>
              <w:rPr>
                <w:rFonts w:eastAsia="仿宋"/>
                <w:color w:val="auto"/>
                <w:sz w:val="24"/>
                <w:szCs w:val="24"/>
                <w:vertAlign w:val="subscript"/>
              </w:rPr>
              <w:t>2.5</w:t>
            </w:r>
            <w:r>
              <w:rPr>
                <w:rFonts w:eastAsia="仿宋"/>
                <w:color w:val="auto"/>
                <w:sz w:val="24"/>
                <w:szCs w:val="24"/>
              </w:rPr>
              <w:t>、O</w:t>
            </w:r>
            <w:r>
              <w:rPr>
                <w:rFonts w:eastAsia="仿宋"/>
                <w:color w:val="auto"/>
                <w:sz w:val="24"/>
                <w:szCs w:val="24"/>
                <w:vertAlign w:val="subscript"/>
              </w:rPr>
              <w:t>3</w:t>
            </w:r>
            <w:r>
              <w:rPr>
                <w:rFonts w:eastAsia="仿宋"/>
                <w:color w:val="auto"/>
                <w:sz w:val="24"/>
                <w:szCs w:val="24"/>
              </w:rPr>
              <w:t>超标；根据《环境空气质量评价技术规范（试行）》（HJ663-2013），SO</w:t>
            </w:r>
            <w:r>
              <w:rPr>
                <w:rFonts w:eastAsia="仿宋"/>
                <w:color w:val="auto"/>
                <w:sz w:val="24"/>
                <w:szCs w:val="24"/>
                <w:vertAlign w:val="subscript"/>
              </w:rPr>
              <w:t>2</w:t>
            </w:r>
            <w:r>
              <w:rPr>
                <w:rFonts w:eastAsia="仿宋"/>
                <w:color w:val="auto"/>
                <w:sz w:val="24"/>
                <w:szCs w:val="24"/>
              </w:rPr>
              <w:t>、NO</w:t>
            </w:r>
            <w:r>
              <w:rPr>
                <w:rFonts w:eastAsia="仿宋"/>
                <w:color w:val="auto"/>
                <w:sz w:val="24"/>
                <w:szCs w:val="24"/>
                <w:vertAlign w:val="subscript"/>
              </w:rPr>
              <w:t>2</w:t>
            </w:r>
            <w:r>
              <w:rPr>
                <w:rFonts w:eastAsia="仿宋"/>
                <w:color w:val="auto"/>
                <w:sz w:val="24"/>
                <w:szCs w:val="24"/>
              </w:rPr>
              <w:t>、PM</w:t>
            </w:r>
            <w:r>
              <w:rPr>
                <w:rFonts w:eastAsia="仿宋"/>
                <w:color w:val="auto"/>
                <w:sz w:val="24"/>
                <w:szCs w:val="24"/>
                <w:vertAlign w:val="subscript"/>
              </w:rPr>
              <w:t>10</w:t>
            </w:r>
            <w:r>
              <w:rPr>
                <w:rFonts w:eastAsia="仿宋"/>
                <w:color w:val="auto"/>
                <w:sz w:val="24"/>
                <w:szCs w:val="24"/>
              </w:rPr>
              <w:t>、PM</w:t>
            </w:r>
            <w:r>
              <w:rPr>
                <w:rFonts w:eastAsia="仿宋"/>
                <w:color w:val="auto"/>
                <w:sz w:val="24"/>
                <w:szCs w:val="24"/>
                <w:vertAlign w:val="subscript"/>
              </w:rPr>
              <w:t>2.5</w:t>
            </w:r>
            <w:r>
              <w:rPr>
                <w:rFonts w:eastAsia="仿宋"/>
                <w:color w:val="auto"/>
                <w:sz w:val="24"/>
                <w:szCs w:val="24"/>
              </w:rPr>
              <w:t>、CO和O</w:t>
            </w:r>
            <w:r>
              <w:rPr>
                <w:rFonts w:eastAsia="仿宋"/>
                <w:color w:val="auto"/>
                <w:sz w:val="24"/>
                <w:szCs w:val="24"/>
                <w:vertAlign w:val="subscript"/>
              </w:rPr>
              <w:t>3</w:t>
            </w:r>
            <w:r>
              <w:rPr>
                <w:rFonts w:eastAsia="仿宋"/>
                <w:color w:val="auto"/>
                <w:sz w:val="24"/>
                <w:szCs w:val="24"/>
              </w:rPr>
              <w:t>，6项污染物全部达标即为城市环境空气质量达标，故常州市目前属于环境空气质量不达标区</w:t>
            </w:r>
            <w:r>
              <w:rPr>
                <w:rFonts w:hint="default" w:ascii="Times New Roman" w:hAnsi="Times New Roman" w:eastAsia="仿宋" w:cs="Times New Roman"/>
                <w:color w:val="auto"/>
                <w:sz w:val="24"/>
                <w:szCs w:val="24"/>
              </w:rPr>
              <w:t>。</w:t>
            </w:r>
          </w:p>
          <w:p w14:paraId="0A4A4D3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（2）大气环境质量改善方案</w:t>
            </w:r>
          </w:p>
          <w:p w14:paraId="364A531D">
            <w:pPr>
              <w:autoSpaceDE w:val="0"/>
              <w:autoSpaceDN w:val="0"/>
              <w:adjustRightIn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为加快改善环境空气质量，常州市人民政府发布了</w:t>
            </w:r>
            <w:r>
              <w:rPr>
                <w:rFonts w:hint="default" w:ascii="Times New Roman" w:hAnsi="Times New Roman" w:eastAsia="仿宋" w:cs="Times New Roman"/>
                <w:b w:val="0"/>
                <w:bCs w:val="0"/>
                <w:color w:val="auto"/>
                <w:kern w:val="44"/>
                <w:sz w:val="24"/>
                <w:szCs w:val="24"/>
                <w:lang w:val="en-US" w:eastAsia="zh-CN" w:bidi="ar-SA"/>
              </w:rPr>
              <w:t>《常州市空气质量持续改善行动计划实施方案》（常政发〔2024〕51号）</w:t>
            </w:r>
            <w:r>
              <w:rPr>
                <w:rFonts w:hint="default" w:ascii="Times New Roman" w:hAnsi="Times New Roman" w:eastAsia="仿宋" w:cs="Times New Roman"/>
                <w:color w:val="auto"/>
                <w:sz w:val="24"/>
                <w:szCs w:val="24"/>
              </w:rPr>
              <w:t>，进一步提出如下大气污染</w:t>
            </w:r>
            <w:r>
              <w:rPr>
                <w:rFonts w:hint="default" w:ascii="Times New Roman" w:hAnsi="Times New Roman" w:eastAsia="仿宋" w:cs="Times New Roman"/>
                <w:color w:val="auto"/>
                <w:sz w:val="24"/>
                <w:szCs w:val="24"/>
                <w:shd w:val="clear" w:fill="auto"/>
              </w:rPr>
              <w:t>防治</w:t>
            </w:r>
            <w:r>
              <w:rPr>
                <w:rFonts w:hint="default" w:ascii="Times New Roman" w:hAnsi="Times New Roman" w:eastAsia="仿宋" w:cs="Times New Roman"/>
                <w:color w:val="auto"/>
                <w:sz w:val="24"/>
                <w:szCs w:val="24"/>
              </w:rPr>
              <w:t>工作计划：</w:t>
            </w:r>
          </w:p>
          <w:p w14:paraId="5D1453C8">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主要目标是：到2025年，全市PM</w:t>
            </w:r>
            <w:r>
              <w:rPr>
                <w:rFonts w:hint="default" w:ascii="Times New Roman" w:hAnsi="Times New Roman" w:eastAsia="仿宋" w:cs="Times New Roman"/>
                <w:b w:val="0"/>
                <w:bCs w:val="0"/>
                <w:color w:val="auto"/>
                <w:kern w:val="44"/>
                <w:sz w:val="24"/>
                <w:szCs w:val="24"/>
                <w:vertAlign w:val="subscript"/>
                <w:lang w:val="en-US" w:eastAsia="zh-CN" w:bidi="ar-SA"/>
              </w:rPr>
              <w:t>2.5</w:t>
            </w:r>
            <w:r>
              <w:rPr>
                <w:rFonts w:hint="default" w:ascii="Times New Roman" w:hAnsi="Times New Roman" w:eastAsia="仿宋" w:cs="Times New Roman"/>
                <w:b w:val="0"/>
                <w:bCs w:val="0"/>
                <w:color w:val="auto"/>
                <w:kern w:val="44"/>
                <w:sz w:val="24"/>
                <w:szCs w:val="24"/>
                <w:lang w:val="en-US" w:eastAsia="zh-CN" w:bidi="ar-SA"/>
              </w:rPr>
              <w:t>浓度总体达标，PM</w:t>
            </w:r>
            <w:r>
              <w:rPr>
                <w:rFonts w:hint="default" w:ascii="Times New Roman" w:hAnsi="Times New Roman" w:eastAsia="仿宋" w:cs="Times New Roman"/>
                <w:b w:val="0"/>
                <w:bCs w:val="0"/>
                <w:color w:val="auto"/>
                <w:kern w:val="44"/>
                <w:sz w:val="24"/>
                <w:szCs w:val="24"/>
                <w:vertAlign w:val="subscript"/>
                <w:lang w:val="en-US" w:eastAsia="zh-CN" w:bidi="ar-SA"/>
              </w:rPr>
              <w:t>2.5</w:t>
            </w:r>
            <w:r>
              <w:rPr>
                <w:rFonts w:hint="default" w:ascii="Times New Roman" w:hAnsi="Times New Roman" w:eastAsia="仿宋" w:cs="Times New Roman"/>
                <w:b w:val="0"/>
                <w:bCs w:val="0"/>
                <w:color w:val="auto"/>
                <w:kern w:val="44"/>
                <w:sz w:val="24"/>
                <w:szCs w:val="24"/>
                <w:lang w:val="en-US" w:eastAsia="zh-CN" w:bidi="ar-SA"/>
              </w:rPr>
              <w:t>浓度比2020年下降10%，基本消除重度及以上污染天气，空气质量持续改善；氮氧化物和VOCs排放总量比2020年分别下降10%以上，完成省下达的减排目标。</w:t>
            </w:r>
          </w:p>
          <w:p w14:paraId="75BE3A2F">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重点任务：</w:t>
            </w:r>
          </w:p>
          <w:p w14:paraId="2C3C093B">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3CFBA89F">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（二）加快退出重点行业落后产能。落实《产业结构调整指导目录》，依法依规逐步退出限制类涉气行业工艺和装备、逐步淘汰步进式烧结机和球团竖炉以及半封闭式硅锰合金、镍铁、高碳铬铁、高碳锰铁电炉。</w:t>
            </w:r>
          </w:p>
          <w:p w14:paraId="6FEA8AD4">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3155E447">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p w14:paraId="6B5EE2DF">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3F07865C">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758DC2D8">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七）推进燃煤锅炉关停整合和工业炉窑清洁能源替代。充分发挥30万千瓦及以上热电联产电厂的供热能力，对其供热半径30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44A9E654">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八）推进近零碳园区和近零碳工厂试点建设。重点选择绿色产业园区、外贸出口相对集中的园区、“危污乱散低”综合治理“绿岛”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消纳示范区，推广综合能源服务，推进能源梯级利用、余热余压回收、绿色供冷供热，推动园区内源网荷储深度融合。</w:t>
            </w:r>
          </w:p>
          <w:p w14:paraId="6A104F14">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（九）持续优化货物运输结构。到2025年，水路、铁路货运量比2020年分别增长12%和10%左右，铁路集装箱多式联运量年均增长10%以上。全市采取公铁联运等“外集内配”物流方式。</w:t>
            </w:r>
          </w:p>
          <w:p w14:paraId="216E2E30">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十）实施绿色车轮计划。公共领域新增或更新公交、出租、城市物流配送、轻型环卫等车辆中，新能源汽车或者清洁能源汽车比例不低于80%。加快提升新能源汽车配套基础设施服务保障能力，新建住宅小区停车位立足新能源汽车安全特性100%预留充换电设施接入条件，老旧小区改造应因地制宜同步进行充换电设施改造，积极探索私桩共享模式。制定新能源汽车停车收费优惠政策，落实住宅小区新能源汽车充电电价优惠政策，对新能源汽车实行停车、充电收费优惠。力争提前一年在2024年底前基本淘汰国三及以下排放标准柴油货车。</w:t>
            </w:r>
          </w:p>
          <w:p w14:paraId="3ADDF2C3">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十一）强化非道路移动源综合治理。到2025年，基本淘汰第一阶段及以下排放标准的非道路移动机械，鼓励新增或更新的3吨以下叉车基本实现新能源化；民航机场桥电使用率达95%以上。大力提高岸电使用率，到2025年，主要港口和排放控制区内靠港船舶的岸电使用电量较2020年翻一番。</w:t>
            </w:r>
          </w:p>
          <w:p w14:paraId="17FC9E02">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十二）实施扬尘精细化治理。积极实施“清洁城市行动”。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机械保面、人工保点”。推进5000平方米及以上建筑工地安装视频监控并接入监管平台。鼓励推广使用新能源渣土运输车辆。推广装配式施工，推进“全电工地”试点。</w:t>
            </w:r>
          </w:p>
          <w:p w14:paraId="70221530">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（十三）推进矿山生态环境综合整治。新建矿山原则上要同步建设专用廊道或采用其他清洁运输方式。对限期整改仍不达标的矿山，根据安全生产、水土保持、生态环境等要求依法关闭或停止生产。</w:t>
            </w:r>
          </w:p>
          <w:p w14:paraId="24D72751">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（十四）加强秸秆禁烧和综合利用。到2025年，全市农作物秸秆综合利用率稳定达95%以上。禁止露天焚烧秸秆。综合运用卫星遥感、高清视频监控、无人机等手段，提高秸秆焚烧火点监测及巡查精准度。</w:t>
            </w:r>
          </w:p>
          <w:p w14:paraId="2D77BFCF">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p w14:paraId="246B76BC">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6EF3CAEE">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十七）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44475728">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十八）推动大气氨污染防控。推广氮肥机械深施和低蛋白日粮技术。到2025年，全市主要农作物化肥施用量较2020年削减3%，畜禽粪污综合利用率稳定在95%左右。加强氮肥、纯碱等行业大气氨排放治理。强化工业源烟气脱硫脱硝氨逃逸防控。</w:t>
            </w:r>
          </w:p>
          <w:p w14:paraId="56639C3D">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（十九）开展区域联防联控和城市空气质量达标管理。积极推进大气污染联防联控机制建设。空气质量未达标的地区编制实施大气环境质量限期达标规划，明确达标路线图及重点任务，并向社会公开。</w:t>
            </w:r>
          </w:p>
          <w:p w14:paraId="799293AC">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二十）提升重污染天气应对能力。建立健全市、县两级重污染天气应急预案体系，进一步明确各级政府部门责任分工。结合排污许可制度，确保应急减排清单覆盖所有涉气企业。按照区域预警提示信息，依法依规与同一区域内的城市同步采取应急响应措施。</w:t>
            </w:r>
          </w:p>
          <w:p w14:paraId="799EF9DB">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二十一）强化大气监测和执法监管。加强机场、港口、铁路货场、物流园区、工业园区、产业集群、公路等大气环境监测。依法拓展非现场监管手段应用，探索超标识别、取证和执法的数字化监管模式，强化执法效能评估。</w:t>
            </w:r>
          </w:p>
          <w:p w14:paraId="19C55FEB">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（二十二）加强决策科技支撑。持续开展PM2.5和臭氧协同控制科技攻关。推进致臭物质识别、恶臭污染评估和溯源技术方法研究。到2025年，完成排放清单编制并实现逐年更新。推进“一地一策”驻点跟踪研究。</w:t>
            </w:r>
          </w:p>
          <w:p w14:paraId="4818B406">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二十三）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p w14:paraId="44F599A3">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二十四）完善生态环境资金投入机制。综合运用经济、技术等手段推动老旧车辆退出。按照市场化方式加大传统产业及集群升级、工业污染治理、铁路专用线建设、新能源铁路装备推广等领域信贷融资支持力度。</w:t>
            </w:r>
          </w:p>
          <w:p w14:paraId="291452CC">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二十五）加强组织领导。坚持和加强党对大气污染防治工作的全面领导。各级政府对本行政区域内空气质量负总责，组织制定本地实施方案。市各有关部门要协同配合落实任务分工，出台政策时统筹考虑空气质量持续改善需求。</w:t>
            </w:r>
          </w:p>
          <w:p w14:paraId="70159EAB">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二十六）严格监督考核。将空气质量改善目标完成情况作为深入打好污染防治攻坚战成效考核的重要内容。对超额完成目标的地区给予激励；对未完成目标的地区，从资金分配、项目审批、荣誉表彰、责任追究等方面实施惩戒；对问题突出的地区，视情组织开展约谈督查。</w:t>
            </w:r>
          </w:p>
          <w:p w14:paraId="05E1A857">
            <w:pPr>
              <w:autoSpaceDE w:val="0"/>
              <w:autoSpaceDN w:val="0"/>
              <w:adjustRightInd w:val="0"/>
              <w:spacing w:line="360" w:lineRule="auto"/>
              <w:ind w:firstLine="480" w:firstLineChars="200"/>
              <w:rPr>
                <w:rFonts w:hint="default" w:ascii="Times New Roman" w:hAnsi="Times New Roman" w:eastAsia="仿宋" w:cs="Times New Roman"/>
                <w:b w:val="0"/>
                <w:bCs w:val="0"/>
                <w:color w:val="auto"/>
                <w:kern w:val="44"/>
                <w:sz w:val="24"/>
                <w:szCs w:val="24"/>
                <w:lang w:val="en-US" w:eastAsia="zh-CN" w:bidi="ar-SA"/>
              </w:rPr>
            </w:pPr>
            <w:r>
              <w:rPr>
                <w:rFonts w:hint="default" w:ascii="Times New Roman" w:hAnsi="Times New Roman" w:eastAsia="仿宋" w:cs="Times New Roman"/>
                <w:b w:val="0"/>
                <w:bCs w:val="0"/>
                <w:color w:val="auto"/>
                <w:kern w:val="44"/>
                <w:sz w:val="24"/>
                <w:szCs w:val="24"/>
                <w:lang w:val="en-US" w:eastAsia="zh-CN" w:bidi="ar-SA"/>
              </w:rPr>
              <w:t>（二十七）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112231E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通过上述工作的不断推进实施，本项目所在</w:t>
            </w:r>
            <w:r>
              <w:rPr>
                <w:rFonts w:hint="default" w:ascii="Times New Roman" w:hAnsi="Times New Roman" w:eastAsia="仿宋" w:cs="Times New Roman"/>
                <w:color w:val="auto"/>
                <w:sz w:val="24"/>
                <w:szCs w:val="24"/>
                <w:lang w:val="en-US" w:eastAsia="zh-CN"/>
              </w:rPr>
              <w:t>区域</w:t>
            </w:r>
            <w:r>
              <w:rPr>
                <w:rFonts w:hint="default" w:ascii="Times New Roman" w:hAnsi="Times New Roman" w:eastAsia="仿宋" w:cs="Times New Roman"/>
                <w:color w:val="auto"/>
                <w:sz w:val="24"/>
                <w:szCs w:val="24"/>
              </w:rPr>
              <w:t>空气环境质量将得到持续改善。</w:t>
            </w:r>
          </w:p>
          <w:p w14:paraId="4F77984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（3）其他污染物环境质量现状评价</w:t>
            </w:r>
          </w:p>
          <w:p w14:paraId="54D83A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2"/>
                <w:highlight w:val="none"/>
              </w:rPr>
            </w:pPr>
            <w:r>
              <w:rPr>
                <w:rFonts w:hint="default" w:ascii="Times New Roman" w:hAnsi="Times New Roman" w:eastAsia="仿宋" w:cs="Times New Roman"/>
                <w:color w:val="auto"/>
                <w:kern w:val="2"/>
                <w:sz w:val="24"/>
                <w:szCs w:val="24"/>
                <w:highlight w:val="none"/>
                <w:lang w:val="en-US" w:eastAsia="zh-CN" w:bidi="ar-SA"/>
              </w:rPr>
              <w:t>非甲烷总烃现状监测</w:t>
            </w:r>
            <w:r>
              <w:rPr>
                <w:rFonts w:hint="default" w:ascii="Times New Roman" w:hAnsi="Times New Roman" w:eastAsia="仿宋" w:cs="Times New Roman"/>
                <w:bCs/>
                <w:color w:val="auto"/>
                <w:sz w:val="24"/>
                <w:highlight w:val="none"/>
              </w:rPr>
              <w:t>引用</w:t>
            </w:r>
            <w:r>
              <w:rPr>
                <w:rFonts w:hint="default" w:ascii="Times New Roman" w:hAnsi="Times New Roman" w:eastAsia="仿宋" w:cs="Times New Roman"/>
                <w:bCs/>
                <w:color w:val="auto"/>
                <w:sz w:val="24"/>
                <w:highlight w:val="none"/>
                <w:lang w:eastAsia="zh-CN"/>
              </w:rPr>
              <w:t>江苏久诚检验检测有限</w:t>
            </w:r>
            <w:r>
              <w:rPr>
                <w:rFonts w:hint="default" w:ascii="Times New Roman" w:hAnsi="Times New Roman" w:eastAsia="仿宋" w:cs="Times New Roman"/>
                <w:bCs/>
                <w:color w:val="auto"/>
                <w:sz w:val="24"/>
                <w:szCs w:val="24"/>
                <w:highlight w:val="none"/>
                <w:lang w:eastAsia="zh-CN"/>
              </w:rPr>
              <w:t>公</w:t>
            </w:r>
            <w:r>
              <w:rPr>
                <w:rFonts w:hint="default" w:ascii="Times New Roman" w:hAnsi="Times New Roman" w:eastAsia="仿宋" w:cs="Times New Roman"/>
                <w:bCs/>
                <w:color w:val="auto"/>
                <w:sz w:val="24"/>
                <w:szCs w:val="24"/>
                <w:highlight w:val="none"/>
                <w:lang w:val="en-US" w:eastAsia="zh-CN"/>
              </w:rPr>
              <w:t>司</w:t>
            </w:r>
            <w:r>
              <w:rPr>
                <w:rFonts w:hint="default" w:ascii="Times New Roman" w:hAnsi="Times New Roman" w:eastAsia="仿宋" w:cs="Times New Roman"/>
                <w:color w:val="auto"/>
                <w:kern w:val="2"/>
                <w:sz w:val="24"/>
                <w:szCs w:val="24"/>
                <w:highlight w:val="none"/>
                <w:lang w:val="en-US" w:eastAsia="zh-CN" w:bidi="ar-SA"/>
              </w:rPr>
              <w:t>在“</w:t>
            </w:r>
            <w:r>
              <w:rPr>
                <w:rFonts w:hint="default" w:ascii="Times New Roman" w:hAnsi="Times New Roman" w:eastAsia="仿宋" w:cs="Times New Roman"/>
                <w:color w:val="auto"/>
                <w:sz w:val="24"/>
                <w:szCs w:val="24"/>
                <w:highlight w:val="none"/>
                <w:lang w:val="en-US" w:eastAsia="zh-CN"/>
              </w:rPr>
              <w:t>江苏鑫正汇新材料科技有限公司所在地</w:t>
            </w:r>
            <w:r>
              <w:rPr>
                <w:rFonts w:hint="default" w:ascii="Times New Roman" w:hAnsi="Times New Roman" w:eastAsia="仿宋" w:cs="Times New Roman"/>
                <w:color w:val="auto"/>
                <w:kern w:val="2"/>
                <w:sz w:val="24"/>
                <w:szCs w:val="24"/>
                <w:highlight w:val="none"/>
                <w:lang w:val="en-US" w:eastAsia="zh-CN" w:bidi="ar-SA"/>
              </w:rPr>
              <w:t>”的历史监测数据</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bCs/>
                <w:color w:val="auto"/>
                <w:sz w:val="24"/>
                <w:szCs w:val="24"/>
                <w:highlight w:val="none"/>
              </w:rPr>
              <w:t>报告编号</w:t>
            </w:r>
            <w:r>
              <w:rPr>
                <w:rFonts w:hint="default" w:ascii="Times New Roman" w:hAnsi="Times New Roman" w:eastAsia="仿宋" w:cs="Times New Roman"/>
                <w:bCs/>
                <w:color w:val="auto"/>
                <w:sz w:val="24"/>
                <w:szCs w:val="24"/>
                <w:lang w:val="en-US" w:eastAsia="zh-CN"/>
              </w:rPr>
              <w:t>JCH20230059</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bCs/>
                <w:color w:val="auto"/>
                <w:sz w:val="24"/>
                <w:highlight w:val="none"/>
                <w:lang w:eastAsia="zh-CN"/>
              </w:rPr>
              <w:t>。</w:t>
            </w:r>
          </w:p>
          <w:p w14:paraId="1EE1518F">
            <w:pPr>
              <w:keepNext w:val="0"/>
              <w:keepLines w:val="0"/>
              <w:pageBreakBefore w:val="0"/>
              <w:widowControl w:val="0"/>
              <w:kinsoku/>
              <w:wordWrap/>
              <w:overflowPunct/>
              <w:topLinePunct w:val="0"/>
              <w:autoSpaceDE w:val="0"/>
              <w:autoSpaceDN w:val="0"/>
              <w:bidi w:val="0"/>
              <w:adjustRightInd/>
              <w:snapToGrid w:val="0"/>
              <w:spacing w:before="95" w:beforeLines="30"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lang w:val="en-US" w:eastAsia="zh-CN"/>
              </w:rPr>
              <w:t>表3-2</w:t>
            </w:r>
            <w:r>
              <w:rPr>
                <w:rFonts w:hint="default" w:ascii="Times New Roman" w:hAnsi="Times New Roman" w:eastAsia="仿宋" w:cs="Times New Roman"/>
                <w:b/>
                <w:color w:val="auto"/>
                <w:szCs w:val="24"/>
                <w:highlight w:val="none"/>
              </w:rPr>
              <w:t>其他污染物环境质量现状监测结</w:t>
            </w:r>
            <w:r>
              <w:rPr>
                <w:rFonts w:hint="default" w:ascii="Times New Roman" w:hAnsi="Times New Roman" w:eastAsia="仿宋" w:cs="Times New Roman"/>
                <w:b/>
                <w:color w:val="auto"/>
                <w:sz w:val="21"/>
                <w:szCs w:val="21"/>
                <w:highlight w:val="none"/>
              </w:rPr>
              <w:t>果单位</w:t>
            </w:r>
            <w:r>
              <w:rPr>
                <w:rFonts w:hint="default" w:ascii="Times New Roman" w:hAnsi="Times New Roman" w:eastAsia="仿宋" w:cs="Times New Roman"/>
                <w:b/>
                <w:bCs/>
                <w:color w:val="auto"/>
                <w:sz w:val="21"/>
                <w:szCs w:val="21"/>
                <w:highlight w:val="none"/>
              </w:rPr>
              <w:t>：mg/m</w:t>
            </w:r>
            <w:r>
              <w:rPr>
                <w:rFonts w:hint="default" w:ascii="Times New Roman" w:hAnsi="Times New Roman" w:eastAsia="仿宋" w:cs="Times New Roman"/>
                <w:b/>
                <w:bCs/>
                <w:color w:val="auto"/>
                <w:sz w:val="21"/>
                <w:szCs w:val="21"/>
                <w:highlight w:val="none"/>
                <w:vertAlign w:val="superscript"/>
              </w:rPr>
              <w:t>3</w:t>
            </w:r>
          </w:p>
          <w:tbl>
            <w:tblPr>
              <w:tblStyle w:val="27"/>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673"/>
              <w:gridCol w:w="1275"/>
              <w:gridCol w:w="660"/>
              <w:gridCol w:w="731"/>
              <w:gridCol w:w="836"/>
              <w:gridCol w:w="892"/>
              <w:gridCol w:w="1206"/>
              <w:gridCol w:w="880"/>
              <w:gridCol w:w="853"/>
            </w:tblGrid>
            <w:tr w14:paraId="5B0DA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0" w:type="pct"/>
                  <w:vMerge w:val="restart"/>
                  <w:noWrap w:val="0"/>
                  <w:vAlign w:val="center"/>
                </w:tcPr>
                <w:p w14:paraId="643F0635">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点位编号</w:t>
                  </w:r>
                </w:p>
              </w:tc>
              <w:tc>
                <w:tcPr>
                  <w:tcW w:w="796" w:type="pct"/>
                  <w:vMerge w:val="restart"/>
                  <w:noWrap w:val="0"/>
                  <w:vAlign w:val="center"/>
                </w:tcPr>
                <w:p w14:paraId="17972FE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点位名称</w:t>
                  </w:r>
                </w:p>
              </w:tc>
              <w:tc>
                <w:tcPr>
                  <w:tcW w:w="412" w:type="pct"/>
                  <w:vMerge w:val="restart"/>
                  <w:noWrap w:val="0"/>
                  <w:vAlign w:val="center"/>
                </w:tcPr>
                <w:p w14:paraId="04B2679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相对</w:t>
                  </w:r>
                </w:p>
                <w:p w14:paraId="40D31E18">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方位</w:t>
                  </w:r>
                </w:p>
              </w:tc>
              <w:tc>
                <w:tcPr>
                  <w:tcW w:w="456" w:type="pct"/>
                  <w:vMerge w:val="restart"/>
                  <w:noWrap w:val="0"/>
                  <w:vAlign w:val="center"/>
                </w:tcPr>
                <w:p w14:paraId="347407DC">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直线</w:t>
                  </w:r>
                </w:p>
                <w:p w14:paraId="4348B656">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距离</w:t>
                  </w:r>
                </w:p>
              </w:tc>
              <w:tc>
                <w:tcPr>
                  <w:tcW w:w="522" w:type="pct"/>
                  <w:vMerge w:val="restart"/>
                  <w:noWrap w:val="0"/>
                  <w:vAlign w:val="center"/>
                </w:tcPr>
                <w:p w14:paraId="569AF20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污染物</w:t>
                  </w:r>
                </w:p>
                <w:p w14:paraId="5B995642">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名称</w:t>
                  </w:r>
                </w:p>
              </w:tc>
              <w:tc>
                <w:tcPr>
                  <w:tcW w:w="557" w:type="pct"/>
                  <w:vMerge w:val="restart"/>
                  <w:noWrap w:val="0"/>
                  <w:vAlign w:val="center"/>
                </w:tcPr>
                <w:p w14:paraId="0ACFFEDC">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评价</w:t>
                  </w:r>
                </w:p>
                <w:p w14:paraId="5E27F4F3">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标准</w:t>
                  </w:r>
                </w:p>
              </w:tc>
              <w:tc>
                <w:tcPr>
                  <w:tcW w:w="1302" w:type="pct"/>
                  <w:gridSpan w:val="2"/>
                  <w:noWrap w:val="0"/>
                  <w:vAlign w:val="center"/>
                </w:tcPr>
                <w:p w14:paraId="3D448424">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小时浓度</w:t>
                  </w:r>
                </w:p>
              </w:tc>
              <w:tc>
                <w:tcPr>
                  <w:tcW w:w="532" w:type="pct"/>
                  <w:vMerge w:val="restart"/>
                  <w:noWrap w:val="0"/>
                  <w:vAlign w:val="center"/>
                </w:tcPr>
                <w:p w14:paraId="4EFA422E">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达标情况</w:t>
                  </w:r>
                </w:p>
              </w:tc>
            </w:tr>
            <w:tr w14:paraId="2A5354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0" w:type="pct"/>
                  <w:vMerge w:val="continue"/>
                  <w:noWrap w:val="0"/>
                  <w:vAlign w:val="center"/>
                </w:tcPr>
                <w:p w14:paraId="6E68A310">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p>
              </w:tc>
              <w:tc>
                <w:tcPr>
                  <w:tcW w:w="796" w:type="pct"/>
                  <w:vMerge w:val="continue"/>
                  <w:noWrap w:val="0"/>
                  <w:vAlign w:val="center"/>
                </w:tcPr>
                <w:p w14:paraId="267F2DF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p>
              </w:tc>
              <w:tc>
                <w:tcPr>
                  <w:tcW w:w="412" w:type="pct"/>
                  <w:vMerge w:val="continue"/>
                  <w:noWrap w:val="0"/>
                  <w:vAlign w:val="center"/>
                </w:tcPr>
                <w:p w14:paraId="6DD733C3">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p>
              </w:tc>
              <w:tc>
                <w:tcPr>
                  <w:tcW w:w="456" w:type="pct"/>
                  <w:vMerge w:val="continue"/>
                  <w:noWrap w:val="0"/>
                  <w:vAlign w:val="center"/>
                </w:tcPr>
                <w:p w14:paraId="71546754">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p>
              </w:tc>
              <w:tc>
                <w:tcPr>
                  <w:tcW w:w="522" w:type="pct"/>
                  <w:vMerge w:val="continue"/>
                  <w:noWrap w:val="0"/>
                  <w:vAlign w:val="center"/>
                </w:tcPr>
                <w:p w14:paraId="48ECE21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p>
              </w:tc>
              <w:tc>
                <w:tcPr>
                  <w:tcW w:w="557" w:type="pct"/>
                  <w:vMerge w:val="continue"/>
                  <w:noWrap w:val="0"/>
                  <w:vAlign w:val="center"/>
                </w:tcPr>
                <w:p w14:paraId="264F711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p>
              </w:tc>
              <w:tc>
                <w:tcPr>
                  <w:tcW w:w="753" w:type="pct"/>
                  <w:noWrap w:val="0"/>
                  <w:vAlign w:val="center"/>
                </w:tcPr>
                <w:p w14:paraId="157C6B16">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小时浓度</w:t>
                  </w:r>
                </w:p>
              </w:tc>
              <w:tc>
                <w:tcPr>
                  <w:tcW w:w="549" w:type="pct"/>
                  <w:noWrap w:val="0"/>
                  <w:vAlign w:val="center"/>
                </w:tcPr>
                <w:p w14:paraId="4DF720BC">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超标率%</w:t>
                  </w:r>
                </w:p>
              </w:tc>
              <w:tc>
                <w:tcPr>
                  <w:tcW w:w="532" w:type="pct"/>
                  <w:vMerge w:val="continue"/>
                  <w:noWrap w:val="0"/>
                  <w:vAlign w:val="center"/>
                </w:tcPr>
                <w:p w14:paraId="6FF1D1B4">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p>
              </w:tc>
            </w:tr>
            <w:tr w14:paraId="7618B7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0" w:type="pct"/>
                  <w:noWrap w:val="0"/>
                  <w:vAlign w:val="center"/>
                </w:tcPr>
                <w:p w14:paraId="4CFCC127">
                  <w:pPr>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G1</w:t>
                  </w:r>
                </w:p>
              </w:tc>
              <w:tc>
                <w:tcPr>
                  <w:tcW w:w="796" w:type="pct"/>
                  <w:noWrap w:val="0"/>
                  <w:vAlign w:val="center"/>
                </w:tcPr>
                <w:p w14:paraId="6E678CEB">
                  <w:pPr>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江苏鑫正汇新材料科技有限公司</w:t>
                  </w:r>
                </w:p>
              </w:tc>
              <w:tc>
                <w:tcPr>
                  <w:tcW w:w="715" w:type="dxa"/>
                  <w:noWrap w:val="0"/>
                  <w:vAlign w:val="center"/>
                </w:tcPr>
                <w:p w14:paraId="4F04BCAA">
                  <w:pPr>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NE</w:t>
                  </w:r>
                </w:p>
              </w:tc>
              <w:tc>
                <w:tcPr>
                  <w:tcW w:w="792" w:type="dxa"/>
                  <w:noWrap w:val="0"/>
                  <w:vAlign w:val="center"/>
                </w:tcPr>
                <w:p w14:paraId="7AD5D505">
                  <w:pPr>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190m</w:t>
                  </w:r>
                </w:p>
              </w:tc>
              <w:tc>
                <w:tcPr>
                  <w:tcW w:w="522" w:type="pct"/>
                  <w:noWrap w:val="0"/>
                  <w:vAlign w:val="center"/>
                </w:tcPr>
                <w:p w14:paraId="01B0BBD3">
                  <w:pPr>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非甲烷</w:t>
                  </w:r>
                </w:p>
                <w:p w14:paraId="37D11EA8">
                  <w:pPr>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总烃</w:t>
                  </w:r>
                </w:p>
              </w:tc>
              <w:tc>
                <w:tcPr>
                  <w:tcW w:w="557" w:type="pct"/>
                  <w:noWrap w:val="0"/>
                  <w:vAlign w:val="center"/>
                </w:tcPr>
                <w:p w14:paraId="0FFC7E4B">
                  <w:pPr>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753" w:type="pct"/>
                  <w:noWrap w:val="0"/>
                  <w:vAlign w:val="center"/>
                </w:tcPr>
                <w:p w14:paraId="32DE1C90">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b w:val="0"/>
                      <w:bCs/>
                      <w:color w:val="auto"/>
                      <w:sz w:val="21"/>
                      <w:szCs w:val="21"/>
                      <w:lang w:val="en-US" w:eastAsia="zh-CN"/>
                    </w:rPr>
                    <w:t>0.51~0.64</w:t>
                  </w:r>
                </w:p>
              </w:tc>
              <w:tc>
                <w:tcPr>
                  <w:tcW w:w="549" w:type="pct"/>
                  <w:noWrap w:val="0"/>
                  <w:vAlign w:val="center"/>
                </w:tcPr>
                <w:p w14:paraId="41CDD6EF">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b w:val="0"/>
                      <w:bCs/>
                      <w:color w:val="auto"/>
                      <w:sz w:val="21"/>
                      <w:szCs w:val="21"/>
                      <w:lang w:val="en-US" w:eastAsia="zh-CN"/>
                    </w:rPr>
                    <w:t>0</w:t>
                  </w:r>
                </w:p>
              </w:tc>
              <w:tc>
                <w:tcPr>
                  <w:tcW w:w="532" w:type="pct"/>
                  <w:noWrap w:val="0"/>
                  <w:vAlign w:val="center"/>
                </w:tcPr>
                <w:p w14:paraId="79A2F05B">
                  <w:pPr>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达标</w:t>
                  </w:r>
                </w:p>
              </w:tc>
            </w:tr>
          </w:tbl>
          <w:p w14:paraId="5779AF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2"/>
                <w:lang w:val="en-US" w:eastAsia="zh-CN"/>
              </w:rPr>
            </w:pPr>
            <w:r>
              <w:rPr>
                <w:rFonts w:hint="default" w:ascii="Times New Roman" w:hAnsi="Times New Roman" w:eastAsia="仿宋" w:cs="Times New Roman"/>
                <w:bCs/>
                <w:color w:val="auto"/>
                <w:sz w:val="24"/>
                <w:highlight w:val="none"/>
              </w:rPr>
              <w:t>根据上表现状监测结</w:t>
            </w:r>
            <w:r>
              <w:rPr>
                <w:rFonts w:hint="default" w:ascii="Times New Roman" w:hAnsi="Times New Roman" w:eastAsia="仿宋" w:cs="Times New Roman"/>
                <w:bCs/>
                <w:color w:val="auto"/>
                <w:sz w:val="24"/>
                <w:highlight w:val="none"/>
                <w:lang w:val="en-US" w:eastAsia="zh-CN"/>
              </w:rPr>
              <w:t>果可以看出，特征因子非甲烷总烃监测浓度符合</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大气污染物综合排放标准详解</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标准，</w:t>
            </w:r>
            <w:r>
              <w:rPr>
                <w:rFonts w:hint="default" w:ascii="Times New Roman" w:hAnsi="Times New Roman" w:eastAsia="仿宋" w:cs="Times New Roman"/>
                <w:color w:val="auto"/>
                <w:sz w:val="24"/>
                <w:szCs w:val="22"/>
                <w:lang w:val="en-US" w:eastAsia="zh-CN"/>
              </w:rPr>
              <w:t>满足项目所在地区的环境功能区划要求。</w:t>
            </w:r>
          </w:p>
          <w:p w14:paraId="1337CA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2"/>
                <w:lang w:val="en-US" w:eastAsia="zh-CN"/>
              </w:rPr>
            </w:pPr>
            <w:r>
              <w:rPr>
                <w:rFonts w:hint="default" w:ascii="Times New Roman" w:hAnsi="Times New Roman" w:eastAsia="仿宋" w:cs="Times New Roman"/>
                <w:color w:val="auto"/>
                <w:sz w:val="24"/>
                <w:szCs w:val="22"/>
                <w:lang w:val="en-US" w:eastAsia="zh-CN"/>
              </w:rPr>
              <w:t>监测</w:t>
            </w:r>
            <w:r>
              <w:rPr>
                <w:rFonts w:hint="default" w:ascii="Times New Roman" w:hAnsi="Times New Roman" w:eastAsia="仿宋" w:cs="Times New Roman"/>
                <w:color w:val="auto"/>
                <w:sz w:val="24"/>
                <w:szCs w:val="22"/>
              </w:rPr>
              <w:t>数据</w:t>
            </w:r>
            <w:r>
              <w:rPr>
                <w:rFonts w:hint="default" w:ascii="Times New Roman" w:hAnsi="Times New Roman" w:eastAsia="仿宋" w:cs="Times New Roman"/>
                <w:color w:val="auto"/>
                <w:sz w:val="24"/>
                <w:szCs w:val="22"/>
                <w:lang w:val="en-US" w:eastAsia="zh-CN"/>
              </w:rPr>
              <w:t>引用</w:t>
            </w:r>
            <w:r>
              <w:rPr>
                <w:rFonts w:hint="default" w:ascii="Times New Roman" w:hAnsi="Times New Roman" w:eastAsia="仿宋" w:cs="Times New Roman"/>
                <w:color w:val="auto"/>
                <w:sz w:val="24"/>
                <w:szCs w:val="22"/>
              </w:rPr>
              <w:t>有效性分析：本项目引用</w:t>
            </w:r>
            <w:r>
              <w:rPr>
                <w:rFonts w:hint="default" w:ascii="Times New Roman" w:hAnsi="Times New Roman" w:eastAsia="仿宋" w:cs="Times New Roman"/>
                <w:color w:val="auto"/>
                <w:sz w:val="24"/>
                <w:szCs w:val="22"/>
                <w:lang w:eastAsia="zh-CN"/>
              </w:rPr>
              <w:t>江苏久诚检验检测有限公</w:t>
            </w:r>
            <w:r>
              <w:rPr>
                <w:rFonts w:hint="default" w:ascii="Times New Roman" w:hAnsi="Times New Roman" w:eastAsia="仿宋" w:cs="Times New Roman"/>
                <w:color w:val="auto"/>
                <w:sz w:val="24"/>
                <w:szCs w:val="22"/>
                <w:lang w:val="en-US" w:eastAsia="zh-CN"/>
              </w:rPr>
              <w:t>司</w:t>
            </w:r>
            <w:r>
              <w:rPr>
                <w:rFonts w:hint="default" w:ascii="Times New Roman" w:hAnsi="Times New Roman" w:eastAsia="仿宋" w:cs="Times New Roman"/>
                <w:color w:val="auto"/>
                <w:sz w:val="24"/>
                <w:szCs w:val="22"/>
              </w:rPr>
              <w:t>于202</w:t>
            </w:r>
            <w:r>
              <w:rPr>
                <w:rFonts w:hint="default" w:ascii="Times New Roman" w:hAnsi="Times New Roman" w:eastAsia="仿宋" w:cs="Times New Roman"/>
                <w:color w:val="auto"/>
                <w:sz w:val="24"/>
                <w:szCs w:val="22"/>
                <w:lang w:val="en-US" w:eastAsia="zh-CN"/>
              </w:rPr>
              <w:t>3</w:t>
            </w:r>
            <w:r>
              <w:rPr>
                <w:rFonts w:hint="default" w:ascii="Times New Roman" w:hAnsi="Times New Roman" w:eastAsia="仿宋" w:cs="Times New Roman"/>
                <w:color w:val="auto"/>
                <w:sz w:val="24"/>
                <w:szCs w:val="22"/>
              </w:rPr>
              <w:t>年</w:t>
            </w:r>
            <w:r>
              <w:rPr>
                <w:rFonts w:hint="default" w:ascii="Times New Roman" w:hAnsi="Times New Roman" w:eastAsia="仿宋" w:cs="Times New Roman"/>
                <w:color w:val="auto"/>
                <w:sz w:val="24"/>
                <w:szCs w:val="22"/>
                <w:lang w:val="en-US" w:eastAsia="zh-CN"/>
              </w:rPr>
              <w:t>2</w:t>
            </w:r>
            <w:r>
              <w:rPr>
                <w:rFonts w:hint="default" w:ascii="Times New Roman" w:hAnsi="Times New Roman" w:eastAsia="仿宋" w:cs="Times New Roman"/>
                <w:color w:val="auto"/>
                <w:sz w:val="24"/>
                <w:szCs w:val="22"/>
              </w:rPr>
              <w:t>月</w:t>
            </w:r>
            <w:r>
              <w:rPr>
                <w:rFonts w:hint="default" w:ascii="Times New Roman" w:hAnsi="Times New Roman" w:eastAsia="仿宋" w:cs="Times New Roman"/>
                <w:color w:val="auto"/>
                <w:sz w:val="24"/>
                <w:szCs w:val="22"/>
                <w:lang w:val="en-US" w:eastAsia="zh-CN"/>
              </w:rPr>
              <w:t>16</w:t>
            </w:r>
            <w:r>
              <w:rPr>
                <w:rFonts w:hint="default" w:ascii="Times New Roman" w:hAnsi="Times New Roman" w:eastAsia="仿宋" w:cs="Times New Roman"/>
                <w:color w:val="auto"/>
                <w:sz w:val="24"/>
                <w:szCs w:val="22"/>
              </w:rPr>
              <w:t>日~</w:t>
            </w:r>
            <w:r>
              <w:rPr>
                <w:rFonts w:hint="default" w:ascii="Times New Roman" w:hAnsi="Times New Roman" w:eastAsia="仿宋" w:cs="Times New Roman"/>
                <w:color w:val="auto"/>
                <w:sz w:val="24"/>
                <w:szCs w:val="22"/>
                <w:lang w:val="en-US" w:eastAsia="zh-CN"/>
              </w:rPr>
              <w:t>2</w:t>
            </w:r>
            <w:r>
              <w:rPr>
                <w:rFonts w:hint="default" w:ascii="Times New Roman" w:hAnsi="Times New Roman" w:eastAsia="仿宋" w:cs="Times New Roman"/>
                <w:color w:val="auto"/>
                <w:sz w:val="24"/>
                <w:szCs w:val="22"/>
              </w:rPr>
              <w:t>月</w:t>
            </w:r>
            <w:r>
              <w:rPr>
                <w:rFonts w:hint="default" w:ascii="Times New Roman" w:hAnsi="Times New Roman" w:eastAsia="仿宋" w:cs="Times New Roman"/>
                <w:color w:val="auto"/>
                <w:sz w:val="24"/>
                <w:szCs w:val="22"/>
                <w:lang w:val="en-US" w:eastAsia="zh-CN"/>
              </w:rPr>
              <w:t>18</w:t>
            </w:r>
            <w:r>
              <w:rPr>
                <w:rFonts w:hint="default" w:ascii="Times New Roman" w:hAnsi="Times New Roman" w:eastAsia="仿宋" w:cs="Times New Roman"/>
                <w:color w:val="auto"/>
                <w:sz w:val="24"/>
                <w:szCs w:val="22"/>
              </w:rPr>
              <w:t>日</w:t>
            </w:r>
            <w:r>
              <w:rPr>
                <w:rFonts w:hint="default" w:ascii="Times New Roman" w:hAnsi="Times New Roman" w:eastAsia="仿宋" w:cs="Times New Roman"/>
                <w:color w:val="auto"/>
                <w:sz w:val="24"/>
                <w:szCs w:val="22"/>
                <w:lang w:val="en-US" w:eastAsia="zh-CN"/>
              </w:rPr>
              <w:t>在</w:t>
            </w:r>
            <w:r>
              <w:rPr>
                <w:rFonts w:hint="default" w:ascii="Times New Roman" w:hAnsi="Times New Roman" w:eastAsia="仿宋" w:cs="Times New Roman"/>
                <w:color w:val="auto"/>
                <w:sz w:val="24"/>
                <w:szCs w:val="22"/>
              </w:rPr>
              <w:t>项目</w:t>
            </w:r>
            <w:r>
              <w:rPr>
                <w:rFonts w:hint="default" w:ascii="Times New Roman" w:hAnsi="Times New Roman" w:eastAsia="仿宋" w:cs="Times New Roman"/>
                <w:color w:val="auto"/>
                <w:sz w:val="24"/>
                <w:szCs w:val="22"/>
                <w:lang w:val="en-US" w:eastAsia="zh-CN"/>
              </w:rPr>
              <w:t>东北</w:t>
            </w:r>
            <w:r>
              <w:rPr>
                <w:rFonts w:hint="default" w:ascii="Times New Roman" w:hAnsi="Times New Roman" w:eastAsia="仿宋" w:cs="Times New Roman"/>
                <w:color w:val="auto"/>
                <w:sz w:val="24"/>
                <w:szCs w:val="22"/>
              </w:rPr>
              <w:t>侧</w:t>
            </w:r>
            <w:r>
              <w:rPr>
                <w:rFonts w:hint="default" w:ascii="Times New Roman" w:hAnsi="Times New Roman" w:eastAsia="仿宋" w:cs="Times New Roman"/>
                <w:color w:val="auto"/>
                <w:sz w:val="24"/>
                <w:szCs w:val="22"/>
                <w:lang w:val="en-US" w:eastAsia="zh-CN"/>
              </w:rPr>
              <w:t>190</w:t>
            </w:r>
            <w:r>
              <w:rPr>
                <w:rFonts w:hint="default" w:ascii="Times New Roman" w:hAnsi="Times New Roman" w:eastAsia="仿宋" w:cs="Times New Roman"/>
                <w:color w:val="auto"/>
                <w:sz w:val="24"/>
                <w:szCs w:val="22"/>
              </w:rPr>
              <w:t>m处</w:t>
            </w:r>
            <w:r>
              <w:rPr>
                <w:rFonts w:hint="default" w:ascii="Times New Roman" w:hAnsi="Times New Roman" w:eastAsia="仿宋" w:cs="Times New Roman"/>
                <w:color w:val="auto"/>
                <w:sz w:val="24"/>
                <w:szCs w:val="22"/>
                <w:lang w:val="en-US" w:eastAsia="zh-CN"/>
              </w:rPr>
              <w:t>江苏鑫正汇新材料科技有限公司</w:t>
            </w:r>
            <w:r>
              <w:rPr>
                <w:rFonts w:hint="default" w:ascii="Times New Roman" w:hAnsi="Times New Roman" w:eastAsia="仿宋" w:cs="Times New Roman"/>
                <w:color w:val="auto"/>
                <w:sz w:val="24"/>
                <w:szCs w:val="22"/>
              </w:rPr>
              <w:t>的监测数据，引用时间不超过3年，大气环境引用时间有效；项目所在区域污染源未发生重大变化，可引用3年内环境空气的监测数据；引用点位在项目相关评价范围内，大气环境引用点位有效</w:t>
            </w:r>
            <w:r>
              <w:rPr>
                <w:rFonts w:hint="default" w:ascii="Times New Roman" w:hAnsi="Times New Roman" w:eastAsia="仿宋" w:cs="Times New Roman"/>
                <w:color w:val="auto"/>
                <w:sz w:val="24"/>
                <w:szCs w:val="22"/>
                <w:lang w:val="en-US" w:eastAsia="zh-CN"/>
              </w:rPr>
              <w:t>。</w:t>
            </w:r>
          </w:p>
          <w:p w14:paraId="69112CE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2、地表水现状</w:t>
            </w:r>
          </w:p>
          <w:p w14:paraId="4245CD64">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eastAsia="仿宋"/>
                <w:b w:val="0"/>
                <w:bCs w:val="0"/>
                <w:color w:val="auto"/>
                <w:sz w:val="24"/>
                <w:szCs w:val="24"/>
              </w:rPr>
            </w:pPr>
            <w:r>
              <w:rPr>
                <w:rFonts w:eastAsia="仿宋"/>
                <w:b w:val="0"/>
                <w:bCs w:val="0"/>
                <w:color w:val="auto"/>
                <w:sz w:val="24"/>
                <w:szCs w:val="24"/>
              </w:rPr>
              <w:t>（1）区域地表水环境质量达标现状</w:t>
            </w:r>
          </w:p>
          <w:p w14:paraId="2E4614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根据《202</w:t>
            </w:r>
            <w:r>
              <w:rPr>
                <w:rFonts w:hint="eastAsia" w:ascii="Times New Roman" w:hAnsi="Times New Roman" w:eastAsia="仿宋" w:cs="Times New Roman"/>
                <w:bCs/>
                <w:color w:val="auto"/>
                <w:sz w:val="24"/>
                <w:szCs w:val="24"/>
                <w:lang w:val="en-US" w:eastAsia="zh-CN"/>
              </w:rPr>
              <w:t>3</w:t>
            </w:r>
            <w:r>
              <w:rPr>
                <w:rFonts w:hint="default" w:ascii="Times New Roman" w:hAnsi="Times New Roman" w:eastAsia="仿宋" w:cs="Times New Roman"/>
                <w:bCs/>
                <w:color w:val="auto"/>
                <w:sz w:val="24"/>
                <w:szCs w:val="24"/>
              </w:rPr>
              <w:t>年常州市生态环境状况公报》，</w:t>
            </w:r>
            <w:r>
              <w:rPr>
                <w:rFonts w:hint="default" w:ascii="Times New Roman" w:hAnsi="Times New Roman" w:eastAsia="仿宋" w:cs="Times New Roman"/>
                <w:bCs/>
                <w:color w:val="auto"/>
                <w:sz w:val="24"/>
                <w:szCs w:val="24"/>
                <w:lang w:val="zh-TW"/>
              </w:rPr>
              <w:t>国考、省考断面水质达到或好于</w:t>
            </w:r>
            <w:r>
              <w:rPr>
                <w:rFonts w:hint="default" w:ascii="Times New Roman" w:hAnsi="Times New Roman" w:eastAsia="仿宋" w:cs="Times New Roman"/>
                <w:bCs/>
                <w:color w:val="auto"/>
                <w:sz w:val="24"/>
                <w:szCs w:val="24"/>
              </w:rPr>
              <w:t>Ⅲ</w:t>
            </w:r>
            <w:r>
              <w:rPr>
                <w:rFonts w:hint="default" w:ascii="Times New Roman" w:hAnsi="Times New Roman" w:eastAsia="仿宋" w:cs="Times New Roman"/>
                <w:bCs/>
                <w:color w:val="auto"/>
                <w:sz w:val="24"/>
                <w:szCs w:val="24"/>
                <w:lang w:val="zh-TW"/>
              </w:rPr>
              <w:t>类比例超额完成省定考核要求</w:t>
            </w:r>
            <w:r>
              <w:rPr>
                <w:rFonts w:hint="eastAsia" w:ascii="Times New Roman" w:hAnsi="Times New Roman" w:eastAsia="仿宋" w:cs="Times New Roman"/>
                <w:bCs/>
                <w:color w:val="auto"/>
                <w:sz w:val="24"/>
                <w:szCs w:val="24"/>
                <w:lang w:val="zh-TW" w:eastAsia="zh-CN"/>
              </w:rPr>
              <w:t>，</w:t>
            </w:r>
            <w:r>
              <w:rPr>
                <w:rFonts w:hint="default" w:ascii="Times New Roman" w:hAnsi="Times New Roman" w:eastAsia="仿宋" w:cs="Times New Roman"/>
                <w:bCs/>
                <w:color w:val="auto"/>
                <w:sz w:val="24"/>
                <w:szCs w:val="24"/>
                <w:lang w:val="zh-TW"/>
              </w:rPr>
              <w:t>太湖常州水域连续16年实现安全度夏。长江干流</w:t>
            </w:r>
            <w:r>
              <w:rPr>
                <w:rFonts w:hint="eastAsia" w:ascii="Times New Roman" w:hAnsi="Times New Roman" w:eastAsia="仿宋" w:cs="Times New Roman"/>
                <w:bCs/>
                <w:color w:val="auto"/>
                <w:sz w:val="24"/>
                <w:szCs w:val="24"/>
                <w:lang w:val="zh-TW" w:eastAsia="zh-CN"/>
              </w:rPr>
              <w:t>（</w:t>
            </w:r>
            <w:r>
              <w:rPr>
                <w:rFonts w:hint="default" w:ascii="Times New Roman" w:hAnsi="Times New Roman" w:eastAsia="仿宋" w:cs="Times New Roman"/>
                <w:bCs/>
                <w:color w:val="auto"/>
                <w:sz w:val="24"/>
                <w:szCs w:val="24"/>
                <w:lang w:val="zh-TW"/>
              </w:rPr>
              <w:t>常州段</w:t>
            </w:r>
            <w:r>
              <w:rPr>
                <w:rFonts w:hint="eastAsia" w:ascii="Times New Roman" w:hAnsi="Times New Roman" w:eastAsia="仿宋" w:cs="Times New Roman"/>
                <w:bCs/>
                <w:color w:val="auto"/>
                <w:sz w:val="24"/>
                <w:szCs w:val="24"/>
                <w:lang w:val="zh-TW" w:eastAsia="zh-CN"/>
              </w:rPr>
              <w:t>）</w:t>
            </w:r>
            <w:r>
              <w:rPr>
                <w:rFonts w:hint="default" w:ascii="Times New Roman" w:hAnsi="Times New Roman" w:eastAsia="仿宋" w:cs="Times New Roman"/>
                <w:bCs/>
                <w:color w:val="auto"/>
                <w:sz w:val="24"/>
                <w:szCs w:val="24"/>
                <w:lang w:val="zh-TW"/>
              </w:rPr>
              <w:t>水质连续6年稳定Ⅱ类水平</w:t>
            </w:r>
            <w:r>
              <w:rPr>
                <w:rFonts w:hint="eastAsia" w:ascii="Times New Roman" w:hAnsi="Times New Roman" w:eastAsia="仿宋" w:cs="Times New Roman"/>
                <w:bCs/>
                <w:color w:val="auto"/>
                <w:sz w:val="24"/>
                <w:szCs w:val="24"/>
                <w:lang w:val="zh-TW" w:eastAsia="zh-CN"/>
              </w:rPr>
              <w:t>，</w:t>
            </w:r>
            <w:r>
              <w:rPr>
                <w:rFonts w:hint="default" w:ascii="Times New Roman" w:hAnsi="Times New Roman" w:eastAsia="仿宋" w:cs="Times New Roman"/>
                <w:bCs/>
                <w:color w:val="auto"/>
                <w:sz w:val="24"/>
                <w:szCs w:val="24"/>
                <w:lang w:val="zh-TW"/>
              </w:rPr>
              <w:t>主要入湖河道、集中式饮用水源地水质达到省定考核目标</w:t>
            </w:r>
            <w:r>
              <w:rPr>
                <w:rFonts w:hint="eastAsia" w:ascii="Times New Roman" w:hAnsi="Times New Roman" w:eastAsia="仿宋" w:cs="Times New Roman"/>
                <w:bCs/>
                <w:color w:val="auto"/>
                <w:sz w:val="24"/>
                <w:szCs w:val="24"/>
                <w:lang w:eastAsia="zh-CN"/>
              </w:rPr>
              <w:t>。</w:t>
            </w:r>
          </w:p>
          <w:p w14:paraId="2EC303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szCs w:val="24"/>
                <w:lang w:val="en-US" w:eastAsia="zh-CN"/>
              </w:rPr>
            </w:pPr>
            <w:r>
              <w:rPr>
                <w:rFonts w:hint="eastAsia" w:ascii="Times New Roman" w:hAnsi="Times New Roman" w:eastAsia="仿宋" w:cs="Times New Roman"/>
                <w:bCs/>
                <w:color w:val="auto"/>
                <w:sz w:val="24"/>
                <w:szCs w:val="24"/>
                <w:lang w:val="en-US" w:eastAsia="zh-CN"/>
              </w:rPr>
              <w:t>饮用水水源地水质：常州市城市饮用水以集中供水为主，根据《江苏省2023年水生态环境保护工作计划》(苏水治办(202311号)，2023年全市5个县级及以上城市集中式饮用水水源地(含备用)，取水总量为5.11亿吨,全年各次监测均达标。</w:t>
            </w:r>
          </w:p>
          <w:p w14:paraId="343C65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 w:cs="Times New Roman"/>
                <w:bCs/>
                <w:color w:val="auto"/>
                <w:sz w:val="24"/>
                <w:szCs w:val="24"/>
                <w:lang w:val="en-US" w:eastAsia="zh-CN"/>
              </w:rPr>
            </w:pPr>
            <w:r>
              <w:rPr>
                <w:rFonts w:hint="eastAsia" w:ascii="Times New Roman" w:hAnsi="Times New Roman" w:eastAsia="仿宋" w:cs="Times New Roman"/>
                <w:bCs/>
                <w:color w:val="auto"/>
                <w:sz w:val="24"/>
                <w:szCs w:val="24"/>
                <w:lang w:val="en-US" w:eastAsia="zh-CN"/>
              </w:rPr>
              <w:t>国省考断面：2023年，常州市纳入“十四五”国家地表水环境质量考核的20个断面中，年均水质达到或好于《地表水环境质量标准》(GB3838-2002)</w:t>
            </w:r>
            <w:r>
              <w:rPr>
                <w:rFonts w:hint="default" w:ascii="Times New Roman" w:hAnsi="Times New Roman" w:eastAsia="仿宋" w:cs="Times New Roman"/>
                <w:bCs/>
                <w:color w:val="auto"/>
                <w:sz w:val="24"/>
                <w:szCs w:val="24"/>
              </w:rPr>
              <w:t>Ⅲ</w:t>
            </w:r>
            <w:r>
              <w:rPr>
                <w:rFonts w:hint="eastAsia" w:ascii="Times New Roman" w:hAnsi="Times New Roman" w:eastAsia="仿宋" w:cs="Times New Roman"/>
                <w:bCs/>
                <w:color w:val="auto"/>
                <w:sz w:val="24"/>
                <w:szCs w:val="24"/>
                <w:lang w:val="en-US" w:eastAsia="zh-CN"/>
              </w:rPr>
              <w:t>类标准的断面比例为85%，无劣V类断面。纳入江苏省“十四五”水环境质量目标考核51个断面，年均水质达到或好于</w:t>
            </w:r>
            <w:r>
              <w:rPr>
                <w:rFonts w:hint="default" w:ascii="Times New Roman" w:hAnsi="Times New Roman" w:eastAsia="仿宋" w:cs="Times New Roman"/>
                <w:bCs/>
                <w:color w:val="auto"/>
                <w:sz w:val="24"/>
                <w:szCs w:val="24"/>
              </w:rPr>
              <w:t>Ⅲ</w:t>
            </w:r>
            <w:r>
              <w:rPr>
                <w:rFonts w:hint="eastAsia" w:ascii="Times New Roman" w:hAnsi="Times New Roman" w:eastAsia="仿宋" w:cs="Times New Roman"/>
                <w:bCs/>
                <w:color w:val="auto"/>
                <w:sz w:val="24"/>
                <w:szCs w:val="24"/>
                <w:lang w:val="en-US" w:eastAsia="zh-CN"/>
              </w:rPr>
              <w:t>类的比例为94.1%，无劣V类断面。</w:t>
            </w:r>
          </w:p>
          <w:p w14:paraId="1B8AB0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szCs w:val="24"/>
                <w:lang w:val="en-US" w:eastAsia="zh-CN"/>
              </w:rPr>
            </w:pPr>
            <w:r>
              <w:rPr>
                <w:rFonts w:hint="eastAsia" w:ascii="Times New Roman" w:hAnsi="Times New Roman" w:eastAsia="仿宋" w:cs="Times New Roman"/>
                <w:bCs/>
                <w:color w:val="auto"/>
                <w:sz w:val="24"/>
                <w:szCs w:val="24"/>
                <w:lang w:val="en-US" w:eastAsia="zh-CN"/>
              </w:rPr>
              <w:t>太湖及入太河流：2023年，我市太湖湖心区断面自太湖治理以来首次达到地表水湖库</w:t>
            </w:r>
            <w:r>
              <w:rPr>
                <w:rFonts w:hint="default" w:ascii="Times New Roman" w:hAnsi="Times New Roman" w:eastAsia="仿宋" w:cs="Times New Roman"/>
                <w:bCs/>
                <w:color w:val="auto"/>
                <w:sz w:val="24"/>
                <w:szCs w:val="24"/>
              </w:rPr>
              <w:t>Ⅲ</w:t>
            </w:r>
            <w:r>
              <w:rPr>
                <w:rFonts w:hint="eastAsia" w:ascii="Times New Roman" w:hAnsi="Times New Roman" w:eastAsia="仿宋" w:cs="Times New Roman"/>
                <w:bCs/>
                <w:color w:val="auto"/>
                <w:sz w:val="24"/>
                <w:szCs w:val="24"/>
                <w:lang w:val="en-US" w:eastAsia="zh-CN"/>
              </w:rPr>
              <w:t>类标准，其中总磷0.05mg/L，同比下降21.9%，高锰酸盐指数和氨氮分别达到</w:t>
            </w:r>
            <w:r>
              <w:rPr>
                <w:rFonts w:hint="default" w:ascii="Times New Roman" w:hAnsi="Times New Roman" w:eastAsia="仿宋" w:cs="Times New Roman"/>
                <w:bCs/>
                <w:color w:val="auto"/>
                <w:sz w:val="24"/>
                <w:szCs w:val="24"/>
                <w:lang w:val="zh-TW"/>
              </w:rPr>
              <w:t>Ⅱ</w:t>
            </w:r>
            <w:r>
              <w:rPr>
                <w:rFonts w:hint="eastAsia" w:ascii="Times New Roman" w:hAnsi="Times New Roman" w:eastAsia="仿宋" w:cs="Times New Roman"/>
                <w:bCs/>
                <w:color w:val="auto"/>
                <w:sz w:val="24"/>
                <w:szCs w:val="24"/>
                <w:lang w:val="en-US" w:eastAsia="zh-CN"/>
              </w:rPr>
              <w:t>类和Ⅰ类标准。太湖西部区断面总磷0.074mg/L，同比下降16.9%，高锰酸盐指数和氨氮分别达到</w:t>
            </w:r>
            <w:r>
              <w:rPr>
                <w:rFonts w:hint="default" w:ascii="Times New Roman" w:hAnsi="Times New Roman" w:eastAsia="仿宋" w:cs="Times New Roman"/>
                <w:bCs/>
                <w:color w:val="auto"/>
                <w:sz w:val="24"/>
                <w:szCs w:val="24"/>
                <w:lang w:val="zh-TW"/>
              </w:rPr>
              <w:t>Ⅱ</w:t>
            </w:r>
            <w:r>
              <w:rPr>
                <w:rFonts w:hint="eastAsia" w:ascii="Times New Roman" w:hAnsi="Times New Roman" w:eastAsia="仿宋" w:cs="Times New Roman"/>
                <w:bCs/>
                <w:color w:val="auto"/>
                <w:sz w:val="24"/>
                <w:szCs w:val="24"/>
                <w:lang w:val="en-US" w:eastAsia="zh-CN"/>
              </w:rPr>
              <w:t>类和Ⅰ类标准。武进港、漕桥河、太滆运河等3条主要入湖河道氮磷达到省定约束性考核目标。</w:t>
            </w:r>
          </w:p>
          <w:p w14:paraId="640DF6B7">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eastAsia="仿宋"/>
                <w:b w:val="0"/>
                <w:bCs w:val="0"/>
                <w:color w:val="auto"/>
                <w:sz w:val="24"/>
                <w:szCs w:val="24"/>
              </w:rPr>
            </w:pPr>
            <w:r>
              <w:rPr>
                <w:rFonts w:eastAsia="仿宋"/>
                <w:b w:val="0"/>
                <w:bCs w:val="0"/>
                <w:color w:val="auto"/>
                <w:sz w:val="24"/>
                <w:szCs w:val="24"/>
              </w:rPr>
              <w:t>（2）补充监测</w:t>
            </w:r>
          </w:p>
          <w:p w14:paraId="1A833B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本项目纳污水体</w:t>
            </w:r>
            <w:r>
              <w:rPr>
                <w:rFonts w:hint="default" w:ascii="Times New Roman" w:hAnsi="Times New Roman" w:eastAsia="仿宋" w:cs="Times New Roman"/>
                <w:color w:val="auto"/>
                <w:sz w:val="24"/>
                <w:szCs w:val="24"/>
                <w:lang w:eastAsia="zh-CN"/>
              </w:rPr>
              <w:t>薛埠</w:t>
            </w:r>
            <w:r>
              <w:rPr>
                <w:rFonts w:hint="default" w:ascii="Times New Roman" w:hAnsi="Times New Roman" w:eastAsia="仿宋" w:cs="Times New Roman"/>
                <w:color w:val="auto"/>
                <w:sz w:val="24"/>
                <w:szCs w:val="24"/>
              </w:rPr>
              <w:t>河水环境质量现状引用《</w:t>
            </w:r>
            <w:r>
              <w:rPr>
                <w:rFonts w:hint="default" w:ascii="Times New Roman" w:hAnsi="Times New Roman" w:eastAsia="仿宋" w:cs="Times New Roman"/>
                <w:color w:val="auto"/>
                <w:sz w:val="24"/>
                <w:szCs w:val="24"/>
                <w:lang w:eastAsia="zh-CN"/>
              </w:rPr>
              <w:t>狄拉克材料科技江苏有限公司</w:t>
            </w:r>
            <w:r>
              <w:rPr>
                <w:rFonts w:hint="default" w:ascii="Times New Roman" w:hAnsi="Times New Roman" w:eastAsia="仿宋" w:cs="Times New Roman"/>
                <w:color w:val="auto"/>
                <w:sz w:val="24"/>
                <w:szCs w:val="24"/>
              </w:rPr>
              <w:t>项目环境影响报告》中</w:t>
            </w:r>
            <w:r>
              <w:rPr>
                <w:rFonts w:hint="default" w:ascii="Times New Roman" w:hAnsi="Times New Roman" w:eastAsia="仿宋" w:cs="Times New Roman"/>
                <w:color w:val="auto"/>
                <w:sz w:val="24"/>
                <w:szCs w:val="24"/>
                <w:lang w:eastAsia="zh-CN"/>
              </w:rPr>
              <w:t>薛埠</w:t>
            </w:r>
            <w:r>
              <w:rPr>
                <w:rFonts w:hint="default" w:ascii="Times New Roman" w:hAnsi="Times New Roman" w:eastAsia="仿宋" w:cs="Times New Roman"/>
                <w:color w:val="auto"/>
                <w:sz w:val="24"/>
                <w:szCs w:val="24"/>
              </w:rPr>
              <w:t>河水环境检测数据，监测时间为2022年</w:t>
            </w:r>
            <w:r>
              <w:rPr>
                <w:rFonts w:hint="default" w:ascii="Times New Roman" w:hAnsi="Times New Roman" w:eastAsia="仿宋" w:cs="Times New Roman"/>
                <w:color w:val="auto"/>
                <w:sz w:val="24"/>
                <w:szCs w:val="24"/>
                <w:lang w:val="en-US" w:eastAsia="zh-CN"/>
              </w:rPr>
              <w:t>11</w:t>
            </w:r>
            <w:r>
              <w:rPr>
                <w:rFonts w:hint="default" w:ascii="Times New Roman" w:hAnsi="Times New Roman" w:eastAsia="仿宋" w:cs="Times New Roman"/>
                <w:color w:val="auto"/>
                <w:sz w:val="24"/>
                <w:szCs w:val="24"/>
              </w:rPr>
              <w:t>月</w:t>
            </w:r>
            <w:r>
              <w:rPr>
                <w:rFonts w:hint="default" w:ascii="Times New Roman" w:hAnsi="Times New Roman" w:eastAsia="仿宋" w:cs="Times New Roman"/>
                <w:color w:val="auto"/>
                <w:sz w:val="24"/>
                <w:szCs w:val="24"/>
                <w:lang w:val="en-US" w:eastAsia="zh-CN"/>
              </w:rPr>
              <w:t>24</w:t>
            </w:r>
            <w:r>
              <w:rPr>
                <w:rFonts w:hint="default" w:ascii="Times New Roman" w:hAnsi="Times New Roman" w:eastAsia="仿宋" w:cs="Times New Roman"/>
                <w:color w:val="auto"/>
                <w:sz w:val="24"/>
                <w:szCs w:val="24"/>
              </w:rPr>
              <w:t>日~1</w:t>
            </w:r>
            <w:r>
              <w:rPr>
                <w:rFonts w:hint="default"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rPr>
              <w:t>月</w:t>
            </w:r>
            <w:r>
              <w:rPr>
                <w:rFonts w:hint="default" w:ascii="Times New Roman" w:hAnsi="Times New Roman" w:eastAsia="仿宋" w:cs="Times New Roman"/>
                <w:color w:val="auto"/>
                <w:sz w:val="24"/>
                <w:szCs w:val="24"/>
                <w:lang w:val="en-US" w:eastAsia="zh-CN"/>
              </w:rPr>
              <w:t>26</w:t>
            </w:r>
            <w:r>
              <w:rPr>
                <w:rFonts w:hint="default" w:ascii="Times New Roman" w:hAnsi="Times New Roman" w:eastAsia="仿宋" w:cs="Times New Roman"/>
                <w:color w:val="auto"/>
                <w:sz w:val="24"/>
                <w:szCs w:val="24"/>
              </w:rPr>
              <w:t>日，监测断面为茅东污水处理厂排口上游500m及下游</w:t>
            </w:r>
            <w:r>
              <w:rPr>
                <w:rFonts w:hint="default"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rPr>
              <w:t>000米处</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采样断面的布设与取样点见下表。</w:t>
            </w:r>
          </w:p>
          <w:p w14:paraId="39B24BD2">
            <w:pPr>
              <w:keepNext w:val="0"/>
              <w:keepLines w:val="0"/>
              <w:pageBreakBefore w:val="0"/>
              <w:widowControl w:val="0"/>
              <w:kinsoku/>
              <w:wordWrap/>
              <w:overflowPunct/>
              <w:topLinePunct w:val="0"/>
              <w:autoSpaceDE/>
              <w:autoSpaceDN/>
              <w:bidi w:val="0"/>
              <w:adjustRightInd w:val="0"/>
              <w:snapToGrid w:val="0"/>
              <w:spacing w:before="95" w:beforeLines="30" w:line="240" w:lineRule="auto"/>
              <w:ind w:left="0" w:leftChars="0"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 xml:space="preserve">表3-3  </w:t>
            </w:r>
            <w:r>
              <w:rPr>
                <w:rFonts w:hint="default" w:ascii="Times New Roman" w:hAnsi="Times New Roman" w:eastAsia="仿宋" w:cs="Times New Roman"/>
                <w:b/>
                <w:bCs/>
                <w:color w:val="auto"/>
                <w:sz w:val="21"/>
                <w:szCs w:val="21"/>
              </w:rPr>
              <w:t>水质监测断面</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27"/>
              <w:gridCol w:w="940"/>
              <w:gridCol w:w="3762"/>
              <w:gridCol w:w="2280"/>
            </w:tblGrid>
            <w:tr w14:paraId="64E417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pct"/>
                  <w:noWrap w:val="0"/>
                  <w:vAlign w:val="center"/>
                </w:tcPr>
                <w:p w14:paraId="10B975E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河流名称</w:t>
                  </w:r>
                </w:p>
              </w:tc>
              <w:tc>
                <w:tcPr>
                  <w:tcW w:w="587" w:type="pct"/>
                  <w:noWrap w:val="0"/>
                  <w:vAlign w:val="center"/>
                </w:tcPr>
                <w:p w14:paraId="0014A61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断面名称</w:t>
                  </w:r>
                </w:p>
              </w:tc>
              <w:tc>
                <w:tcPr>
                  <w:tcW w:w="2348" w:type="pct"/>
                  <w:noWrap w:val="0"/>
                  <w:vAlign w:val="center"/>
                </w:tcPr>
                <w:p w14:paraId="5871551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位置</w:t>
                  </w:r>
                </w:p>
              </w:tc>
              <w:tc>
                <w:tcPr>
                  <w:tcW w:w="1423" w:type="pct"/>
                  <w:noWrap w:val="0"/>
                  <w:vAlign w:val="center"/>
                </w:tcPr>
                <w:p w14:paraId="437DFA4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检测项目</w:t>
                  </w:r>
                </w:p>
              </w:tc>
            </w:tr>
            <w:tr w14:paraId="70CE5E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pct"/>
                  <w:vMerge w:val="restart"/>
                  <w:noWrap w:val="0"/>
                  <w:vAlign w:val="center"/>
                </w:tcPr>
                <w:p w14:paraId="4EF0268D">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薛埠河</w:t>
                  </w:r>
                </w:p>
              </w:tc>
              <w:tc>
                <w:tcPr>
                  <w:tcW w:w="587" w:type="pct"/>
                  <w:noWrap w:val="0"/>
                  <w:vAlign w:val="center"/>
                </w:tcPr>
                <w:p w14:paraId="5291A13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W1</w:t>
                  </w:r>
                </w:p>
              </w:tc>
              <w:tc>
                <w:tcPr>
                  <w:tcW w:w="3993" w:type="dxa"/>
                  <w:noWrap w:val="0"/>
                  <w:vAlign w:val="center"/>
                </w:tcPr>
                <w:p w14:paraId="3EA0E14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茅东污水处理厂排放口上游500m</w:t>
                  </w:r>
                </w:p>
              </w:tc>
              <w:tc>
                <w:tcPr>
                  <w:tcW w:w="1423" w:type="pct"/>
                  <w:vMerge w:val="restart"/>
                  <w:noWrap w:val="0"/>
                  <w:vAlign w:val="center"/>
                </w:tcPr>
                <w:p w14:paraId="41CE5F6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pH、COD、NH</w:t>
                  </w:r>
                  <w:r>
                    <w:rPr>
                      <w:rFonts w:hint="default" w:ascii="Times New Roman" w:hAnsi="Times New Roman" w:eastAsia="仿宋" w:cs="Times New Roman"/>
                      <w:color w:val="auto"/>
                      <w:szCs w:val="21"/>
                      <w:vertAlign w:val="subscript"/>
                    </w:rPr>
                    <w:t>3</w:t>
                  </w:r>
                  <w:r>
                    <w:rPr>
                      <w:rFonts w:hint="default" w:ascii="Times New Roman" w:hAnsi="Times New Roman" w:eastAsia="仿宋" w:cs="Times New Roman"/>
                      <w:color w:val="auto"/>
                      <w:szCs w:val="21"/>
                    </w:rPr>
                    <w:t>-N、TP、水温</w:t>
                  </w:r>
                </w:p>
              </w:tc>
            </w:tr>
            <w:tr w14:paraId="6B2F68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pct"/>
                  <w:vMerge w:val="continue"/>
                  <w:noWrap w:val="0"/>
                  <w:vAlign w:val="center"/>
                </w:tcPr>
                <w:p w14:paraId="59C92C84">
                  <w:pPr>
                    <w:jc w:val="center"/>
                    <w:rPr>
                      <w:rFonts w:hint="default" w:ascii="Times New Roman" w:hAnsi="Times New Roman" w:eastAsia="仿宋" w:cs="Times New Roman"/>
                      <w:color w:val="auto"/>
                      <w:szCs w:val="21"/>
                    </w:rPr>
                  </w:pPr>
                </w:p>
              </w:tc>
              <w:tc>
                <w:tcPr>
                  <w:tcW w:w="587" w:type="pct"/>
                  <w:noWrap w:val="0"/>
                  <w:vAlign w:val="center"/>
                </w:tcPr>
                <w:p w14:paraId="3BADDD5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W2</w:t>
                  </w:r>
                </w:p>
              </w:tc>
              <w:tc>
                <w:tcPr>
                  <w:tcW w:w="3993" w:type="dxa"/>
                  <w:noWrap w:val="0"/>
                  <w:vAlign w:val="center"/>
                </w:tcPr>
                <w:p w14:paraId="70959BB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茅东污水处理厂排放口下游1000m</w:t>
                  </w:r>
                </w:p>
              </w:tc>
              <w:tc>
                <w:tcPr>
                  <w:tcW w:w="1423" w:type="pct"/>
                  <w:vMerge w:val="continue"/>
                  <w:noWrap w:val="0"/>
                  <w:vAlign w:val="center"/>
                </w:tcPr>
                <w:p w14:paraId="0202D0D7">
                  <w:pPr>
                    <w:jc w:val="center"/>
                    <w:rPr>
                      <w:rFonts w:hint="default" w:ascii="Times New Roman" w:hAnsi="Times New Roman" w:eastAsia="仿宋" w:cs="Times New Roman"/>
                      <w:color w:val="auto"/>
                      <w:szCs w:val="21"/>
                    </w:rPr>
                  </w:pPr>
                </w:p>
              </w:tc>
            </w:tr>
          </w:tbl>
          <w:p w14:paraId="6636F9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监测</w:t>
            </w:r>
            <w:r>
              <w:rPr>
                <w:rFonts w:hint="default" w:ascii="Times New Roman" w:hAnsi="Times New Roman" w:eastAsia="仿宋" w:cs="Times New Roman"/>
                <w:bCs/>
                <w:color w:val="auto"/>
                <w:sz w:val="24"/>
                <w:highlight w:val="none"/>
              </w:rPr>
              <w:t>数据</w:t>
            </w:r>
            <w:r>
              <w:rPr>
                <w:rFonts w:hint="default" w:ascii="Times New Roman" w:hAnsi="Times New Roman" w:eastAsia="仿宋" w:cs="Times New Roman"/>
                <w:bCs/>
                <w:color w:val="auto"/>
                <w:sz w:val="24"/>
                <w:highlight w:val="none"/>
                <w:lang w:val="en-US" w:eastAsia="zh-CN"/>
              </w:rPr>
              <w:t>引用</w:t>
            </w:r>
            <w:r>
              <w:rPr>
                <w:rFonts w:hint="default" w:ascii="Times New Roman" w:hAnsi="Times New Roman" w:eastAsia="仿宋" w:cs="Times New Roman"/>
                <w:bCs/>
                <w:color w:val="auto"/>
                <w:sz w:val="24"/>
                <w:highlight w:val="none"/>
              </w:rPr>
              <w:t>有效性分析：</w:t>
            </w:r>
            <w:r>
              <w:rPr>
                <w:rFonts w:hint="default" w:ascii="Times New Roman" w:hAnsi="Times New Roman" w:eastAsia="仿宋" w:cs="Times New Roman"/>
                <w:bCs/>
                <w:color w:val="auto"/>
                <w:sz w:val="24"/>
                <w:highlight w:val="none"/>
                <w:lang w:val="zh-CN"/>
              </w:rPr>
              <w:t>水环境质量现状引用数据的监测断面在项目地表水评价范围内，断面设置符合导则要求；监测时间</w:t>
            </w:r>
            <w:r>
              <w:rPr>
                <w:rFonts w:hint="default" w:ascii="Times New Roman" w:hAnsi="Times New Roman" w:eastAsia="仿宋" w:cs="Times New Roman"/>
                <w:bCs/>
                <w:color w:val="auto"/>
                <w:sz w:val="24"/>
                <w:highlight w:val="none"/>
              </w:rPr>
              <w:t>未超过3年，区域内污染源未发生重大变化</w:t>
            </w:r>
            <w:r>
              <w:rPr>
                <w:rFonts w:hint="default" w:ascii="Times New Roman" w:hAnsi="Times New Roman" w:eastAsia="仿宋" w:cs="Times New Roman"/>
                <w:bCs/>
                <w:color w:val="auto"/>
                <w:sz w:val="24"/>
                <w:highlight w:val="none"/>
                <w:lang w:val="zh-CN"/>
              </w:rPr>
              <w:t>，</w:t>
            </w:r>
            <w:r>
              <w:rPr>
                <w:rFonts w:hint="default" w:ascii="Times New Roman" w:hAnsi="Times New Roman" w:eastAsia="仿宋" w:cs="Times New Roman"/>
                <w:bCs/>
                <w:color w:val="auto"/>
                <w:sz w:val="24"/>
                <w:highlight w:val="none"/>
              </w:rPr>
              <w:t>引用时间有效；</w:t>
            </w:r>
            <w:r>
              <w:rPr>
                <w:rFonts w:hint="default" w:ascii="Times New Roman" w:hAnsi="Times New Roman" w:eastAsia="仿宋" w:cs="Times New Roman"/>
                <w:bCs/>
                <w:color w:val="auto"/>
                <w:sz w:val="24"/>
                <w:highlight w:val="none"/>
                <w:lang w:val="zh-CN"/>
              </w:rPr>
              <w:t>因此，水环境质量现状引用数据能够反映本项目纳污水体的环境质量现状，数据有效</w:t>
            </w:r>
            <w:r>
              <w:rPr>
                <w:rFonts w:hint="eastAsia" w:ascii="Times New Roman" w:hAnsi="Times New Roman" w:eastAsia="仿宋" w:cs="Times New Roman"/>
                <w:bCs/>
                <w:color w:val="auto"/>
                <w:sz w:val="24"/>
                <w:highlight w:val="none"/>
                <w:lang w:val="zh-CN"/>
              </w:rPr>
              <w:t>。</w:t>
            </w:r>
          </w:p>
          <w:p w14:paraId="2BFBB1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表3-4  地表水环境质量现状监测结果</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586"/>
              <w:gridCol w:w="1073"/>
              <w:gridCol w:w="1070"/>
              <w:gridCol w:w="771"/>
              <w:gridCol w:w="1276"/>
              <w:gridCol w:w="1097"/>
              <w:gridCol w:w="1254"/>
            </w:tblGrid>
            <w:tr w14:paraId="58E8AE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55" w:type="pct"/>
                  <w:tcBorders>
                    <w:top w:val="single" w:color="auto" w:sz="4" w:space="0"/>
                  </w:tcBorders>
                  <w:noWrap w:val="0"/>
                  <w:vAlign w:val="center"/>
                </w:tcPr>
                <w:p w14:paraId="61521484">
                  <w:pPr>
                    <w:adjustRightInd w:val="0"/>
                    <w:snapToGrid w:val="0"/>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河流</w:t>
                  </w:r>
                </w:p>
                <w:p w14:paraId="440BA1D7">
                  <w:pPr>
                    <w:adjustRightInd w:val="0"/>
                    <w:snapToGrid w:val="0"/>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名称</w:t>
                  </w:r>
                </w:p>
              </w:tc>
              <w:tc>
                <w:tcPr>
                  <w:tcW w:w="372" w:type="pct"/>
                  <w:tcBorders>
                    <w:top w:val="single" w:color="auto" w:sz="4" w:space="0"/>
                  </w:tcBorders>
                  <w:noWrap w:val="0"/>
                  <w:vAlign w:val="center"/>
                </w:tcPr>
                <w:p w14:paraId="675A7C2D">
                  <w:pPr>
                    <w:adjustRightInd w:val="0"/>
                    <w:snapToGrid w:val="0"/>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断面</w:t>
                  </w:r>
                </w:p>
              </w:tc>
              <w:tc>
                <w:tcPr>
                  <w:tcW w:w="675" w:type="pct"/>
                  <w:tcBorders>
                    <w:top w:val="single" w:color="auto" w:sz="4" w:space="0"/>
                  </w:tcBorders>
                  <w:noWrap w:val="0"/>
                  <w:vAlign w:val="center"/>
                </w:tcPr>
                <w:p w14:paraId="70A72CDE">
                  <w:pPr>
                    <w:adjustRightInd w:val="0"/>
                    <w:snapToGrid w:val="0"/>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监测项目</w:t>
                  </w:r>
                </w:p>
              </w:tc>
              <w:tc>
                <w:tcPr>
                  <w:tcW w:w="674" w:type="pct"/>
                  <w:tcBorders>
                    <w:top w:val="single" w:color="auto" w:sz="4" w:space="0"/>
                  </w:tcBorders>
                  <w:noWrap w:val="0"/>
                  <w:vAlign w:val="center"/>
                </w:tcPr>
                <w:p w14:paraId="2C093DA4">
                  <w:pPr>
                    <w:adjustRightInd w:val="0"/>
                    <w:snapToGrid w:val="0"/>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pH</w:t>
                  </w:r>
                </w:p>
              </w:tc>
              <w:tc>
                <w:tcPr>
                  <w:tcW w:w="487" w:type="pct"/>
                  <w:tcBorders>
                    <w:top w:val="single" w:color="auto" w:sz="4" w:space="0"/>
                  </w:tcBorders>
                  <w:noWrap w:val="0"/>
                  <w:vAlign w:val="center"/>
                </w:tcPr>
                <w:p w14:paraId="52D261E0">
                  <w:pPr>
                    <w:adjustRightInd w:val="0"/>
                    <w:snapToGrid w:val="0"/>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COD</w:t>
                  </w:r>
                </w:p>
              </w:tc>
              <w:tc>
                <w:tcPr>
                  <w:tcW w:w="754" w:type="pct"/>
                  <w:tcBorders>
                    <w:top w:val="single" w:color="auto" w:sz="4" w:space="0"/>
                  </w:tcBorders>
                  <w:noWrap w:val="0"/>
                  <w:vAlign w:val="center"/>
                </w:tcPr>
                <w:p w14:paraId="1183D51B">
                  <w:pPr>
                    <w:adjustRightInd w:val="0"/>
                    <w:snapToGrid w:val="0"/>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NH</w:t>
                  </w:r>
                  <w:r>
                    <w:rPr>
                      <w:rFonts w:hint="default" w:ascii="Times New Roman" w:hAnsi="Times New Roman" w:eastAsia="仿宋" w:cs="Times New Roman"/>
                      <w:b/>
                      <w:bCs/>
                      <w:color w:val="auto"/>
                      <w:vertAlign w:val="subscript"/>
                    </w:rPr>
                    <w:t>3</w:t>
                  </w:r>
                  <w:r>
                    <w:rPr>
                      <w:rFonts w:hint="default" w:ascii="Times New Roman" w:hAnsi="Times New Roman" w:eastAsia="仿宋" w:cs="Times New Roman"/>
                      <w:b/>
                      <w:bCs/>
                      <w:color w:val="auto"/>
                    </w:rPr>
                    <w:t>-N</w:t>
                  </w:r>
                </w:p>
              </w:tc>
              <w:tc>
                <w:tcPr>
                  <w:tcW w:w="690" w:type="pct"/>
                  <w:tcBorders>
                    <w:top w:val="single" w:color="auto" w:sz="4" w:space="0"/>
                  </w:tcBorders>
                  <w:noWrap w:val="0"/>
                  <w:vAlign w:val="center"/>
                </w:tcPr>
                <w:p w14:paraId="0246E8E5">
                  <w:pPr>
                    <w:adjustRightInd w:val="0"/>
                    <w:snapToGrid w:val="0"/>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TP</w:t>
                  </w:r>
                </w:p>
              </w:tc>
              <w:tc>
                <w:tcPr>
                  <w:tcW w:w="788" w:type="pct"/>
                  <w:tcBorders>
                    <w:top w:val="single" w:color="auto" w:sz="4" w:space="0"/>
                  </w:tcBorders>
                  <w:noWrap w:val="0"/>
                  <w:vAlign w:val="center"/>
                </w:tcPr>
                <w:p w14:paraId="3CF04D9B">
                  <w:pPr>
                    <w:adjustRightInd w:val="0"/>
                    <w:snapToGrid w:val="0"/>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TN</w:t>
                  </w:r>
                </w:p>
              </w:tc>
            </w:tr>
            <w:tr w14:paraId="15D5C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vMerge w:val="restart"/>
                  <w:noWrap w:val="0"/>
                  <w:vAlign w:val="center"/>
                </w:tcPr>
                <w:p w14:paraId="6EBC4BC7">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szCs w:val="21"/>
                      <w:lang w:eastAsia="zh-CN"/>
                    </w:rPr>
                    <w:t>薛埠河</w:t>
                  </w:r>
                </w:p>
              </w:tc>
              <w:tc>
                <w:tcPr>
                  <w:tcW w:w="372" w:type="pct"/>
                  <w:vMerge w:val="restart"/>
                  <w:noWrap w:val="0"/>
                  <w:vAlign w:val="center"/>
                </w:tcPr>
                <w:p w14:paraId="146D8D4D">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W1</w:t>
                  </w:r>
                </w:p>
              </w:tc>
              <w:tc>
                <w:tcPr>
                  <w:tcW w:w="675" w:type="pct"/>
                  <w:noWrap w:val="0"/>
                  <w:vAlign w:val="center"/>
                </w:tcPr>
                <w:p w14:paraId="70CCC5F9">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浓度范围</w:t>
                  </w:r>
                </w:p>
              </w:tc>
              <w:tc>
                <w:tcPr>
                  <w:tcW w:w="674" w:type="pct"/>
                  <w:noWrap w:val="0"/>
                  <w:vAlign w:val="center"/>
                </w:tcPr>
                <w:p w14:paraId="3A890AEA">
                  <w:pPr>
                    <w:jc w:val="center"/>
                    <w:rPr>
                      <w:rFonts w:hint="default" w:ascii="Times New Roman" w:hAnsi="Times New Roman" w:eastAsia="仿宋" w:cs="Times New Roman"/>
                      <w:color w:val="auto"/>
                      <w:kern w:val="10"/>
                      <w:lang w:eastAsia="zh-CN"/>
                    </w:rPr>
                  </w:pPr>
                  <w:r>
                    <w:rPr>
                      <w:rFonts w:hint="default" w:ascii="Times New Roman" w:hAnsi="Times New Roman" w:eastAsia="仿宋" w:cs="Times New Roman"/>
                      <w:color w:val="auto"/>
                      <w:kern w:val="10"/>
                    </w:rPr>
                    <w:t>7.</w:t>
                  </w:r>
                  <w:r>
                    <w:rPr>
                      <w:rFonts w:hint="default" w:ascii="Times New Roman" w:hAnsi="Times New Roman" w:eastAsia="仿宋" w:cs="Times New Roman"/>
                      <w:color w:val="auto"/>
                      <w:kern w:val="10"/>
                      <w:lang w:val="en-US" w:eastAsia="zh-CN"/>
                    </w:rPr>
                    <w:t>2</w:t>
                  </w:r>
                  <w:r>
                    <w:rPr>
                      <w:rFonts w:hint="default" w:ascii="Times New Roman" w:hAnsi="Times New Roman" w:eastAsia="仿宋" w:cs="Times New Roman"/>
                      <w:color w:val="auto"/>
                    </w:rPr>
                    <w:t>~</w:t>
                  </w:r>
                  <w:r>
                    <w:rPr>
                      <w:rFonts w:hint="default" w:ascii="Times New Roman" w:hAnsi="Times New Roman" w:eastAsia="仿宋" w:cs="Times New Roman"/>
                      <w:color w:val="auto"/>
                      <w:kern w:val="10"/>
                    </w:rPr>
                    <w:t>7.</w:t>
                  </w:r>
                  <w:r>
                    <w:rPr>
                      <w:rFonts w:hint="default" w:ascii="Times New Roman" w:hAnsi="Times New Roman" w:eastAsia="仿宋" w:cs="Times New Roman"/>
                      <w:color w:val="auto"/>
                      <w:kern w:val="10"/>
                      <w:lang w:val="en-US" w:eastAsia="zh-CN"/>
                    </w:rPr>
                    <w:t>3</w:t>
                  </w:r>
                </w:p>
              </w:tc>
              <w:tc>
                <w:tcPr>
                  <w:tcW w:w="487" w:type="pct"/>
                  <w:noWrap w:val="0"/>
                  <w:vAlign w:val="center"/>
                </w:tcPr>
                <w:p w14:paraId="32846734">
                  <w:pPr>
                    <w:jc w:val="center"/>
                    <w:rPr>
                      <w:rFonts w:hint="default" w:ascii="Times New Roman" w:hAnsi="Times New Roman" w:eastAsia="仿宋" w:cs="Times New Roman"/>
                      <w:color w:val="auto"/>
                      <w:kern w:val="10"/>
                      <w:lang w:val="en-US" w:eastAsia="zh-CN"/>
                    </w:rPr>
                  </w:pPr>
                  <w:r>
                    <w:rPr>
                      <w:rFonts w:hint="default" w:ascii="Times New Roman" w:hAnsi="Times New Roman" w:eastAsia="仿宋" w:cs="Times New Roman"/>
                      <w:color w:val="auto"/>
                      <w:kern w:val="10"/>
                      <w:lang w:val="en-US" w:eastAsia="zh-CN"/>
                    </w:rPr>
                    <w:t>12</w:t>
                  </w:r>
                  <w:r>
                    <w:rPr>
                      <w:rFonts w:hint="default" w:ascii="Times New Roman" w:hAnsi="Times New Roman" w:eastAsia="仿宋" w:cs="Times New Roman"/>
                      <w:color w:val="auto"/>
                    </w:rPr>
                    <w:t>~</w:t>
                  </w:r>
                  <w:r>
                    <w:rPr>
                      <w:rFonts w:hint="default" w:ascii="Times New Roman" w:hAnsi="Times New Roman" w:eastAsia="仿宋" w:cs="Times New Roman"/>
                      <w:color w:val="auto"/>
                      <w:kern w:val="10"/>
                      <w:lang w:val="en-US" w:eastAsia="zh-CN"/>
                    </w:rPr>
                    <w:t>13</w:t>
                  </w:r>
                </w:p>
              </w:tc>
              <w:tc>
                <w:tcPr>
                  <w:tcW w:w="754" w:type="pct"/>
                  <w:noWrap w:val="0"/>
                  <w:vAlign w:val="center"/>
                </w:tcPr>
                <w:p w14:paraId="0DA2D17C">
                  <w:pPr>
                    <w:jc w:val="center"/>
                    <w:rPr>
                      <w:rFonts w:hint="default" w:ascii="Times New Roman" w:hAnsi="Times New Roman" w:eastAsia="仿宋" w:cs="Times New Roman"/>
                      <w:color w:val="auto"/>
                      <w:kern w:val="10"/>
                      <w:lang w:val="en-US" w:eastAsia="zh-CN"/>
                    </w:rPr>
                  </w:pPr>
                  <w:r>
                    <w:rPr>
                      <w:rFonts w:hint="default" w:ascii="Times New Roman" w:hAnsi="Times New Roman" w:eastAsia="仿宋" w:cs="Times New Roman"/>
                      <w:color w:val="auto"/>
                      <w:kern w:val="10"/>
                      <w:lang w:val="en-US" w:eastAsia="zh-CN"/>
                    </w:rPr>
                    <w:t>0.412</w:t>
                  </w:r>
                  <w:r>
                    <w:rPr>
                      <w:rFonts w:hint="default" w:ascii="Times New Roman" w:hAnsi="Times New Roman" w:eastAsia="仿宋" w:cs="Times New Roman"/>
                      <w:color w:val="auto"/>
                    </w:rPr>
                    <w:t>~</w:t>
                  </w:r>
                  <w:r>
                    <w:rPr>
                      <w:rFonts w:hint="default" w:ascii="Times New Roman" w:hAnsi="Times New Roman" w:eastAsia="仿宋" w:cs="Times New Roman"/>
                      <w:color w:val="auto"/>
                      <w:kern w:val="10"/>
                      <w:lang w:val="en-US" w:eastAsia="zh-CN"/>
                    </w:rPr>
                    <w:t>0.448</w:t>
                  </w:r>
                </w:p>
              </w:tc>
              <w:tc>
                <w:tcPr>
                  <w:tcW w:w="1200" w:type="dxa"/>
                  <w:noWrap w:val="0"/>
                  <w:vAlign w:val="center"/>
                </w:tcPr>
                <w:p w14:paraId="2E50A804">
                  <w:pPr>
                    <w:jc w:val="center"/>
                    <w:rPr>
                      <w:rFonts w:hint="default" w:ascii="Times New Roman" w:hAnsi="Times New Roman" w:eastAsia="仿宋" w:cs="Times New Roman"/>
                      <w:color w:val="auto"/>
                      <w:kern w:val="10"/>
                      <w:lang w:val="en-US" w:eastAsia="zh-CN"/>
                    </w:rPr>
                  </w:pPr>
                  <w:r>
                    <w:rPr>
                      <w:rFonts w:hint="default" w:ascii="Times New Roman" w:hAnsi="Times New Roman" w:eastAsia="仿宋" w:cs="Times New Roman"/>
                      <w:color w:val="auto"/>
                      <w:kern w:val="10"/>
                      <w:lang w:val="en-US" w:eastAsia="zh-CN"/>
                    </w:rPr>
                    <w:t>0.11</w:t>
                  </w:r>
                  <w:r>
                    <w:rPr>
                      <w:rFonts w:hint="default" w:ascii="Times New Roman" w:hAnsi="Times New Roman" w:eastAsia="仿宋" w:cs="Times New Roman"/>
                      <w:color w:val="auto"/>
                    </w:rPr>
                    <w:t>~</w:t>
                  </w:r>
                  <w:r>
                    <w:rPr>
                      <w:rFonts w:hint="default" w:ascii="Times New Roman" w:hAnsi="Times New Roman" w:eastAsia="仿宋" w:cs="Times New Roman"/>
                      <w:color w:val="auto"/>
                      <w:kern w:val="10"/>
                      <w:lang w:val="en-US" w:eastAsia="zh-CN"/>
                    </w:rPr>
                    <w:t>0.13</w:t>
                  </w:r>
                </w:p>
              </w:tc>
              <w:tc>
                <w:tcPr>
                  <w:tcW w:w="788" w:type="pct"/>
                  <w:noWrap w:val="0"/>
                  <w:vAlign w:val="center"/>
                </w:tcPr>
                <w:p w14:paraId="4D4F5189">
                  <w:pPr>
                    <w:jc w:val="center"/>
                    <w:rPr>
                      <w:rFonts w:hint="default" w:ascii="Times New Roman" w:hAnsi="Times New Roman" w:eastAsia="仿宋" w:cs="Times New Roman"/>
                      <w:color w:val="auto"/>
                      <w:kern w:val="10"/>
                    </w:rPr>
                  </w:pPr>
                  <w:r>
                    <w:rPr>
                      <w:rFonts w:hint="default" w:ascii="Times New Roman" w:hAnsi="Times New Roman" w:eastAsia="仿宋" w:cs="Times New Roman"/>
                      <w:color w:val="auto"/>
                      <w:kern w:val="10"/>
                    </w:rPr>
                    <w:t>0.</w:t>
                  </w:r>
                  <w:r>
                    <w:rPr>
                      <w:rFonts w:hint="default" w:ascii="Times New Roman" w:hAnsi="Times New Roman" w:eastAsia="仿宋" w:cs="Times New Roman"/>
                      <w:color w:val="auto"/>
                      <w:kern w:val="10"/>
                      <w:lang w:val="en-US" w:eastAsia="zh-CN"/>
                    </w:rPr>
                    <w:t>82</w:t>
                  </w:r>
                  <w:r>
                    <w:rPr>
                      <w:rFonts w:hint="default" w:ascii="Times New Roman" w:hAnsi="Times New Roman" w:eastAsia="仿宋" w:cs="Times New Roman"/>
                      <w:color w:val="auto"/>
                    </w:rPr>
                    <w:t>~</w:t>
                  </w:r>
                  <w:r>
                    <w:rPr>
                      <w:rFonts w:hint="default" w:ascii="Times New Roman" w:hAnsi="Times New Roman" w:eastAsia="仿宋" w:cs="Times New Roman"/>
                      <w:color w:val="auto"/>
                      <w:kern w:val="10"/>
                    </w:rPr>
                    <w:t>0.</w:t>
                  </w:r>
                  <w:r>
                    <w:rPr>
                      <w:rFonts w:hint="default" w:ascii="Times New Roman" w:hAnsi="Times New Roman" w:eastAsia="仿宋" w:cs="Times New Roman"/>
                      <w:color w:val="auto"/>
                      <w:kern w:val="10"/>
                      <w:lang w:val="en-US" w:eastAsia="zh-CN"/>
                    </w:rPr>
                    <w:t>94</w:t>
                  </w:r>
                </w:p>
              </w:tc>
            </w:tr>
            <w:tr w14:paraId="32145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vMerge w:val="continue"/>
                  <w:noWrap w:val="0"/>
                  <w:vAlign w:val="center"/>
                </w:tcPr>
                <w:p w14:paraId="45048F33">
                  <w:pPr>
                    <w:adjustRightInd w:val="0"/>
                    <w:snapToGrid w:val="0"/>
                    <w:jc w:val="center"/>
                    <w:rPr>
                      <w:rFonts w:hint="default" w:ascii="Times New Roman" w:hAnsi="Times New Roman" w:eastAsia="仿宋" w:cs="Times New Roman"/>
                      <w:color w:val="auto"/>
                    </w:rPr>
                  </w:pPr>
                </w:p>
              </w:tc>
              <w:tc>
                <w:tcPr>
                  <w:tcW w:w="372" w:type="pct"/>
                  <w:vMerge w:val="continue"/>
                  <w:noWrap w:val="0"/>
                  <w:vAlign w:val="center"/>
                </w:tcPr>
                <w:p w14:paraId="7108A4D7">
                  <w:pPr>
                    <w:adjustRightInd w:val="0"/>
                    <w:snapToGrid w:val="0"/>
                    <w:jc w:val="center"/>
                    <w:rPr>
                      <w:rFonts w:hint="default" w:ascii="Times New Roman" w:hAnsi="Times New Roman" w:eastAsia="仿宋" w:cs="Times New Roman"/>
                      <w:color w:val="auto"/>
                    </w:rPr>
                  </w:pPr>
                </w:p>
              </w:tc>
              <w:tc>
                <w:tcPr>
                  <w:tcW w:w="675" w:type="pct"/>
                  <w:noWrap w:val="0"/>
                  <w:vAlign w:val="center"/>
                </w:tcPr>
                <w:p w14:paraId="091AFAF2">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超标率</w:t>
                  </w:r>
                </w:p>
              </w:tc>
              <w:tc>
                <w:tcPr>
                  <w:tcW w:w="674" w:type="pct"/>
                  <w:noWrap w:val="0"/>
                  <w:vAlign w:val="center"/>
                </w:tcPr>
                <w:p w14:paraId="6BB5CEF2">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0</w:t>
                  </w:r>
                </w:p>
              </w:tc>
              <w:tc>
                <w:tcPr>
                  <w:tcW w:w="487" w:type="pct"/>
                  <w:noWrap w:val="0"/>
                  <w:vAlign w:val="center"/>
                </w:tcPr>
                <w:p w14:paraId="6F82C4E3">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0</w:t>
                  </w:r>
                </w:p>
              </w:tc>
              <w:tc>
                <w:tcPr>
                  <w:tcW w:w="754" w:type="pct"/>
                  <w:noWrap w:val="0"/>
                  <w:vAlign w:val="center"/>
                </w:tcPr>
                <w:p w14:paraId="3E62C206">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0</w:t>
                  </w:r>
                </w:p>
              </w:tc>
              <w:tc>
                <w:tcPr>
                  <w:tcW w:w="1200" w:type="dxa"/>
                  <w:noWrap w:val="0"/>
                  <w:vAlign w:val="center"/>
                </w:tcPr>
                <w:p w14:paraId="72B592F7">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0</w:t>
                  </w:r>
                </w:p>
              </w:tc>
              <w:tc>
                <w:tcPr>
                  <w:tcW w:w="788" w:type="pct"/>
                  <w:noWrap w:val="0"/>
                  <w:vAlign w:val="center"/>
                </w:tcPr>
                <w:p w14:paraId="79AF3BE8">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0</w:t>
                  </w:r>
                </w:p>
              </w:tc>
            </w:tr>
            <w:tr w14:paraId="75E3A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vMerge w:val="continue"/>
                  <w:noWrap w:val="0"/>
                  <w:vAlign w:val="center"/>
                </w:tcPr>
                <w:p w14:paraId="0E6727F3">
                  <w:pPr>
                    <w:adjustRightInd w:val="0"/>
                    <w:snapToGrid w:val="0"/>
                    <w:jc w:val="center"/>
                    <w:rPr>
                      <w:rFonts w:hint="default" w:ascii="Times New Roman" w:hAnsi="Times New Roman" w:eastAsia="仿宋" w:cs="Times New Roman"/>
                      <w:color w:val="auto"/>
                    </w:rPr>
                  </w:pPr>
                </w:p>
              </w:tc>
              <w:tc>
                <w:tcPr>
                  <w:tcW w:w="372" w:type="pct"/>
                  <w:vMerge w:val="restart"/>
                  <w:noWrap w:val="0"/>
                  <w:vAlign w:val="center"/>
                </w:tcPr>
                <w:p w14:paraId="1BDD4802">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W2</w:t>
                  </w:r>
                </w:p>
              </w:tc>
              <w:tc>
                <w:tcPr>
                  <w:tcW w:w="675" w:type="pct"/>
                  <w:noWrap w:val="0"/>
                  <w:vAlign w:val="center"/>
                </w:tcPr>
                <w:p w14:paraId="7819B56C">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浓度范围</w:t>
                  </w:r>
                </w:p>
              </w:tc>
              <w:tc>
                <w:tcPr>
                  <w:tcW w:w="674" w:type="pct"/>
                  <w:noWrap w:val="0"/>
                  <w:vAlign w:val="center"/>
                </w:tcPr>
                <w:p w14:paraId="5BDDEA1D">
                  <w:pPr>
                    <w:jc w:val="center"/>
                    <w:rPr>
                      <w:rFonts w:hint="default" w:ascii="Times New Roman" w:hAnsi="Times New Roman" w:eastAsia="仿宋" w:cs="Times New Roman"/>
                      <w:color w:val="auto"/>
                      <w:kern w:val="10"/>
                    </w:rPr>
                  </w:pPr>
                  <w:r>
                    <w:rPr>
                      <w:rFonts w:hint="default" w:ascii="Times New Roman" w:hAnsi="Times New Roman" w:eastAsia="仿宋" w:cs="Times New Roman"/>
                      <w:color w:val="auto"/>
                      <w:kern w:val="10"/>
                    </w:rPr>
                    <w:t>7.1</w:t>
                  </w:r>
                  <w:r>
                    <w:rPr>
                      <w:rFonts w:hint="default" w:ascii="Times New Roman" w:hAnsi="Times New Roman" w:eastAsia="仿宋" w:cs="Times New Roman"/>
                      <w:color w:val="auto"/>
                    </w:rPr>
                    <w:t>~</w:t>
                  </w:r>
                  <w:r>
                    <w:rPr>
                      <w:rFonts w:hint="default" w:ascii="Times New Roman" w:hAnsi="Times New Roman" w:eastAsia="仿宋" w:cs="Times New Roman"/>
                      <w:color w:val="auto"/>
                      <w:kern w:val="10"/>
                    </w:rPr>
                    <w:t>7.2</w:t>
                  </w:r>
                </w:p>
              </w:tc>
              <w:tc>
                <w:tcPr>
                  <w:tcW w:w="487" w:type="pct"/>
                  <w:noWrap w:val="0"/>
                  <w:vAlign w:val="center"/>
                </w:tcPr>
                <w:p w14:paraId="30B9D48A">
                  <w:pPr>
                    <w:jc w:val="center"/>
                    <w:rPr>
                      <w:rFonts w:hint="default" w:ascii="Times New Roman" w:hAnsi="Times New Roman" w:eastAsia="仿宋" w:cs="Times New Roman"/>
                      <w:color w:val="auto"/>
                      <w:kern w:val="10"/>
                      <w:lang w:val="en-US" w:eastAsia="zh-CN"/>
                    </w:rPr>
                  </w:pPr>
                  <w:r>
                    <w:rPr>
                      <w:rFonts w:hint="default" w:ascii="Times New Roman" w:hAnsi="Times New Roman" w:eastAsia="仿宋" w:cs="Times New Roman"/>
                      <w:color w:val="auto"/>
                      <w:kern w:val="10"/>
                      <w:lang w:val="en-US" w:eastAsia="zh-CN"/>
                    </w:rPr>
                    <w:t>16</w:t>
                  </w:r>
                  <w:r>
                    <w:rPr>
                      <w:rFonts w:hint="default" w:ascii="Times New Roman" w:hAnsi="Times New Roman" w:eastAsia="仿宋" w:cs="Times New Roman"/>
                      <w:color w:val="auto"/>
                    </w:rPr>
                    <w:t>~</w:t>
                  </w:r>
                  <w:r>
                    <w:rPr>
                      <w:rFonts w:hint="default" w:ascii="Times New Roman" w:hAnsi="Times New Roman" w:eastAsia="仿宋" w:cs="Times New Roman"/>
                      <w:color w:val="auto"/>
                      <w:kern w:val="10"/>
                      <w:lang w:val="en-US" w:eastAsia="zh-CN"/>
                    </w:rPr>
                    <w:t>17</w:t>
                  </w:r>
                </w:p>
              </w:tc>
              <w:tc>
                <w:tcPr>
                  <w:tcW w:w="754" w:type="pct"/>
                  <w:noWrap w:val="0"/>
                  <w:vAlign w:val="center"/>
                </w:tcPr>
                <w:p w14:paraId="0172E361">
                  <w:pPr>
                    <w:jc w:val="center"/>
                    <w:rPr>
                      <w:rFonts w:hint="default" w:ascii="Times New Roman" w:hAnsi="Times New Roman" w:eastAsia="仿宋" w:cs="Times New Roman"/>
                      <w:color w:val="auto"/>
                      <w:kern w:val="10"/>
                      <w:lang w:val="en-US" w:eastAsia="zh-CN"/>
                    </w:rPr>
                  </w:pPr>
                  <w:r>
                    <w:rPr>
                      <w:rFonts w:hint="default" w:ascii="Times New Roman" w:hAnsi="Times New Roman" w:eastAsia="仿宋" w:cs="Times New Roman"/>
                      <w:color w:val="auto"/>
                      <w:kern w:val="10"/>
                      <w:lang w:val="en-US" w:eastAsia="zh-CN"/>
                    </w:rPr>
                    <w:t>0.44</w:t>
                  </w:r>
                  <w:r>
                    <w:rPr>
                      <w:rFonts w:hint="default" w:ascii="Times New Roman" w:hAnsi="Times New Roman" w:eastAsia="仿宋" w:cs="Times New Roman"/>
                      <w:color w:val="auto"/>
                    </w:rPr>
                    <w:t>~</w:t>
                  </w:r>
                  <w:r>
                    <w:rPr>
                      <w:rFonts w:hint="default" w:ascii="Times New Roman" w:hAnsi="Times New Roman" w:eastAsia="仿宋" w:cs="Times New Roman"/>
                      <w:color w:val="auto"/>
                      <w:kern w:val="10"/>
                      <w:lang w:val="en-US" w:eastAsia="zh-CN"/>
                    </w:rPr>
                    <w:t>0.464</w:t>
                  </w:r>
                </w:p>
              </w:tc>
              <w:tc>
                <w:tcPr>
                  <w:tcW w:w="1200" w:type="dxa"/>
                  <w:noWrap w:val="0"/>
                  <w:vAlign w:val="center"/>
                </w:tcPr>
                <w:p w14:paraId="77009A94">
                  <w:pPr>
                    <w:jc w:val="center"/>
                    <w:rPr>
                      <w:rFonts w:hint="default" w:ascii="Times New Roman" w:hAnsi="Times New Roman" w:eastAsia="仿宋" w:cs="Times New Roman"/>
                      <w:color w:val="auto"/>
                      <w:kern w:val="10"/>
                      <w:lang w:val="en-US" w:eastAsia="zh-CN"/>
                    </w:rPr>
                  </w:pPr>
                  <w:r>
                    <w:rPr>
                      <w:rFonts w:hint="default" w:ascii="Times New Roman" w:hAnsi="Times New Roman" w:eastAsia="仿宋" w:cs="Times New Roman"/>
                      <w:color w:val="auto"/>
                      <w:kern w:val="10"/>
                      <w:lang w:val="en-US" w:eastAsia="zh-CN"/>
                    </w:rPr>
                    <w:t>0.10</w:t>
                  </w:r>
                  <w:r>
                    <w:rPr>
                      <w:rFonts w:hint="default" w:ascii="Times New Roman" w:hAnsi="Times New Roman" w:eastAsia="仿宋" w:cs="Times New Roman"/>
                      <w:color w:val="auto"/>
                    </w:rPr>
                    <w:t>~</w:t>
                  </w:r>
                  <w:r>
                    <w:rPr>
                      <w:rFonts w:hint="default" w:ascii="Times New Roman" w:hAnsi="Times New Roman" w:eastAsia="仿宋" w:cs="Times New Roman"/>
                      <w:color w:val="auto"/>
                      <w:kern w:val="10"/>
                      <w:lang w:val="en-US" w:eastAsia="zh-CN"/>
                    </w:rPr>
                    <w:t>0.14</w:t>
                  </w:r>
                </w:p>
              </w:tc>
              <w:tc>
                <w:tcPr>
                  <w:tcW w:w="788" w:type="pct"/>
                  <w:noWrap w:val="0"/>
                  <w:vAlign w:val="center"/>
                </w:tcPr>
                <w:p w14:paraId="2AD1E768">
                  <w:pPr>
                    <w:jc w:val="center"/>
                    <w:rPr>
                      <w:rFonts w:hint="default" w:ascii="Times New Roman" w:hAnsi="Times New Roman" w:eastAsia="仿宋" w:cs="Times New Roman"/>
                      <w:color w:val="auto"/>
                      <w:kern w:val="10"/>
                      <w:lang w:val="en-US" w:eastAsia="zh-CN"/>
                    </w:rPr>
                  </w:pPr>
                  <w:r>
                    <w:rPr>
                      <w:rFonts w:hint="default" w:ascii="Times New Roman" w:hAnsi="Times New Roman" w:eastAsia="仿宋" w:cs="Times New Roman"/>
                      <w:color w:val="auto"/>
                      <w:kern w:val="10"/>
                    </w:rPr>
                    <w:t>0.</w:t>
                  </w:r>
                  <w:r>
                    <w:rPr>
                      <w:rFonts w:hint="default" w:ascii="Times New Roman" w:hAnsi="Times New Roman" w:eastAsia="仿宋" w:cs="Times New Roman"/>
                      <w:color w:val="auto"/>
                      <w:kern w:val="10"/>
                      <w:lang w:val="en-US" w:eastAsia="zh-CN"/>
                    </w:rPr>
                    <w:t>8</w:t>
                  </w:r>
                  <w:r>
                    <w:rPr>
                      <w:rFonts w:hint="default" w:ascii="Times New Roman" w:hAnsi="Times New Roman" w:eastAsia="仿宋" w:cs="Times New Roman"/>
                      <w:color w:val="auto"/>
                    </w:rPr>
                    <w:t>~</w:t>
                  </w:r>
                  <w:r>
                    <w:rPr>
                      <w:rFonts w:hint="default" w:ascii="Times New Roman" w:hAnsi="Times New Roman" w:eastAsia="仿宋" w:cs="Times New Roman"/>
                      <w:color w:val="auto"/>
                      <w:kern w:val="10"/>
                    </w:rPr>
                    <w:t>0</w:t>
                  </w:r>
                  <w:r>
                    <w:rPr>
                      <w:rFonts w:hint="default" w:ascii="Times New Roman" w:hAnsi="Times New Roman" w:eastAsia="仿宋" w:cs="Times New Roman"/>
                      <w:color w:val="auto"/>
                      <w:kern w:val="10"/>
                      <w:lang w:val="en-US" w:eastAsia="zh-CN"/>
                    </w:rPr>
                    <w:t>.94</w:t>
                  </w:r>
                </w:p>
              </w:tc>
            </w:tr>
            <w:tr w14:paraId="69616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vMerge w:val="continue"/>
                  <w:noWrap w:val="0"/>
                  <w:vAlign w:val="center"/>
                </w:tcPr>
                <w:p w14:paraId="2312886B">
                  <w:pPr>
                    <w:adjustRightInd w:val="0"/>
                    <w:snapToGrid w:val="0"/>
                    <w:jc w:val="center"/>
                    <w:rPr>
                      <w:rFonts w:hint="default" w:ascii="Times New Roman" w:hAnsi="Times New Roman" w:eastAsia="仿宋" w:cs="Times New Roman"/>
                      <w:color w:val="auto"/>
                    </w:rPr>
                  </w:pPr>
                </w:p>
              </w:tc>
              <w:tc>
                <w:tcPr>
                  <w:tcW w:w="372" w:type="pct"/>
                  <w:vMerge w:val="continue"/>
                  <w:noWrap w:val="0"/>
                  <w:vAlign w:val="center"/>
                </w:tcPr>
                <w:p w14:paraId="506DB345">
                  <w:pPr>
                    <w:adjustRightInd w:val="0"/>
                    <w:snapToGrid w:val="0"/>
                    <w:jc w:val="center"/>
                    <w:rPr>
                      <w:rFonts w:hint="default" w:ascii="Times New Roman" w:hAnsi="Times New Roman" w:eastAsia="仿宋" w:cs="Times New Roman"/>
                      <w:color w:val="auto"/>
                    </w:rPr>
                  </w:pPr>
                </w:p>
              </w:tc>
              <w:tc>
                <w:tcPr>
                  <w:tcW w:w="675" w:type="pct"/>
                  <w:noWrap w:val="0"/>
                  <w:vAlign w:val="center"/>
                </w:tcPr>
                <w:p w14:paraId="26674EAF">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超标率</w:t>
                  </w:r>
                </w:p>
              </w:tc>
              <w:tc>
                <w:tcPr>
                  <w:tcW w:w="674" w:type="pct"/>
                  <w:noWrap w:val="0"/>
                  <w:vAlign w:val="center"/>
                </w:tcPr>
                <w:p w14:paraId="58C731DF">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0</w:t>
                  </w:r>
                </w:p>
              </w:tc>
              <w:tc>
                <w:tcPr>
                  <w:tcW w:w="487" w:type="pct"/>
                  <w:noWrap w:val="0"/>
                  <w:vAlign w:val="center"/>
                </w:tcPr>
                <w:p w14:paraId="010ABF1D">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0</w:t>
                  </w:r>
                </w:p>
              </w:tc>
              <w:tc>
                <w:tcPr>
                  <w:tcW w:w="754" w:type="pct"/>
                  <w:noWrap w:val="0"/>
                  <w:vAlign w:val="center"/>
                </w:tcPr>
                <w:p w14:paraId="796F0A64">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0</w:t>
                  </w:r>
                </w:p>
              </w:tc>
              <w:tc>
                <w:tcPr>
                  <w:tcW w:w="690" w:type="pct"/>
                  <w:noWrap w:val="0"/>
                  <w:vAlign w:val="center"/>
                </w:tcPr>
                <w:p w14:paraId="5EB809E9">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0</w:t>
                  </w:r>
                </w:p>
              </w:tc>
              <w:tc>
                <w:tcPr>
                  <w:tcW w:w="788" w:type="pct"/>
                  <w:noWrap w:val="0"/>
                  <w:vAlign w:val="center"/>
                </w:tcPr>
                <w:p w14:paraId="1014BE27">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0</w:t>
                  </w:r>
                </w:p>
              </w:tc>
            </w:tr>
            <w:tr w14:paraId="3CD23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pct"/>
                  <w:gridSpan w:val="3"/>
                  <w:tcBorders>
                    <w:bottom w:val="single" w:color="auto" w:sz="4" w:space="0"/>
                  </w:tcBorders>
                  <w:noWrap w:val="0"/>
                  <w:vAlign w:val="center"/>
                </w:tcPr>
                <w:p w14:paraId="275CEA53">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IV类标准</w:t>
                  </w:r>
                </w:p>
              </w:tc>
              <w:tc>
                <w:tcPr>
                  <w:tcW w:w="674" w:type="pct"/>
                  <w:tcBorders>
                    <w:bottom w:val="single" w:color="auto" w:sz="4" w:space="0"/>
                  </w:tcBorders>
                  <w:noWrap w:val="0"/>
                  <w:vAlign w:val="center"/>
                </w:tcPr>
                <w:p w14:paraId="34D20219">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6~9</w:t>
                  </w:r>
                </w:p>
              </w:tc>
              <w:tc>
                <w:tcPr>
                  <w:tcW w:w="487" w:type="pct"/>
                  <w:tcBorders>
                    <w:bottom w:val="single" w:color="auto" w:sz="4" w:space="0"/>
                  </w:tcBorders>
                  <w:noWrap w:val="0"/>
                  <w:vAlign w:val="center"/>
                </w:tcPr>
                <w:p w14:paraId="525AC1F5">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≤30</w:t>
                  </w:r>
                </w:p>
              </w:tc>
              <w:tc>
                <w:tcPr>
                  <w:tcW w:w="754" w:type="pct"/>
                  <w:tcBorders>
                    <w:bottom w:val="single" w:color="auto" w:sz="4" w:space="0"/>
                  </w:tcBorders>
                  <w:noWrap w:val="0"/>
                  <w:vAlign w:val="center"/>
                </w:tcPr>
                <w:p w14:paraId="7C224042">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≤1.5</w:t>
                  </w:r>
                </w:p>
              </w:tc>
              <w:tc>
                <w:tcPr>
                  <w:tcW w:w="690" w:type="pct"/>
                  <w:tcBorders>
                    <w:bottom w:val="single" w:color="auto" w:sz="4" w:space="0"/>
                  </w:tcBorders>
                  <w:noWrap w:val="0"/>
                  <w:vAlign w:val="center"/>
                </w:tcPr>
                <w:p w14:paraId="39D7692B">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≤0.3</w:t>
                  </w:r>
                </w:p>
              </w:tc>
              <w:tc>
                <w:tcPr>
                  <w:tcW w:w="788" w:type="pct"/>
                  <w:tcBorders>
                    <w:bottom w:val="single" w:color="auto" w:sz="4" w:space="0"/>
                  </w:tcBorders>
                  <w:noWrap w:val="0"/>
                  <w:vAlign w:val="center"/>
                </w:tcPr>
                <w:p w14:paraId="0A4B73BA">
                  <w:pPr>
                    <w:adjustRightInd w:val="0"/>
                    <w:snapToGrid w:val="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w:t>
                  </w:r>
                  <w:r>
                    <w:rPr>
                      <w:rFonts w:hint="default" w:ascii="Times New Roman" w:hAnsi="Times New Roman" w:eastAsia="仿宋" w:cs="Times New Roman"/>
                      <w:color w:val="auto"/>
                      <w:lang w:val="en-US" w:eastAsia="zh-CN"/>
                    </w:rPr>
                    <w:t>1.5</w:t>
                  </w:r>
                </w:p>
              </w:tc>
            </w:tr>
          </w:tbl>
          <w:p w14:paraId="26255F3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eastAsia="zh-CN"/>
              </w:rPr>
              <w:t>注：监测期间</w:t>
            </w:r>
            <w:r>
              <w:rPr>
                <w:rFonts w:hint="default" w:ascii="Times New Roman" w:hAnsi="Times New Roman" w:eastAsia="仿宋" w:cs="Times New Roman"/>
                <w:color w:val="auto"/>
                <w:szCs w:val="21"/>
                <w:lang w:eastAsia="zh-CN"/>
              </w:rPr>
              <w:t>薛埠河</w:t>
            </w:r>
            <w:r>
              <w:rPr>
                <w:rFonts w:hint="default" w:ascii="Times New Roman" w:hAnsi="Times New Roman" w:eastAsia="仿宋" w:cs="Times New Roman"/>
                <w:b w:val="0"/>
                <w:bCs w:val="0"/>
                <w:color w:val="auto"/>
                <w:szCs w:val="21"/>
              </w:rPr>
              <w:t>水温处于</w:t>
            </w:r>
            <w:r>
              <w:rPr>
                <w:rFonts w:hint="default" w:ascii="Times New Roman" w:hAnsi="Times New Roman" w:eastAsia="仿宋" w:cs="Times New Roman"/>
                <w:b w:val="0"/>
                <w:bCs w:val="0"/>
                <w:color w:val="auto"/>
                <w:szCs w:val="21"/>
                <w:lang w:val="en-US" w:eastAsia="zh-CN"/>
              </w:rPr>
              <w:t>13.6</w:t>
            </w:r>
            <w:r>
              <w:rPr>
                <w:rFonts w:hint="default" w:ascii="Times New Roman" w:hAnsi="Times New Roman" w:eastAsia="仿宋" w:cs="Times New Roman"/>
                <w:b w:val="0"/>
                <w:bCs w:val="0"/>
                <w:color w:val="auto"/>
                <w:szCs w:val="21"/>
              </w:rPr>
              <w:t>~</w:t>
            </w:r>
            <w:r>
              <w:rPr>
                <w:rFonts w:hint="default" w:ascii="Times New Roman" w:hAnsi="Times New Roman" w:eastAsia="仿宋" w:cs="Times New Roman"/>
                <w:b w:val="0"/>
                <w:bCs w:val="0"/>
                <w:color w:val="auto"/>
                <w:szCs w:val="21"/>
                <w:lang w:val="en-US" w:eastAsia="zh-CN"/>
              </w:rPr>
              <w:t>15.7</w:t>
            </w:r>
            <w:r>
              <w:rPr>
                <w:rFonts w:hint="default" w:ascii="Times New Roman" w:hAnsi="Times New Roman" w:eastAsia="仿宋" w:cs="Times New Roman"/>
                <w:b w:val="0"/>
                <w:bCs w:val="0"/>
                <w:color w:val="auto"/>
                <w:szCs w:val="21"/>
              </w:rPr>
              <w:t>℃范围内</w:t>
            </w:r>
            <w:r>
              <w:rPr>
                <w:rFonts w:hint="default" w:ascii="Times New Roman" w:hAnsi="Times New Roman" w:eastAsia="仿宋" w:cs="Times New Roman"/>
                <w:bCs/>
                <w:color w:val="auto"/>
                <w:sz w:val="21"/>
                <w:szCs w:val="21"/>
                <w:highlight w:val="none"/>
              </w:rPr>
              <w:t>。</w:t>
            </w:r>
          </w:p>
          <w:p w14:paraId="062BD5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val="zh-CN"/>
              </w:rPr>
            </w:pPr>
            <w:r>
              <w:rPr>
                <w:rFonts w:hint="default" w:ascii="Times New Roman" w:hAnsi="Times New Roman" w:eastAsia="仿宋" w:cs="Times New Roman"/>
                <w:bCs/>
                <w:color w:val="auto"/>
                <w:sz w:val="24"/>
                <w:highlight w:val="none"/>
                <w:lang w:val="zh-CN"/>
              </w:rPr>
              <w:t>监测统计结果表明：</w:t>
            </w:r>
            <w:r>
              <w:rPr>
                <w:rFonts w:hint="default" w:ascii="Times New Roman" w:hAnsi="Times New Roman" w:eastAsia="仿宋" w:cs="Times New Roman"/>
                <w:bCs/>
                <w:color w:val="auto"/>
                <w:sz w:val="24"/>
                <w:highlight w:val="none"/>
                <w:lang w:val="zh-CN" w:eastAsia="zh-CN"/>
              </w:rPr>
              <w:t>薛埠河</w:t>
            </w:r>
            <w:r>
              <w:rPr>
                <w:rFonts w:hint="default" w:ascii="Times New Roman" w:hAnsi="Times New Roman" w:eastAsia="仿宋" w:cs="Times New Roman"/>
                <w:bCs/>
                <w:color w:val="auto"/>
                <w:sz w:val="24"/>
                <w:highlight w:val="none"/>
                <w:lang w:val="zh-CN"/>
              </w:rPr>
              <w:t>监测断面的各监测因子均可以达到《地表水环境质量标准》（GB3838-2002）IV类标准。</w:t>
            </w:r>
          </w:p>
          <w:p w14:paraId="5DFE483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3、声环境质量现状</w:t>
            </w:r>
          </w:p>
          <w:p w14:paraId="6D1D1C54">
            <w:pPr>
              <w:keepNext w:val="0"/>
              <w:keepLines w:val="0"/>
              <w:pageBreakBefore w:val="0"/>
              <w:widowControl w:val="0"/>
              <w:tabs>
                <w:tab w:val="left" w:pos="6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color w:val="auto"/>
                <w:kern w:val="2"/>
                <w:sz w:val="24"/>
                <w:szCs w:val="24"/>
                <w:highlight w:val="none"/>
                <w:lang w:val="en-US" w:eastAsia="zh-CN" w:bidi="ar-SA"/>
              </w:rPr>
              <w:t>本项目厂界外周边 50 米范围内不存在声环境保护目标。</w:t>
            </w:r>
          </w:p>
          <w:p w14:paraId="1FA7538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4、生态环境现状</w:t>
            </w:r>
          </w:p>
          <w:p w14:paraId="693F2F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Cs/>
                <w:color w:val="auto"/>
                <w:sz w:val="24"/>
              </w:rPr>
              <w:t>本项目不新增建设用地，用地范围内无生态环境保护目标。根据《建设项目环境影响报告表编制技术指南（污染影响类）》（试行），无需开展生态环境现状调查。</w:t>
            </w:r>
          </w:p>
          <w:p w14:paraId="44EB983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5、地下水</w:t>
            </w:r>
            <w:r>
              <w:rPr>
                <w:rFonts w:hint="default" w:ascii="Times New Roman" w:hAnsi="Times New Roman" w:eastAsia="仿宋" w:cs="Times New Roman"/>
                <w:b/>
                <w:color w:val="auto"/>
                <w:sz w:val="24"/>
                <w:lang w:val="en-US" w:eastAsia="zh-CN"/>
              </w:rPr>
              <w:t>、</w:t>
            </w:r>
            <w:r>
              <w:rPr>
                <w:rFonts w:hint="default" w:ascii="Times New Roman" w:hAnsi="Times New Roman" w:eastAsia="仿宋" w:cs="Times New Roman"/>
                <w:b/>
                <w:color w:val="auto"/>
                <w:sz w:val="24"/>
              </w:rPr>
              <w:t>土壤环境质量现状</w:t>
            </w:r>
          </w:p>
          <w:p w14:paraId="7DA25A4E">
            <w:pPr>
              <w:keepNext w:val="0"/>
              <w:keepLines w:val="0"/>
              <w:pageBreakBefore w:val="0"/>
              <w:widowControl w:val="0"/>
              <w:tabs>
                <w:tab w:val="left" w:pos="6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rPr>
              <w:t>对照《建设项目环境影响报告表编制技术指南（污染影响类）（试行）》，原则上不开展土壤、地下水环境质量现状调查。建设单位在落实分区防控的情况下，可阻断土壤、地下水环境污染途径，故不开展土壤、地下水环境质量现状调查。</w:t>
            </w:r>
          </w:p>
          <w:p w14:paraId="5FA2CA9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val="en-US" w:eastAsia="zh-CN"/>
              </w:rPr>
              <w:t>6</w:t>
            </w:r>
            <w:r>
              <w:rPr>
                <w:rFonts w:hint="default" w:ascii="Times New Roman" w:hAnsi="Times New Roman" w:eastAsia="仿宋" w:cs="Times New Roman"/>
                <w:b/>
                <w:color w:val="auto"/>
                <w:sz w:val="24"/>
              </w:rPr>
              <w:t>、辐射</w:t>
            </w:r>
          </w:p>
          <w:p w14:paraId="42C9718F">
            <w:pPr>
              <w:keepNext w:val="0"/>
              <w:keepLines w:val="0"/>
              <w:pageBreakBefore w:val="0"/>
              <w:widowControl w:val="0"/>
              <w:tabs>
                <w:tab w:val="left" w:pos="6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本项目不属于广播电台、差转台、电视塔台、卫星地球上行站、雷达等电磁辐射类项目。</w:t>
            </w:r>
          </w:p>
          <w:p w14:paraId="29397F96">
            <w:pPr>
              <w:tabs>
                <w:tab w:val="left" w:pos="630"/>
              </w:tabs>
              <w:adjustRightInd w:val="0"/>
              <w:snapToGrid w:val="0"/>
              <w:spacing w:line="500" w:lineRule="exact"/>
              <w:ind w:firstLine="480" w:firstLineChars="200"/>
              <w:rPr>
                <w:rFonts w:hint="default" w:ascii="Times New Roman" w:hAnsi="Times New Roman" w:eastAsia="仿宋" w:cs="Times New Roman"/>
                <w:bCs/>
                <w:color w:val="auto"/>
                <w:sz w:val="24"/>
              </w:rPr>
            </w:pPr>
          </w:p>
          <w:p w14:paraId="1E86B3B0">
            <w:pPr>
              <w:tabs>
                <w:tab w:val="left" w:pos="630"/>
              </w:tabs>
              <w:adjustRightInd w:val="0"/>
              <w:snapToGrid w:val="0"/>
              <w:spacing w:line="500" w:lineRule="exac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br w:type="textWrapping"/>
            </w:r>
            <w:r>
              <w:rPr>
                <w:rFonts w:hint="default" w:ascii="Times New Roman" w:hAnsi="Times New Roman" w:eastAsia="仿宋" w:cs="Times New Roman"/>
                <w:bCs/>
                <w:color w:val="auto"/>
                <w:sz w:val="24"/>
              </w:rPr>
              <w:br w:type="textWrapping"/>
            </w:r>
          </w:p>
        </w:tc>
      </w:tr>
      <w:tr w14:paraId="05F1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32" w:type="dxa"/>
            <w:vAlign w:val="center"/>
          </w:tcPr>
          <w:p w14:paraId="4292EBC2">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环境</w:t>
            </w:r>
          </w:p>
          <w:p w14:paraId="50842620">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保护</w:t>
            </w:r>
          </w:p>
          <w:p w14:paraId="52A6BCDB">
            <w:pPr>
              <w:adjustRightInd w:val="0"/>
              <w:snapToGrid w:val="0"/>
              <w:jc w:val="center"/>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rPr>
              <w:t>目标</w:t>
            </w:r>
          </w:p>
        </w:tc>
        <w:tc>
          <w:tcPr>
            <w:tcW w:w="8228" w:type="dxa"/>
            <w:vAlign w:val="top"/>
          </w:tcPr>
          <w:p w14:paraId="0611A1AA">
            <w:pPr>
              <w:adjustRightInd w:val="0"/>
              <w:snapToGrid w:val="0"/>
              <w:spacing w:line="500" w:lineRule="exact"/>
              <w:ind w:firstLine="480" w:firstLineChars="200"/>
              <w:jc w:val="both"/>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1、大气环境</w:t>
            </w:r>
          </w:p>
          <w:p w14:paraId="2041C0CA">
            <w:pPr>
              <w:pStyle w:val="95"/>
              <w:rPr>
                <w:rFonts w:hint="default" w:ascii="Times New Roman" w:hAnsi="Times New Roman" w:eastAsia="仿宋" w:cs="Times New Roman"/>
                <w:color w:val="auto"/>
              </w:rPr>
            </w:pPr>
            <w:r>
              <w:rPr>
                <w:rFonts w:hint="default" w:ascii="Times New Roman" w:hAnsi="Times New Roman" w:eastAsia="仿宋" w:cs="Times New Roman"/>
                <w:color w:val="auto"/>
              </w:rPr>
              <w:t>表3-</w:t>
            </w:r>
            <w:r>
              <w:rPr>
                <w:rFonts w:hint="eastAsia" w:eastAsia="仿宋" w:cs="Times New Roman"/>
                <w:color w:val="auto"/>
                <w:lang w:val="en-US" w:eastAsia="zh-CN"/>
              </w:rPr>
              <w:t>5</w:t>
            </w:r>
            <w:r>
              <w:rPr>
                <w:rFonts w:hint="default" w:ascii="Times New Roman" w:hAnsi="Times New Roman" w:eastAsia="仿宋" w:cs="Times New Roman"/>
                <w:color w:val="auto"/>
              </w:rPr>
              <w:t xml:space="preserve"> 主要</w:t>
            </w:r>
            <w:r>
              <w:rPr>
                <w:rFonts w:hint="default" w:ascii="Times New Roman" w:hAnsi="Times New Roman" w:eastAsia="仿宋" w:cs="Times New Roman"/>
                <w:color w:val="auto"/>
                <w:lang w:eastAsia="zh-CN"/>
              </w:rPr>
              <w:t>大气</w:t>
            </w:r>
            <w:r>
              <w:rPr>
                <w:rFonts w:hint="default" w:ascii="Times New Roman" w:hAnsi="Times New Roman" w:eastAsia="仿宋" w:cs="Times New Roman"/>
                <w:color w:val="auto"/>
              </w:rPr>
              <w:t>环境保护目标一览表</w:t>
            </w:r>
          </w:p>
          <w:tbl>
            <w:tblPr>
              <w:tblStyle w:val="2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206"/>
              <w:gridCol w:w="1109"/>
              <w:gridCol w:w="512"/>
              <w:gridCol w:w="684"/>
              <w:gridCol w:w="1783"/>
              <w:gridCol w:w="855"/>
              <w:gridCol w:w="1008"/>
            </w:tblGrid>
            <w:tr w14:paraId="0C7CD0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noWrap w:val="0"/>
                  <w:vAlign w:val="center"/>
                </w:tcPr>
                <w:p w14:paraId="3E43ED80">
                  <w:pPr>
                    <w:pStyle w:val="96"/>
                    <w:rPr>
                      <w:rFonts w:hint="default" w:ascii="Times New Roman" w:hAnsi="Times New Roman" w:eastAsia="仿宋" w:cs="Times New Roman"/>
                      <w:color w:val="auto"/>
                    </w:rPr>
                  </w:pPr>
                  <w:r>
                    <w:rPr>
                      <w:rFonts w:hint="default" w:ascii="Times New Roman" w:hAnsi="Times New Roman" w:eastAsia="仿宋" w:cs="Times New Roman"/>
                      <w:color w:val="auto"/>
                    </w:rPr>
                    <w:t>保护目标名称</w:t>
                  </w:r>
                </w:p>
              </w:tc>
              <w:tc>
                <w:tcPr>
                  <w:tcW w:w="0" w:type="auto"/>
                  <w:gridSpan w:val="2"/>
                  <w:noWrap w:val="0"/>
                  <w:vAlign w:val="center"/>
                </w:tcPr>
                <w:p w14:paraId="23A69CA9">
                  <w:pPr>
                    <w:pStyle w:val="96"/>
                    <w:rPr>
                      <w:rFonts w:hint="default" w:ascii="Times New Roman" w:hAnsi="Times New Roman" w:eastAsia="仿宋" w:cs="Times New Roman"/>
                      <w:color w:val="auto"/>
                    </w:rPr>
                  </w:pPr>
                  <w:r>
                    <w:rPr>
                      <w:rFonts w:hint="default" w:ascii="Times New Roman" w:hAnsi="Times New Roman" w:eastAsia="仿宋" w:cs="Times New Roman"/>
                      <w:color w:val="auto"/>
                    </w:rPr>
                    <w:t>坐标</w:t>
                  </w:r>
                </w:p>
              </w:tc>
              <w:tc>
                <w:tcPr>
                  <w:tcW w:w="0" w:type="auto"/>
                  <w:vMerge w:val="restart"/>
                  <w:noWrap w:val="0"/>
                  <w:vAlign w:val="center"/>
                </w:tcPr>
                <w:p w14:paraId="03605782">
                  <w:pPr>
                    <w:pStyle w:val="96"/>
                    <w:rPr>
                      <w:rFonts w:hint="default" w:ascii="Times New Roman" w:hAnsi="Times New Roman" w:eastAsia="仿宋" w:cs="Times New Roman"/>
                      <w:color w:val="auto"/>
                    </w:rPr>
                  </w:pPr>
                  <w:r>
                    <w:rPr>
                      <w:rFonts w:hint="default" w:ascii="Times New Roman" w:hAnsi="Times New Roman" w:eastAsia="仿宋" w:cs="Times New Roman"/>
                      <w:color w:val="auto"/>
                    </w:rPr>
                    <w:t>保护</w:t>
                  </w:r>
                </w:p>
                <w:p w14:paraId="11A1419D">
                  <w:pPr>
                    <w:pStyle w:val="96"/>
                    <w:rPr>
                      <w:rFonts w:hint="default" w:ascii="Times New Roman" w:hAnsi="Times New Roman" w:eastAsia="仿宋" w:cs="Times New Roman"/>
                      <w:color w:val="auto"/>
                    </w:rPr>
                  </w:pPr>
                  <w:r>
                    <w:rPr>
                      <w:rFonts w:hint="default" w:ascii="Times New Roman" w:hAnsi="Times New Roman" w:eastAsia="仿宋" w:cs="Times New Roman"/>
                      <w:color w:val="auto"/>
                    </w:rPr>
                    <w:t>对象</w:t>
                  </w:r>
                </w:p>
              </w:tc>
              <w:tc>
                <w:tcPr>
                  <w:tcW w:w="0" w:type="auto"/>
                  <w:vMerge w:val="restart"/>
                  <w:noWrap w:val="0"/>
                  <w:vAlign w:val="center"/>
                </w:tcPr>
                <w:p w14:paraId="3D14E9EE">
                  <w:pPr>
                    <w:pStyle w:val="96"/>
                    <w:rPr>
                      <w:rFonts w:hint="default" w:ascii="Times New Roman" w:hAnsi="Times New Roman" w:eastAsia="仿宋" w:cs="Times New Roman"/>
                      <w:color w:val="auto"/>
                    </w:rPr>
                  </w:pPr>
                  <w:r>
                    <w:rPr>
                      <w:rFonts w:hint="default" w:ascii="Times New Roman" w:hAnsi="Times New Roman" w:eastAsia="仿宋" w:cs="Times New Roman"/>
                      <w:color w:val="auto"/>
                    </w:rPr>
                    <w:t>保护内容</w:t>
                  </w:r>
                </w:p>
              </w:tc>
              <w:tc>
                <w:tcPr>
                  <w:tcW w:w="0" w:type="auto"/>
                  <w:vMerge w:val="restart"/>
                  <w:noWrap w:val="0"/>
                  <w:vAlign w:val="center"/>
                </w:tcPr>
                <w:p w14:paraId="3764D1BB">
                  <w:pPr>
                    <w:pStyle w:val="96"/>
                    <w:rPr>
                      <w:rFonts w:hint="default" w:ascii="Times New Roman" w:hAnsi="Times New Roman" w:eastAsia="仿宋" w:cs="Times New Roman"/>
                      <w:color w:val="auto"/>
                    </w:rPr>
                  </w:pPr>
                  <w:r>
                    <w:rPr>
                      <w:rFonts w:hint="default" w:ascii="Times New Roman" w:hAnsi="Times New Roman" w:eastAsia="仿宋" w:cs="Times New Roman"/>
                      <w:color w:val="auto"/>
                    </w:rPr>
                    <w:t>环境功能</w:t>
                  </w:r>
                </w:p>
              </w:tc>
              <w:tc>
                <w:tcPr>
                  <w:tcW w:w="0" w:type="auto"/>
                  <w:vMerge w:val="restart"/>
                  <w:noWrap w:val="0"/>
                  <w:vAlign w:val="center"/>
                </w:tcPr>
                <w:p w14:paraId="38AF72FE">
                  <w:pPr>
                    <w:pStyle w:val="96"/>
                    <w:rPr>
                      <w:rFonts w:hint="default" w:ascii="Times New Roman" w:hAnsi="Times New Roman" w:eastAsia="仿宋" w:cs="Times New Roman"/>
                      <w:color w:val="auto"/>
                    </w:rPr>
                  </w:pPr>
                  <w:r>
                    <w:rPr>
                      <w:rFonts w:hint="default" w:ascii="Times New Roman" w:hAnsi="Times New Roman" w:eastAsia="仿宋" w:cs="Times New Roman"/>
                      <w:color w:val="auto"/>
                    </w:rPr>
                    <w:t>相对厂址方位</w:t>
                  </w:r>
                </w:p>
              </w:tc>
              <w:tc>
                <w:tcPr>
                  <w:tcW w:w="0" w:type="auto"/>
                  <w:vMerge w:val="restart"/>
                  <w:noWrap w:val="0"/>
                  <w:vAlign w:val="center"/>
                </w:tcPr>
                <w:p w14:paraId="606CFA04">
                  <w:pPr>
                    <w:pStyle w:val="96"/>
                    <w:rPr>
                      <w:rFonts w:hint="default" w:ascii="Times New Roman" w:hAnsi="Times New Roman" w:eastAsia="仿宋" w:cs="Times New Roman"/>
                      <w:color w:val="auto"/>
                    </w:rPr>
                  </w:pPr>
                  <w:r>
                    <w:rPr>
                      <w:rFonts w:hint="default" w:ascii="Times New Roman" w:hAnsi="Times New Roman" w:eastAsia="仿宋" w:cs="Times New Roman"/>
                      <w:color w:val="auto"/>
                    </w:rPr>
                    <w:t>相对厂界距离/m</w:t>
                  </w:r>
                </w:p>
              </w:tc>
            </w:tr>
            <w:tr w14:paraId="52A11C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14:paraId="1E359C5C">
                  <w:pPr>
                    <w:pStyle w:val="96"/>
                    <w:rPr>
                      <w:rFonts w:hint="default" w:ascii="Times New Roman" w:hAnsi="Times New Roman" w:eastAsia="仿宋" w:cs="Times New Roman"/>
                      <w:color w:val="auto"/>
                    </w:rPr>
                  </w:pPr>
                </w:p>
              </w:tc>
              <w:tc>
                <w:tcPr>
                  <w:tcW w:w="0" w:type="auto"/>
                  <w:noWrap w:val="0"/>
                  <w:vAlign w:val="center"/>
                </w:tcPr>
                <w:p w14:paraId="4F7B1D87">
                  <w:pPr>
                    <w:pStyle w:val="96"/>
                    <w:rPr>
                      <w:rFonts w:hint="default" w:ascii="Times New Roman" w:hAnsi="Times New Roman" w:eastAsia="仿宋" w:cs="Times New Roman"/>
                      <w:color w:val="auto"/>
                    </w:rPr>
                  </w:pPr>
                  <w:r>
                    <w:rPr>
                      <w:rFonts w:hint="default" w:ascii="Times New Roman" w:hAnsi="Times New Roman" w:eastAsia="仿宋" w:cs="Times New Roman"/>
                      <w:color w:val="auto"/>
                    </w:rPr>
                    <w:t>经度</w:t>
                  </w:r>
                </w:p>
              </w:tc>
              <w:tc>
                <w:tcPr>
                  <w:tcW w:w="0" w:type="auto"/>
                  <w:noWrap w:val="0"/>
                  <w:vAlign w:val="center"/>
                </w:tcPr>
                <w:p w14:paraId="505387D3">
                  <w:pPr>
                    <w:pStyle w:val="96"/>
                    <w:rPr>
                      <w:rFonts w:hint="default" w:ascii="Times New Roman" w:hAnsi="Times New Roman" w:eastAsia="仿宋" w:cs="Times New Roman"/>
                      <w:color w:val="auto"/>
                    </w:rPr>
                  </w:pPr>
                  <w:r>
                    <w:rPr>
                      <w:rFonts w:hint="default" w:ascii="Times New Roman" w:hAnsi="Times New Roman" w:eastAsia="仿宋" w:cs="Times New Roman"/>
                      <w:color w:val="auto"/>
                    </w:rPr>
                    <w:t>纬度</w:t>
                  </w:r>
                </w:p>
              </w:tc>
              <w:tc>
                <w:tcPr>
                  <w:tcW w:w="0" w:type="auto"/>
                  <w:vMerge w:val="continue"/>
                  <w:noWrap w:val="0"/>
                  <w:vAlign w:val="center"/>
                </w:tcPr>
                <w:p w14:paraId="01222BA7">
                  <w:pPr>
                    <w:pStyle w:val="96"/>
                    <w:rPr>
                      <w:rFonts w:hint="default" w:ascii="Times New Roman" w:hAnsi="Times New Roman" w:eastAsia="仿宋" w:cs="Times New Roman"/>
                      <w:color w:val="auto"/>
                    </w:rPr>
                  </w:pPr>
                </w:p>
              </w:tc>
              <w:tc>
                <w:tcPr>
                  <w:tcW w:w="0" w:type="auto"/>
                  <w:vMerge w:val="continue"/>
                  <w:noWrap w:val="0"/>
                  <w:vAlign w:val="center"/>
                </w:tcPr>
                <w:p w14:paraId="2E1CE9AF">
                  <w:pPr>
                    <w:pStyle w:val="96"/>
                    <w:rPr>
                      <w:rFonts w:hint="default" w:ascii="Times New Roman" w:hAnsi="Times New Roman" w:eastAsia="仿宋" w:cs="Times New Roman"/>
                      <w:color w:val="auto"/>
                    </w:rPr>
                  </w:pPr>
                </w:p>
              </w:tc>
              <w:tc>
                <w:tcPr>
                  <w:tcW w:w="0" w:type="auto"/>
                  <w:vMerge w:val="continue"/>
                  <w:noWrap w:val="0"/>
                  <w:vAlign w:val="center"/>
                </w:tcPr>
                <w:p w14:paraId="3AE12EC5">
                  <w:pPr>
                    <w:pStyle w:val="96"/>
                    <w:rPr>
                      <w:rFonts w:hint="default" w:ascii="Times New Roman" w:hAnsi="Times New Roman" w:eastAsia="仿宋" w:cs="Times New Roman"/>
                      <w:color w:val="auto"/>
                    </w:rPr>
                  </w:pPr>
                </w:p>
              </w:tc>
              <w:tc>
                <w:tcPr>
                  <w:tcW w:w="0" w:type="auto"/>
                  <w:vMerge w:val="continue"/>
                  <w:noWrap w:val="0"/>
                  <w:vAlign w:val="center"/>
                </w:tcPr>
                <w:p w14:paraId="35C67494">
                  <w:pPr>
                    <w:pStyle w:val="96"/>
                    <w:rPr>
                      <w:rFonts w:hint="default" w:ascii="Times New Roman" w:hAnsi="Times New Roman" w:eastAsia="仿宋" w:cs="Times New Roman"/>
                      <w:color w:val="auto"/>
                    </w:rPr>
                  </w:pPr>
                </w:p>
              </w:tc>
              <w:tc>
                <w:tcPr>
                  <w:tcW w:w="0" w:type="auto"/>
                  <w:vMerge w:val="continue"/>
                  <w:noWrap w:val="0"/>
                  <w:vAlign w:val="center"/>
                </w:tcPr>
                <w:p w14:paraId="3744DF50">
                  <w:pPr>
                    <w:pStyle w:val="96"/>
                    <w:rPr>
                      <w:rFonts w:hint="default" w:ascii="Times New Roman" w:hAnsi="Times New Roman" w:eastAsia="仿宋" w:cs="Times New Roman"/>
                      <w:color w:val="auto"/>
                    </w:rPr>
                  </w:pPr>
                </w:p>
              </w:tc>
            </w:tr>
            <w:tr w14:paraId="1E53EB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376AEF98">
                  <w:pPr>
                    <w:keepNext w:val="0"/>
                    <w:keepLines w:val="0"/>
                    <w:widowControl/>
                    <w:suppressLineNumbers w:val="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kern w:val="0"/>
                      <w:sz w:val="21"/>
                      <w:szCs w:val="21"/>
                      <w:lang w:val="en-US" w:eastAsia="zh-CN" w:bidi="ar"/>
                    </w:rPr>
                    <w:t>下坝村</w:t>
                  </w:r>
                </w:p>
              </w:tc>
              <w:tc>
                <w:tcPr>
                  <w:tcW w:w="0" w:type="auto"/>
                  <w:noWrap w:val="0"/>
                  <w:vAlign w:val="center"/>
                </w:tcPr>
                <w:p w14:paraId="54FDF643">
                  <w:pPr>
                    <w:pStyle w:val="96"/>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119.388417</w:t>
                  </w:r>
                </w:p>
              </w:tc>
              <w:tc>
                <w:tcPr>
                  <w:tcW w:w="0" w:type="auto"/>
                  <w:noWrap w:val="0"/>
                  <w:vAlign w:val="center"/>
                </w:tcPr>
                <w:p w14:paraId="21B28E07">
                  <w:pPr>
                    <w:pStyle w:val="96"/>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31.702986</w:t>
                  </w:r>
                </w:p>
              </w:tc>
              <w:tc>
                <w:tcPr>
                  <w:tcW w:w="0" w:type="auto"/>
                  <w:noWrap w:val="0"/>
                  <w:vAlign w:val="center"/>
                </w:tcPr>
                <w:p w14:paraId="4BE9B5F0">
                  <w:pPr>
                    <w:pStyle w:val="96"/>
                    <w:rPr>
                      <w:rFonts w:hint="default" w:ascii="Times New Roman" w:hAnsi="Times New Roman" w:eastAsia="仿宋" w:cs="Times New Roman"/>
                      <w:color w:val="auto"/>
                    </w:rPr>
                  </w:pPr>
                  <w:r>
                    <w:rPr>
                      <w:rFonts w:hint="default" w:ascii="Times New Roman" w:hAnsi="Times New Roman" w:eastAsia="仿宋" w:cs="Times New Roman"/>
                      <w:color w:val="auto"/>
                    </w:rPr>
                    <w:t>居民</w:t>
                  </w:r>
                </w:p>
              </w:tc>
              <w:tc>
                <w:tcPr>
                  <w:tcW w:w="0" w:type="auto"/>
                  <w:noWrap w:val="0"/>
                  <w:vAlign w:val="center"/>
                </w:tcPr>
                <w:p w14:paraId="2CAA69CA">
                  <w:pPr>
                    <w:pStyle w:val="96"/>
                    <w:rPr>
                      <w:rFonts w:hint="default" w:ascii="Times New Roman" w:hAnsi="Times New Roman" w:eastAsia="仿宋" w:cs="Times New Roman"/>
                      <w:color w:val="auto"/>
                      <w:lang w:val="en-US"/>
                    </w:rPr>
                  </w:pPr>
                  <w:r>
                    <w:rPr>
                      <w:rFonts w:hint="default" w:ascii="Times New Roman" w:hAnsi="Times New Roman" w:eastAsia="仿宋" w:cs="Times New Roman"/>
                      <w:color w:val="auto"/>
                      <w:lang w:val="en-US" w:eastAsia="zh-CN"/>
                    </w:rPr>
                    <w:t>30</w:t>
                  </w:r>
                  <w:r>
                    <w:rPr>
                      <w:rFonts w:hint="default" w:ascii="Times New Roman" w:hAnsi="Times New Roman" w:eastAsia="仿宋" w:cs="Times New Roman"/>
                      <w:color w:val="auto"/>
                    </w:rPr>
                    <w:t>人</w:t>
                  </w:r>
                </w:p>
              </w:tc>
              <w:tc>
                <w:tcPr>
                  <w:tcW w:w="0" w:type="auto"/>
                  <w:noWrap w:val="0"/>
                  <w:vAlign w:val="center"/>
                </w:tcPr>
                <w:p w14:paraId="1DA14D66">
                  <w:pPr>
                    <w:pStyle w:val="96"/>
                    <w:rPr>
                      <w:rFonts w:hint="default" w:ascii="Times New Roman" w:hAnsi="Times New Roman" w:eastAsia="仿宋" w:cs="Times New Roman"/>
                      <w:color w:val="auto"/>
                      <w:lang w:eastAsia="zh-CN"/>
                    </w:rPr>
                  </w:pPr>
                  <w:r>
                    <w:rPr>
                      <w:rFonts w:hint="default" w:ascii="Times New Roman" w:hAnsi="Times New Roman" w:eastAsia="仿宋" w:cs="Times New Roman"/>
                      <w:color w:val="auto"/>
                      <w:sz w:val="21"/>
                      <w:szCs w:val="21"/>
                    </w:rPr>
                    <w:t>GB3095-2012中二类区</w:t>
                  </w:r>
                </w:p>
              </w:tc>
              <w:tc>
                <w:tcPr>
                  <w:tcW w:w="0" w:type="auto"/>
                  <w:noWrap w:val="0"/>
                  <w:vAlign w:val="center"/>
                </w:tcPr>
                <w:p w14:paraId="355055A4">
                  <w:pPr>
                    <w:pStyle w:val="96"/>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S</w:t>
                  </w:r>
                </w:p>
              </w:tc>
              <w:tc>
                <w:tcPr>
                  <w:tcW w:w="0" w:type="auto"/>
                  <w:noWrap w:val="0"/>
                  <w:vAlign w:val="center"/>
                </w:tcPr>
                <w:p w14:paraId="02832E60">
                  <w:pPr>
                    <w:pStyle w:val="96"/>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420</w:t>
                  </w:r>
                </w:p>
              </w:tc>
            </w:tr>
          </w:tbl>
          <w:p w14:paraId="41FFF420">
            <w:pPr>
              <w:adjustRightInd w:val="0"/>
              <w:snapToGrid w:val="0"/>
              <w:spacing w:line="500" w:lineRule="exact"/>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2、声环境</w:t>
            </w:r>
          </w:p>
          <w:p w14:paraId="1DB8689B">
            <w:pPr>
              <w:adjustRightInd w:val="0"/>
              <w:snapToGrid w:val="0"/>
              <w:spacing w:line="500" w:lineRule="exact"/>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本项目厂界外50m范围内不存在声环境保护目标。</w:t>
            </w:r>
          </w:p>
          <w:p w14:paraId="296B223A">
            <w:pPr>
              <w:adjustRightInd w:val="0"/>
              <w:snapToGrid w:val="0"/>
              <w:spacing w:line="500" w:lineRule="exact"/>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3、地下水环境</w:t>
            </w:r>
          </w:p>
          <w:p w14:paraId="02265252">
            <w:pPr>
              <w:adjustRightInd w:val="0"/>
              <w:snapToGrid w:val="0"/>
              <w:spacing w:line="500" w:lineRule="exact"/>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厂界外500m范围内无地下水集中式饮用水水源和热水、矿泉水、温泉等特殊地下水资源。</w:t>
            </w:r>
          </w:p>
          <w:p w14:paraId="17FF06EF">
            <w:pPr>
              <w:adjustRightInd w:val="0"/>
              <w:snapToGrid w:val="0"/>
              <w:spacing w:line="500" w:lineRule="exact"/>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4、生态环境</w:t>
            </w:r>
          </w:p>
          <w:p w14:paraId="79D3EA36">
            <w:pPr>
              <w:adjustRightInd w:val="0"/>
              <w:snapToGrid w:val="0"/>
              <w:spacing w:line="500" w:lineRule="exact"/>
              <w:ind w:firstLine="480" w:firstLineChars="200"/>
              <w:jc w:val="both"/>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Cs/>
                <w:color w:val="FF0000"/>
                <w:sz w:val="24"/>
                <w:lang w:eastAsia="zh-CN"/>
              </w:rPr>
              <w:t>厂区雨水经雨水排放口排入园区市政雨水管网，最终进入附近的</w:t>
            </w:r>
            <w:r>
              <w:rPr>
                <w:rFonts w:hint="default" w:ascii="Times New Roman" w:hAnsi="Times New Roman" w:eastAsia="仿宋" w:cs="Times New Roman"/>
                <w:bCs/>
                <w:color w:val="FF0000"/>
                <w:sz w:val="24"/>
                <w:lang w:val="en-US" w:eastAsia="zh-CN"/>
              </w:rPr>
              <w:t>薛埠</w:t>
            </w:r>
            <w:r>
              <w:rPr>
                <w:rFonts w:hint="default" w:ascii="Times New Roman" w:hAnsi="Times New Roman" w:eastAsia="仿宋" w:cs="Times New Roman"/>
                <w:bCs/>
                <w:color w:val="FF0000"/>
                <w:sz w:val="24"/>
                <w:lang w:eastAsia="zh-CN"/>
              </w:rPr>
              <w:t>河</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距离本项目最近的国家级生态保护红线区域和江苏省生态空间管控区域为方山（</w:t>
            </w:r>
            <w:r>
              <w:rPr>
                <w:rFonts w:hint="eastAsia" w:eastAsia="仿宋" w:cs="Times New Roman"/>
                <w:bCs/>
                <w:color w:val="auto"/>
                <w:sz w:val="24"/>
                <w:lang w:eastAsia="zh-CN"/>
              </w:rPr>
              <w:t>金坛区</w:t>
            </w:r>
            <w:r>
              <w:rPr>
                <w:rFonts w:hint="default" w:ascii="Times New Roman" w:hAnsi="Times New Roman" w:eastAsia="仿宋" w:cs="Times New Roman"/>
                <w:bCs/>
                <w:color w:val="auto"/>
                <w:sz w:val="24"/>
              </w:rPr>
              <w:t>）森林公园，位</w:t>
            </w:r>
            <w:r>
              <w:rPr>
                <w:rFonts w:hint="default" w:ascii="Times New Roman" w:hAnsi="Times New Roman" w:eastAsia="仿宋" w:cs="Times New Roman"/>
                <w:bCs/>
                <w:color w:val="auto"/>
                <w:sz w:val="24"/>
                <w:szCs w:val="24"/>
              </w:rPr>
              <w:t>于项目</w:t>
            </w:r>
            <w:r>
              <w:rPr>
                <w:rFonts w:hint="default" w:ascii="Times New Roman" w:hAnsi="Times New Roman" w:eastAsia="仿宋" w:cs="Times New Roman"/>
                <w:bCs/>
                <w:color w:val="auto"/>
                <w:sz w:val="24"/>
                <w:szCs w:val="24"/>
                <w:lang w:val="en-US" w:eastAsia="zh-CN"/>
              </w:rPr>
              <w:t>西</w:t>
            </w:r>
            <w:r>
              <w:rPr>
                <w:rFonts w:hint="default" w:ascii="Times New Roman" w:hAnsi="Times New Roman" w:eastAsia="仿宋" w:cs="Times New Roman"/>
                <w:bCs/>
                <w:color w:val="auto"/>
                <w:sz w:val="24"/>
                <w:szCs w:val="24"/>
              </w:rPr>
              <w:t>侧</w:t>
            </w:r>
            <w:r>
              <w:rPr>
                <w:rFonts w:hint="default" w:ascii="Times New Roman" w:hAnsi="Times New Roman" w:eastAsia="仿宋" w:cs="Times New Roman"/>
                <w:bCs/>
                <w:color w:val="auto"/>
                <w:sz w:val="24"/>
                <w:szCs w:val="24"/>
                <w:lang w:val="en-US" w:eastAsia="zh-CN"/>
              </w:rPr>
              <w:t>5</w:t>
            </w:r>
            <w:r>
              <w:rPr>
                <w:rFonts w:hint="default" w:ascii="Times New Roman" w:hAnsi="Times New Roman" w:eastAsia="仿宋" w:cs="Times New Roman"/>
                <w:bCs/>
                <w:color w:val="auto"/>
                <w:sz w:val="24"/>
                <w:szCs w:val="24"/>
              </w:rPr>
              <w:t>km处，故不涉及生态环境保护目标。</w:t>
            </w:r>
          </w:p>
        </w:tc>
      </w:tr>
    </w:tbl>
    <w:p w14:paraId="04B22B5D">
      <w:pPr>
        <w:adjustRightInd w:val="0"/>
        <w:snapToGrid w:val="0"/>
        <w:jc w:val="center"/>
        <w:rPr>
          <w:rFonts w:hint="default" w:ascii="Times New Roman" w:hAnsi="Times New Roman" w:eastAsia="仿宋" w:cs="Times New Roman"/>
          <w:color w:val="auto"/>
          <w:kern w:val="0"/>
          <w:sz w:val="24"/>
        </w:rPr>
        <w:sectPr>
          <w:footerReference r:id="rId4"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tbl>
      <w:tblPr>
        <w:tblStyle w:val="27"/>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8152"/>
      </w:tblGrid>
      <w:tr w14:paraId="748E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5E0FE707">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污染</w:t>
            </w:r>
          </w:p>
          <w:p w14:paraId="0CEC9F2F">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物排</w:t>
            </w:r>
          </w:p>
          <w:p w14:paraId="38D8CF07">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放控</w:t>
            </w:r>
          </w:p>
          <w:p w14:paraId="6CBBBCE9">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制标</w:t>
            </w:r>
          </w:p>
          <w:p w14:paraId="39C0B3A9">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rPr>
              <w:t>准</w:t>
            </w:r>
          </w:p>
        </w:tc>
        <w:tc>
          <w:tcPr>
            <w:tcW w:w="8152" w:type="dxa"/>
            <w:vAlign w:val="center"/>
          </w:tcPr>
          <w:p w14:paraId="21254C7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1、废气</w:t>
            </w:r>
          </w:p>
          <w:p w14:paraId="459EA1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szCs w:val="24"/>
                <w:lang w:val="en-US" w:eastAsia="zh-CN"/>
              </w:rPr>
              <w:t>项目</w:t>
            </w:r>
            <w:r>
              <w:rPr>
                <w:rFonts w:hint="eastAsia" w:eastAsia="仿宋" w:cs="Times New Roman"/>
                <w:color w:val="auto"/>
                <w:sz w:val="24"/>
                <w:szCs w:val="24"/>
                <w:lang w:val="en-US" w:eastAsia="zh-CN"/>
              </w:rPr>
              <w:t>焊接、打磨、</w:t>
            </w:r>
            <w:r>
              <w:rPr>
                <w:rFonts w:hint="eastAsia" w:ascii="Times New Roman" w:hAnsi="Times New Roman" w:eastAsia="仿宋" w:cs="Times New Roman"/>
                <w:color w:val="auto"/>
                <w:sz w:val="24"/>
                <w:szCs w:val="24"/>
                <w:lang w:val="en-US" w:eastAsia="zh-CN"/>
              </w:rPr>
              <w:t>抛光</w:t>
            </w:r>
            <w:r>
              <w:rPr>
                <w:rFonts w:hint="default" w:ascii="Times New Roman" w:hAnsi="Times New Roman" w:eastAsia="仿宋" w:cs="Times New Roman"/>
                <w:color w:val="auto"/>
                <w:sz w:val="24"/>
                <w:szCs w:val="24"/>
                <w:lang w:val="en-US" w:eastAsia="zh-CN"/>
              </w:rPr>
              <w:t>、喷砂废气（颗粒物）和危废库房废气（非甲烷总烃）有组织排放执行《大气污染物综合排放标准》（DB32/4041-2021）表1中的标准；喷涂废气（非甲烷总烃、颗粒物）有组织排放执行《工业涂装工序大气污染物排放标准》（DB32/4439-2022）表1中的标准。</w:t>
            </w:r>
            <w:r>
              <w:rPr>
                <w:rFonts w:hint="default" w:ascii="Times New Roman" w:hAnsi="Times New Roman" w:eastAsia="仿宋" w:cs="Times New Roman"/>
                <w:color w:val="auto"/>
                <w:sz w:val="24"/>
              </w:rPr>
              <w:t>具体标准值见下表。</w:t>
            </w:r>
          </w:p>
          <w:p w14:paraId="6A616357">
            <w:pPr>
              <w:keepNext w:val="0"/>
              <w:keepLines w:val="0"/>
              <w:pageBreakBefore w:val="0"/>
              <w:widowControl w:val="0"/>
              <w:kinsoku/>
              <w:wordWrap/>
              <w:overflowPunct/>
              <w:topLinePunct w:val="0"/>
              <w:autoSpaceDE/>
              <w:autoSpaceDN/>
              <w:bidi w:val="0"/>
              <w:adjustRightInd w:val="0"/>
              <w:snapToGrid w:val="0"/>
              <w:spacing w:before="95" w:beforeLines="30" w:line="240" w:lineRule="auto"/>
              <w:ind w:left="0" w:leftChars="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w:t>
            </w:r>
            <w:r>
              <w:rPr>
                <w:rFonts w:hint="eastAsia" w:eastAsia="仿宋" w:cs="Times New Roman"/>
                <w:b/>
                <w:bCs/>
                <w:color w:val="auto"/>
                <w:sz w:val="21"/>
                <w:szCs w:val="21"/>
                <w:lang w:val="en-US" w:eastAsia="zh-CN"/>
              </w:rPr>
              <w:t>6</w:t>
            </w:r>
            <w:r>
              <w:rPr>
                <w:rFonts w:hint="default" w:ascii="Times New Roman" w:hAnsi="Times New Roman" w:eastAsia="仿宋" w:cs="Times New Roman"/>
                <w:b/>
                <w:bCs/>
                <w:color w:val="auto"/>
                <w:sz w:val="21"/>
                <w:szCs w:val="21"/>
                <w:lang w:val="en-US" w:eastAsia="zh-CN"/>
              </w:rPr>
              <w:t xml:space="preserve"> 大气污染物有组织排放标准</w:t>
            </w:r>
          </w:p>
          <w:tbl>
            <w:tblPr>
              <w:tblStyle w:val="27"/>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24"/>
              <w:gridCol w:w="799"/>
              <w:gridCol w:w="1338"/>
              <w:gridCol w:w="1500"/>
              <w:gridCol w:w="1293"/>
              <w:gridCol w:w="1320"/>
            </w:tblGrid>
            <w:tr w14:paraId="777492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03" w:hRule="atLeast"/>
              </w:trPr>
              <w:tc>
                <w:tcPr>
                  <w:tcW w:w="1524" w:type="dxa"/>
                  <w:noWrap w:val="0"/>
                  <w:vAlign w:val="center"/>
                </w:tcPr>
                <w:p w14:paraId="14DD8E13">
                  <w:pPr>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产污工序</w:t>
                  </w:r>
                </w:p>
              </w:tc>
              <w:tc>
                <w:tcPr>
                  <w:tcW w:w="799" w:type="dxa"/>
                  <w:noWrap w:val="0"/>
                  <w:vAlign w:val="center"/>
                </w:tcPr>
                <w:p w14:paraId="1071DCA9">
                  <w:pPr>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排气筒</w:t>
                  </w:r>
                </w:p>
              </w:tc>
              <w:tc>
                <w:tcPr>
                  <w:tcW w:w="1338" w:type="dxa"/>
                  <w:noWrap w:val="0"/>
                  <w:vAlign w:val="center"/>
                </w:tcPr>
                <w:p w14:paraId="124B959F">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污染物名称</w:t>
                  </w:r>
                </w:p>
              </w:tc>
              <w:tc>
                <w:tcPr>
                  <w:tcW w:w="1500" w:type="dxa"/>
                  <w:noWrap w:val="0"/>
                  <w:vAlign w:val="center"/>
                </w:tcPr>
                <w:p w14:paraId="1E7711C8">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最高允许排放浓度</w:t>
                  </w:r>
                  <w:r>
                    <w:rPr>
                      <w:rFonts w:hint="default" w:ascii="Times New Roman" w:hAnsi="Times New Roman" w:eastAsia="仿宋" w:cs="Times New Roman"/>
                      <w:color w:val="auto"/>
                      <w:kern w:val="0"/>
                      <w:szCs w:val="21"/>
                      <w:lang w:bidi="ar"/>
                    </w:rPr>
                    <w:t>（</w:t>
                  </w:r>
                  <w:r>
                    <w:rPr>
                      <w:rFonts w:hint="default" w:ascii="Times New Roman" w:hAnsi="Times New Roman" w:eastAsia="仿宋" w:cs="Times New Roman"/>
                      <w:color w:val="auto"/>
                      <w:szCs w:val="21"/>
                    </w:rPr>
                    <w:t>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kern w:val="0"/>
                      <w:szCs w:val="21"/>
                      <w:lang w:bidi="ar"/>
                    </w:rPr>
                    <w:t>）</w:t>
                  </w:r>
                </w:p>
              </w:tc>
              <w:tc>
                <w:tcPr>
                  <w:tcW w:w="1293" w:type="dxa"/>
                  <w:noWrap w:val="0"/>
                  <w:vAlign w:val="center"/>
                </w:tcPr>
                <w:p w14:paraId="7C14ACDC">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最高允许排放速率kg/h</w:t>
                  </w:r>
                </w:p>
              </w:tc>
              <w:tc>
                <w:tcPr>
                  <w:tcW w:w="1320" w:type="dxa"/>
                  <w:noWrap w:val="0"/>
                  <w:vAlign w:val="center"/>
                </w:tcPr>
                <w:p w14:paraId="25DFAB0F">
                  <w:pPr>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执行标准</w:t>
                  </w:r>
                </w:p>
              </w:tc>
            </w:tr>
            <w:tr w14:paraId="4B9B5D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1524" w:type="dxa"/>
                  <w:noWrap w:val="0"/>
                  <w:vAlign w:val="center"/>
                </w:tcPr>
                <w:p w14:paraId="6B418E50">
                  <w:pPr>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焊接、打磨、</w:t>
                  </w:r>
                  <w:r>
                    <w:rPr>
                      <w:rFonts w:hint="eastAsia" w:ascii="Times New Roman" w:hAnsi="Times New Roman" w:eastAsia="仿宋" w:cs="Times New Roman"/>
                      <w:color w:val="auto"/>
                      <w:sz w:val="21"/>
                      <w:szCs w:val="21"/>
                      <w:lang w:val="en-US" w:eastAsia="zh-CN"/>
                    </w:rPr>
                    <w:t>抛光</w:t>
                  </w:r>
                  <w:r>
                    <w:rPr>
                      <w:rFonts w:hint="default" w:ascii="Times New Roman" w:hAnsi="Times New Roman" w:eastAsia="仿宋" w:cs="Times New Roman"/>
                      <w:color w:val="auto"/>
                      <w:sz w:val="21"/>
                      <w:szCs w:val="21"/>
                      <w:lang w:val="en-US" w:eastAsia="zh-CN"/>
                    </w:rPr>
                    <w:t>、喷砂</w:t>
                  </w:r>
                </w:p>
              </w:tc>
              <w:tc>
                <w:tcPr>
                  <w:tcW w:w="799" w:type="dxa"/>
                  <w:noWrap w:val="0"/>
                  <w:vAlign w:val="center"/>
                </w:tcPr>
                <w:p w14:paraId="69BCD80E">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DA001、DA002</w:t>
                  </w:r>
                </w:p>
              </w:tc>
              <w:tc>
                <w:tcPr>
                  <w:tcW w:w="1338" w:type="dxa"/>
                  <w:noWrap w:val="0"/>
                  <w:vAlign w:val="center"/>
                </w:tcPr>
                <w:p w14:paraId="3EFEE531">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颗粒物</w:t>
                  </w:r>
                </w:p>
              </w:tc>
              <w:tc>
                <w:tcPr>
                  <w:tcW w:w="1500" w:type="dxa"/>
                  <w:noWrap w:val="0"/>
                  <w:vAlign w:val="center"/>
                </w:tcPr>
                <w:p w14:paraId="08CC59E9">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w:t>
                  </w:r>
                </w:p>
              </w:tc>
              <w:tc>
                <w:tcPr>
                  <w:tcW w:w="1293" w:type="dxa"/>
                  <w:noWrap w:val="0"/>
                  <w:vAlign w:val="center"/>
                </w:tcPr>
                <w:p w14:paraId="1E7DA4C5">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w:t>
                  </w:r>
                </w:p>
              </w:tc>
              <w:tc>
                <w:tcPr>
                  <w:tcW w:w="1320" w:type="dxa"/>
                  <w:vMerge w:val="restart"/>
                  <w:noWrap w:val="0"/>
                  <w:vAlign w:val="center"/>
                </w:tcPr>
                <w:p w14:paraId="18BD80EE">
                  <w:pPr>
                    <w:jc w:val="center"/>
                    <w:rPr>
                      <w:rFonts w:hint="default" w:ascii="Times New Roman" w:hAnsi="Times New Roman" w:eastAsia="仿宋" w:cs="Times New Roman"/>
                      <w:bCs/>
                      <w:color w:val="auto"/>
                      <w:sz w:val="21"/>
                      <w:szCs w:val="21"/>
                      <w:lang w:val="en-US"/>
                    </w:rPr>
                  </w:pPr>
                  <w:r>
                    <w:rPr>
                      <w:rFonts w:hint="default" w:ascii="Times New Roman" w:hAnsi="Times New Roman" w:eastAsia="仿宋" w:cs="Times New Roman"/>
                      <w:color w:val="auto"/>
                      <w:sz w:val="21"/>
                      <w:szCs w:val="21"/>
                      <w:lang w:val="en-US" w:eastAsia="zh-CN"/>
                    </w:rPr>
                    <w:t>DB32/4041-2021表1</w:t>
                  </w:r>
                </w:p>
              </w:tc>
            </w:tr>
            <w:tr w14:paraId="347F26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1524" w:type="dxa"/>
                  <w:noWrap w:val="0"/>
                  <w:vAlign w:val="center"/>
                </w:tcPr>
                <w:p w14:paraId="04D01C1B">
                  <w:pPr>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危废库房</w:t>
                  </w:r>
                </w:p>
              </w:tc>
              <w:tc>
                <w:tcPr>
                  <w:tcW w:w="799" w:type="dxa"/>
                  <w:noWrap w:val="0"/>
                  <w:vAlign w:val="center"/>
                </w:tcPr>
                <w:p w14:paraId="41792452">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DA004</w:t>
                  </w:r>
                </w:p>
              </w:tc>
              <w:tc>
                <w:tcPr>
                  <w:tcW w:w="1338" w:type="dxa"/>
                  <w:noWrap w:val="0"/>
                  <w:vAlign w:val="center"/>
                </w:tcPr>
                <w:p w14:paraId="32AF924E">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非甲烷总烃</w:t>
                  </w:r>
                </w:p>
              </w:tc>
              <w:tc>
                <w:tcPr>
                  <w:tcW w:w="1500" w:type="dxa"/>
                  <w:noWrap w:val="0"/>
                  <w:vAlign w:val="center"/>
                </w:tcPr>
                <w:p w14:paraId="204562D4">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60</w:t>
                  </w:r>
                </w:p>
              </w:tc>
              <w:tc>
                <w:tcPr>
                  <w:tcW w:w="1293" w:type="dxa"/>
                  <w:noWrap w:val="0"/>
                  <w:vAlign w:val="center"/>
                </w:tcPr>
                <w:p w14:paraId="000A1881">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w:t>
                  </w:r>
                </w:p>
              </w:tc>
              <w:tc>
                <w:tcPr>
                  <w:tcW w:w="1320" w:type="dxa"/>
                  <w:vMerge w:val="continue"/>
                  <w:noWrap w:val="0"/>
                  <w:vAlign w:val="center"/>
                </w:tcPr>
                <w:p w14:paraId="7E03F374">
                  <w:pPr>
                    <w:jc w:val="center"/>
                    <w:rPr>
                      <w:rFonts w:hint="default" w:ascii="Times New Roman" w:hAnsi="Times New Roman" w:eastAsia="仿宋" w:cs="Times New Roman"/>
                      <w:color w:val="auto"/>
                      <w:sz w:val="21"/>
                      <w:szCs w:val="21"/>
                      <w:lang w:val="en-US" w:eastAsia="zh-CN"/>
                    </w:rPr>
                  </w:pPr>
                </w:p>
              </w:tc>
            </w:tr>
            <w:tr w14:paraId="6344C3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1524" w:type="dxa"/>
                  <w:vMerge w:val="restart"/>
                  <w:noWrap w:val="0"/>
                  <w:vAlign w:val="center"/>
                </w:tcPr>
                <w:p w14:paraId="3369D1DC">
                  <w:pPr>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喷涂、烘干</w:t>
                  </w:r>
                </w:p>
              </w:tc>
              <w:tc>
                <w:tcPr>
                  <w:tcW w:w="799" w:type="dxa"/>
                  <w:vMerge w:val="restart"/>
                  <w:noWrap w:val="0"/>
                  <w:vAlign w:val="center"/>
                </w:tcPr>
                <w:p w14:paraId="311AB93E">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DA003</w:t>
                  </w:r>
                </w:p>
              </w:tc>
              <w:tc>
                <w:tcPr>
                  <w:tcW w:w="1338" w:type="dxa"/>
                  <w:noWrap w:val="0"/>
                  <w:vAlign w:val="center"/>
                </w:tcPr>
                <w:p w14:paraId="417C2B0A">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非甲烷总烃</w:t>
                  </w:r>
                </w:p>
              </w:tc>
              <w:tc>
                <w:tcPr>
                  <w:tcW w:w="1500" w:type="dxa"/>
                  <w:noWrap w:val="0"/>
                  <w:vAlign w:val="center"/>
                </w:tcPr>
                <w:p w14:paraId="7293B583">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w:t>
                  </w:r>
                </w:p>
              </w:tc>
              <w:tc>
                <w:tcPr>
                  <w:tcW w:w="1293" w:type="dxa"/>
                  <w:noWrap w:val="0"/>
                  <w:vAlign w:val="center"/>
                </w:tcPr>
                <w:p w14:paraId="75089760">
                  <w:pPr>
                    <w:snapToGrid w:val="0"/>
                    <w:jc w:val="center"/>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zCs w:val="21"/>
                      <w:lang w:val="en-US" w:eastAsia="zh-CN"/>
                    </w:rPr>
                    <w:t>2.0</w:t>
                  </w:r>
                </w:p>
              </w:tc>
              <w:tc>
                <w:tcPr>
                  <w:tcW w:w="1320" w:type="dxa"/>
                  <w:vMerge w:val="restart"/>
                  <w:noWrap w:val="0"/>
                  <w:vAlign w:val="center"/>
                </w:tcPr>
                <w:p w14:paraId="000B1268">
                  <w:pPr>
                    <w:jc w:val="center"/>
                    <w:rPr>
                      <w:rFonts w:hint="default" w:ascii="Times New Roman" w:hAnsi="Times New Roman" w:eastAsia="仿宋" w:cs="Times New Roman"/>
                      <w:color w:val="auto"/>
                      <w:spacing w:val="-4"/>
                      <w:sz w:val="21"/>
                      <w:szCs w:val="21"/>
                      <w:lang w:val="en-US"/>
                    </w:rPr>
                  </w:pPr>
                  <w:r>
                    <w:rPr>
                      <w:rFonts w:hint="default" w:ascii="Times New Roman" w:hAnsi="Times New Roman" w:eastAsia="仿宋" w:cs="Times New Roman"/>
                      <w:color w:val="auto"/>
                      <w:sz w:val="21"/>
                      <w:szCs w:val="21"/>
                      <w:lang w:val="en-US" w:eastAsia="zh-CN"/>
                    </w:rPr>
                    <w:t>DB32/4439-2022表1</w:t>
                  </w:r>
                </w:p>
              </w:tc>
            </w:tr>
            <w:tr w14:paraId="69ACC2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1524" w:type="dxa"/>
                  <w:vMerge w:val="continue"/>
                  <w:noWrap w:val="0"/>
                  <w:vAlign w:val="center"/>
                </w:tcPr>
                <w:p w14:paraId="75222777">
                  <w:pPr>
                    <w:snapToGrid w:val="0"/>
                    <w:jc w:val="center"/>
                    <w:rPr>
                      <w:rFonts w:hint="default" w:ascii="Times New Roman" w:hAnsi="Times New Roman" w:eastAsia="仿宋" w:cs="Times New Roman"/>
                      <w:color w:val="auto"/>
                      <w:szCs w:val="21"/>
                    </w:rPr>
                  </w:pPr>
                </w:p>
              </w:tc>
              <w:tc>
                <w:tcPr>
                  <w:tcW w:w="799" w:type="dxa"/>
                  <w:vMerge w:val="continue"/>
                  <w:noWrap w:val="0"/>
                  <w:vAlign w:val="center"/>
                </w:tcPr>
                <w:p w14:paraId="059DBA79">
                  <w:pPr>
                    <w:snapToGrid w:val="0"/>
                    <w:jc w:val="center"/>
                    <w:rPr>
                      <w:rFonts w:hint="default" w:ascii="Times New Roman" w:hAnsi="Times New Roman" w:eastAsia="仿宋" w:cs="Times New Roman"/>
                      <w:color w:val="auto"/>
                      <w:szCs w:val="21"/>
                    </w:rPr>
                  </w:pPr>
                </w:p>
              </w:tc>
              <w:tc>
                <w:tcPr>
                  <w:tcW w:w="1338" w:type="dxa"/>
                  <w:noWrap w:val="0"/>
                  <w:vAlign w:val="center"/>
                </w:tcPr>
                <w:p w14:paraId="42CC7E6E">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颗粒物</w:t>
                  </w:r>
                </w:p>
              </w:tc>
              <w:tc>
                <w:tcPr>
                  <w:tcW w:w="1500" w:type="dxa"/>
                  <w:noWrap w:val="0"/>
                  <w:vAlign w:val="center"/>
                </w:tcPr>
                <w:p w14:paraId="7E959457">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w:t>
                  </w:r>
                </w:p>
              </w:tc>
              <w:tc>
                <w:tcPr>
                  <w:tcW w:w="1293" w:type="dxa"/>
                  <w:noWrap w:val="0"/>
                  <w:vAlign w:val="center"/>
                </w:tcPr>
                <w:p w14:paraId="723D024E">
                  <w:pPr>
                    <w:snapToGrid w:val="0"/>
                    <w:jc w:val="center"/>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zCs w:val="21"/>
                      <w:lang w:val="en-US" w:eastAsia="zh-CN"/>
                    </w:rPr>
                    <w:t>0.4</w:t>
                  </w:r>
                </w:p>
              </w:tc>
              <w:tc>
                <w:tcPr>
                  <w:tcW w:w="1320" w:type="dxa"/>
                  <w:vMerge w:val="continue"/>
                  <w:noWrap w:val="0"/>
                  <w:vAlign w:val="center"/>
                </w:tcPr>
                <w:p w14:paraId="60119E81">
                  <w:pPr>
                    <w:jc w:val="center"/>
                    <w:rPr>
                      <w:rFonts w:hint="default" w:ascii="Times New Roman" w:hAnsi="Times New Roman" w:eastAsia="仿宋" w:cs="Times New Roman"/>
                      <w:bCs/>
                      <w:color w:val="auto"/>
                      <w:sz w:val="21"/>
                      <w:szCs w:val="21"/>
                    </w:rPr>
                  </w:pPr>
                </w:p>
              </w:tc>
            </w:tr>
          </w:tbl>
          <w:p w14:paraId="2D116861">
            <w:pPr>
              <w:jc w:val="left"/>
              <w:rPr>
                <w:rFonts w:hint="default" w:ascii="Times New Roman" w:hAnsi="Times New Roman" w:eastAsia="仿宋" w:cs="Times New Roman"/>
                <w:bCs/>
                <w:color w:val="auto"/>
                <w:sz w:val="24"/>
                <w:szCs w:val="24"/>
                <w:lang w:eastAsia="zh-CN"/>
              </w:rPr>
            </w:pPr>
            <w:r>
              <w:rPr>
                <w:rFonts w:hint="eastAsia" w:eastAsia="仿宋"/>
                <w:b/>
                <w:bCs/>
                <w:color w:val="auto"/>
                <w:szCs w:val="21"/>
              </w:rPr>
              <w:t>注：</w:t>
            </w:r>
            <w:r>
              <w:rPr>
                <w:rFonts w:hint="eastAsia" w:ascii="仿宋" w:hAnsi="仿宋" w:eastAsia="仿宋" w:cs="仿宋"/>
                <w:color w:val="auto"/>
                <w:szCs w:val="21"/>
              </w:rPr>
              <w:t>为便于后续环保监管并与排放标准和监测方法相衔接，挥发性有机污染物VOCs全部采用非甲烷总烃表征。</w:t>
            </w:r>
          </w:p>
          <w:p w14:paraId="74F2C2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eastAsia="zh-CN"/>
              </w:rPr>
              <w:t>厂界无组织废气颗粒物、非甲烷总烃排放执行《江苏省大气污染物综合排放标准》(DB32/4041-2021)表3中标准。</w:t>
            </w:r>
          </w:p>
          <w:p w14:paraId="4E8C4772">
            <w:pPr>
              <w:keepNext w:val="0"/>
              <w:keepLines w:val="0"/>
              <w:pageBreakBefore w:val="0"/>
              <w:widowControl w:val="0"/>
              <w:kinsoku/>
              <w:wordWrap/>
              <w:overflowPunct/>
              <w:topLinePunct w:val="0"/>
              <w:autoSpaceDE/>
              <w:autoSpaceDN/>
              <w:bidi w:val="0"/>
              <w:adjustRightInd w:val="0"/>
              <w:snapToGrid w:val="0"/>
              <w:spacing w:before="95" w:beforeLines="30" w:line="240" w:lineRule="auto"/>
              <w:ind w:left="0" w:leftChars="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w:t>
            </w:r>
            <w:r>
              <w:rPr>
                <w:rFonts w:hint="eastAsia" w:eastAsia="仿宋" w:cs="Times New Roman"/>
                <w:b/>
                <w:bCs/>
                <w:color w:val="auto"/>
                <w:sz w:val="21"/>
                <w:szCs w:val="21"/>
                <w:lang w:val="en-US" w:eastAsia="zh-CN"/>
              </w:rPr>
              <w:t>7</w:t>
            </w:r>
            <w:r>
              <w:rPr>
                <w:rFonts w:hint="default" w:ascii="Times New Roman" w:hAnsi="Times New Roman" w:eastAsia="仿宋" w:cs="Times New Roman"/>
                <w:b/>
                <w:bCs/>
                <w:color w:val="auto"/>
                <w:sz w:val="21"/>
                <w:szCs w:val="21"/>
                <w:lang w:val="en-US" w:eastAsia="zh-CN"/>
              </w:rPr>
              <w:t xml:space="preserve"> 厂界大气污染物无组织排放标准</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825"/>
              <w:gridCol w:w="2846"/>
              <w:gridCol w:w="2262"/>
            </w:tblGrid>
            <w:tr w14:paraId="34E3A3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780" w:type="pct"/>
                  <w:noWrap w:val="0"/>
                  <w:vAlign w:val="center"/>
                </w:tcPr>
                <w:p w14:paraId="5DDC01F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污染物项目</w:t>
                  </w:r>
                </w:p>
              </w:tc>
              <w:tc>
                <w:tcPr>
                  <w:tcW w:w="1793" w:type="pct"/>
                  <w:noWrap w:val="0"/>
                  <w:vAlign w:val="center"/>
                </w:tcPr>
                <w:p w14:paraId="7D911BE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无组织排放限值（mg/m</w:t>
                  </w:r>
                  <w:r>
                    <w:rPr>
                      <w:rFonts w:hint="default" w:ascii="Times New Roman" w:hAnsi="Times New Roman" w:eastAsia="仿宋" w:cs="Times New Roman"/>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lang w:val="en-US" w:eastAsia="zh-CN"/>
                    </w:rPr>
                    <w:t>）</w:t>
                  </w:r>
                </w:p>
              </w:tc>
              <w:tc>
                <w:tcPr>
                  <w:tcW w:w="1425" w:type="pct"/>
                  <w:noWrap w:val="0"/>
                  <w:vAlign w:val="center"/>
                </w:tcPr>
                <w:p w14:paraId="6F74C6D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选用标准</w:t>
                  </w:r>
                </w:p>
              </w:tc>
            </w:tr>
            <w:tr w14:paraId="372880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1780" w:type="pct"/>
                  <w:noWrap w:val="0"/>
                  <w:vAlign w:val="center"/>
                </w:tcPr>
                <w:p w14:paraId="2644C2E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颗粒物</w:t>
                  </w:r>
                </w:p>
              </w:tc>
              <w:tc>
                <w:tcPr>
                  <w:tcW w:w="1793" w:type="pct"/>
                  <w:noWrap w:val="0"/>
                  <w:vAlign w:val="center"/>
                </w:tcPr>
                <w:p w14:paraId="376263D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0.5</w:t>
                  </w:r>
                </w:p>
              </w:tc>
              <w:tc>
                <w:tcPr>
                  <w:tcW w:w="1425" w:type="pct"/>
                  <w:vMerge w:val="restart"/>
                  <w:noWrap w:val="0"/>
                  <w:vAlign w:val="center"/>
                </w:tcPr>
                <w:p w14:paraId="27E5EFB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rPr>
                    <w:t>DB32/4041-2021</w:t>
                  </w:r>
                  <w:r>
                    <w:rPr>
                      <w:rFonts w:hint="default" w:ascii="Times New Roman" w:hAnsi="Times New Roman" w:eastAsia="仿宋" w:cs="Times New Roman"/>
                      <w:color w:val="auto"/>
                      <w:sz w:val="21"/>
                      <w:szCs w:val="21"/>
                      <w:lang w:eastAsia="zh-CN"/>
                    </w:rPr>
                    <w:t>表</w:t>
                  </w:r>
                  <w:r>
                    <w:rPr>
                      <w:rFonts w:hint="default" w:ascii="Times New Roman" w:hAnsi="Times New Roman" w:eastAsia="仿宋" w:cs="Times New Roman"/>
                      <w:color w:val="auto"/>
                      <w:sz w:val="21"/>
                      <w:szCs w:val="21"/>
                      <w:lang w:val="en-US" w:eastAsia="zh-CN"/>
                    </w:rPr>
                    <w:t>3</w:t>
                  </w:r>
                </w:p>
              </w:tc>
            </w:tr>
            <w:tr w14:paraId="74F317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780" w:type="pct"/>
                  <w:noWrap w:val="0"/>
                  <w:vAlign w:val="center"/>
                </w:tcPr>
                <w:p w14:paraId="410DABF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非甲烷总烃</w:t>
                  </w:r>
                </w:p>
              </w:tc>
              <w:tc>
                <w:tcPr>
                  <w:tcW w:w="1793" w:type="pct"/>
                  <w:noWrap w:val="0"/>
                  <w:vAlign w:val="center"/>
                </w:tcPr>
                <w:p w14:paraId="3E6E334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4</w:t>
                  </w:r>
                </w:p>
              </w:tc>
              <w:tc>
                <w:tcPr>
                  <w:tcW w:w="1425" w:type="pct"/>
                  <w:vMerge w:val="continue"/>
                  <w:noWrap w:val="0"/>
                  <w:vAlign w:val="center"/>
                </w:tcPr>
                <w:p w14:paraId="6289F3C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p>
              </w:tc>
            </w:tr>
          </w:tbl>
          <w:p w14:paraId="078F22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eastAsia="zh-CN"/>
              </w:rPr>
              <w:t>厂区内非甲烷总烃无组织排放监控点浓度应符合</w:t>
            </w:r>
            <w:r>
              <w:rPr>
                <w:rFonts w:hint="default" w:ascii="Times New Roman" w:hAnsi="Times New Roman" w:eastAsia="仿宋" w:cs="Times New Roman"/>
                <w:color w:val="auto"/>
                <w:sz w:val="24"/>
                <w:szCs w:val="24"/>
                <w:lang w:val="en-US" w:eastAsia="zh-CN"/>
              </w:rPr>
              <w:t>《工业涂装工序大气污染物排放标准》（DB32/4439-2022）</w:t>
            </w:r>
            <w:r>
              <w:rPr>
                <w:rFonts w:hint="default" w:ascii="Times New Roman" w:hAnsi="Times New Roman" w:eastAsia="仿宋" w:cs="Times New Roman"/>
                <w:bCs/>
                <w:color w:val="auto"/>
                <w:sz w:val="24"/>
                <w:szCs w:val="24"/>
                <w:lang w:eastAsia="zh-CN"/>
              </w:rPr>
              <w:t>表</w:t>
            </w:r>
            <w:r>
              <w:rPr>
                <w:rFonts w:hint="default" w:ascii="Times New Roman" w:hAnsi="Times New Roman" w:eastAsia="仿宋" w:cs="Times New Roman"/>
                <w:bCs/>
                <w:color w:val="auto"/>
                <w:sz w:val="24"/>
                <w:szCs w:val="24"/>
                <w:lang w:val="en-US" w:eastAsia="zh-CN"/>
              </w:rPr>
              <w:t>3</w:t>
            </w:r>
            <w:r>
              <w:rPr>
                <w:rFonts w:hint="default" w:ascii="Times New Roman" w:hAnsi="Times New Roman" w:eastAsia="仿宋" w:cs="Times New Roman"/>
                <w:bCs/>
                <w:color w:val="auto"/>
                <w:sz w:val="24"/>
                <w:szCs w:val="24"/>
                <w:lang w:eastAsia="zh-CN"/>
              </w:rPr>
              <w:t>中的限值。</w:t>
            </w:r>
          </w:p>
          <w:p w14:paraId="509F48F4">
            <w:pPr>
              <w:keepNext w:val="0"/>
              <w:keepLines w:val="0"/>
              <w:pageBreakBefore w:val="0"/>
              <w:widowControl w:val="0"/>
              <w:kinsoku/>
              <w:wordWrap/>
              <w:overflowPunct/>
              <w:topLinePunct w:val="0"/>
              <w:autoSpaceDE/>
              <w:autoSpaceDN/>
              <w:bidi w:val="0"/>
              <w:adjustRightInd w:val="0"/>
              <w:snapToGrid w:val="0"/>
              <w:spacing w:before="95" w:beforeLines="30" w:line="240" w:lineRule="auto"/>
              <w:ind w:left="0" w:leftChars="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w:t>
            </w:r>
            <w:r>
              <w:rPr>
                <w:rFonts w:hint="eastAsia" w:eastAsia="仿宋" w:cs="Times New Roman"/>
                <w:b/>
                <w:bCs/>
                <w:color w:val="auto"/>
                <w:sz w:val="21"/>
                <w:szCs w:val="21"/>
                <w:lang w:val="en-US" w:eastAsia="zh-CN"/>
              </w:rPr>
              <w:t>8</w:t>
            </w:r>
            <w:r>
              <w:rPr>
                <w:rFonts w:hint="default" w:ascii="Times New Roman" w:hAnsi="Times New Roman" w:eastAsia="仿宋" w:cs="Times New Roman"/>
                <w:b/>
                <w:bCs/>
                <w:color w:val="auto"/>
                <w:sz w:val="21"/>
                <w:szCs w:val="21"/>
                <w:lang w:val="en-US" w:eastAsia="zh-CN"/>
              </w:rPr>
              <w:t xml:space="preserve"> 厂区内 VOCs 无组织排放限值</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260"/>
              <w:gridCol w:w="2119"/>
              <w:gridCol w:w="2507"/>
              <w:gridCol w:w="2047"/>
            </w:tblGrid>
            <w:tr w14:paraId="055E18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noWrap w:val="0"/>
                  <w:vAlign w:val="center"/>
                </w:tcPr>
                <w:p w14:paraId="0C921489">
                  <w:pPr>
                    <w:widowControl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污染物项目</w:t>
                  </w:r>
                </w:p>
              </w:tc>
              <w:tc>
                <w:tcPr>
                  <w:tcW w:w="1335" w:type="pct"/>
                  <w:noWrap w:val="0"/>
                  <w:vAlign w:val="center"/>
                </w:tcPr>
                <w:p w14:paraId="1B3C098F">
                  <w:pPr>
                    <w:widowControl w:val="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特别排放限值</w:t>
                  </w:r>
                  <w:r>
                    <w:rPr>
                      <w:rFonts w:hint="default"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b w:val="0"/>
                      <w:bCs w:val="0"/>
                      <w:color w:val="auto"/>
                      <w:sz w:val="21"/>
                      <w:szCs w:val="21"/>
                      <w:highlight w:val="none"/>
                    </w:rPr>
                    <w:t>mg/m</w:t>
                  </w:r>
                  <w:r>
                    <w:rPr>
                      <w:rFonts w:hint="default" w:ascii="Times New Roman" w:hAnsi="Times New Roman" w:eastAsia="仿宋" w:cs="Times New Roman"/>
                      <w:b w:val="0"/>
                      <w:bCs w:val="0"/>
                      <w:color w:val="auto"/>
                      <w:sz w:val="21"/>
                      <w:szCs w:val="21"/>
                      <w:highlight w:val="none"/>
                      <w:vertAlign w:val="superscript"/>
                    </w:rPr>
                    <w:t>3</w:t>
                  </w:r>
                  <w:r>
                    <w:rPr>
                      <w:rFonts w:hint="default" w:ascii="Times New Roman" w:hAnsi="Times New Roman" w:eastAsia="仿宋" w:cs="Times New Roman"/>
                      <w:color w:val="auto"/>
                      <w:sz w:val="21"/>
                      <w:szCs w:val="21"/>
                      <w:highlight w:val="none"/>
                      <w:lang w:val="en-US" w:eastAsia="zh-CN"/>
                    </w:rPr>
                    <w:t>)</w:t>
                  </w:r>
                </w:p>
              </w:tc>
              <w:tc>
                <w:tcPr>
                  <w:tcW w:w="1580" w:type="pct"/>
                  <w:noWrap w:val="0"/>
                  <w:vAlign w:val="center"/>
                </w:tcPr>
                <w:p w14:paraId="46596047">
                  <w:pPr>
                    <w:widowControl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限值含义</w:t>
                  </w:r>
                </w:p>
              </w:tc>
              <w:tc>
                <w:tcPr>
                  <w:tcW w:w="1290" w:type="pct"/>
                  <w:noWrap w:val="0"/>
                  <w:vAlign w:val="center"/>
                </w:tcPr>
                <w:p w14:paraId="1CB301EA">
                  <w:pPr>
                    <w:widowControl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无组织排放监控位置</w:t>
                  </w:r>
                </w:p>
              </w:tc>
            </w:tr>
            <w:tr w14:paraId="2C78A5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vMerge w:val="restart"/>
                  <w:noWrap w:val="0"/>
                  <w:vAlign w:val="center"/>
                </w:tcPr>
                <w:p w14:paraId="3BD4775F">
                  <w:pPr>
                    <w:widowControl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非甲烷总烃</w:t>
                  </w:r>
                </w:p>
              </w:tc>
              <w:tc>
                <w:tcPr>
                  <w:tcW w:w="1335" w:type="pct"/>
                  <w:noWrap w:val="0"/>
                  <w:vAlign w:val="center"/>
                </w:tcPr>
                <w:p w14:paraId="2AA32609">
                  <w:pPr>
                    <w:widowControl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w:t>
                  </w:r>
                </w:p>
              </w:tc>
              <w:tc>
                <w:tcPr>
                  <w:tcW w:w="1580" w:type="pct"/>
                  <w:noWrap w:val="0"/>
                  <w:vAlign w:val="center"/>
                </w:tcPr>
                <w:p w14:paraId="74E00AE0">
                  <w:pPr>
                    <w:widowControl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监控点处1h平均浓度值</w:t>
                  </w:r>
                </w:p>
              </w:tc>
              <w:tc>
                <w:tcPr>
                  <w:tcW w:w="1290" w:type="pct"/>
                  <w:vMerge w:val="restart"/>
                  <w:noWrap w:val="0"/>
                  <w:vAlign w:val="center"/>
                </w:tcPr>
                <w:p w14:paraId="5A965C75">
                  <w:pPr>
                    <w:widowControl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在厂房外设置监控点</w:t>
                  </w:r>
                </w:p>
              </w:tc>
            </w:tr>
            <w:tr w14:paraId="397780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vMerge w:val="continue"/>
                  <w:noWrap w:val="0"/>
                  <w:vAlign w:val="center"/>
                </w:tcPr>
                <w:p w14:paraId="40966BDF">
                  <w:pPr>
                    <w:widowControl w:val="0"/>
                    <w:jc w:val="center"/>
                    <w:rPr>
                      <w:rFonts w:hint="default" w:ascii="Times New Roman" w:hAnsi="Times New Roman" w:eastAsia="仿宋" w:cs="Times New Roman"/>
                      <w:color w:val="auto"/>
                      <w:sz w:val="21"/>
                      <w:szCs w:val="21"/>
                      <w:highlight w:val="none"/>
                    </w:rPr>
                  </w:pPr>
                </w:p>
              </w:tc>
              <w:tc>
                <w:tcPr>
                  <w:tcW w:w="1335" w:type="pct"/>
                  <w:noWrap w:val="0"/>
                  <w:vAlign w:val="center"/>
                </w:tcPr>
                <w:p w14:paraId="731B9E2F">
                  <w:pPr>
                    <w:widowControl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20</w:t>
                  </w:r>
                </w:p>
              </w:tc>
              <w:tc>
                <w:tcPr>
                  <w:tcW w:w="1580" w:type="pct"/>
                  <w:noWrap w:val="0"/>
                  <w:vAlign w:val="center"/>
                </w:tcPr>
                <w:p w14:paraId="5B0837C3">
                  <w:pPr>
                    <w:widowControl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监控点处任意一次浓度值</w:t>
                  </w:r>
                </w:p>
              </w:tc>
              <w:tc>
                <w:tcPr>
                  <w:tcW w:w="1290" w:type="pct"/>
                  <w:vMerge w:val="continue"/>
                  <w:noWrap w:val="0"/>
                  <w:vAlign w:val="center"/>
                </w:tcPr>
                <w:p w14:paraId="33221224">
                  <w:pPr>
                    <w:widowControl w:val="0"/>
                    <w:jc w:val="center"/>
                    <w:rPr>
                      <w:rFonts w:hint="default" w:ascii="Times New Roman" w:hAnsi="Times New Roman" w:eastAsia="仿宋" w:cs="Times New Roman"/>
                      <w:color w:val="auto"/>
                      <w:sz w:val="21"/>
                      <w:szCs w:val="21"/>
                      <w:highlight w:val="none"/>
                    </w:rPr>
                  </w:pPr>
                </w:p>
              </w:tc>
            </w:tr>
          </w:tbl>
          <w:p w14:paraId="581A34D8">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eastAsia="仿宋" w:cs="Times New Roman"/>
                <w:b/>
                <w:bCs w:val="0"/>
                <w:color w:val="auto"/>
                <w:szCs w:val="22"/>
                <w:lang w:val="en-US" w:eastAsia="zh-CN"/>
              </w:rPr>
            </w:pPr>
          </w:p>
          <w:p w14:paraId="7C8382F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2、废水</w:t>
            </w:r>
          </w:p>
          <w:p w14:paraId="09E9DC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color w:val="auto"/>
                <w:sz w:val="24"/>
              </w:rPr>
              <w:t>本项目生活污水接管</w:t>
            </w:r>
            <w:r>
              <w:rPr>
                <w:rFonts w:hint="default" w:ascii="Times New Roman" w:hAnsi="Times New Roman" w:eastAsia="仿宋" w:cs="Times New Roman"/>
                <w:color w:val="auto"/>
                <w:sz w:val="24"/>
                <w:lang w:eastAsia="zh-CN"/>
              </w:rPr>
              <w:t>至常州金坛区茅东污水处理厂</w:t>
            </w:r>
            <w:r>
              <w:rPr>
                <w:rFonts w:hint="default" w:ascii="Times New Roman" w:hAnsi="Times New Roman" w:eastAsia="仿宋" w:cs="Times New Roman"/>
                <w:color w:val="auto"/>
                <w:sz w:val="24"/>
              </w:rPr>
              <w:t>集中处理，尾水排入</w:t>
            </w:r>
            <w:r>
              <w:rPr>
                <w:rFonts w:hint="default" w:ascii="Times New Roman" w:hAnsi="Times New Roman" w:eastAsia="仿宋" w:cs="Times New Roman"/>
                <w:color w:val="auto"/>
                <w:sz w:val="24"/>
                <w:lang w:val="en-US" w:eastAsia="zh-CN"/>
              </w:rPr>
              <w:t>薛埠</w:t>
            </w:r>
            <w:r>
              <w:rPr>
                <w:rFonts w:hint="default" w:ascii="Times New Roman" w:hAnsi="Times New Roman" w:eastAsia="仿宋" w:cs="Times New Roman"/>
                <w:color w:val="auto"/>
                <w:sz w:val="24"/>
                <w:lang w:eastAsia="zh-CN"/>
              </w:rPr>
              <w:t>河，</w:t>
            </w:r>
            <w:r>
              <w:rPr>
                <w:rFonts w:hint="default" w:ascii="Times New Roman" w:hAnsi="Times New Roman" w:eastAsia="仿宋" w:cs="Times New Roman"/>
                <w:color w:val="auto"/>
                <w:sz w:val="24"/>
              </w:rPr>
              <w:t>接管标准执行《常州</w:t>
            </w:r>
            <w:r>
              <w:rPr>
                <w:rFonts w:hint="default" w:ascii="Times New Roman" w:hAnsi="Times New Roman" w:eastAsia="仿宋" w:cs="Times New Roman"/>
                <w:color w:val="auto"/>
                <w:sz w:val="24"/>
                <w:lang w:eastAsia="zh-CN"/>
              </w:rPr>
              <w:t>金坛区茅东污水处理厂</w:t>
            </w:r>
            <w:r>
              <w:rPr>
                <w:rFonts w:hint="default" w:ascii="Times New Roman" w:hAnsi="Times New Roman" w:eastAsia="仿宋" w:cs="Times New Roman"/>
                <w:color w:val="auto"/>
                <w:sz w:val="24"/>
              </w:rPr>
              <w:t>污水接管要求》，污水处理厂尾水排放执行《太湖地区城镇污水处理厂及重点工业行业主要水污染物排放限值》（DB32/1072-2018）表2中城镇污水处理厂标准，未列入项目（SS）执行《城镇污水处理厂污染物排放标准》（GB18918-2002）表1中一级A标准，标准值如下：</w:t>
            </w:r>
          </w:p>
          <w:p w14:paraId="046851C5">
            <w:pPr>
              <w:adjustRightInd w:val="0"/>
              <w:snapToGrid w:val="0"/>
              <w:spacing w:line="500" w:lineRule="exact"/>
              <w:ind w:left="0" w:leftChars="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w:t>
            </w:r>
            <w:r>
              <w:rPr>
                <w:rFonts w:hint="eastAsia" w:eastAsia="仿宋" w:cs="Times New Roman"/>
                <w:b/>
                <w:bCs/>
                <w:color w:val="auto"/>
                <w:sz w:val="21"/>
                <w:szCs w:val="21"/>
                <w:lang w:val="en-US" w:eastAsia="zh-CN"/>
              </w:rPr>
              <w:t>9</w:t>
            </w:r>
            <w:r>
              <w:rPr>
                <w:rFonts w:hint="default" w:ascii="Times New Roman" w:hAnsi="Times New Roman" w:eastAsia="仿宋" w:cs="Times New Roman"/>
                <w:b/>
                <w:bCs/>
                <w:color w:val="auto"/>
                <w:sz w:val="21"/>
                <w:szCs w:val="21"/>
                <w:lang w:val="en-US" w:eastAsia="zh-CN"/>
              </w:rPr>
              <w:t xml:space="preserve"> 水污染物排放标准</w:t>
            </w:r>
          </w:p>
          <w:tbl>
            <w:tblPr>
              <w:tblStyle w:val="2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3"/>
              <w:gridCol w:w="2668"/>
              <w:gridCol w:w="1411"/>
              <w:gridCol w:w="1120"/>
              <w:gridCol w:w="730"/>
              <w:gridCol w:w="981"/>
            </w:tblGrid>
            <w:tr w14:paraId="60DB03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tcMar>
                    <w:left w:w="0" w:type="dxa"/>
                    <w:right w:w="0" w:type="dxa"/>
                  </w:tcMar>
                  <w:vAlign w:val="center"/>
                </w:tcPr>
                <w:p w14:paraId="05E8FC3E">
                  <w:pPr>
                    <w:adjustRightIn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排放口</w:t>
                  </w:r>
                </w:p>
                <w:p w14:paraId="132B3066">
                  <w:pPr>
                    <w:adjustRightIn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名称</w:t>
                  </w:r>
                </w:p>
              </w:tc>
              <w:tc>
                <w:tcPr>
                  <w:tcW w:w="2668" w:type="dxa"/>
                  <w:vAlign w:val="center"/>
                </w:tcPr>
                <w:p w14:paraId="29498648">
                  <w:pPr>
                    <w:adjustRightIn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执行标准</w:t>
                  </w:r>
                </w:p>
              </w:tc>
              <w:tc>
                <w:tcPr>
                  <w:tcW w:w="1411" w:type="dxa"/>
                  <w:tcMar>
                    <w:left w:w="0" w:type="dxa"/>
                    <w:right w:w="0" w:type="dxa"/>
                  </w:tcMar>
                  <w:vAlign w:val="center"/>
                </w:tcPr>
                <w:p w14:paraId="77DD30E9">
                  <w:pPr>
                    <w:adjustRightIn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取值表号及级别</w:t>
                  </w:r>
                </w:p>
              </w:tc>
              <w:tc>
                <w:tcPr>
                  <w:tcW w:w="1120" w:type="dxa"/>
                  <w:vAlign w:val="center"/>
                </w:tcPr>
                <w:p w14:paraId="1B59CDEC">
                  <w:pPr>
                    <w:adjustRightIn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污染物指标</w:t>
                  </w:r>
                </w:p>
              </w:tc>
              <w:tc>
                <w:tcPr>
                  <w:tcW w:w="730" w:type="dxa"/>
                  <w:vAlign w:val="center"/>
                </w:tcPr>
                <w:p w14:paraId="332A3EF6">
                  <w:pPr>
                    <w:adjustRightIn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单位</w:t>
                  </w:r>
                </w:p>
              </w:tc>
              <w:tc>
                <w:tcPr>
                  <w:tcW w:w="981" w:type="dxa"/>
                  <w:vAlign w:val="center"/>
                </w:tcPr>
                <w:p w14:paraId="7D673532">
                  <w:pPr>
                    <w:adjustRightIn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标准限值</w:t>
                  </w:r>
                </w:p>
              </w:tc>
            </w:tr>
            <w:tr w14:paraId="5ADB3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restart"/>
                  <w:vAlign w:val="center"/>
                </w:tcPr>
                <w:p w14:paraId="50FEB96D">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color w:val="auto"/>
                      <w:sz w:val="21"/>
                      <w:szCs w:val="21"/>
                    </w:rPr>
                    <w:t>DW001</w:t>
                  </w:r>
                </w:p>
              </w:tc>
              <w:tc>
                <w:tcPr>
                  <w:tcW w:w="2668" w:type="dxa"/>
                  <w:vMerge w:val="restart"/>
                  <w:vAlign w:val="center"/>
                </w:tcPr>
                <w:p w14:paraId="6BD32EDE">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color w:val="auto"/>
                      <w:szCs w:val="21"/>
                    </w:rPr>
                    <w:t>常州</w:t>
                  </w:r>
                  <w:r>
                    <w:rPr>
                      <w:rFonts w:hint="default" w:ascii="Times New Roman" w:hAnsi="Times New Roman" w:eastAsia="仿宋" w:cs="Times New Roman"/>
                      <w:color w:val="auto"/>
                      <w:szCs w:val="21"/>
                      <w:lang w:eastAsia="zh-CN"/>
                    </w:rPr>
                    <w:t>金坛区茅东污水处理厂</w:t>
                  </w:r>
                  <w:r>
                    <w:rPr>
                      <w:rFonts w:hint="default" w:ascii="Times New Roman" w:hAnsi="Times New Roman" w:eastAsia="仿宋" w:cs="Times New Roman"/>
                      <w:color w:val="auto"/>
                      <w:szCs w:val="21"/>
                    </w:rPr>
                    <w:t>污水接管要求</w:t>
                  </w:r>
                </w:p>
              </w:tc>
              <w:tc>
                <w:tcPr>
                  <w:tcW w:w="1411" w:type="dxa"/>
                  <w:vMerge w:val="restart"/>
                  <w:vAlign w:val="center"/>
                </w:tcPr>
                <w:p w14:paraId="56C546D6">
                  <w:pPr>
                    <w:adjustRightInd w:val="0"/>
                    <w:jc w:val="center"/>
                    <w:rPr>
                      <w:rFonts w:hint="default" w:ascii="Times New Roman" w:hAnsi="Times New Roman" w:eastAsia="仿宋" w:cs="Times New Roman"/>
                      <w:bCs/>
                      <w:color w:val="auto"/>
                      <w:szCs w:val="21"/>
                      <w:lang w:eastAsia="zh-CN"/>
                    </w:rPr>
                  </w:pPr>
                  <w:r>
                    <w:rPr>
                      <w:rFonts w:hint="default" w:ascii="Times New Roman" w:hAnsi="Times New Roman" w:eastAsia="仿宋" w:cs="Times New Roman"/>
                      <w:bCs/>
                      <w:color w:val="auto"/>
                      <w:szCs w:val="21"/>
                      <w:lang w:val="en-US" w:eastAsia="zh-CN"/>
                    </w:rPr>
                    <w:t>/</w:t>
                  </w:r>
                </w:p>
              </w:tc>
              <w:tc>
                <w:tcPr>
                  <w:tcW w:w="1120" w:type="dxa"/>
                  <w:vAlign w:val="center"/>
                </w:tcPr>
                <w:p w14:paraId="110BC654">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COD</w:t>
                  </w:r>
                </w:p>
              </w:tc>
              <w:tc>
                <w:tcPr>
                  <w:tcW w:w="730" w:type="dxa"/>
                  <w:vAlign w:val="center"/>
                </w:tcPr>
                <w:p w14:paraId="1D9F6954">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mg/L</w:t>
                  </w:r>
                </w:p>
              </w:tc>
              <w:tc>
                <w:tcPr>
                  <w:tcW w:w="981" w:type="dxa"/>
                  <w:vAlign w:val="center"/>
                </w:tcPr>
                <w:p w14:paraId="01EBF01A">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color w:val="auto"/>
                      <w:lang w:val="en-US" w:eastAsia="zh-CN"/>
                    </w:rPr>
                    <w:t>400</w:t>
                  </w:r>
                </w:p>
              </w:tc>
            </w:tr>
            <w:tr w14:paraId="387F38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1548B805">
                  <w:pPr>
                    <w:adjustRightInd w:val="0"/>
                    <w:jc w:val="center"/>
                    <w:rPr>
                      <w:rFonts w:hint="default" w:ascii="Times New Roman" w:hAnsi="Times New Roman" w:eastAsia="仿宋" w:cs="Times New Roman"/>
                      <w:bCs/>
                      <w:color w:val="auto"/>
                      <w:szCs w:val="21"/>
                    </w:rPr>
                  </w:pPr>
                </w:p>
              </w:tc>
              <w:tc>
                <w:tcPr>
                  <w:tcW w:w="2668" w:type="dxa"/>
                  <w:vMerge w:val="continue"/>
                  <w:vAlign w:val="center"/>
                </w:tcPr>
                <w:p w14:paraId="53CD3309">
                  <w:pPr>
                    <w:adjustRightInd w:val="0"/>
                    <w:jc w:val="center"/>
                    <w:rPr>
                      <w:rFonts w:hint="default" w:ascii="Times New Roman" w:hAnsi="Times New Roman" w:eastAsia="仿宋" w:cs="Times New Roman"/>
                      <w:bCs/>
                      <w:color w:val="auto"/>
                      <w:szCs w:val="21"/>
                    </w:rPr>
                  </w:pPr>
                </w:p>
              </w:tc>
              <w:tc>
                <w:tcPr>
                  <w:tcW w:w="1411" w:type="dxa"/>
                  <w:vMerge w:val="continue"/>
                  <w:vAlign w:val="center"/>
                </w:tcPr>
                <w:p w14:paraId="6FF1D860">
                  <w:pPr>
                    <w:adjustRightInd w:val="0"/>
                    <w:jc w:val="center"/>
                    <w:rPr>
                      <w:rFonts w:hint="default" w:ascii="Times New Roman" w:hAnsi="Times New Roman" w:eastAsia="仿宋" w:cs="Times New Roman"/>
                      <w:bCs/>
                      <w:color w:val="auto"/>
                      <w:szCs w:val="21"/>
                    </w:rPr>
                  </w:pPr>
                </w:p>
              </w:tc>
              <w:tc>
                <w:tcPr>
                  <w:tcW w:w="1120" w:type="dxa"/>
                  <w:vAlign w:val="center"/>
                </w:tcPr>
                <w:p w14:paraId="5E951546">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SS</w:t>
                  </w:r>
                </w:p>
              </w:tc>
              <w:tc>
                <w:tcPr>
                  <w:tcW w:w="730" w:type="dxa"/>
                  <w:vAlign w:val="center"/>
                </w:tcPr>
                <w:p w14:paraId="186AB761">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mg/L</w:t>
                  </w:r>
                </w:p>
              </w:tc>
              <w:tc>
                <w:tcPr>
                  <w:tcW w:w="981" w:type="dxa"/>
                  <w:vAlign w:val="center"/>
                </w:tcPr>
                <w:p w14:paraId="2B18248C">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color w:val="auto"/>
                      <w:szCs w:val="21"/>
                      <w:lang w:val="en-US" w:eastAsia="zh-CN"/>
                    </w:rPr>
                    <w:t>250</w:t>
                  </w:r>
                </w:p>
              </w:tc>
            </w:tr>
            <w:tr w14:paraId="228A8E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38C1C093">
                  <w:pPr>
                    <w:adjustRightInd w:val="0"/>
                    <w:jc w:val="center"/>
                    <w:rPr>
                      <w:rFonts w:hint="default" w:ascii="Times New Roman" w:hAnsi="Times New Roman" w:eastAsia="仿宋" w:cs="Times New Roman"/>
                      <w:bCs/>
                      <w:color w:val="auto"/>
                      <w:szCs w:val="21"/>
                    </w:rPr>
                  </w:pPr>
                </w:p>
              </w:tc>
              <w:tc>
                <w:tcPr>
                  <w:tcW w:w="2668" w:type="dxa"/>
                  <w:vMerge w:val="continue"/>
                  <w:vAlign w:val="center"/>
                </w:tcPr>
                <w:p w14:paraId="7C63DA76">
                  <w:pPr>
                    <w:adjustRightInd w:val="0"/>
                    <w:jc w:val="center"/>
                    <w:rPr>
                      <w:rFonts w:hint="default" w:ascii="Times New Roman" w:hAnsi="Times New Roman" w:eastAsia="仿宋" w:cs="Times New Roman"/>
                      <w:bCs/>
                      <w:color w:val="auto"/>
                      <w:szCs w:val="21"/>
                    </w:rPr>
                  </w:pPr>
                </w:p>
              </w:tc>
              <w:tc>
                <w:tcPr>
                  <w:tcW w:w="1411" w:type="dxa"/>
                  <w:vMerge w:val="continue"/>
                  <w:vAlign w:val="center"/>
                </w:tcPr>
                <w:p w14:paraId="6340A677">
                  <w:pPr>
                    <w:adjustRightInd w:val="0"/>
                    <w:jc w:val="center"/>
                    <w:rPr>
                      <w:rFonts w:hint="default" w:ascii="Times New Roman" w:hAnsi="Times New Roman" w:eastAsia="仿宋" w:cs="Times New Roman"/>
                      <w:bCs/>
                      <w:color w:val="auto"/>
                      <w:szCs w:val="21"/>
                    </w:rPr>
                  </w:pPr>
                </w:p>
              </w:tc>
              <w:tc>
                <w:tcPr>
                  <w:tcW w:w="1120" w:type="dxa"/>
                  <w:vAlign w:val="center"/>
                </w:tcPr>
                <w:p w14:paraId="48B27438">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NH</w:t>
                  </w:r>
                  <w:r>
                    <w:rPr>
                      <w:rFonts w:hint="default" w:ascii="Times New Roman" w:hAnsi="Times New Roman" w:eastAsia="仿宋" w:cs="Times New Roman"/>
                      <w:bCs/>
                      <w:color w:val="auto"/>
                      <w:szCs w:val="21"/>
                      <w:vertAlign w:val="subscript"/>
                    </w:rPr>
                    <w:t>3</w:t>
                  </w:r>
                  <w:r>
                    <w:rPr>
                      <w:rFonts w:hint="default" w:ascii="Times New Roman" w:hAnsi="Times New Roman" w:eastAsia="仿宋" w:cs="Times New Roman"/>
                      <w:bCs/>
                      <w:color w:val="auto"/>
                      <w:szCs w:val="21"/>
                    </w:rPr>
                    <w:t>-N</w:t>
                  </w:r>
                </w:p>
              </w:tc>
              <w:tc>
                <w:tcPr>
                  <w:tcW w:w="730" w:type="dxa"/>
                  <w:vAlign w:val="center"/>
                </w:tcPr>
                <w:p w14:paraId="695AD2BA">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mg/L</w:t>
                  </w:r>
                </w:p>
              </w:tc>
              <w:tc>
                <w:tcPr>
                  <w:tcW w:w="981" w:type="dxa"/>
                  <w:vAlign w:val="center"/>
                </w:tcPr>
                <w:p w14:paraId="10C67B0D">
                  <w:pPr>
                    <w:adjustRightInd w:val="0"/>
                    <w:snapToGrid w:val="0"/>
                    <w:jc w:val="center"/>
                    <w:rPr>
                      <w:rFonts w:hint="default" w:ascii="Times New Roman" w:hAnsi="Times New Roman" w:eastAsia="仿宋" w:cs="Times New Roman"/>
                      <w:bCs/>
                      <w:color w:val="auto"/>
                      <w:kern w:val="2"/>
                      <w:sz w:val="21"/>
                      <w:szCs w:val="21"/>
                      <w:lang w:val="en-US" w:eastAsia="zh-CN" w:bidi="ar-SA"/>
                    </w:rPr>
                  </w:pPr>
                  <w:r>
                    <w:rPr>
                      <w:rFonts w:hint="eastAsia" w:eastAsia="仿宋" w:cs="Times New Roman"/>
                      <w:color w:val="auto"/>
                      <w:lang w:val="en-US" w:eastAsia="zh-CN"/>
                    </w:rPr>
                    <w:t>30</w:t>
                  </w:r>
                </w:p>
              </w:tc>
            </w:tr>
            <w:tr w14:paraId="1AB090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73811B02">
                  <w:pPr>
                    <w:adjustRightInd w:val="0"/>
                    <w:jc w:val="center"/>
                    <w:rPr>
                      <w:rFonts w:hint="default" w:ascii="Times New Roman" w:hAnsi="Times New Roman" w:eastAsia="仿宋" w:cs="Times New Roman"/>
                      <w:bCs/>
                      <w:color w:val="auto"/>
                      <w:szCs w:val="21"/>
                    </w:rPr>
                  </w:pPr>
                </w:p>
              </w:tc>
              <w:tc>
                <w:tcPr>
                  <w:tcW w:w="2668" w:type="dxa"/>
                  <w:vMerge w:val="continue"/>
                  <w:vAlign w:val="center"/>
                </w:tcPr>
                <w:p w14:paraId="23A41BB0">
                  <w:pPr>
                    <w:adjustRightInd w:val="0"/>
                    <w:jc w:val="center"/>
                    <w:rPr>
                      <w:rFonts w:hint="default" w:ascii="Times New Roman" w:hAnsi="Times New Roman" w:eastAsia="仿宋" w:cs="Times New Roman"/>
                      <w:bCs/>
                      <w:color w:val="auto"/>
                      <w:szCs w:val="21"/>
                    </w:rPr>
                  </w:pPr>
                </w:p>
              </w:tc>
              <w:tc>
                <w:tcPr>
                  <w:tcW w:w="1411" w:type="dxa"/>
                  <w:vMerge w:val="continue"/>
                  <w:vAlign w:val="center"/>
                </w:tcPr>
                <w:p w14:paraId="0C975FD7">
                  <w:pPr>
                    <w:adjustRightInd w:val="0"/>
                    <w:jc w:val="center"/>
                    <w:rPr>
                      <w:rFonts w:hint="default" w:ascii="Times New Roman" w:hAnsi="Times New Roman" w:eastAsia="仿宋" w:cs="Times New Roman"/>
                      <w:bCs/>
                      <w:color w:val="auto"/>
                      <w:szCs w:val="21"/>
                    </w:rPr>
                  </w:pPr>
                </w:p>
              </w:tc>
              <w:tc>
                <w:tcPr>
                  <w:tcW w:w="1120" w:type="dxa"/>
                  <w:vAlign w:val="center"/>
                </w:tcPr>
                <w:p w14:paraId="56F7A254">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TN</w:t>
                  </w:r>
                </w:p>
              </w:tc>
              <w:tc>
                <w:tcPr>
                  <w:tcW w:w="730" w:type="dxa"/>
                  <w:vAlign w:val="center"/>
                </w:tcPr>
                <w:p w14:paraId="6BC06AC5">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mg/L</w:t>
                  </w:r>
                </w:p>
              </w:tc>
              <w:tc>
                <w:tcPr>
                  <w:tcW w:w="981" w:type="dxa"/>
                  <w:vAlign w:val="center"/>
                </w:tcPr>
                <w:p w14:paraId="572421AF">
                  <w:pPr>
                    <w:adjustRightInd w:val="0"/>
                    <w:snapToGrid w:val="0"/>
                    <w:jc w:val="center"/>
                    <w:rPr>
                      <w:rFonts w:hint="default" w:ascii="Times New Roman" w:hAnsi="Times New Roman" w:eastAsia="仿宋" w:cs="Times New Roman"/>
                      <w:bCs/>
                      <w:color w:val="auto"/>
                      <w:kern w:val="2"/>
                      <w:sz w:val="21"/>
                      <w:szCs w:val="21"/>
                      <w:lang w:val="en-US" w:eastAsia="zh-CN" w:bidi="ar-SA"/>
                    </w:rPr>
                  </w:pPr>
                  <w:r>
                    <w:rPr>
                      <w:rFonts w:hint="eastAsia" w:eastAsia="仿宋" w:cs="Times New Roman"/>
                      <w:color w:val="auto"/>
                      <w:lang w:val="en-US" w:eastAsia="zh-CN"/>
                    </w:rPr>
                    <w:t>45</w:t>
                  </w:r>
                </w:p>
              </w:tc>
            </w:tr>
            <w:tr w14:paraId="7DFA4F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29F4D529">
                  <w:pPr>
                    <w:adjustRightInd w:val="0"/>
                    <w:jc w:val="center"/>
                    <w:rPr>
                      <w:rFonts w:hint="default" w:ascii="Times New Roman" w:hAnsi="Times New Roman" w:eastAsia="仿宋" w:cs="Times New Roman"/>
                      <w:bCs/>
                      <w:color w:val="auto"/>
                      <w:szCs w:val="21"/>
                    </w:rPr>
                  </w:pPr>
                </w:p>
              </w:tc>
              <w:tc>
                <w:tcPr>
                  <w:tcW w:w="2668" w:type="dxa"/>
                  <w:vMerge w:val="continue"/>
                  <w:vAlign w:val="center"/>
                </w:tcPr>
                <w:p w14:paraId="0086B3C9">
                  <w:pPr>
                    <w:adjustRightInd w:val="0"/>
                    <w:jc w:val="center"/>
                    <w:rPr>
                      <w:rFonts w:hint="default" w:ascii="Times New Roman" w:hAnsi="Times New Roman" w:eastAsia="仿宋" w:cs="Times New Roman"/>
                      <w:bCs/>
                      <w:color w:val="auto"/>
                      <w:szCs w:val="21"/>
                    </w:rPr>
                  </w:pPr>
                </w:p>
              </w:tc>
              <w:tc>
                <w:tcPr>
                  <w:tcW w:w="1411" w:type="dxa"/>
                  <w:vMerge w:val="continue"/>
                  <w:vAlign w:val="center"/>
                </w:tcPr>
                <w:p w14:paraId="12D43524">
                  <w:pPr>
                    <w:adjustRightInd w:val="0"/>
                    <w:jc w:val="center"/>
                    <w:rPr>
                      <w:rFonts w:hint="default" w:ascii="Times New Roman" w:hAnsi="Times New Roman" w:eastAsia="仿宋" w:cs="Times New Roman"/>
                      <w:bCs/>
                      <w:color w:val="auto"/>
                      <w:szCs w:val="21"/>
                    </w:rPr>
                  </w:pPr>
                </w:p>
              </w:tc>
              <w:tc>
                <w:tcPr>
                  <w:tcW w:w="1120" w:type="dxa"/>
                  <w:vAlign w:val="center"/>
                </w:tcPr>
                <w:p w14:paraId="6FA1C001">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TP</w:t>
                  </w:r>
                </w:p>
              </w:tc>
              <w:tc>
                <w:tcPr>
                  <w:tcW w:w="730" w:type="dxa"/>
                  <w:vAlign w:val="center"/>
                </w:tcPr>
                <w:p w14:paraId="0C61F8A6">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mg/L</w:t>
                  </w:r>
                </w:p>
              </w:tc>
              <w:tc>
                <w:tcPr>
                  <w:tcW w:w="981" w:type="dxa"/>
                  <w:vAlign w:val="center"/>
                </w:tcPr>
                <w:p w14:paraId="4DC4BDEC">
                  <w:pPr>
                    <w:adjustRightInd w:val="0"/>
                    <w:snapToGrid w:val="0"/>
                    <w:jc w:val="center"/>
                    <w:rPr>
                      <w:rFonts w:hint="eastAsia" w:ascii="Times New Roman" w:hAnsi="Times New Roman" w:eastAsia="仿宋" w:cs="Times New Roman"/>
                      <w:bCs/>
                      <w:color w:val="auto"/>
                      <w:kern w:val="2"/>
                      <w:sz w:val="21"/>
                      <w:szCs w:val="21"/>
                      <w:lang w:val="en-US" w:eastAsia="zh-CN" w:bidi="ar-SA"/>
                    </w:rPr>
                  </w:pPr>
                  <w:r>
                    <w:rPr>
                      <w:rFonts w:hint="eastAsia" w:eastAsia="仿宋" w:cs="Times New Roman"/>
                      <w:color w:val="auto"/>
                      <w:lang w:val="en-US" w:eastAsia="zh-CN"/>
                    </w:rPr>
                    <w:t>4</w:t>
                  </w:r>
                </w:p>
              </w:tc>
            </w:tr>
            <w:tr w14:paraId="466860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restart"/>
                  <w:vAlign w:val="center"/>
                </w:tcPr>
                <w:p w14:paraId="612B83C3">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污水处理厂排口</w:t>
                  </w:r>
                </w:p>
              </w:tc>
              <w:tc>
                <w:tcPr>
                  <w:tcW w:w="2668" w:type="dxa"/>
                  <w:vMerge w:val="restart"/>
                  <w:vAlign w:val="center"/>
                </w:tcPr>
                <w:p w14:paraId="20D34B71">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《城镇污水处理厂污染物排放标准》(GB18918-2002)</w:t>
                  </w:r>
                </w:p>
              </w:tc>
              <w:tc>
                <w:tcPr>
                  <w:tcW w:w="1411" w:type="dxa"/>
                  <w:vMerge w:val="restart"/>
                  <w:vAlign w:val="center"/>
                </w:tcPr>
                <w:p w14:paraId="5EDC771E">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表1</w:t>
                  </w:r>
                </w:p>
                <w:p w14:paraId="76A68028">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一级A标准</w:t>
                  </w:r>
                </w:p>
              </w:tc>
              <w:tc>
                <w:tcPr>
                  <w:tcW w:w="1120" w:type="dxa"/>
                  <w:vAlign w:val="center"/>
                </w:tcPr>
                <w:p w14:paraId="75D8D5DD">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pH</w:t>
                  </w:r>
                </w:p>
              </w:tc>
              <w:tc>
                <w:tcPr>
                  <w:tcW w:w="730" w:type="dxa"/>
                  <w:vAlign w:val="center"/>
                </w:tcPr>
                <w:p w14:paraId="155D04BF">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w:t>
                  </w:r>
                </w:p>
              </w:tc>
              <w:tc>
                <w:tcPr>
                  <w:tcW w:w="981" w:type="dxa"/>
                  <w:vAlign w:val="center"/>
                </w:tcPr>
                <w:p w14:paraId="63B7ABDB">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6-9</w:t>
                  </w:r>
                </w:p>
              </w:tc>
            </w:tr>
            <w:tr w14:paraId="275C5E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030F06FB">
                  <w:pPr>
                    <w:adjustRightInd w:val="0"/>
                    <w:jc w:val="center"/>
                    <w:rPr>
                      <w:rFonts w:hint="default" w:ascii="Times New Roman" w:hAnsi="Times New Roman" w:eastAsia="仿宋" w:cs="Times New Roman"/>
                      <w:bCs/>
                      <w:color w:val="auto"/>
                      <w:szCs w:val="21"/>
                    </w:rPr>
                  </w:pPr>
                </w:p>
              </w:tc>
              <w:tc>
                <w:tcPr>
                  <w:tcW w:w="2668" w:type="dxa"/>
                  <w:vMerge w:val="continue"/>
                  <w:vAlign w:val="center"/>
                </w:tcPr>
                <w:p w14:paraId="1F3AF671">
                  <w:pPr>
                    <w:adjustRightInd w:val="0"/>
                    <w:jc w:val="center"/>
                    <w:rPr>
                      <w:rFonts w:hint="default" w:ascii="Times New Roman" w:hAnsi="Times New Roman" w:eastAsia="仿宋" w:cs="Times New Roman"/>
                      <w:bCs/>
                      <w:color w:val="auto"/>
                      <w:szCs w:val="21"/>
                    </w:rPr>
                  </w:pPr>
                </w:p>
              </w:tc>
              <w:tc>
                <w:tcPr>
                  <w:tcW w:w="1411" w:type="dxa"/>
                  <w:vMerge w:val="continue"/>
                  <w:vAlign w:val="center"/>
                </w:tcPr>
                <w:p w14:paraId="319C2ACC">
                  <w:pPr>
                    <w:adjustRightInd w:val="0"/>
                    <w:jc w:val="center"/>
                    <w:rPr>
                      <w:rFonts w:hint="default" w:ascii="Times New Roman" w:hAnsi="Times New Roman" w:eastAsia="仿宋" w:cs="Times New Roman"/>
                      <w:bCs/>
                      <w:color w:val="auto"/>
                      <w:szCs w:val="21"/>
                    </w:rPr>
                  </w:pPr>
                </w:p>
              </w:tc>
              <w:tc>
                <w:tcPr>
                  <w:tcW w:w="1120" w:type="dxa"/>
                  <w:vAlign w:val="center"/>
                </w:tcPr>
                <w:p w14:paraId="783C2E4B">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SS</w:t>
                  </w:r>
                </w:p>
              </w:tc>
              <w:tc>
                <w:tcPr>
                  <w:tcW w:w="730" w:type="dxa"/>
                  <w:vAlign w:val="center"/>
                </w:tcPr>
                <w:p w14:paraId="166EC293">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mg/L</w:t>
                  </w:r>
                </w:p>
              </w:tc>
              <w:tc>
                <w:tcPr>
                  <w:tcW w:w="981" w:type="dxa"/>
                  <w:vAlign w:val="center"/>
                </w:tcPr>
                <w:p w14:paraId="496B0623">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10</w:t>
                  </w:r>
                </w:p>
              </w:tc>
            </w:tr>
            <w:tr w14:paraId="6EB3F5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4EF5701">
                  <w:pPr>
                    <w:adjustRightInd w:val="0"/>
                    <w:jc w:val="center"/>
                    <w:rPr>
                      <w:rFonts w:hint="default" w:ascii="Times New Roman" w:hAnsi="Times New Roman" w:eastAsia="仿宋" w:cs="Times New Roman"/>
                      <w:bCs/>
                      <w:color w:val="auto"/>
                      <w:szCs w:val="21"/>
                    </w:rPr>
                  </w:pPr>
                </w:p>
              </w:tc>
              <w:tc>
                <w:tcPr>
                  <w:tcW w:w="2668" w:type="dxa"/>
                  <w:vMerge w:val="restart"/>
                  <w:vAlign w:val="center"/>
                </w:tcPr>
                <w:p w14:paraId="487E4FE5">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《太湖地区城镇污水处理厂及重点工业行业主要水污染物排放限值》(DB32/1072-2018)</w:t>
                  </w:r>
                </w:p>
              </w:tc>
              <w:tc>
                <w:tcPr>
                  <w:tcW w:w="1411" w:type="dxa"/>
                  <w:vMerge w:val="restart"/>
                  <w:vAlign w:val="center"/>
                </w:tcPr>
                <w:p w14:paraId="1FD4EB3F">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表2</w:t>
                  </w:r>
                </w:p>
              </w:tc>
              <w:tc>
                <w:tcPr>
                  <w:tcW w:w="1120" w:type="dxa"/>
                  <w:vAlign w:val="center"/>
                </w:tcPr>
                <w:p w14:paraId="529B5042">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COD</w:t>
                  </w:r>
                </w:p>
              </w:tc>
              <w:tc>
                <w:tcPr>
                  <w:tcW w:w="730" w:type="dxa"/>
                  <w:vAlign w:val="center"/>
                </w:tcPr>
                <w:p w14:paraId="21729C56">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mg/L</w:t>
                  </w:r>
                </w:p>
              </w:tc>
              <w:tc>
                <w:tcPr>
                  <w:tcW w:w="981" w:type="dxa"/>
                  <w:vAlign w:val="center"/>
                </w:tcPr>
                <w:p w14:paraId="19AEF791">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50</w:t>
                  </w:r>
                </w:p>
              </w:tc>
            </w:tr>
            <w:tr w14:paraId="5E1886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EC2E00B">
                  <w:pPr>
                    <w:adjustRightInd w:val="0"/>
                    <w:jc w:val="center"/>
                    <w:rPr>
                      <w:rFonts w:hint="default" w:ascii="Times New Roman" w:hAnsi="Times New Roman" w:eastAsia="仿宋" w:cs="Times New Roman"/>
                      <w:bCs/>
                      <w:color w:val="auto"/>
                      <w:szCs w:val="21"/>
                    </w:rPr>
                  </w:pPr>
                </w:p>
              </w:tc>
              <w:tc>
                <w:tcPr>
                  <w:tcW w:w="2668" w:type="dxa"/>
                  <w:vMerge w:val="continue"/>
                  <w:vAlign w:val="center"/>
                </w:tcPr>
                <w:p w14:paraId="7827F3E3">
                  <w:pPr>
                    <w:adjustRightInd w:val="0"/>
                    <w:jc w:val="center"/>
                    <w:rPr>
                      <w:rFonts w:hint="default" w:ascii="Times New Roman" w:hAnsi="Times New Roman" w:eastAsia="仿宋" w:cs="Times New Roman"/>
                      <w:bCs/>
                      <w:color w:val="auto"/>
                      <w:szCs w:val="21"/>
                    </w:rPr>
                  </w:pPr>
                </w:p>
              </w:tc>
              <w:tc>
                <w:tcPr>
                  <w:tcW w:w="1411" w:type="dxa"/>
                  <w:vMerge w:val="continue"/>
                  <w:vAlign w:val="center"/>
                </w:tcPr>
                <w:p w14:paraId="2AA8B286">
                  <w:pPr>
                    <w:adjustRightInd w:val="0"/>
                    <w:jc w:val="center"/>
                    <w:rPr>
                      <w:rFonts w:hint="default" w:ascii="Times New Roman" w:hAnsi="Times New Roman" w:eastAsia="仿宋" w:cs="Times New Roman"/>
                      <w:bCs/>
                      <w:color w:val="auto"/>
                      <w:szCs w:val="21"/>
                    </w:rPr>
                  </w:pPr>
                </w:p>
              </w:tc>
              <w:tc>
                <w:tcPr>
                  <w:tcW w:w="1120" w:type="dxa"/>
                  <w:vAlign w:val="center"/>
                </w:tcPr>
                <w:p w14:paraId="163247B4">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NH</w:t>
                  </w:r>
                  <w:r>
                    <w:rPr>
                      <w:rFonts w:hint="default" w:ascii="Times New Roman" w:hAnsi="Times New Roman" w:eastAsia="仿宋" w:cs="Times New Roman"/>
                      <w:bCs/>
                      <w:color w:val="auto"/>
                      <w:szCs w:val="21"/>
                      <w:vertAlign w:val="subscript"/>
                    </w:rPr>
                    <w:t>3</w:t>
                  </w:r>
                  <w:r>
                    <w:rPr>
                      <w:rFonts w:hint="default" w:ascii="Times New Roman" w:hAnsi="Times New Roman" w:eastAsia="仿宋" w:cs="Times New Roman"/>
                      <w:bCs/>
                      <w:color w:val="auto"/>
                      <w:szCs w:val="21"/>
                    </w:rPr>
                    <w:t>-N</w:t>
                  </w:r>
                </w:p>
              </w:tc>
              <w:tc>
                <w:tcPr>
                  <w:tcW w:w="730" w:type="dxa"/>
                  <w:vAlign w:val="center"/>
                </w:tcPr>
                <w:p w14:paraId="502EBD67">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mg/L</w:t>
                  </w:r>
                </w:p>
              </w:tc>
              <w:tc>
                <w:tcPr>
                  <w:tcW w:w="981" w:type="dxa"/>
                  <w:vAlign w:val="center"/>
                </w:tcPr>
                <w:p w14:paraId="21420A7F">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4（6）</w:t>
                  </w:r>
                </w:p>
              </w:tc>
            </w:tr>
            <w:tr w14:paraId="0FE987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4433A379">
                  <w:pPr>
                    <w:adjustRightInd w:val="0"/>
                    <w:jc w:val="center"/>
                    <w:rPr>
                      <w:rFonts w:hint="default" w:ascii="Times New Roman" w:hAnsi="Times New Roman" w:eastAsia="仿宋" w:cs="Times New Roman"/>
                      <w:bCs/>
                      <w:color w:val="auto"/>
                      <w:szCs w:val="21"/>
                    </w:rPr>
                  </w:pPr>
                </w:p>
              </w:tc>
              <w:tc>
                <w:tcPr>
                  <w:tcW w:w="2668" w:type="dxa"/>
                  <w:vMerge w:val="continue"/>
                  <w:vAlign w:val="center"/>
                </w:tcPr>
                <w:p w14:paraId="34D871B1">
                  <w:pPr>
                    <w:adjustRightInd w:val="0"/>
                    <w:jc w:val="center"/>
                    <w:rPr>
                      <w:rFonts w:hint="default" w:ascii="Times New Roman" w:hAnsi="Times New Roman" w:eastAsia="仿宋" w:cs="Times New Roman"/>
                      <w:bCs/>
                      <w:color w:val="auto"/>
                      <w:szCs w:val="21"/>
                    </w:rPr>
                  </w:pPr>
                </w:p>
              </w:tc>
              <w:tc>
                <w:tcPr>
                  <w:tcW w:w="1411" w:type="dxa"/>
                  <w:vMerge w:val="continue"/>
                  <w:vAlign w:val="center"/>
                </w:tcPr>
                <w:p w14:paraId="1A980F7E">
                  <w:pPr>
                    <w:adjustRightInd w:val="0"/>
                    <w:jc w:val="center"/>
                    <w:rPr>
                      <w:rFonts w:hint="default" w:ascii="Times New Roman" w:hAnsi="Times New Roman" w:eastAsia="仿宋" w:cs="Times New Roman"/>
                      <w:bCs/>
                      <w:color w:val="auto"/>
                      <w:szCs w:val="21"/>
                    </w:rPr>
                  </w:pPr>
                </w:p>
              </w:tc>
              <w:tc>
                <w:tcPr>
                  <w:tcW w:w="1120" w:type="dxa"/>
                  <w:vAlign w:val="center"/>
                </w:tcPr>
                <w:p w14:paraId="389E51B7">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TP</w:t>
                  </w:r>
                </w:p>
              </w:tc>
              <w:tc>
                <w:tcPr>
                  <w:tcW w:w="730" w:type="dxa"/>
                  <w:vAlign w:val="center"/>
                </w:tcPr>
                <w:p w14:paraId="76E50A3D">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mg/L</w:t>
                  </w:r>
                </w:p>
              </w:tc>
              <w:tc>
                <w:tcPr>
                  <w:tcW w:w="981" w:type="dxa"/>
                  <w:vAlign w:val="center"/>
                </w:tcPr>
                <w:p w14:paraId="55ECF27A">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0.5</w:t>
                  </w:r>
                </w:p>
              </w:tc>
            </w:tr>
            <w:tr w14:paraId="3B33E0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4AAEC8D4">
                  <w:pPr>
                    <w:adjustRightInd w:val="0"/>
                    <w:jc w:val="center"/>
                    <w:rPr>
                      <w:rFonts w:hint="default" w:ascii="Times New Roman" w:hAnsi="Times New Roman" w:eastAsia="仿宋" w:cs="Times New Roman"/>
                      <w:bCs/>
                      <w:color w:val="auto"/>
                      <w:szCs w:val="21"/>
                    </w:rPr>
                  </w:pPr>
                </w:p>
              </w:tc>
              <w:tc>
                <w:tcPr>
                  <w:tcW w:w="2668" w:type="dxa"/>
                  <w:vMerge w:val="continue"/>
                  <w:vAlign w:val="center"/>
                </w:tcPr>
                <w:p w14:paraId="5B6AC1D5">
                  <w:pPr>
                    <w:adjustRightInd w:val="0"/>
                    <w:jc w:val="center"/>
                    <w:rPr>
                      <w:rFonts w:hint="default" w:ascii="Times New Roman" w:hAnsi="Times New Roman" w:eastAsia="仿宋" w:cs="Times New Roman"/>
                      <w:bCs/>
                      <w:color w:val="auto"/>
                      <w:szCs w:val="21"/>
                    </w:rPr>
                  </w:pPr>
                </w:p>
              </w:tc>
              <w:tc>
                <w:tcPr>
                  <w:tcW w:w="1411" w:type="dxa"/>
                  <w:vMerge w:val="continue"/>
                  <w:vAlign w:val="center"/>
                </w:tcPr>
                <w:p w14:paraId="2CA70AC4">
                  <w:pPr>
                    <w:adjustRightInd w:val="0"/>
                    <w:jc w:val="center"/>
                    <w:rPr>
                      <w:rFonts w:hint="default" w:ascii="Times New Roman" w:hAnsi="Times New Roman" w:eastAsia="仿宋" w:cs="Times New Roman"/>
                      <w:bCs/>
                      <w:color w:val="auto"/>
                      <w:szCs w:val="21"/>
                    </w:rPr>
                  </w:pPr>
                </w:p>
              </w:tc>
              <w:tc>
                <w:tcPr>
                  <w:tcW w:w="1120" w:type="dxa"/>
                  <w:vAlign w:val="center"/>
                </w:tcPr>
                <w:p w14:paraId="73F4BF7C">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TN</w:t>
                  </w:r>
                </w:p>
              </w:tc>
              <w:tc>
                <w:tcPr>
                  <w:tcW w:w="730" w:type="dxa"/>
                  <w:vAlign w:val="center"/>
                </w:tcPr>
                <w:p w14:paraId="5404A149">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mg/L</w:t>
                  </w:r>
                </w:p>
              </w:tc>
              <w:tc>
                <w:tcPr>
                  <w:tcW w:w="981" w:type="dxa"/>
                  <w:vAlign w:val="center"/>
                </w:tcPr>
                <w:p w14:paraId="398F3757">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12（15）</w:t>
                  </w:r>
                </w:p>
              </w:tc>
            </w:tr>
            <w:tr w14:paraId="67343F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306E8E5">
                  <w:pPr>
                    <w:adjustRightInd w:val="0"/>
                    <w:jc w:val="center"/>
                    <w:rPr>
                      <w:rFonts w:hint="default" w:ascii="Times New Roman" w:hAnsi="Times New Roman" w:eastAsia="仿宋" w:cs="Times New Roman"/>
                      <w:bCs/>
                      <w:color w:val="auto"/>
                      <w:szCs w:val="21"/>
                    </w:rPr>
                  </w:pPr>
                </w:p>
              </w:tc>
              <w:tc>
                <w:tcPr>
                  <w:tcW w:w="2668" w:type="dxa"/>
                  <w:vMerge w:val="restart"/>
                  <w:vAlign w:val="center"/>
                </w:tcPr>
                <w:p w14:paraId="21A72214">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《城镇污水处理厂污染物排放标准》（DB32/4440-2022）</w:t>
                  </w:r>
                  <w:r>
                    <w:rPr>
                      <w:rFonts w:hint="default" w:ascii="Times New Roman" w:hAnsi="Times New Roman" w:eastAsia="仿宋" w:cs="Times New Roman"/>
                      <w:bCs/>
                      <w:color w:val="auto"/>
                      <w:szCs w:val="21"/>
                      <w:vertAlign w:val="superscript"/>
                      <w:lang w:val="en-US" w:eastAsia="zh-CN"/>
                    </w:rPr>
                    <w:t>②</w:t>
                  </w:r>
                </w:p>
              </w:tc>
              <w:tc>
                <w:tcPr>
                  <w:tcW w:w="1411" w:type="dxa"/>
                  <w:vMerge w:val="restart"/>
                  <w:vAlign w:val="center"/>
                </w:tcPr>
                <w:p w14:paraId="2467A55D">
                  <w:pPr>
                    <w:adjustRightIn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表1</w:t>
                  </w:r>
                </w:p>
                <w:p w14:paraId="30A509A2">
                  <w:pPr>
                    <w:adjustRightIn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C级标准</w:t>
                  </w:r>
                </w:p>
              </w:tc>
              <w:tc>
                <w:tcPr>
                  <w:tcW w:w="1120" w:type="dxa"/>
                  <w:vAlign w:val="center"/>
                </w:tcPr>
                <w:p w14:paraId="471450EC">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pH</w:t>
                  </w:r>
                </w:p>
              </w:tc>
              <w:tc>
                <w:tcPr>
                  <w:tcW w:w="730" w:type="dxa"/>
                  <w:vAlign w:val="center"/>
                </w:tcPr>
                <w:p w14:paraId="74B3FBDA">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w:t>
                  </w:r>
                </w:p>
              </w:tc>
              <w:tc>
                <w:tcPr>
                  <w:tcW w:w="981" w:type="dxa"/>
                  <w:vAlign w:val="center"/>
                </w:tcPr>
                <w:p w14:paraId="388AF3CD">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6-9</w:t>
                  </w:r>
                </w:p>
              </w:tc>
            </w:tr>
            <w:tr w14:paraId="0FA767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7F0A6F2F">
                  <w:pPr>
                    <w:adjustRightInd w:val="0"/>
                    <w:jc w:val="center"/>
                    <w:rPr>
                      <w:rFonts w:hint="default" w:ascii="Times New Roman" w:hAnsi="Times New Roman" w:eastAsia="仿宋" w:cs="Times New Roman"/>
                      <w:bCs/>
                      <w:color w:val="auto"/>
                      <w:szCs w:val="21"/>
                    </w:rPr>
                  </w:pPr>
                </w:p>
              </w:tc>
              <w:tc>
                <w:tcPr>
                  <w:tcW w:w="2668" w:type="dxa"/>
                  <w:vMerge w:val="continue"/>
                  <w:vAlign w:val="center"/>
                </w:tcPr>
                <w:p w14:paraId="6DF62D0B">
                  <w:pPr>
                    <w:adjustRightInd w:val="0"/>
                    <w:jc w:val="center"/>
                    <w:rPr>
                      <w:rFonts w:hint="default" w:ascii="Times New Roman" w:hAnsi="Times New Roman" w:eastAsia="仿宋" w:cs="Times New Roman"/>
                      <w:bCs/>
                      <w:color w:val="auto"/>
                      <w:szCs w:val="21"/>
                    </w:rPr>
                  </w:pPr>
                </w:p>
              </w:tc>
              <w:tc>
                <w:tcPr>
                  <w:tcW w:w="1411" w:type="dxa"/>
                  <w:vMerge w:val="continue"/>
                  <w:vAlign w:val="center"/>
                </w:tcPr>
                <w:p w14:paraId="43CC32D5">
                  <w:pPr>
                    <w:adjustRightInd w:val="0"/>
                    <w:jc w:val="center"/>
                    <w:rPr>
                      <w:rFonts w:hint="default" w:ascii="Times New Roman" w:hAnsi="Times New Roman" w:eastAsia="仿宋" w:cs="Times New Roman"/>
                      <w:bCs/>
                      <w:color w:val="auto"/>
                      <w:szCs w:val="21"/>
                    </w:rPr>
                  </w:pPr>
                </w:p>
              </w:tc>
              <w:tc>
                <w:tcPr>
                  <w:tcW w:w="1120" w:type="dxa"/>
                  <w:vAlign w:val="center"/>
                </w:tcPr>
                <w:p w14:paraId="7BCA4522">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COD</w:t>
                  </w:r>
                </w:p>
              </w:tc>
              <w:tc>
                <w:tcPr>
                  <w:tcW w:w="730" w:type="dxa"/>
                  <w:vAlign w:val="center"/>
                </w:tcPr>
                <w:p w14:paraId="112E355B">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mg/L</w:t>
                  </w:r>
                </w:p>
              </w:tc>
              <w:tc>
                <w:tcPr>
                  <w:tcW w:w="981" w:type="dxa"/>
                  <w:vAlign w:val="center"/>
                </w:tcPr>
                <w:p w14:paraId="6D6C847B">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lang w:val="en-US" w:eastAsia="zh-CN"/>
                    </w:rPr>
                    <w:t>50</w:t>
                  </w:r>
                </w:p>
              </w:tc>
            </w:tr>
            <w:tr w14:paraId="667515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EC4AE6B">
                  <w:pPr>
                    <w:adjustRightInd w:val="0"/>
                    <w:jc w:val="center"/>
                    <w:rPr>
                      <w:rFonts w:hint="default" w:ascii="Times New Roman" w:hAnsi="Times New Roman" w:eastAsia="仿宋" w:cs="Times New Roman"/>
                      <w:bCs/>
                      <w:color w:val="auto"/>
                      <w:szCs w:val="21"/>
                    </w:rPr>
                  </w:pPr>
                </w:p>
              </w:tc>
              <w:tc>
                <w:tcPr>
                  <w:tcW w:w="2668" w:type="dxa"/>
                  <w:vMerge w:val="continue"/>
                  <w:vAlign w:val="center"/>
                </w:tcPr>
                <w:p w14:paraId="0C9F220D">
                  <w:pPr>
                    <w:adjustRightInd w:val="0"/>
                    <w:jc w:val="center"/>
                    <w:rPr>
                      <w:rFonts w:hint="default" w:ascii="Times New Roman" w:hAnsi="Times New Roman" w:eastAsia="仿宋" w:cs="Times New Roman"/>
                      <w:bCs/>
                      <w:color w:val="auto"/>
                      <w:szCs w:val="21"/>
                    </w:rPr>
                  </w:pPr>
                </w:p>
              </w:tc>
              <w:tc>
                <w:tcPr>
                  <w:tcW w:w="1411" w:type="dxa"/>
                  <w:vMerge w:val="continue"/>
                  <w:vAlign w:val="center"/>
                </w:tcPr>
                <w:p w14:paraId="30820B23">
                  <w:pPr>
                    <w:adjustRightInd w:val="0"/>
                    <w:jc w:val="center"/>
                    <w:rPr>
                      <w:rFonts w:hint="default" w:ascii="Times New Roman" w:hAnsi="Times New Roman" w:eastAsia="仿宋" w:cs="Times New Roman"/>
                      <w:bCs/>
                      <w:color w:val="auto"/>
                      <w:szCs w:val="21"/>
                    </w:rPr>
                  </w:pPr>
                </w:p>
              </w:tc>
              <w:tc>
                <w:tcPr>
                  <w:tcW w:w="1120" w:type="dxa"/>
                  <w:vAlign w:val="center"/>
                </w:tcPr>
                <w:p w14:paraId="54157C33">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SS</w:t>
                  </w:r>
                </w:p>
              </w:tc>
              <w:tc>
                <w:tcPr>
                  <w:tcW w:w="730" w:type="dxa"/>
                  <w:vAlign w:val="center"/>
                </w:tcPr>
                <w:p w14:paraId="09E9586A">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mg/L</w:t>
                  </w:r>
                </w:p>
              </w:tc>
              <w:tc>
                <w:tcPr>
                  <w:tcW w:w="981" w:type="dxa"/>
                  <w:vAlign w:val="center"/>
                </w:tcPr>
                <w:p w14:paraId="658E8E53">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10</w:t>
                  </w:r>
                </w:p>
              </w:tc>
            </w:tr>
            <w:tr w14:paraId="542BC2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09C705DC">
                  <w:pPr>
                    <w:adjustRightInd w:val="0"/>
                    <w:jc w:val="center"/>
                    <w:rPr>
                      <w:rFonts w:hint="default" w:ascii="Times New Roman" w:hAnsi="Times New Roman" w:eastAsia="仿宋" w:cs="Times New Roman"/>
                      <w:bCs/>
                      <w:color w:val="auto"/>
                      <w:szCs w:val="21"/>
                    </w:rPr>
                  </w:pPr>
                </w:p>
              </w:tc>
              <w:tc>
                <w:tcPr>
                  <w:tcW w:w="2668" w:type="dxa"/>
                  <w:vMerge w:val="continue"/>
                  <w:vAlign w:val="center"/>
                </w:tcPr>
                <w:p w14:paraId="39B83F86">
                  <w:pPr>
                    <w:adjustRightInd w:val="0"/>
                    <w:jc w:val="center"/>
                    <w:rPr>
                      <w:rFonts w:hint="default" w:ascii="Times New Roman" w:hAnsi="Times New Roman" w:eastAsia="仿宋" w:cs="Times New Roman"/>
                      <w:bCs/>
                      <w:color w:val="auto"/>
                      <w:szCs w:val="21"/>
                    </w:rPr>
                  </w:pPr>
                </w:p>
              </w:tc>
              <w:tc>
                <w:tcPr>
                  <w:tcW w:w="1411" w:type="dxa"/>
                  <w:vMerge w:val="continue"/>
                  <w:vAlign w:val="center"/>
                </w:tcPr>
                <w:p w14:paraId="5DF5E80B">
                  <w:pPr>
                    <w:adjustRightInd w:val="0"/>
                    <w:jc w:val="center"/>
                    <w:rPr>
                      <w:rFonts w:hint="default" w:ascii="Times New Roman" w:hAnsi="Times New Roman" w:eastAsia="仿宋" w:cs="Times New Roman"/>
                      <w:bCs/>
                      <w:color w:val="auto"/>
                      <w:szCs w:val="21"/>
                    </w:rPr>
                  </w:pPr>
                </w:p>
              </w:tc>
              <w:tc>
                <w:tcPr>
                  <w:tcW w:w="1120" w:type="dxa"/>
                  <w:vAlign w:val="center"/>
                </w:tcPr>
                <w:p w14:paraId="569C2F99">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NH</w:t>
                  </w:r>
                  <w:r>
                    <w:rPr>
                      <w:rFonts w:hint="default" w:ascii="Times New Roman" w:hAnsi="Times New Roman" w:eastAsia="仿宋" w:cs="Times New Roman"/>
                      <w:bCs/>
                      <w:color w:val="auto"/>
                      <w:szCs w:val="21"/>
                      <w:vertAlign w:val="subscript"/>
                    </w:rPr>
                    <w:t>3</w:t>
                  </w:r>
                  <w:r>
                    <w:rPr>
                      <w:rFonts w:hint="default" w:ascii="Times New Roman" w:hAnsi="Times New Roman" w:eastAsia="仿宋" w:cs="Times New Roman"/>
                      <w:bCs/>
                      <w:color w:val="auto"/>
                      <w:szCs w:val="21"/>
                    </w:rPr>
                    <w:t>-N</w:t>
                  </w:r>
                </w:p>
              </w:tc>
              <w:tc>
                <w:tcPr>
                  <w:tcW w:w="730" w:type="dxa"/>
                  <w:vAlign w:val="center"/>
                </w:tcPr>
                <w:p w14:paraId="7E9BC0B9">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mg/L</w:t>
                  </w:r>
                </w:p>
              </w:tc>
              <w:tc>
                <w:tcPr>
                  <w:tcW w:w="981" w:type="dxa"/>
                  <w:vAlign w:val="center"/>
                </w:tcPr>
                <w:p w14:paraId="7A7E5E28">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lang w:val="en-US" w:eastAsia="zh-CN"/>
                    </w:rPr>
                    <w:t>4</w:t>
                  </w:r>
                  <w:r>
                    <w:rPr>
                      <w:rFonts w:hint="default" w:ascii="Times New Roman" w:hAnsi="Times New Roman" w:eastAsia="仿宋" w:cs="Times New Roman"/>
                      <w:bCs/>
                      <w:color w:val="auto"/>
                      <w:szCs w:val="21"/>
                    </w:rPr>
                    <w:t>（</w:t>
                  </w:r>
                  <w:r>
                    <w:rPr>
                      <w:rFonts w:hint="default" w:ascii="Times New Roman" w:hAnsi="Times New Roman" w:eastAsia="仿宋" w:cs="Times New Roman"/>
                      <w:bCs/>
                      <w:color w:val="auto"/>
                      <w:szCs w:val="21"/>
                      <w:lang w:val="en-US" w:eastAsia="zh-CN"/>
                    </w:rPr>
                    <w:t>6</w:t>
                  </w:r>
                  <w:r>
                    <w:rPr>
                      <w:rFonts w:hint="default" w:ascii="Times New Roman" w:hAnsi="Times New Roman" w:eastAsia="仿宋" w:cs="Times New Roman"/>
                      <w:bCs/>
                      <w:color w:val="auto"/>
                      <w:szCs w:val="21"/>
                    </w:rPr>
                    <w:t>）</w:t>
                  </w:r>
                </w:p>
              </w:tc>
            </w:tr>
            <w:tr w14:paraId="59332C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0356586E">
                  <w:pPr>
                    <w:adjustRightInd w:val="0"/>
                    <w:jc w:val="center"/>
                    <w:rPr>
                      <w:rFonts w:hint="default" w:ascii="Times New Roman" w:hAnsi="Times New Roman" w:eastAsia="仿宋" w:cs="Times New Roman"/>
                      <w:bCs/>
                      <w:color w:val="auto"/>
                      <w:szCs w:val="21"/>
                    </w:rPr>
                  </w:pPr>
                </w:p>
              </w:tc>
              <w:tc>
                <w:tcPr>
                  <w:tcW w:w="2668" w:type="dxa"/>
                  <w:vMerge w:val="continue"/>
                  <w:vAlign w:val="center"/>
                </w:tcPr>
                <w:p w14:paraId="65DBF747">
                  <w:pPr>
                    <w:adjustRightInd w:val="0"/>
                    <w:jc w:val="center"/>
                    <w:rPr>
                      <w:rFonts w:hint="default" w:ascii="Times New Roman" w:hAnsi="Times New Roman" w:eastAsia="仿宋" w:cs="Times New Roman"/>
                      <w:bCs/>
                      <w:color w:val="auto"/>
                      <w:szCs w:val="21"/>
                    </w:rPr>
                  </w:pPr>
                </w:p>
              </w:tc>
              <w:tc>
                <w:tcPr>
                  <w:tcW w:w="1411" w:type="dxa"/>
                  <w:vMerge w:val="continue"/>
                  <w:vAlign w:val="center"/>
                </w:tcPr>
                <w:p w14:paraId="2E170C12">
                  <w:pPr>
                    <w:adjustRightInd w:val="0"/>
                    <w:jc w:val="center"/>
                    <w:rPr>
                      <w:rFonts w:hint="default" w:ascii="Times New Roman" w:hAnsi="Times New Roman" w:eastAsia="仿宋" w:cs="Times New Roman"/>
                      <w:bCs/>
                      <w:color w:val="auto"/>
                      <w:szCs w:val="21"/>
                    </w:rPr>
                  </w:pPr>
                </w:p>
              </w:tc>
              <w:tc>
                <w:tcPr>
                  <w:tcW w:w="1120" w:type="dxa"/>
                  <w:vAlign w:val="center"/>
                </w:tcPr>
                <w:p w14:paraId="06401F0C">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TP</w:t>
                  </w:r>
                </w:p>
              </w:tc>
              <w:tc>
                <w:tcPr>
                  <w:tcW w:w="730" w:type="dxa"/>
                  <w:vAlign w:val="center"/>
                </w:tcPr>
                <w:p w14:paraId="5634A485">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mg/L</w:t>
                  </w:r>
                </w:p>
              </w:tc>
              <w:tc>
                <w:tcPr>
                  <w:tcW w:w="981" w:type="dxa"/>
                  <w:vAlign w:val="center"/>
                </w:tcPr>
                <w:p w14:paraId="21A4BA7E">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0.</w:t>
                  </w:r>
                  <w:r>
                    <w:rPr>
                      <w:rFonts w:hint="default" w:ascii="Times New Roman" w:hAnsi="Times New Roman" w:eastAsia="仿宋" w:cs="Times New Roman"/>
                      <w:bCs/>
                      <w:color w:val="auto"/>
                      <w:szCs w:val="21"/>
                      <w:lang w:val="en-US" w:eastAsia="zh-CN"/>
                    </w:rPr>
                    <w:t>5</w:t>
                  </w:r>
                </w:p>
              </w:tc>
            </w:tr>
            <w:tr w14:paraId="2FA75F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694BA795">
                  <w:pPr>
                    <w:adjustRightInd w:val="0"/>
                    <w:jc w:val="center"/>
                    <w:rPr>
                      <w:rFonts w:hint="default" w:ascii="Times New Roman" w:hAnsi="Times New Roman" w:eastAsia="仿宋" w:cs="Times New Roman"/>
                      <w:bCs/>
                      <w:color w:val="auto"/>
                      <w:szCs w:val="21"/>
                    </w:rPr>
                  </w:pPr>
                </w:p>
              </w:tc>
              <w:tc>
                <w:tcPr>
                  <w:tcW w:w="2668" w:type="dxa"/>
                  <w:vMerge w:val="continue"/>
                  <w:vAlign w:val="center"/>
                </w:tcPr>
                <w:p w14:paraId="432B9DE6">
                  <w:pPr>
                    <w:adjustRightInd w:val="0"/>
                    <w:jc w:val="center"/>
                    <w:rPr>
                      <w:rFonts w:hint="default" w:ascii="Times New Roman" w:hAnsi="Times New Roman" w:eastAsia="仿宋" w:cs="Times New Roman"/>
                      <w:bCs/>
                      <w:color w:val="auto"/>
                      <w:szCs w:val="21"/>
                    </w:rPr>
                  </w:pPr>
                </w:p>
              </w:tc>
              <w:tc>
                <w:tcPr>
                  <w:tcW w:w="1411" w:type="dxa"/>
                  <w:vMerge w:val="continue"/>
                  <w:vAlign w:val="center"/>
                </w:tcPr>
                <w:p w14:paraId="00D61175">
                  <w:pPr>
                    <w:adjustRightInd w:val="0"/>
                    <w:jc w:val="center"/>
                    <w:rPr>
                      <w:rFonts w:hint="default" w:ascii="Times New Roman" w:hAnsi="Times New Roman" w:eastAsia="仿宋" w:cs="Times New Roman"/>
                      <w:bCs/>
                      <w:color w:val="auto"/>
                      <w:szCs w:val="21"/>
                    </w:rPr>
                  </w:pPr>
                </w:p>
              </w:tc>
              <w:tc>
                <w:tcPr>
                  <w:tcW w:w="1120" w:type="dxa"/>
                  <w:vAlign w:val="center"/>
                </w:tcPr>
                <w:p w14:paraId="37C17222">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TN</w:t>
                  </w:r>
                </w:p>
              </w:tc>
              <w:tc>
                <w:tcPr>
                  <w:tcW w:w="730" w:type="dxa"/>
                  <w:vAlign w:val="center"/>
                </w:tcPr>
                <w:p w14:paraId="480F7236">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mg/L</w:t>
                  </w:r>
                </w:p>
              </w:tc>
              <w:tc>
                <w:tcPr>
                  <w:tcW w:w="981" w:type="dxa"/>
                  <w:vAlign w:val="center"/>
                </w:tcPr>
                <w:p w14:paraId="698AA942">
                  <w:pPr>
                    <w:adjustRightIn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lang w:val="en-US" w:eastAsia="zh-CN"/>
                    </w:rPr>
                    <w:t>12</w:t>
                  </w:r>
                  <w:r>
                    <w:rPr>
                      <w:rFonts w:hint="default" w:ascii="Times New Roman" w:hAnsi="Times New Roman" w:eastAsia="仿宋" w:cs="Times New Roman"/>
                      <w:bCs/>
                      <w:color w:val="auto"/>
                      <w:szCs w:val="21"/>
                    </w:rPr>
                    <w:t>（</w:t>
                  </w:r>
                  <w:r>
                    <w:rPr>
                      <w:rFonts w:hint="default" w:ascii="Times New Roman" w:hAnsi="Times New Roman" w:eastAsia="仿宋" w:cs="Times New Roman"/>
                      <w:bCs/>
                      <w:color w:val="auto"/>
                      <w:szCs w:val="21"/>
                      <w:lang w:val="en-US" w:eastAsia="zh-CN"/>
                    </w:rPr>
                    <w:t>15</w:t>
                  </w:r>
                  <w:r>
                    <w:rPr>
                      <w:rFonts w:hint="default" w:ascii="Times New Roman" w:hAnsi="Times New Roman" w:eastAsia="仿宋" w:cs="Times New Roman"/>
                      <w:bCs/>
                      <w:color w:val="auto"/>
                      <w:szCs w:val="21"/>
                    </w:rPr>
                    <w:t>）</w:t>
                  </w:r>
                </w:p>
              </w:tc>
            </w:tr>
          </w:tbl>
          <w:p w14:paraId="396B8CC7">
            <w:pPr>
              <w:pStyle w:val="7"/>
              <w:adjustRightInd w:val="0"/>
              <w:spacing w:before="0" w:after="0" w:line="240" w:lineRule="auto"/>
              <w:ind w:right="0"/>
              <w:rPr>
                <w:rFonts w:hint="default" w:ascii="Times New Roman" w:hAnsi="Times New Roman" w:eastAsia="仿宋" w:cs="Times New Roman"/>
                <w:b/>
                <w:color w:val="auto"/>
                <w:sz w:val="21"/>
                <w:szCs w:val="21"/>
                <w:lang w:eastAsia="zh-CN"/>
              </w:rPr>
            </w:pPr>
            <w:r>
              <w:rPr>
                <w:rFonts w:hint="default" w:ascii="Times New Roman" w:hAnsi="Times New Roman" w:eastAsia="仿宋" w:cs="Times New Roman"/>
                <w:b/>
                <w:color w:val="auto"/>
                <w:sz w:val="21"/>
                <w:szCs w:val="21"/>
              </w:rPr>
              <w:t>注：</w:t>
            </w:r>
            <w:r>
              <w:rPr>
                <w:rFonts w:hint="default" w:ascii="Times New Roman" w:hAnsi="Times New Roman" w:eastAsia="仿宋" w:cs="Times New Roman"/>
                <w:b/>
                <w:color w:val="auto"/>
                <w:sz w:val="21"/>
                <w:szCs w:val="21"/>
                <w:lang w:eastAsia="zh-CN"/>
              </w:rPr>
              <w:t>①</w:t>
            </w:r>
            <w:r>
              <w:rPr>
                <w:rFonts w:hint="default" w:ascii="Times New Roman" w:hAnsi="Times New Roman" w:eastAsia="仿宋" w:cs="Times New Roman"/>
                <w:b/>
                <w:color w:val="auto"/>
                <w:sz w:val="21"/>
                <w:szCs w:val="21"/>
              </w:rPr>
              <w:t>括号外数值为水温&gt;12℃时的控制指标，括号内数值为水温≤12℃时的控制指标</w:t>
            </w:r>
            <w:r>
              <w:rPr>
                <w:rFonts w:hint="default" w:ascii="Times New Roman" w:hAnsi="Times New Roman" w:eastAsia="仿宋" w:cs="Times New Roman"/>
                <w:b/>
                <w:color w:val="auto"/>
                <w:sz w:val="21"/>
                <w:szCs w:val="21"/>
                <w:lang w:eastAsia="zh-CN"/>
              </w:rPr>
              <w:t>；</w:t>
            </w:r>
          </w:p>
          <w:p w14:paraId="4551D9C4">
            <w:pPr>
              <w:keepNext w:val="0"/>
              <w:keepLines w:val="0"/>
              <w:widowControl/>
              <w:suppressLineNumbers w:val="0"/>
              <w:ind w:firstLine="422" w:firstLineChars="200"/>
              <w:jc w:val="left"/>
              <w:rPr>
                <w:rFonts w:hint="default" w:ascii="Times New Roman" w:hAnsi="Times New Roman" w:eastAsia="仿宋" w:cs="Times New Roman"/>
                <w:b/>
                <w:color w:val="auto"/>
                <w:kern w:val="0"/>
                <w:sz w:val="21"/>
                <w:szCs w:val="21"/>
                <w:lang w:val="en-US" w:eastAsia="zh-CN" w:bidi="ar-SA"/>
              </w:rPr>
            </w:pPr>
            <w:r>
              <w:rPr>
                <w:rFonts w:hint="default" w:ascii="Times New Roman" w:hAnsi="Times New Roman" w:eastAsia="仿宋" w:cs="Times New Roman"/>
                <w:b/>
                <w:color w:val="auto"/>
                <w:sz w:val="21"/>
                <w:szCs w:val="21"/>
              </w:rPr>
              <w:t>②</w:t>
            </w:r>
            <w:r>
              <w:rPr>
                <w:rFonts w:hint="default" w:ascii="Times New Roman" w:hAnsi="Times New Roman" w:eastAsia="仿宋" w:cs="Times New Roman"/>
                <w:b/>
                <w:color w:val="auto"/>
                <w:sz w:val="21"/>
                <w:szCs w:val="21"/>
                <w:lang w:val="en-US" w:eastAsia="zh-CN"/>
              </w:rPr>
              <w:t>现有污水处理厂</w:t>
            </w:r>
            <w:r>
              <w:rPr>
                <w:rFonts w:hint="default" w:ascii="Times New Roman" w:hAnsi="Times New Roman" w:eastAsia="仿宋" w:cs="Times New Roman"/>
                <w:b/>
                <w:color w:val="auto"/>
                <w:kern w:val="0"/>
                <w:sz w:val="21"/>
                <w:szCs w:val="21"/>
                <w:lang w:val="en-US" w:eastAsia="zh-CN" w:bidi="ar-SA"/>
              </w:rPr>
              <w:t>自2026年3月28日开始实施</w:t>
            </w:r>
            <w:r>
              <w:rPr>
                <w:rFonts w:hint="default" w:ascii="Times New Roman" w:hAnsi="Times New Roman" w:eastAsia="仿宋" w:cs="Times New Roman"/>
                <w:b/>
                <w:color w:val="auto"/>
                <w:sz w:val="21"/>
                <w:szCs w:val="21"/>
                <w:lang w:val="en-US" w:eastAsia="zh-CN"/>
              </w:rPr>
              <w:t>该</w:t>
            </w:r>
            <w:r>
              <w:rPr>
                <w:rFonts w:hint="default" w:ascii="Times New Roman" w:hAnsi="Times New Roman" w:eastAsia="仿宋" w:cs="Times New Roman"/>
                <w:b/>
                <w:color w:val="auto"/>
                <w:kern w:val="0"/>
                <w:sz w:val="21"/>
                <w:szCs w:val="21"/>
                <w:lang w:val="en-US" w:eastAsia="zh-CN" w:bidi="ar-SA"/>
              </w:rPr>
              <w:t>标准。</w:t>
            </w:r>
          </w:p>
          <w:p w14:paraId="5D741CE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3、噪声</w:t>
            </w:r>
          </w:p>
          <w:p w14:paraId="5A0C60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rPr>
              <w:t>本项目营运期厂界噪声执行《工业企业厂界环境噪声排放标准》</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GB12348-2008</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中</w:t>
            </w:r>
            <w:r>
              <w:rPr>
                <w:rFonts w:hint="default" w:ascii="Times New Roman" w:hAnsi="Times New Roman" w:eastAsia="仿宋" w:cs="Times New Roman"/>
                <w:bCs/>
                <w:color w:val="auto"/>
                <w:sz w:val="24"/>
                <w:lang w:val="en-US" w:eastAsia="zh-CN"/>
              </w:rPr>
              <w:t>3</w:t>
            </w:r>
            <w:r>
              <w:rPr>
                <w:rFonts w:hint="default" w:ascii="Times New Roman" w:hAnsi="Times New Roman" w:eastAsia="仿宋" w:cs="Times New Roman"/>
                <w:bCs/>
                <w:color w:val="auto"/>
                <w:sz w:val="24"/>
              </w:rPr>
              <w:t>类标准</w:t>
            </w:r>
            <w:r>
              <w:rPr>
                <w:rFonts w:hint="default" w:ascii="Times New Roman" w:hAnsi="Times New Roman" w:eastAsia="仿宋" w:cs="Times New Roman"/>
                <w:color w:val="auto"/>
                <w:sz w:val="24"/>
              </w:rPr>
              <w:t>，具体标准值见下表：</w:t>
            </w:r>
          </w:p>
          <w:p w14:paraId="57C86393">
            <w:pPr>
              <w:keepNext w:val="0"/>
              <w:keepLines w:val="0"/>
              <w:pageBreakBefore w:val="0"/>
              <w:widowControl w:val="0"/>
              <w:kinsoku/>
              <w:wordWrap w:val="0"/>
              <w:overflowPunct/>
              <w:topLinePunct w:val="0"/>
              <w:autoSpaceDE/>
              <w:autoSpaceDN/>
              <w:bidi w:val="0"/>
              <w:adjustRightInd w:val="0"/>
              <w:snapToGrid w:val="0"/>
              <w:spacing w:before="95" w:beforeLines="30" w:line="240" w:lineRule="auto"/>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表3-</w:t>
            </w:r>
            <w:r>
              <w:rPr>
                <w:rFonts w:hint="default" w:ascii="Times New Roman" w:hAnsi="Times New Roman" w:eastAsia="仿宋" w:cs="Times New Roman"/>
                <w:b/>
                <w:bCs/>
                <w:color w:val="auto"/>
                <w:szCs w:val="21"/>
                <w:lang w:val="en-US" w:eastAsia="zh-CN"/>
              </w:rPr>
              <w:t>1</w:t>
            </w:r>
            <w:r>
              <w:rPr>
                <w:rFonts w:hint="eastAsia" w:eastAsia="仿宋" w:cs="Times New Roman"/>
                <w:b/>
                <w:bCs/>
                <w:color w:val="auto"/>
                <w:szCs w:val="21"/>
                <w:lang w:val="en-US" w:eastAsia="zh-CN"/>
              </w:rPr>
              <w:t>0</w:t>
            </w:r>
            <w:r>
              <w:rPr>
                <w:rFonts w:hint="default" w:ascii="Times New Roman" w:hAnsi="Times New Roman" w:eastAsia="仿宋" w:cs="Times New Roman"/>
                <w:b/>
                <w:bCs/>
                <w:color w:val="auto"/>
                <w:szCs w:val="21"/>
              </w:rPr>
              <w:t xml:space="preserve"> 营运期噪声排放标准</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389"/>
              <w:gridCol w:w="1690"/>
              <w:gridCol w:w="1821"/>
            </w:tblGrid>
            <w:tr w14:paraId="50440B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257796AB">
                  <w:pPr>
                    <w:adjustRightIn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声环境功能类别</w:t>
                  </w:r>
                </w:p>
              </w:tc>
              <w:tc>
                <w:tcPr>
                  <w:tcW w:w="1505" w:type="pct"/>
                  <w:vAlign w:val="center"/>
                </w:tcPr>
                <w:p w14:paraId="2078F17F">
                  <w:pPr>
                    <w:adjustRightIn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昼间</w:t>
                  </w:r>
                </w:p>
              </w:tc>
              <w:tc>
                <w:tcPr>
                  <w:tcW w:w="1065" w:type="pct"/>
                  <w:vAlign w:val="center"/>
                </w:tcPr>
                <w:p w14:paraId="199E9F2F">
                  <w:pPr>
                    <w:adjustRightIn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夜间</w:t>
                  </w:r>
                </w:p>
              </w:tc>
              <w:tc>
                <w:tcPr>
                  <w:tcW w:w="1147" w:type="pct"/>
                  <w:vAlign w:val="center"/>
                </w:tcPr>
                <w:p w14:paraId="120FE8A3">
                  <w:pPr>
                    <w:adjustRightIn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执行区域</w:t>
                  </w:r>
                </w:p>
              </w:tc>
            </w:tr>
            <w:tr w14:paraId="041924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4B1C98C9">
                  <w:pPr>
                    <w:adjustRightIn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3</w:t>
                  </w:r>
                  <w:r>
                    <w:rPr>
                      <w:rFonts w:hint="default" w:ascii="Times New Roman" w:hAnsi="Times New Roman" w:eastAsia="仿宋" w:cs="Times New Roman"/>
                      <w:color w:val="auto"/>
                      <w:szCs w:val="21"/>
                    </w:rPr>
                    <w:t>类</w:t>
                  </w:r>
                </w:p>
              </w:tc>
              <w:tc>
                <w:tcPr>
                  <w:tcW w:w="1505" w:type="pct"/>
                  <w:vAlign w:val="center"/>
                </w:tcPr>
                <w:p w14:paraId="2C3627F4">
                  <w:pPr>
                    <w:adjustRightIn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w:t>
                  </w:r>
                  <w:r>
                    <w:rPr>
                      <w:rFonts w:hint="default" w:ascii="Times New Roman" w:hAnsi="Times New Roman" w:eastAsia="仿宋" w:cs="Times New Roman"/>
                      <w:color w:val="auto"/>
                      <w:szCs w:val="21"/>
                      <w:lang w:val="en-US" w:eastAsia="zh-CN"/>
                    </w:rPr>
                    <w:t>5</w:t>
                  </w:r>
                  <w:r>
                    <w:rPr>
                      <w:rFonts w:hint="default" w:ascii="Times New Roman" w:hAnsi="Times New Roman" w:eastAsia="仿宋" w:cs="Times New Roman"/>
                      <w:color w:val="auto"/>
                      <w:szCs w:val="21"/>
                    </w:rPr>
                    <w:t>dB（A）</w:t>
                  </w:r>
                </w:p>
              </w:tc>
              <w:tc>
                <w:tcPr>
                  <w:tcW w:w="1065" w:type="pct"/>
                  <w:vAlign w:val="center"/>
                </w:tcPr>
                <w:p w14:paraId="3DD97D07">
                  <w:pPr>
                    <w:adjustRightIn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w:t>
                  </w:r>
                  <w:r>
                    <w:rPr>
                      <w:rFonts w:hint="default" w:ascii="Times New Roman" w:hAnsi="Times New Roman" w:eastAsia="仿宋" w:cs="Times New Roman"/>
                      <w:color w:val="auto"/>
                      <w:szCs w:val="21"/>
                      <w:lang w:val="en-US" w:eastAsia="zh-CN"/>
                    </w:rPr>
                    <w:t>5</w:t>
                  </w:r>
                  <w:r>
                    <w:rPr>
                      <w:rFonts w:hint="default" w:ascii="Times New Roman" w:hAnsi="Times New Roman" w:eastAsia="仿宋" w:cs="Times New Roman"/>
                      <w:color w:val="auto"/>
                      <w:szCs w:val="21"/>
                    </w:rPr>
                    <w:t>dB（A）</w:t>
                  </w:r>
                </w:p>
              </w:tc>
              <w:tc>
                <w:tcPr>
                  <w:tcW w:w="1147" w:type="pct"/>
                  <w:vAlign w:val="center"/>
                </w:tcPr>
                <w:p w14:paraId="03FCC803">
                  <w:pPr>
                    <w:adjustRightIn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厂界四周</w:t>
                  </w:r>
                </w:p>
              </w:tc>
            </w:tr>
          </w:tbl>
          <w:p w14:paraId="6DF83C34">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4、固废</w:t>
            </w:r>
          </w:p>
          <w:p w14:paraId="7A7D2FBF">
            <w:pPr>
              <w:keepNext w:val="0"/>
              <w:keepLines w:val="0"/>
              <w:pageBreakBefore w:val="0"/>
              <w:widowControl/>
              <w:kinsoku/>
              <w:wordWrap/>
              <w:overflowPunct/>
              <w:topLinePunct w:val="0"/>
              <w:autoSpaceDE/>
              <w:autoSpaceDN/>
              <w:bidi w:val="0"/>
              <w:adjustRightInd w:val="0"/>
              <w:snapToGrid w:val="0"/>
              <w:spacing w:line="360" w:lineRule="auto"/>
              <w:ind w:firstLine="468" w:firstLineChars="200"/>
              <w:textAlignment w:val="auto"/>
              <w:rPr>
                <w:rFonts w:hint="default" w:ascii="Times New Roman" w:hAnsi="Times New Roman" w:eastAsia="仿宋" w:cs="Times New Roman"/>
                <w:color w:val="auto"/>
                <w:spacing w:val="-3"/>
                <w:sz w:val="24"/>
              </w:rPr>
            </w:pPr>
            <w:r>
              <w:rPr>
                <w:rFonts w:hint="default" w:ascii="Times New Roman" w:hAnsi="Times New Roman" w:eastAsia="仿宋" w:cs="Times New Roman"/>
                <w:color w:val="auto"/>
                <w:spacing w:val="-3"/>
                <w:sz w:val="24"/>
              </w:rPr>
              <w:t>（1）一</w:t>
            </w:r>
            <w:r>
              <w:rPr>
                <w:rFonts w:hint="default" w:ascii="Times New Roman" w:hAnsi="Times New Roman" w:eastAsia="仿宋" w:cs="Times New Roman"/>
                <w:bCs/>
                <w:color w:val="auto"/>
                <w:sz w:val="24"/>
              </w:rPr>
              <w:t>般固废</w:t>
            </w:r>
            <w:r>
              <w:rPr>
                <w:rFonts w:hint="default" w:ascii="Times New Roman" w:hAnsi="Times New Roman" w:eastAsia="仿宋" w:cs="Times New Roman"/>
                <w:bCs/>
                <w:color w:val="auto"/>
                <w:sz w:val="24"/>
                <w:lang w:val="en-US" w:eastAsia="zh-CN"/>
              </w:rPr>
              <w:t>满足防渗漏、防雨淋、防扬尘的环境管理要求</w:t>
            </w:r>
            <w:r>
              <w:rPr>
                <w:rFonts w:hint="default" w:ascii="Times New Roman" w:hAnsi="Times New Roman" w:eastAsia="仿宋" w:cs="Times New Roman"/>
                <w:color w:val="auto"/>
                <w:spacing w:val="-3"/>
                <w:sz w:val="24"/>
              </w:rPr>
              <w:t>；</w:t>
            </w:r>
          </w:p>
          <w:p w14:paraId="033418C0">
            <w:pPr>
              <w:keepNext w:val="0"/>
              <w:keepLines w:val="0"/>
              <w:pageBreakBefore w:val="0"/>
              <w:kinsoku/>
              <w:wordWrap/>
              <w:overflowPunct/>
              <w:topLinePunct w:val="0"/>
              <w:autoSpaceDE/>
              <w:autoSpaceDN/>
              <w:bidi w:val="0"/>
              <w:adjustRightInd w:val="0"/>
              <w:snapToGrid w:val="0"/>
              <w:spacing w:line="360" w:lineRule="auto"/>
              <w:ind w:firstLine="468" w:firstLineChars="200"/>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color w:val="auto"/>
                <w:spacing w:val="-3"/>
                <w:sz w:val="24"/>
              </w:rPr>
              <w:t>（2）危险废物</w:t>
            </w:r>
            <w:r>
              <w:rPr>
                <w:rFonts w:hint="default" w:ascii="Times New Roman" w:hAnsi="Times New Roman" w:eastAsia="仿宋" w:cs="Times New Roman"/>
                <w:bCs/>
                <w:color w:val="auto"/>
                <w:sz w:val="24"/>
              </w:rPr>
              <w:t>执行《危险废物贮存污染控制标准》（GB18597-20</w:t>
            </w:r>
            <w:r>
              <w:rPr>
                <w:rFonts w:hint="default" w:ascii="Times New Roman" w:hAnsi="Times New Roman" w:eastAsia="仿宋" w:cs="Times New Roman"/>
                <w:bCs/>
                <w:color w:val="auto"/>
                <w:sz w:val="24"/>
                <w:lang w:val="en-US" w:eastAsia="zh-CN"/>
              </w:rPr>
              <w:t>23</w:t>
            </w:r>
            <w:r>
              <w:rPr>
                <w:rFonts w:hint="default" w:ascii="Times New Roman" w:hAnsi="Times New Roman" w:eastAsia="仿宋" w:cs="Times New Roman"/>
                <w:bCs/>
                <w:color w:val="auto"/>
                <w:sz w:val="24"/>
              </w:rPr>
              <w:t>），同时执行《省生态环境厅关于进一步加强危险废物环境管理工作的通知》（苏环办</w:t>
            </w:r>
            <w:r>
              <w:rPr>
                <w:rFonts w:hint="eastAsia" w:eastAsia="仿宋" w:cs="Times New Roman"/>
                <w:bCs/>
                <w:color w:val="auto"/>
                <w:sz w:val="24"/>
                <w:lang w:eastAsia="zh-CN"/>
              </w:rPr>
              <w:t>〔2021〕</w:t>
            </w:r>
            <w:r>
              <w:rPr>
                <w:rFonts w:hint="default" w:ascii="Times New Roman" w:hAnsi="Times New Roman" w:eastAsia="仿宋" w:cs="Times New Roman"/>
                <w:bCs/>
                <w:color w:val="auto"/>
                <w:sz w:val="24"/>
              </w:rPr>
              <w:t>207号）的要求</w:t>
            </w:r>
            <w:r>
              <w:rPr>
                <w:rFonts w:hint="default" w:ascii="Times New Roman" w:hAnsi="Times New Roman" w:eastAsia="仿宋" w:cs="Times New Roman"/>
                <w:color w:val="auto"/>
                <w:spacing w:val="-3"/>
                <w:sz w:val="24"/>
              </w:rPr>
              <w:t>。</w:t>
            </w:r>
          </w:p>
        </w:tc>
      </w:tr>
      <w:tr w14:paraId="6326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0" w:hRule="atLeast"/>
          <w:jc w:val="center"/>
        </w:trPr>
        <w:tc>
          <w:tcPr>
            <w:tcW w:w="832" w:type="dxa"/>
            <w:vAlign w:val="center"/>
          </w:tcPr>
          <w:p w14:paraId="1597BF2F">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总量</w:t>
            </w:r>
          </w:p>
          <w:p w14:paraId="481C277F">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控制</w:t>
            </w:r>
          </w:p>
          <w:p w14:paraId="369A1ED2">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rPr>
              <w:t>指标</w:t>
            </w:r>
          </w:p>
        </w:tc>
        <w:tc>
          <w:tcPr>
            <w:tcW w:w="8152" w:type="dxa"/>
            <w:vAlign w:val="center"/>
          </w:tcPr>
          <w:p w14:paraId="594FFF02">
            <w:pPr>
              <w:keepNext w:val="0"/>
              <w:keepLines w:val="0"/>
              <w:pageBreakBefore w:val="0"/>
              <w:widowControl w:val="0"/>
              <w:kinsoku/>
              <w:wordWrap/>
              <w:overflowPunct w:val="0"/>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val="en-US" w:eastAsia="zh-CN"/>
              </w:rPr>
              <w:t>1</w:t>
            </w:r>
            <w:r>
              <w:rPr>
                <w:rFonts w:hint="default" w:ascii="Times New Roman" w:hAnsi="Times New Roman" w:eastAsia="仿宋" w:cs="Times New Roman"/>
                <w:b/>
                <w:bCs/>
                <w:color w:val="auto"/>
                <w:sz w:val="24"/>
              </w:rPr>
              <w:t>、总量控制指标</w:t>
            </w:r>
          </w:p>
          <w:p w14:paraId="28D3BC31">
            <w:pPr>
              <w:keepNext w:val="0"/>
              <w:keepLines w:val="0"/>
              <w:pageBreakBefore w:val="0"/>
              <w:widowControl w:val="0"/>
              <w:kinsoku/>
              <w:wordWrap/>
              <w:topLinePunct w:val="0"/>
              <w:autoSpaceDE/>
              <w:autoSpaceDN/>
              <w:bidi w:val="0"/>
              <w:adjustRightInd w:val="0"/>
              <w:snapToGrid w:val="0"/>
              <w:spacing w:line="360" w:lineRule="auto"/>
              <w:ind w:firstLine="523" w:firstLineChars="218"/>
              <w:jc w:val="left"/>
              <w:textAlignment w:val="auto"/>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rPr>
              <w:t>本项目建成后全厂污染物总量控制指标及来源途径见</w:t>
            </w:r>
            <w:r>
              <w:rPr>
                <w:rFonts w:hint="default" w:ascii="Times New Roman" w:hAnsi="Times New Roman" w:eastAsia="仿宋" w:cs="Times New Roman"/>
                <w:color w:val="auto"/>
                <w:sz w:val="24"/>
                <w:lang w:val="en-US" w:eastAsia="zh-CN"/>
              </w:rPr>
              <w:t>下</w:t>
            </w:r>
            <w:r>
              <w:rPr>
                <w:rFonts w:hint="default" w:ascii="Times New Roman" w:hAnsi="Times New Roman" w:eastAsia="仿宋" w:cs="Times New Roman"/>
                <w:color w:val="auto"/>
                <w:sz w:val="24"/>
              </w:rPr>
              <w:t>表</w:t>
            </w:r>
            <w:r>
              <w:rPr>
                <w:rFonts w:hint="default" w:ascii="Times New Roman" w:hAnsi="Times New Roman" w:eastAsia="仿宋" w:cs="Times New Roman"/>
                <w:color w:val="auto"/>
                <w:sz w:val="24"/>
                <w:lang w:eastAsia="zh-CN"/>
              </w:rPr>
              <w:t>。</w:t>
            </w:r>
          </w:p>
          <w:p w14:paraId="4A9FCF43">
            <w:pPr>
              <w:pStyle w:val="85"/>
              <w:keepNext w:val="0"/>
              <w:keepLines w:val="0"/>
              <w:pageBreakBefore w:val="0"/>
              <w:widowControl w:val="0"/>
              <w:kinsoku/>
              <w:wordWrap/>
              <w:overflowPunct/>
              <w:topLinePunct w:val="0"/>
              <w:autoSpaceDE w:val="0"/>
              <w:autoSpaceDN w:val="0"/>
              <w:bidi w:val="0"/>
              <w:adjustRightInd w:val="0"/>
              <w:snapToGrid w:val="0"/>
              <w:spacing w:before="95" w:beforeLines="30" w:line="240" w:lineRule="auto"/>
              <w:ind w:firstLine="422"/>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表3-1</w:t>
            </w:r>
            <w:r>
              <w:rPr>
                <w:rFonts w:hint="eastAsia" w:eastAsia="仿宋" w:cs="Times New Roman"/>
                <w:b/>
                <w:color w:val="auto"/>
                <w:sz w:val="21"/>
                <w:szCs w:val="21"/>
                <w:lang w:val="en-US" w:eastAsia="zh-CN"/>
              </w:rPr>
              <w:t>1</w:t>
            </w:r>
            <w:r>
              <w:rPr>
                <w:rFonts w:hint="default" w:ascii="Times New Roman" w:hAnsi="Times New Roman" w:eastAsia="仿宋" w:cs="Times New Roman"/>
                <w:b/>
                <w:color w:val="auto"/>
                <w:sz w:val="21"/>
                <w:szCs w:val="21"/>
              </w:rPr>
              <w:t xml:space="preserve">  本项目污染物总量申请表    单位：t/a</w:t>
            </w:r>
          </w:p>
          <w:tbl>
            <w:tblPr>
              <w:tblStyle w:val="27"/>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26"/>
              <w:gridCol w:w="764"/>
              <w:gridCol w:w="1362"/>
              <w:gridCol w:w="1345"/>
              <w:gridCol w:w="1437"/>
              <w:gridCol w:w="1207"/>
              <w:gridCol w:w="1084"/>
            </w:tblGrid>
            <w:tr w14:paraId="3CFFD4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noWrap w:val="0"/>
                  <w:vAlign w:val="center"/>
                </w:tcPr>
                <w:p w14:paraId="32F32AC0">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类别</w:t>
                  </w:r>
                </w:p>
              </w:tc>
              <w:tc>
                <w:tcPr>
                  <w:tcW w:w="1341" w:type="pct"/>
                  <w:gridSpan w:val="2"/>
                  <w:noWrap w:val="0"/>
                  <w:vAlign w:val="center"/>
                </w:tcPr>
                <w:p w14:paraId="1235C885">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污染物名称</w:t>
                  </w:r>
                </w:p>
              </w:tc>
              <w:tc>
                <w:tcPr>
                  <w:tcW w:w="848" w:type="pct"/>
                  <w:noWrap w:val="0"/>
                  <w:vAlign w:val="center"/>
                </w:tcPr>
                <w:p w14:paraId="499638F4">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bCs/>
                      <w:color w:val="auto"/>
                    </w:rPr>
                    <w:t>本项目产生量</w:t>
                  </w:r>
                </w:p>
              </w:tc>
              <w:tc>
                <w:tcPr>
                  <w:tcW w:w="906" w:type="pct"/>
                  <w:noWrap w:val="0"/>
                  <w:vAlign w:val="center"/>
                </w:tcPr>
                <w:p w14:paraId="7DF747D4">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bCs/>
                      <w:color w:val="auto"/>
                    </w:rPr>
                    <w:t>本项目排放量</w:t>
                  </w:r>
                </w:p>
              </w:tc>
              <w:tc>
                <w:tcPr>
                  <w:tcW w:w="761" w:type="pct"/>
                  <w:noWrap w:val="0"/>
                  <w:vAlign w:val="center"/>
                </w:tcPr>
                <w:p w14:paraId="7D82C01E">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bCs/>
                      <w:color w:val="auto"/>
                    </w:rPr>
                    <w:t>本次申请量</w:t>
                  </w:r>
                </w:p>
              </w:tc>
              <w:tc>
                <w:tcPr>
                  <w:tcW w:w="683" w:type="pct"/>
                  <w:noWrap w:val="0"/>
                  <w:vAlign w:val="center"/>
                </w:tcPr>
                <w:p w14:paraId="0D230D4D">
                  <w:pPr>
                    <w:adjustRightInd w:val="0"/>
                    <w:snapToGrid w:val="0"/>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最终排入</w:t>
                  </w:r>
                </w:p>
                <w:p w14:paraId="4B630D27">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bCs/>
                      <w:color w:val="auto"/>
                    </w:rPr>
                    <w:t>外环境量</w:t>
                  </w:r>
                </w:p>
              </w:tc>
            </w:tr>
            <w:tr w14:paraId="5FD483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458" w:type="pct"/>
                  <w:vMerge w:val="restart"/>
                  <w:noWrap w:val="0"/>
                  <w:vAlign w:val="center"/>
                </w:tcPr>
                <w:p w14:paraId="46420321">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大气污染物</w:t>
                  </w:r>
                </w:p>
              </w:tc>
              <w:tc>
                <w:tcPr>
                  <w:tcW w:w="482" w:type="pct"/>
                  <w:vMerge w:val="restart"/>
                  <w:noWrap w:val="0"/>
                  <w:vAlign w:val="center"/>
                </w:tcPr>
                <w:p w14:paraId="07468246">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有组织</w:t>
                  </w:r>
                </w:p>
              </w:tc>
              <w:tc>
                <w:tcPr>
                  <w:tcW w:w="859" w:type="pct"/>
                  <w:noWrap w:val="0"/>
                  <w:vAlign w:val="center"/>
                </w:tcPr>
                <w:p w14:paraId="37475903">
                  <w:pPr>
                    <w:keepNext w:val="0"/>
                    <w:keepLines w:val="0"/>
                    <w:widowControl/>
                    <w:suppressLineNumbers w:val="0"/>
                    <w:jc w:val="center"/>
                    <w:textAlignment w:val="center"/>
                    <w:rPr>
                      <w:rFonts w:hint="default" w:ascii="Times New Roman" w:hAnsi="Times New Roman" w:eastAsia="仿宋" w:cs="Times New Roman"/>
                      <w:bCs/>
                      <w:color w:val="auto"/>
                      <w:szCs w:val="21"/>
                    </w:rPr>
                  </w:pPr>
                  <w:r>
                    <w:rPr>
                      <w:rFonts w:hint="default" w:ascii="Times New Roman" w:hAnsi="Times New Roman" w:eastAsia="仿宋" w:cs="Times New Roman"/>
                      <w:i w:val="0"/>
                      <w:iCs w:val="0"/>
                      <w:color w:val="auto"/>
                      <w:kern w:val="0"/>
                      <w:sz w:val="21"/>
                      <w:szCs w:val="21"/>
                      <w:u w:val="none"/>
                      <w:lang w:val="en-US" w:eastAsia="zh-CN" w:bidi="ar"/>
                    </w:rPr>
                    <w:t>颗粒物</w:t>
                  </w:r>
                </w:p>
              </w:tc>
              <w:tc>
                <w:tcPr>
                  <w:tcW w:w="1345" w:type="dxa"/>
                  <w:noWrap w:val="0"/>
                  <w:vAlign w:val="center"/>
                </w:tcPr>
                <w:p w14:paraId="70DB1A83">
                  <w:pPr>
                    <w:jc w:val="center"/>
                    <w:rPr>
                      <w:rFonts w:hint="default" w:ascii="Times New Roman" w:hAnsi="Times New Roman" w:eastAsia="仿宋" w:cs="Times New Roman"/>
                      <w:color w:val="auto"/>
                      <w:kern w:val="44"/>
                      <w:sz w:val="21"/>
                      <w:szCs w:val="21"/>
                      <w:lang w:val="en-US" w:eastAsia="zh-CN"/>
                    </w:rPr>
                  </w:pPr>
                  <w:r>
                    <w:rPr>
                      <w:rFonts w:hint="eastAsia" w:eastAsia="仿宋" w:cs="Times New Roman"/>
                      <w:color w:val="auto"/>
                      <w:kern w:val="44"/>
                      <w:sz w:val="21"/>
                      <w:szCs w:val="21"/>
                      <w:lang w:val="en-US" w:eastAsia="zh-CN"/>
                    </w:rPr>
                    <w:t>13.776</w:t>
                  </w:r>
                </w:p>
              </w:tc>
              <w:tc>
                <w:tcPr>
                  <w:tcW w:w="1437" w:type="dxa"/>
                  <w:noWrap w:val="0"/>
                  <w:vAlign w:val="center"/>
                </w:tcPr>
                <w:p w14:paraId="004EDE75">
                  <w:pPr>
                    <w:jc w:val="center"/>
                    <w:rPr>
                      <w:rFonts w:hint="default" w:ascii="Times New Roman" w:hAnsi="Times New Roman" w:eastAsia="仿宋" w:cs="Times New Roman"/>
                      <w:color w:val="auto"/>
                      <w:kern w:val="44"/>
                      <w:sz w:val="21"/>
                      <w:szCs w:val="21"/>
                      <w:lang w:val="en-US" w:eastAsia="zh-CN"/>
                    </w:rPr>
                  </w:pPr>
                  <w:r>
                    <w:rPr>
                      <w:rFonts w:hint="eastAsia" w:eastAsia="仿宋" w:cs="Times New Roman"/>
                      <w:color w:val="auto"/>
                      <w:kern w:val="44"/>
                      <w:sz w:val="21"/>
                      <w:szCs w:val="21"/>
                      <w:lang w:val="en-US" w:eastAsia="zh-CN"/>
                    </w:rPr>
                    <w:t>0.253</w:t>
                  </w:r>
                </w:p>
              </w:tc>
              <w:tc>
                <w:tcPr>
                  <w:tcW w:w="1207" w:type="dxa"/>
                  <w:noWrap w:val="0"/>
                  <w:vAlign w:val="center"/>
                </w:tcPr>
                <w:p w14:paraId="03CBF62C">
                  <w:pPr>
                    <w:jc w:val="center"/>
                    <w:rPr>
                      <w:rFonts w:hint="default" w:ascii="Times New Roman" w:hAnsi="Times New Roman" w:eastAsia="仿宋" w:cs="Times New Roman"/>
                      <w:color w:val="auto"/>
                      <w:szCs w:val="21"/>
                    </w:rPr>
                  </w:pPr>
                  <w:r>
                    <w:rPr>
                      <w:rFonts w:hint="eastAsia" w:eastAsia="仿宋" w:cs="Times New Roman"/>
                      <w:color w:val="auto"/>
                      <w:kern w:val="44"/>
                      <w:sz w:val="21"/>
                      <w:szCs w:val="21"/>
                      <w:lang w:val="en-US" w:eastAsia="zh-CN"/>
                    </w:rPr>
                    <w:t>0.253</w:t>
                  </w:r>
                </w:p>
              </w:tc>
              <w:tc>
                <w:tcPr>
                  <w:tcW w:w="1084" w:type="dxa"/>
                  <w:noWrap w:val="0"/>
                  <w:vAlign w:val="center"/>
                </w:tcPr>
                <w:p w14:paraId="6EAEBE42">
                  <w:pPr>
                    <w:jc w:val="center"/>
                    <w:rPr>
                      <w:rFonts w:hint="default" w:ascii="Times New Roman" w:hAnsi="Times New Roman" w:eastAsia="仿宋" w:cs="Times New Roman"/>
                      <w:color w:val="auto"/>
                      <w:szCs w:val="21"/>
                    </w:rPr>
                  </w:pPr>
                  <w:r>
                    <w:rPr>
                      <w:rFonts w:hint="eastAsia" w:eastAsia="仿宋" w:cs="Times New Roman"/>
                      <w:color w:val="auto"/>
                      <w:kern w:val="44"/>
                      <w:sz w:val="21"/>
                      <w:szCs w:val="21"/>
                      <w:lang w:val="en-US" w:eastAsia="zh-CN"/>
                    </w:rPr>
                    <w:t>0.253</w:t>
                  </w:r>
                </w:p>
              </w:tc>
            </w:tr>
            <w:tr w14:paraId="409593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458" w:type="pct"/>
                  <w:vMerge w:val="continue"/>
                  <w:noWrap w:val="0"/>
                  <w:vAlign w:val="center"/>
                </w:tcPr>
                <w:p w14:paraId="592279CB">
                  <w:pPr>
                    <w:adjustRightInd w:val="0"/>
                    <w:snapToGrid w:val="0"/>
                    <w:jc w:val="center"/>
                    <w:rPr>
                      <w:rFonts w:hint="default" w:ascii="Times New Roman" w:hAnsi="Times New Roman" w:eastAsia="仿宋" w:cs="Times New Roman"/>
                      <w:b/>
                      <w:color w:val="auto"/>
                      <w:szCs w:val="21"/>
                    </w:rPr>
                  </w:pPr>
                </w:p>
              </w:tc>
              <w:tc>
                <w:tcPr>
                  <w:tcW w:w="482" w:type="pct"/>
                  <w:vMerge w:val="continue"/>
                  <w:noWrap w:val="0"/>
                  <w:vAlign w:val="center"/>
                </w:tcPr>
                <w:p w14:paraId="69FAE660">
                  <w:pPr>
                    <w:adjustRightInd w:val="0"/>
                    <w:snapToGrid w:val="0"/>
                    <w:jc w:val="center"/>
                    <w:rPr>
                      <w:rFonts w:hint="default" w:ascii="Times New Roman" w:hAnsi="Times New Roman" w:eastAsia="仿宋" w:cs="Times New Roman"/>
                      <w:bCs/>
                      <w:color w:val="auto"/>
                      <w:szCs w:val="21"/>
                    </w:rPr>
                  </w:pPr>
                </w:p>
              </w:tc>
              <w:tc>
                <w:tcPr>
                  <w:tcW w:w="859" w:type="pct"/>
                  <w:noWrap w:val="0"/>
                  <w:vAlign w:val="center"/>
                </w:tcPr>
                <w:p w14:paraId="394AB1B3">
                  <w:pPr>
                    <w:keepNext w:val="0"/>
                    <w:keepLines w:val="0"/>
                    <w:widowControl/>
                    <w:suppressLineNumbers w:val="0"/>
                    <w:jc w:val="center"/>
                    <w:textAlignment w:val="center"/>
                    <w:rPr>
                      <w:rFonts w:hint="default" w:ascii="Times New Roman" w:hAnsi="Times New Roman" w:eastAsia="仿宋" w:cs="Times New Roman"/>
                      <w:bCs/>
                      <w:color w:val="auto"/>
                      <w:szCs w:val="21"/>
                    </w:rPr>
                  </w:pPr>
                  <w:r>
                    <w:rPr>
                      <w:rFonts w:hint="default" w:ascii="Times New Roman" w:hAnsi="Times New Roman" w:eastAsia="仿宋" w:cs="Times New Roman"/>
                      <w:i w:val="0"/>
                      <w:iCs w:val="0"/>
                      <w:color w:val="auto"/>
                      <w:kern w:val="0"/>
                      <w:sz w:val="21"/>
                      <w:szCs w:val="21"/>
                      <w:u w:val="none"/>
                      <w:lang w:val="en-US" w:eastAsia="zh-CN" w:bidi="ar"/>
                    </w:rPr>
                    <w:t>非甲烷总烃</w:t>
                  </w:r>
                </w:p>
              </w:tc>
              <w:tc>
                <w:tcPr>
                  <w:tcW w:w="848" w:type="pct"/>
                  <w:noWrap w:val="0"/>
                  <w:vAlign w:val="center"/>
                </w:tcPr>
                <w:p w14:paraId="54EE1E83">
                  <w:pPr>
                    <w:jc w:val="center"/>
                    <w:rPr>
                      <w:rFonts w:hint="default" w:ascii="Times New Roman" w:hAnsi="Times New Roman" w:eastAsia="仿宋" w:cs="Times New Roman"/>
                      <w:color w:val="auto"/>
                      <w:kern w:val="44"/>
                      <w:sz w:val="21"/>
                      <w:szCs w:val="21"/>
                      <w:lang w:val="en-US" w:eastAsia="zh-CN"/>
                    </w:rPr>
                  </w:pPr>
                  <w:r>
                    <w:rPr>
                      <w:rFonts w:hint="eastAsia" w:ascii="Times New Roman" w:hAnsi="Times New Roman" w:eastAsia="仿宋" w:cs="Times New Roman"/>
                      <w:color w:val="auto"/>
                      <w:kern w:val="44"/>
                      <w:sz w:val="21"/>
                      <w:szCs w:val="21"/>
                      <w:lang w:val="en-US" w:eastAsia="zh-CN"/>
                    </w:rPr>
                    <w:t>0.456</w:t>
                  </w:r>
                </w:p>
              </w:tc>
              <w:tc>
                <w:tcPr>
                  <w:tcW w:w="906" w:type="pct"/>
                  <w:noWrap w:val="0"/>
                  <w:vAlign w:val="center"/>
                </w:tcPr>
                <w:p w14:paraId="511D6868">
                  <w:pPr>
                    <w:jc w:val="center"/>
                    <w:rPr>
                      <w:rFonts w:hint="default" w:ascii="Times New Roman" w:hAnsi="Times New Roman" w:eastAsia="仿宋" w:cs="Times New Roman"/>
                      <w:color w:val="auto"/>
                      <w:kern w:val="44"/>
                      <w:sz w:val="21"/>
                      <w:szCs w:val="21"/>
                      <w:lang w:val="en-US" w:eastAsia="zh-CN"/>
                    </w:rPr>
                  </w:pPr>
                  <w:r>
                    <w:rPr>
                      <w:rFonts w:hint="eastAsia" w:ascii="Times New Roman" w:hAnsi="Times New Roman" w:eastAsia="仿宋" w:cs="Times New Roman"/>
                      <w:color w:val="auto"/>
                      <w:kern w:val="44"/>
                      <w:sz w:val="21"/>
                      <w:szCs w:val="21"/>
                      <w:lang w:val="en-US" w:eastAsia="zh-CN"/>
                    </w:rPr>
                    <w:t>0.046</w:t>
                  </w:r>
                </w:p>
              </w:tc>
              <w:tc>
                <w:tcPr>
                  <w:tcW w:w="1207" w:type="dxa"/>
                  <w:noWrap w:val="0"/>
                  <w:vAlign w:val="center"/>
                </w:tcPr>
                <w:p w14:paraId="628B08CC">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kern w:val="44"/>
                      <w:sz w:val="21"/>
                      <w:szCs w:val="21"/>
                      <w:lang w:val="en-US" w:eastAsia="zh-CN"/>
                    </w:rPr>
                    <w:t>0.046</w:t>
                  </w:r>
                </w:p>
              </w:tc>
              <w:tc>
                <w:tcPr>
                  <w:tcW w:w="1084" w:type="dxa"/>
                  <w:noWrap w:val="0"/>
                  <w:vAlign w:val="center"/>
                </w:tcPr>
                <w:p w14:paraId="18B93926">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kern w:val="44"/>
                      <w:sz w:val="21"/>
                      <w:szCs w:val="21"/>
                      <w:lang w:val="en-US" w:eastAsia="zh-CN"/>
                    </w:rPr>
                    <w:t>0.046</w:t>
                  </w:r>
                </w:p>
              </w:tc>
            </w:tr>
            <w:tr w14:paraId="7B30FD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noWrap w:val="0"/>
                  <w:vAlign w:val="center"/>
                </w:tcPr>
                <w:p w14:paraId="54953C2E">
                  <w:pPr>
                    <w:adjustRightInd w:val="0"/>
                    <w:snapToGrid w:val="0"/>
                    <w:jc w:val="center"/>
                    <w:rPr>
                      <w:rFonts w:hint="default" w:ascii="Times New Roman" w:hAnsi="Times New Roman" w:eastAsia="仿宋" w:cs="Times New Roman"/>
                      <w:b/>
                      <w:color w:val="auto"/>
                      <w:szCs w:val="21"/>
                    </w:rPr>
                  </w:pPr>
                </w:p>
              </w:tc>
              <w:tc>
                <w:tcPr>
                  <w:tcW w:w="482" w:type="pct"/>
                  <w:vMerge w:val="restart"/>
                  <w:noWrap w:val="0"/>
                  <w:vAlign w:val="center"/>
                </w:tcPr>
                <w:p w14:paraId="3DFBA4BE">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无组织</w:t>
                  </w:r>
                </w:p>
              </w:tc>
              <w:tc>
                <w:tcPr>
                  <w:tcW w:w="859" w:type="pct"/>
                  <w:noWrap w:val="0"/>
                  <w:vAlign w:val="center"/>
                </w:tcPr>
                <w:p w14:paraId="7D0EB1F9">
                  <w:pPr>
                    <w:keepNext w:val="0"/>
                    <w:keepLines w:val="0"/>
                    <w:widowControl/>
                    <w:suppressLineNumbers w:val="0"/>
                    <w:jc w:val="center"/>
                    <w:textAlignment w:val="center"/>
                    <w:rPr>
                      <w:rFonts w:hint="default" w:ascii="Times New Roman" w:hAnsi="Times New Roman" w:eastAsia="仿宋" w:cs="Times New Roman"/>
                      <w:bCs/>
                      <w:color w:val="auto"/>
                      <w:szCs w:val="21"/>
                    </w:rPr>
                  </w:pPr>
                  <w:r>
                    <w:rPr>
                      <w:rFonts w:hint="default" w:ascii="Times New Roman" w:hAnsi="Times New Roman" w:eastAsia="仿宋" w:cs="Times New Roman"/>
                      <w:i w:val="0"/>
                      <w:iCs w:val="0"/>
                      <w:color w:val="auto"/>
                      <w:kern w:val="0"/>
                      <w:sz w:val="21"/>
                      <w:szCs w:val="21"/>
                      <w:u w:val="none"/>
                      <w:lang w:val="en-US" w:eastAsia="zh-CN" w:bidi="ar"/>
                    </w:rPr>
                    <w:t>颗粒物</w:t>
                  </w:r>
                </w:p>
              </w:tc>
              <w:tc>
                <w:tcPr>
                  <w:tcW w:w="848" w:type="pct"/>
                  <w:noWrap w:val="0"/>
                  <w:vAlign w:val="center"/>
                </w:tcPr>
                <w:p w14:paraId="05C7EBAF">
                  <w:pPr>
                    <w:jc w:val="center"/>
                    <w:rPr>
                      <w:rFonts w:hint="default" w:ascii="Times New Roman" w:hAnsi="Times New Roman" w:eastAsia="仿宋" w:cs="Times New Roman"/>
                      <w:color w:val="auto"/>
                      <w:kern w:val="44"/>
                      <w:sz w:val="21"/>
                      <w:szCs w:val="21"/>
                      <w:lang w:val="en-US" w:eastAsia="zh-CN"/>
                    </w:rPr>
                  </w:pPr>
                  <w:r>
                    <w:rPr>
                      <w:rFonts w:hint="eastAsia" w:eastAsia="仿宋" w:cs="Times New Roman"/>
                      <w:color w:val="auto"/>
                      <w:kern w:val="44"/>
                      <w:sz w:val="21"/>
                      <w:szCs w:val="21"/>
                      <w:lang w:val="en-US" w:eastAsia="zh-CN"/>
                    </w:rPr>
                    <w:t>0.752</w:t>
                  </w:r>
                </w:p>
              </w:tc>
              <w:tc>
                <w:tcPr>
                  <w:tcW w:w="1437" w:type="dxa"/>
                  <w:noWrap w:val="0"/>
                  <w:vAlign w:val="center"/>
                </w:tcPr>
                <w:p w14:paraId="4FC3EE31">
                  <w:pPr>
                    <w:jc w:val="center"/>
                    <w:rPr>
                      <w:rFonts w:hint="default" w:ascii="Times New Roman" w:hAnsi="Times New Roman" w:eastAsia="仿宋" w:cs="Times New Roman"/>
                      <w:color w:val="auto"/>
                      <w:kern w:val="44"/>
                      <w:sz w:val="21"/>
                      <w:szCs w:val="21"/>
                      <w:lang w:val="en-US" w:eastAsia="zh-CN"/>
                    </w:rPr>
                  </w:pPr>
                  <w:r>
                    <w:rPr>
                      <w:rFonts w:hint="eastAsia" w:eastAsia="仿宋" w:cs="Times New Roman"/>
                      <w:color w:val="auto"/>
                      <w:kern w:val="44"/>
                      <w:sz w:val="21"/>
                      <w:szCs w:val="21"/>
                      <w:lang w:val="en-US" w:eastAsia="zh-CN"/>
                    </w:rPr>
                    <w:t>0.226</w:t>
                  </w:r>
                </w:p>
              </w:tc>
              <w:tc>
                <w:tcPr>
                  <w:tcW w:w="1207" w:type="dxa"/>
                  <w:noWrap w:val="0"/>
                  <w:vAlign w:val="center"/>
                </w:tcPr>
                <w:p w14:paraId="49F65F99">
                  <w:pPr>
                    <w:jc w:val="center"/>
                    <w:rPr>
                      <w:rFonts w:hint="default" w:ascii="Times New Roman" w:hAnsi="Times New Roman" w:eastAsia="仿宋" w:cs="Times New Roman"/>
                      <w:color w:val="auto"/>
                      <w:szCs w:val="21"/>
                    </w:rPr>
                  </w:pPr>
                  <w:r>
                    <w:rPr>
                      <w:rFonts w:hint="eastAsia" w:eastAsia="仿宋" w:cs="Times New Roman"/>
                      <w:color w:val="auto"/>
                      <w:kern w:val="44"/>
                      <w:sz w:val="21"/>
                      <w:szCs w:val="21"/>
                      <w:lang w:val="en-US" w:eastAsia="zh-CN"/>
                    </w:rPr>
                    <w:t>0.226</w:t>
                  </w:r>
                </w:p>
              </w:tc>
              <w:tc>
                <w:tcPr>
                  <w:tcW w:w="1084" w:type="dxa"/>
                  <w:noWrap w:val="0"/>
                  <w:vAlign w:val="center"/>
                </w:tcPr>
                <w:p w14:paraId="6254CDC4">
                  <w:pPr>
                    <w:jc w:val="center"/>
                    <w:rPr>
                      <w:rFonts w:hint="default" w:ascii="Times New Roman" w:hAnsi="Times New Roman" w:eastAsia="仿宋" w:cs="Times New Roman"/>
                      <w:color w:val="auto"/>
                      <w:szCs w:val="21"/>
                    </w:rPr>
                  </w:pPr>
                  <w:r>
                    <w:rPr>
                      <w:rFonts w:hint="eastAsia" w:eastAsia="仿宋" w:cs="Times New Roman"/>
                      <w:color w:val="auto"/>
                      <w:kern w:val="44"/>
                      <w:sz w:val="21"/>
                      <w:szCs w:val="21"/>
                      <w:lang w:val="en-US" w:eastAsia="zh-CN"/>
                    </w:rPr>
                    <w:t>0.226</w:t>
                  </w:r>
                </w:p>
              </w:tc>
            </w:tr>
            <w:tr w14:paraId="6BE712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noWrap w:val="0"/>
                  <w:vAlign w:val="center"/>
                </w:tcPr>
                <w:p w14:paraId="6E2D2C9C">
                  <w:pPr>
                    <w:adjustRightInd w:val="0"/>
                    <w:snapToGrid w:val="0"/>
                    <w:jc w:val="center"/>
                    <w:rPr>
                      <w:rFonts w:hint="default" w:ascii="Times New Roman" w:hAnsi="Times New Roman" w:eastAsia="仿宋" w:cs="Times New Roman"/>
                      <w:b/>
                      <w:color w:val="auto"/>
                      <w:szCs w:val="21"/>
                    </w:rPr>
                  </w:pPr>
                </w:p>
              </w:tc>
              <w:tc>
                <w:tcPr>
                  <w:tcW w:w="482" w:type="pct"/>
                  <w:vMerge w:val="continue"/>
                  <w:noWrap w:val="0"/>
                  <w:vAlign w:val="center"/>
                </w:tcPr>
                <w:p w14:paraId="6729597E">
                  <w:pPr>
                    <w:adjustRightInd w:val="0"/>
                    <w:snapToGrid w:val="0"/>
                    <w:jc w:val="center"/>
                    <w:rPr>
                      <w:rFonts w:hint="default" w:ascii="Times New Roman" w:hAnsi="Times New Roman" w:eastAsia="仿宋" w:cs="Times New Roman"/>
                      <w:bCs/>
                      <w:color w:val="auto"/>
                      <w:szCs w:val="21"/>
                    </w:rPr>
                  </w:pPr>
                </w:p>
              </w:tc>
              <w:tc>
                <w:tcPr>
                  <w:tcW w:w="859" w:type="pct"/>
                  <w:noWrap w:val="0"/>
                  <w:vAlign w:val="center"/>
                </w:tcPr>
                <w:p w14:paraId="2A3D67C2">
                  <w:pPr>
                    <w:keepNext w:val="0"/>
                    <w:keepLines w:val="0"/>
                    <w:widowControl/>
                    <w:suppressLineNumbers w:val="0"/>
                    <w:jc w:val="center"/>
                    <w:textAlignment w:val="center"/>
                    <w:rPr>
                      <w:rFonts w:hint="default" w:ascii="Times New Roman" w:hAnsi="Times New Roman" w:eastAsia="仿宋" w:cs="Times New Roman"/>
                      <w:bCs/>
                      <w:color w:val="auto"/>
                      <w:szCs w:val="21"/>
                    </w:rPr>
                  </w:pPr>
                  <w:r>
                    <w:rPr>
                      <w:rFonts w:hint="default" w:ascii="Times New Roman" w:hAnsi="Times New Roman" w:eastAsia="仿宋" w:cs="Times New Roman"/>
                      <w:i w:val="0"/>
                      <w:iCs w:val="0"/>
                      <w:color w:val="auto"/>
                      <w:kern w:val="0"/>
                      <w:sz w:val="21"/>
                      <w:szCs w:val="21"/>
                      <w:u w:val="none"/>
                      <w:lang w:val="en-US" w:eastAsia="zh-CN" w:bidi="ar"/>
                    </w:rPr>
                    <w:t>非甲烷总烃</w:t>
                  </w:r>
                </w:p>
              </w:tc>
              <w:tc>
                <w:tcPr>
                  <w:tcW w:w="848" w:type="pct"/>
                  <w:noWrap w:val="0"/>
                  <w:vAlign w:val="center"/>
                </w:tcPr>
                <w:p w14:paraId="460DD935">
                  <w:pPr>
                    <w:jc w:val="center"/>
                    <w:rPr>
                      <w:rFonts w:hint="default" w:ascii="Times New Roman" w:hAnsi="Times New Roman" w:eastAsia="仿宋" w:cs="Times New Roman"/>
                      <w:color w:val="auto"/>
                      <w:kern w:val="44"/>
                      <w:sz w:val="21"/>
                      <w:szCs w:val="21"/>
                      <w:lang w:val="en-US" w:eastAsia="zh-CN"/>
                    </w:rPr>
                  </w:pPr>
                  <w:r>
                    <w:rPr>
                      <w:rFonts w:hint="default" w:ascii="Times New Roman" w:hAnsi="Times New Roman" w:eastAsia="仿宋" w:cs="Times New Roman"/>
                      <w:color w:val="auto"/>
                      <w:kern w:val="44"/>
                      <w:sz w:val="21"/>
                      <w:szCs w:val="21"/>
                      <w:lang w:val="en-US" w:eastAsia="zh-CN"/>
                    </w:rPr>
                    <w:t>0</w:t>
                  </w:r>
                  <w:r>
                    <w:rPr>
                      <w:rFonts w:hint="eastAsia" w:ascii="Times New Roman" w:hAnsi="Times New Roman" w:eastAsia="仿宋" w:cs="Times New Roman"/>
                      <w:color w:val="auto"/>
                      <w:kern w:val="44"/>
                      <w:sz w:val="21"/>
                      <w:szCs w:val="21"/>
                      <w:lang w:val="en-US" w:eastAsia="zh-CN"/>
                    </w:rPr>
                    <w:t>.024</w:t>
                  </w:r>
                </w:p>
              </w:tc>
              <w:tc>
                <w:tcPr>
                  <w:tcW w:w="1437" w:type="dxa"/>
                  <w:noWrap w:val="0"/>
                  <w:vAlign w:val="center"/>
                </w:tcPr>
                <w:p w14:paraId="3A9B5C66">
                  <w:pPr>
                    <w:jc w:val="center"/>
                    <w:rPr>
                      <w:rFonts w:hint="default" w:ascii="Times New Roman" w:hAnsi="Times New Roman" w:eastAsia="仿宋" w:cs="Times New Roman"/>
                      <w:color w:val="auto"/>
                      <w:kern w:val="44"/>
                      <w:sz w:val="21"/>
                      <w:szCs w:val="21"/>
                      <w:lang w:val="en-US" w:eastAsia="zh-CN"/>
                    </w:rPr>
                  </w:pPr>
                  <w:r>
                    <w:rPr>
                      <w:rFonts w:hint="default" w:ascii="Times New Roman" w:hAnsi="Times New Roman" w:eastAsia="仿宋" w:cs="Times New Roman"/>
                      <w:color w:val="auto"/>
                      <w:kern w:val="44"/>
                      <w:sz w:val="21"/>
                      <w:szCs w:val="21"/>
                      <w:lang w:val="en-US" w:eastAsia="zh-CN"/>
                    </w:rPr>
                    <w:t>0</w:t>
                  </w:r>
                  <w:r>
                    <w:rPr>
                      <w:rFonts w:hint="eastAsia" w:ascii="Times New Roman" w:hAnsi="Times New Roman" w:eastAsia="仿宋" w:cs="Times New Roman"/>
                      <w:color w:val="auto"/>
                      <w:kern w:val="44"/>
                      <w:sz w:val="21"/>
                      <w:szCs w:val="21"/>
                      <w:lang w:val="en-US" w:eastAsia="zh-CN"/>
                    </w:rPr>
                    <w:t>.024</w:t>
                  </w:r>
                </w:p>
              </w:tc>
              <w:tc>
                <w:tcPr>
                  <w:tcW w:w="1207" w:type="dxa"/>
                  <w:noWrap w:val="0"/>
                  <w:vAlign w:val="center"/>
                </w:tcPr>
                <w:p w14:paraId="05FC361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44"/>
                      <w:sz w:val="21"/>
                      <w:szCs w:val="21"/>
                      <w:lang w:val="en-US" w:eastAsia="zh-CN"/>
                    </w:rPr>
                    <w:t>0</w:t>
                  </w:r>
                  <w:r>
                    <w:rPr>
                      <w:rFonts w:hint="eastAsia" w:ascii="Times New Roman" w:hAnsi="Times New Roman" w:eastAsia="仿宋" w:cs="Times New Roman"/>
                      <w:color w:val="auto"/>
                      <w:kern w:val="44"/>
                      <w:sz w:val="21"/>
                      <w:szCs w:val="21"/>
                      <w:lang w:val="en-US" w:eastAsia="zh-CN"/>
                    </w:rPr>
                    <w:t>.024</w:t>
                  </w:r>
                </w:p>
              </w:tc>
              <w:tc>
                <w:tcPr>
                  <w:tcW w:w="1084" w:type="dxa"/>
                  <w:noWrap w:val="0"/>
                  <w:vAlign w:val="center"/>
                </w:tcPr>
                <w:p w14:paraId="572F3CC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44"/>
                      <w:sz w:val="21"/>
                      <w:szCs w:val="21"/>
                      <w:lang w:val="en-US" w:eastAsia="zh-CN"/>
                    </w:rPr>
                    <w:t>0</w:t>
                  </w:r>
                  <w:r>
                    <w:rPr>
                      <w:rFonts w:hint="eastAsia" w:ascii="Times New Roman" w:hAnsi="Times New Roman" w:eastAsia="仿宋" w:cs="Times New Roman"/>
                      <w:color w:val="auto"/>
                      <w:kern w:val="44"/>
                      <w:sz w:val="21"/>
                      <w:szCs w:val="21"/>
                      <w:lang w:val="en-US" w:eastAsia="zh-CN"/>
                    </w:rPr>
                    <w:t>.024</w:t>
                  </w:r>
                </w:p>
              </w:tc>
            </w:tr>
            <w:tr w14:paraId="0A717F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restart"/>
                  <w:noWrap w:val="0"/>
                  <w:vAlign w:val="center"/>
                </w:tcPr>
                <w:p w14:paraId="34144427">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水污</w:t>
                  </w:r>
                </w:p>
                <w:p w14:paraId="6D877B81">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染物</w:t>
                  </w:r>
                </w:p>
              </w:tc>
              <w:tc>
                <w:tcPr>
                  <w:tcW w:w="1341" w:type="pct"/>
                  <w:gridSpan w:val="2"/>
                  <w:noWrap w:val="0"/>
                  <w:vAlign w:val="center"/>
                </w:tcPr>
                <w:p w14:paraId="2D80EA52">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水量</w:t>
                  </w:r>
                </w:p>
              </w:tc>
              <w:tc>
                <w:tcPr>
                  <w:tcW w:w="1345" w:type="dxa"/>
                  <w:noWrap w:val="0"/>
                  <w:vAlign w:val="center"/>
                </w:tcPr>
                <w:p w14:paraId="686CA0D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Cs/>
                      <w:color w:val="auto"/>
                      <w:sz w:val="21"/>
                      <w:szCs w:val="21"/>
                      <w:lang w:val="en-US" w:eastAsia="zh-CN"/>
                    </w:rPr>
                  </w:pPr>
                  <w:r>
                    <w:rPr>
                      <w:rFonts w:hint="eastAsia" w:ascii="Times New Roman" w:hAnsi="Times New Roman" w:eastAsia="仿宋" w:cs="Times New Roman"/>
                      <w:color w:val="auto"/>
                      <w:sz w:val="21"/>
                      <w:szCs w:val="21"/>
                      <w:lang w:val="en-US" w:eastAsia="zh-CN"/>
                    </w:rPr>
                    <w:t>1920</w:t>
                  </w:r>
                </w:p>
              </w:tc>
              <w:tc>
                <w:tcPr>
                  <w:tcW w:w="1437" w:type="dxa"/>
                  <w:noWrap w:val="0"/>
                  <w:vAlign w:val="center"/>
                </w:tcPr>
                <w:p w14:paraId="697D1F7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Cs/>
                      <w:color w:val="auto"/>
                      <w:sz w:val="21"/>
                      <w:szCs w:val="21"/>
                    </w:rPr>
                  </w:pPr>
                  <w:r>
                    <w:rPr>
                      <w:rFonts w:hint="eastAsia" w:ascii="Times New Roman" w:hAnsi="Times New Roman" w:eastAsia="仿宋" w:cs="Times New Roman"/>
                      <w:color w:val="auto"/>
                      <w:sz w:val="21"/>
                      <w:szCs w:val="21"/>
                      <w:lang w:val="en-US" w:eastAsia="zh-CN"/>
                    </w:rPr>
                    <w:t>1920</w:t>
                  </w:r>
                </w:p>
              </w:tc>
              <w:tc>
                <w:tcPr>
                  <w:tcW w:w="1207" w:type="dxa"/>
                  <w:noWrap w:val="0"/>
                  <w:vAlign w:val="center"/>
                </w:tcPr>
                <w:p w14:paraId="50EC207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Cs/>
                      <w:color w:val="auto"/>
                      <w:sz w:val="21"/>
                      <w:szCs w:val="21"/>
                    </w:rPr>
                  </w:pPr>
                  <w:r>
                    <w:rPr>
                      <w:rFonts w:hint="eastAsia" w:ascii="Times New Roman" w:hAnsi="Times New Roman" w:eastAsia="仿宋" w:cs="Times New Roman"/>
                      <w:color w:val="auto"/>
                      <w:sz w:val="21"/>
                      <w:szCs w:val="21"/>
                      <w:lang w:val="en-US" w:eastAsia="zh-CN"/>
                    </w:rPr>
                    <w:t>1920</w:t>
                  </w:r>
                </w:p>
              </w:tc>
              <w:tc>
                <w:tcPr>
                  <w:tcW w:w="683" w:type="pct"/>
                  <w:noWrap w:val="0"/>
                  <w:vAlign w:val="center"/>
                </w:tcPr>
                <w:p w14:paraId="302FF8C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Cs/>
                      <w:color w:val="auto"/>
                      <w:sz w:val="21"/>
                      <w:szCs w:val="21"/>
                    </w:rPr>
                  </w:pPr>
                  <w:r>
                    <w:rPr>
                      <w:rFonts w:hint="eastAsia" w:ascii="Times New Roman" w:hAnsi="Times New Roman" w:eastAsia="仿宋" w:cs="Times New Roman"/>
                      <w:color w:val="auto"/>
                      <w:sz w:val="21"/>
                      <w:szCs w:val="21"/>
                      <w:lang w:val="en-US" w:eastAsia="zh-CN"/>
                    </w:rPr>
                    <w:t>1920</w:t>
                  </w:r>
                </w:p>
              </w:tc>
            </w:tr>
            <w:tr w14:paraId="5875D0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noWrap w:val="0"/>
                  <w:vAlign w:val="center"/>
                </w:tcPr>
                <w:p w14:paraId="12068810">
                  <w:pPr>
                    <w:adjustRightInd w:val="0"/>
                    <w:snapToGrid w:val="0"/>
                    <w:jc w:val="center"/>
                    <w:rPr>
                      <w:rFonts w:hint="default" w:ascii="Times New Roman" w:hAnsi="Times New Roman" w:eastAsia="仿宋" w:cs="Times New Roman"/>
                      <w:b/>
                      <w:color w:val="auto"/>
                      <w:szCs w:val="21"/>
                    </w:rPr>
                  </w:pPr>
                </w:p>
              </w:tc>
              <w:tc>
                <w:tcPr>
                  <w:tcW w:w="1341" w:type="pct"/>
                  <w:gridSpan w:val="2"/>
                  <w:noWrap w:val="0"/>
                  <w:vAlign w:val="center"/>
                </w:tcPr>
                <w:p w14:paraId="68EA5204">
                  <w:pPr>
                    <w:tabs>
                      <w:tab w:val="left" w:pos="6840"/>
                    </w:tabs>
                    <w:spacing w:line="270" w:lineRule="exact"/>
                    <w:jc w:val="center"/>
                    <w:rPr>
                      <w:rFonts w:hint="default" w:ascii="Times New Roman" w:hAnsi="Times New Roman" w:eastAsia="仿宋" w:cs="Times New Roman"/>
                      <w:bCs/>
                      <w:color w:val="auto"/>
                      <w:szCs w:val="21"/>
                    </w:rPr>
                  </w:pPr>
                  <w:r>
                    <w:rPr>
                      <w:rFonts w:hint="default" w:ascii="Times New Roman" w:hAnsi="Times New Roman" w:eastAsia="仿宋" w:cs="Times New Roman"/>
                      <w:color w:val="auto"/>
                      <w:szCs w:val="21"/>
                    </w:rPr>
                    <w:t>COD</w:t>
                  </w:r>
                </w:p>
              </w:tc>
              <w:tc>
                <w:tcPr>
                  <w:tcW w:w="1345" w:type="dxa"/>
                  <w:noWrap w:val="0"/>
                  <w:vAlign w:val="center"/>
                </w:tcPr>
                <w:p w14:paraId="6B713E86">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0.576</w:t>
                  </w:r>
                </w:p>
              </w:tc>
              <w:tc>
                <w:tcPr>
                  <w:tcW w:w="1437" w:type="dxa"/>
                  <w:noWrap w:val="0"/>
                  <w:vAlign w:val="center"/>
                </w:tcPr>
                <w:p w14:paraId="67BE6746">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0.576</w:t>
                  </w:r>
                </w:p>
              </w:tc>
              <w:tc>
                <w:tcPr>
                  <w:tcW w:w="1207" w:type="dxa"/>
                  <w:noWrap w:val="0"/>
                  <w:vAlign w:val="center"/>
                </w:tcPr>
                <w:p w14:paraId="5E901E61">
                  <w:pPr>
                    <w:jc w:val="center"/>
                    <w:rPr>
                      <w:rFonts w:hint="default" w:ascii="Times New Roman" w:hAnsi="Times New Roman" w:eastAsia="仿宋" w:cs="Times New Roman"/>
                      <w:bCs/>
                      <w:color w:val="auto"/>
                      <w:szCs w:val="21"/>
                    </w:rPr>
                  </w:pPr>
                  <w:r>
                    <w:rPr>
                      <w:rFonts w:hint="eastAsia" w:ascii="Times New Roman" w:hAnsi="Times New Roman" w:eastAsia="仿宋" w:cs="Times New Roman"/>
                      <w:color w:val="auto"/>
                      <w:szCs w:val="21"/>
                      <w:lang w:val="en-US" w:eastAsia="zh-CN"/>
                    </w:rPr>
                    <w:t>0.576</w:t>
                  </w:r>
                </w:p>
              </w:tc>
              <w:tc>
                <w:tcPr>
                  <w:tcW w:w="683" w:type="pct"/>
                  <w:noWrap w:val="0"/>
                  <w:vAlign w:val="center"/>
                </w:tcPr>
                <w:p w14:paraId="5F3E0E34">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0.0</w:t>
                  </w:r>
                  <w:r>
                    <w:rPr>
                      <w:rFonts w:hint="eastAsia" w:eastAsia="仿宋" w:cs="Times New Roman"/>
                      <w:bCs/>
                      <w:color w:val="auto"/>
                      <w:szCs w:val="21"/>
                      <w:lang w:val="en-US" w:eastAsia="zh-CN"/>
                    </w:rPr>
                    <w:t>96</w:t>
                  </w:r>
                </w:p>
              </w:tc>
            </w:tr>
            <w:tr w14:paraId="3AB243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noWrap w:val="0"/>
                  <w:vAlign w:val="center"/>
                </w:tcPr>
                <w:p w14:paraId="06652CAF">
                  <w:pPr>
                    <w:adjustRightInd w:val="0"/>
                    <w:snapToGrid w:val="0"/>
                    <w:jc w:val="center"/>
                    <w:rPr>
                      <w:rFonts w:hint="default" w:ascii="Times New Roman" w:hAnsi="Times New Roman" w:eastAsia="仿宋" w:cs="Times New Roman"/>
                      <w:b/>
                      <w:color w:val="auto"/>
                      <w:szCs w:val="21"/>
                    </w:rPr>
                  </w:pPr>
                </w:p>
              </w:tc>
              <w:tc>
                <w:tcPr>
                  <w:tcW w:w="1341" w:type="pct"/>
                  <w:gridSpan w:val="2"/>
                  <w:noWrap w:val="0"/>
                  <w:vAlign w:val="center"/>
                </w:tcPr>
                <w:p w14:paraId="07D7E34A">
                  <w:pPr>
                    <w:tabs>
                      <w:tab w:val="left" w:pos="6840"/>
                    </w:tabs>
                    <w:spacing w:line="270" w:lineRule="exact"/>
                    <w:jc w:val="center"/>
                    <w:rPr>
                      <w:rFonts w:hint="default" w:ascii="Times New Roman" w:hAnsi="Times New Roman" w:eastAsia="仿宋" w:cs="Times New Roman"/>
                      <w:bCs/>
                      <w:color w:val="auto"/>
                      <w:szCs w:val="21"/>
                    </w:rPr>
                  </w:pPr>
                  <w:r>
                    <w:rPr>
                      <w:rFonts w:hint="default" w:ascii="Times New Roman" w:hAnsi="Times New Roman" w:eastAsia="仿宋" w:cs="Times New Roman"/>
                      <w:color w:val="auto"/>
                      <w:szCs w:val="21"/>
                    </w:rPr>
                    <w:t>SS</w:t>
                  </w:r>
                </w:p>
              </w:tc>
              <w:tc>
                <w:tcPr>
                  <w:tcW w:w="1345" w:type="dxa"/>
                  <w:noWrap w:val="0"/>
                  <w:vAlign w:val="center"/>
                </w:tcPr>
                <w:p w14:paraId="1026DFB9">
                  <w:pPr>
                    <w:jc w:val="center"/>
                    <w:rPr>
                      <w:rFonts w:hint="default" w:ascii="Times New Roman" w:hAnsi="Times New Roman" w:eastAsia="仿宋" w:cs="Times New Roman"/>
                      <w:color w:val="auto"/>
                      <w:szCs w:val="21"/>
                      <w:lang w:val="en-US"/>
                    </w:rPr>
                  </w:pPr>
                  <w:r>
                    <w:rPr>
                      <w:rFonts w:hint="eastAsia" w:ascii="Times New Roman" w:hAnsi="Times New Roman" w:eastAsia="仿宋" w:cs="Times New Roman"/>
                      <w:color w:val="auto"/>
                      <w:szCs w:val="21"/>
                      <w:lang w:val="en-US" w:eastAsia="zh-CN"/>
                    </w:rPr>
                    <w:t>0.384</w:t>
                  </w:r>
                </w:p>
              </w:tc>
              <w:tc>
                <w:tcPr>
                  <w:tcW w:w="1437" w:type="dxa"/>
                  <w:noWrap w:val="0"/>
                  <w:vAlign w:val="center"/>
                </w:tcPr>
                <w:p w14:paraId="174B7996">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0.384</w:t>
                  </w:r>
                </w:p>
              </w:tc>
              <w:tc>
                <w:tcPr>
                  <w:tcW w:w="1207" w:type="dxa"/>
                  <w:noWrap w:val="0"/>
                  <w:vAlign w:val="center"/>
                </w:tcPr>
                <w:p w14:paraId="6A359A37">
                  <w:pPr>
                    <w:jc w:val="center"/>
                    <w:rPr>
                      <w:rFonts w:hint="default" w:ascii="Times New Roman" w:hAnsi="Times New Roman" w:eastAsia="仿宋" w:cs="Times New Roman"/>
                      <w:bCs/>
                      <w:color w:val="auto"/>
                      <w:szCs w:val="21"/>
                    </w:rPr>
                  </w:pPr>
                  <w:r>
                    <w:rPr>
                      <w:rFonts w:hint="eastAsia" w:ascii="Times New Roman" w:hAnsi="Times New Roman" w:eastAsia="仿宋" w:cs="Times New Roman"/>
                      <w:color w:val="auto"/>
                      <w:szCs w:val="21"/>
                      <w:lang w:val="en-US" w:eastAsia="zh-CN"/>
                    </w:rPr>
                    <w:t>0.384</w:t>
                  </w:r>
                </w:p>
              </w:tc>
              <w:tc>
                <w:tcPr>
                  <w:tcW w:w="683" w:type="pct"/>
                  <w:noWrap w:val="0"/>
                  <w:vAlign w:val="center"/>
                </w:tcPr>
                <w:p w14:paraId="7703D504">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0.0</w:t>
                  </w:r>
                  <w:r>
                    <w:rPr>
                      <w:rFonts w:hint="eastAsia" w:eastAsia="仿宋" w:cs="Times New Roman"/>
                      <w:bCs/>
                      <w:color w:val="auto"/>
                      <w:szCs w:val="21"/>
                      <w:lang w:val="en-US" w:eastAsia="zh-CN"/>
                    </w:rPr>
                    <w:t>192</w:t>
                  </w:r>
                </w:p>
              </w:tc>
            </w:tr>
            <w:tr w14:paraId="325100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noWrap w:val="0"/>
                  <w:vAlign w:val="center"/>
                </w:tcPr>
                <w:p w14:paraId="18C581E9">
                  <w:pPr>
                    <w:adjustRightInd w:val="0"/>
                    <w:snapToGrid w:val="0"/>
                    <w:jc w:val="center"/>
                    <w:rPr>
                      <w:rFonts w:hint="default" w:ascii="Times New Roman" w:hAnsi="Times New Roman" w:eastAsia="仿宋" w:cs="Times New Roman"/>
                      <w:b/>
                      <w:color w:val="auto"/>
                      <w:szCs w:val="21"/>
                    </w:rPr>
                  </w:pPr>
                </w:p>
              </w:tc>
              <w:tc>
                <w:tcPr>
                  <w:tcW w:w="1341" w:type="pct"/>
                  <w:gridSpan w:val="2"/>
                  <w:noWrap w:val="0"/>
                  <w:vAlign w:val="center"/>
                </w:tcPr>
                <w:p w14:paraId="49B26380">
                  <w:pPr>
                    <w:tabs>
                      <w:tab w:val="left" w:pos="6840"/>
                    </w:tabs>
                    <w:spacing w:line="270" w:lineRule="exact"/>
                    <w:jc w:val="center"/>
                    <w:rPr>
                      <w:rFonts w:hint="default" w:ascii="Times New Roman" w:hAnsi="Times New Roman" w:eastAsia="仿宋" w:cs="Times New Roman"/>
                      <w:bCs/>
                      <w:color w:val="auto"/>
                      <w:szCs w:val="21"/>
                    </w:rPr>
                  </w:pPr>
                  <w:r>
                    <w:rPr>
                      <w:rFonts w:hint="default" w:ascii="Times New Roman" w:hAnsi="Times New Roman" w:eastAsia="仿宋" w:cs="Times New Roman"/>
                      <w:color w:val="auto"/>
                      <w:szCs w:val="21"/>
                    </w:rPr>
                    <w:t>NH</w:t>
                  </w:r>
                  <w:r>
                    <w:rPr>
                      <w:rFonts w:hint="default" w:ascii="Times New Roman" w:hAnsi="Times New Roman" w:eastAsia="仿宋" w:cs="Times New Roman"/>
                      <w:color w:val="auto"/>
                      <w:szCs w:val="21"/>
                      <w:vertAlign w:val="subscript"/>
                    </w:rPr>
                    <w:t>3</w:t>
                  </w:r>
                  <w:r>
                    <w:rPr>
                      <w:rFonts w:hint="default" w:ascii="Times New Roman" w:hAnsi="Times New Roman" w:eastAsia="仿宋" w:cs="Times New Roman"/>
                      <w:color w:val="auto"/>
                      <w:szCs w:val="21"/>
                    </w:rPr>
                    <w:t>-N</w:t>
                  </w:r>
                </w:p>
              </w:tc>
              <w:tc>
                <w:tcPr>
                  <w:tcW w:w="1345" w:type="dxa"/>
                  <w:noWrap w:val="0"/>
                  <w:vAlign w:val="center"/>
                </w:tcPr>
                <w:p w14:paraId="25BADA43">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0.0384</w:t>
                  </w:r>
                </w:p>
              </w:tc>
              <w:tc>
                <w:tcPr>
                  <w:tcW w:w="1437" w:type="dxa"/>
                  <w:noWrap w:val="0"/>
                  <w:vAlign w:val="center"/>
                </w:tcPr>
                <w:p w14:paraId="75BA0EDB">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0.0384</w:t>
                  </w:r>
                </w:p>
              </w:tc>
              <w:tc>
                <w:tcPr>
                  <w:tcW w:w="1207" w:type="dxa"/>
                  <w:noWrap w:val="0"/>
                  <w:vAlign w:val="center"/>
                </w:tcPr>
                <w:p w14:paraId="5D2F5CE0">
                  <w:pPr>
                    <w:jc w:val="center"/>
                    <w:rPr>
                      <w:rFonts w:hint="default" w:ascii="Times New Roman" w:hAnsi="Times New Roman" w:eastAsia="仿宋" w:cs="Times New Roman"/>
                      <w:bCs/>
                      <w:color w:val="auto"/>
                      <w:szCs w:val="21"/>
                    </w:rPr>
                  </w:pPr>
                  <w:r>
                    <w:rPr>
                      <w:rFonts w:hint="eastAsia" w:ascii="Times New Roman" w:hAnsi="Times New Roman" w:eastAsia="仿宋" w:cs="Times New Roman"/>
                      <w:color w:val="auto"/>
                      <w:szCs w:val="21"/>
                      <w:lang w:val="en-US" w:eastAsia="zh-CN"/>
                    </w:rPr>
                    <w:t>0.0384</w:t>
                  </w:r>
                </w:p>
              </w:tc>
              <w:tc>
                <w:tcPr>
                  <w:tcW w:w="683" w:type="pct"/>
                  <w:noWrap w:val="0"/>
                  <w:vAlign w:val="center"/>
                </w:tcPr>
                <w:p w14:paraId="3288C683">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0.00</w:t>
                  </w:r>
                  <w:r>
                    <w:rPr>
                      <w:rFonts w:hint="eastAsia" w:eastAsia="仿宋" w:cs="Times New Roman"/>
                      <w:bCs/>
                      <w:color w:val="auto"/>
                      <w:szCs w:val="21"/>
                      <w:lang w:val="en-US" w:eastAsia="zh-CN"/>
                    </w:rPr>
                    <w:t>77</w:t>
                  </w:r>
                </w:p>
              </w:tc>
            </w:tr>
            <w:tr w14:paraId="4DCBF2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noWrap w:val="0"/>
                  <w:vAlign w:val="center"/>
                </w:tcPr>
                <w:p w14:paraId="5AA7BF08">
                  <w:pPr>
                    <w:adjustRightInd w:val="0"/>
                    <w:snapToGrid w:val="0"/>
                    <w:jc w:val="center"/>
                    <w:rPr>
                      <w:rFonts w:hint="default" w:ascii="Times New Roman" w:hAnsi="Times New Roman" w:eastAsia="仿宋" w:cs="Times New Roman"/>
                      <w:b/>
                      <w:color w:val="auto"/>
                      <w:szCs w:val="21"/>
                    </w:rPr>
                  </w:pPr>
                </w:p>
              </w:tc>
              <w:tc>
                <w:tcPr>
                  <w:tcW w:w="1341" w:type="pct"/>
                  <w:gridSpan w:val="2"/>
                  <w:noWrap w:val="0"/>
                  <w:vAlign w:val="center"/>
                </w:tcPr>
                <w:p w14:paraId="02E95201">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TN</w:t>
                  </w:r>
                </w:p>
              </w:tc>
              <w:tc>
                <w:tcPr>
                  <w:tcW w:w="1345" w:type="dxa"/>
                  <w:noWrap w:val="0"/>
                  <w:vAlign w:val="center"/>
                </w:tcPr>
                <w:p w14:paraId="488BB898">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0.0576</w:t>
                  </w:r>
                </w:p>
              </w:tc>
              <w:tc>
                <w:tcPr>
                  <w:tcW w:w="1437" w:type="dxa"/>
                  <w:noWrap w:val="0"/>
                  <w:vAlign w:val="center"/>
                </w:tcPr>
                <w:p w14:paraId="3D2E77B8">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0.0576</w:t>
                  </w:r>
                </w:p>
              </w:tc>
              <w:tc>
                <w:tcPr>
                  <w:tcW w:w="1207" w:type="dxa"/>
                  <w:noWrap w:val="0"/>
                  <w:vAlign w:val="center"/>
                </w:tcPr>
                <w:p w14:paraId="25CE8C2A">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0.0576</w:t>
                  </w:r>
                </w:p>
              </w:tc>
              <w:tc>
                <w:tcPr>
                  <w:tcW w:w="683" w:type="pct"/>
                  <w:noWrap w:val="0"/>
                  <w:vAlign w:val="center"/>
                </w:tcPr>
                <w:p w14:paraId="70E077FB">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bCs/>
                      <w:color w:val="auto"/>
                      <w:szCs w:val="21"/>
                      <w:lang w:val="en-US" w:eastAsia="zh-CN"/>
                    </w:rPr>
                    <w:t>0.0</w:t>
                  </w:r>
                  <w:r>
                    <w:rPr>
                      <w:rFonts w:hint="eastAsia" w:eastAsia="仿宋" w:cs="Times New Roman"/>
                      <w:bCs/>
                      <w:color w:val="auto"/>
                      <w:szCs w:val="21"/>
                      <w:lang w:val="en-US" w:eastAsia="zh-CN"/>
                    </w:rPr>
                    <w:t>23</w:t>
                  </w:r>
                </w:p>
              </w:tc>
            </w:tr>
            <w:tr w14:paraId="45B8EF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noWrap w:val="0"/>
                  <w:vAlign w:val="center"/>
                </w:tcPr>
                <w:p w14:paraId="45599C36">
                  <w:pPr>
                    <w:adjustRightInd w:val="0"/>
                    <w:snapToGrid w:val="0"/>
                    <w:jc w:val="center"/>
                    <w:rPr>
                      <w:rFonts w:hint="default" w:ascii="Times New Roman" w:hAnsi="Times New Roman" w:eastAsia="仿宋" w:cs="Times New Roman"/>
                      <w:b/>
                      <w:color w:val="auto"/>
                      <w:szCs w:val="21"/>
                    </w:rPr>
                  </w:pPr>
                </w:p>
              </w:tc>
              <w:tc>
                <w:tcPr>
                  <w:tcW w:w="1341" w:type="pct"/>
                  <w:gridSpan w:val="2"/>
                  <w:noWrap w:val="0"/>
                  <w:vAlign w:val="center"/>
                </w:tcPr>
                <w:p w14:paraId="15BB1D50">
                  <w:pPr>
                    <w:tabs>
                      <w:tab w:val="left" w:pos="6840"/>
                    </w:tabs>
                    <w:spacing w:line="270" w:lineRule="exact"/>
                    <w:jc w:val="center"/>
                    <w:rPr>
                      <w:rFonts w:hint="default" w:ascii="Times New Roman" w:hAnsi="Times New Roman" w:eastAsia="仿宋" w:cs="Times New Roman"/>
                      <w:bCs/>
                      <w:color w:val="auto"/>
                      <w:szCs w:val="21"/>
                    </w:rPr>
                  </w:pPr>
                  <w:r>
                    <w:rPr>
                      <w:rFonts w:hint="default" w:ascii="Times New Roman" w:hAnsi="Times New Roman" w:eastAsia="仿宋" w:cs="Times New Roman"/>
                      <w:color w:val="auto"/>
                      <w:szCs w:val="21"/>
                    </w:rPr>
                    <w:t>TP</w:t>
                  </w:r>
                </w:p>
              </w:tc>
              <w:tc>
                <w:tcPr>
                  <w:tcW w:w="1345" w:type="dxa"/>
                  <w:noWrap w:val="0"/>
                  <w:vAlign w:val="center"/>
                </w:tcPr>
                <w:p w14:paraId="3A7E5B5F">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0.00</w:t>
                  </w:r>
                  <w:r>
                    <w:rPr>
                      <w:rFonts w:hint="eastAsia" w:eastAsia="仿宋" w:cs="Times New Roman"/>
                      <w:color w:val="auto"/>
                      <w:szCs w:val="21"/>
                      <w:lang w:val="en-US" w:eastAsia="zh-CN"/>
                    </w:rPr>
                    <w:t>58</w:t>
                  </w:r>
                </w:p>
              </w:tc>
              <w:tc>
                <w:tcPr>
                  <w:tcW w:w="1437" w:type="dxa"/>
                  <w:noWrap w:val="0"/>
                  <w:vAlign w:val="center"/>
                </w:tcPr>
                <w:p w14:paraId="3CCBDE8F">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0.00</w:t>
                  </w:r>
                  <w:r>
                    <w:rPr>
                      <w:rFonts w:hint="eastAsia" w:eastAsia="仿宋" w:cs="Times New Roman"/>
                      <w:color w:val="auto"/>
                      <w:szCs w:val="21"/>
                      <w:lang w:val="en-US" w:eastAsia="zh-CN"/>
                    </w:rPr>
                    <w:t>58</w:t>
                  </w:r>
                </w:p>
              </w:tc>
              <w:tc>
                <w:tcPr>
                  <w:tcW w:w="1207" w:type="dxa"/>
                  <w:noWrap w:val="0"/>
                  <w:vAlign w:val="center"/>
                </w:tcPr>
                <w:p w14:paraId="393A5575">
                  <w:pPr>
                    <w:jc w:val="center"/>
                    <w:rPr>
                      <w:rFonts w:hint="default" w:ascii="Times New Roman" w:hAnsi="Times New Roman" w:eastAsia="仿宋" w:cs="Times New Roman"/>
                      <w:bCs/>
                      <w:color w:val="auto"/>
                      <w:szCs w:val="21"/>
                    </w:rPr>
                  </w:pPr>
                  <w:r>
                    <w:rPr>
                      <w:rFonts w:hint="eastAsia" w:ascii="Times New Roman" w:hAnsi="Times New Roman" w:eastAsia="仿宋" w:cs="Times New Roman"/>
                      <w:color w:val="auto"/>
                      <w:szCs w:val="21"/>
                      <w:lang w:val="en-US" w:eastAsia="zh-CN"/>
                    </w:rPr>
                    <w:t>0.00</w:t>
                  </w:r>
                  <w:r>
                    <w:rPr>
                      <w:rFonts w:hint="eastAsia" w:eastAsia="仿宋" w:cs="Times New Roman"/>
                      <w:color w:val="auto"/>
                      <w:szCs w:val="21"/>
                      <w:lang w:val="en-US" w:eastAsia="zh-CN"/>
                    </w:rPr>
                    <w:t>58</w:t>
                  </w:r>
                </w:p>
              </w:tc>
              <w:tc>
                <w:tcPr>
                  <w:tcW w:w="683" w:type="pct"/>
                  <w:noWrap w:val="0"/>
                  <w:vAlign w:val="center"/>
                </w:tcPr>
                <w:p w14:paraId="13417128">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0.000</w:t>
                  </w:r>
                  <w:r>
                    <w:rPr>
                      <w:rFonts w:hint="eastAsia" w:eastAsia="仿宋" w:cs="Times New Roman"/>
                      <w:bCs/>
                      <w:color w:val="auto"/>
                      <w:szCs w:val="21"/>
                      <w:lang w:val="en-US" w:eastAsia="zh-CN"/>
                    </w:rPr>
                    <w:t>2</w:t>
                  </w:r>
                </w:p>
              </w:tc>
            </w:tr>
            <w:tr w14:paraId="0C74F5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restart"/>
                  <w:noWrap w:val="0"/>
                  <w:vAlign w:val="center"/>
                </w:tcPr>
                <w:p w14:paraId="27AE9EFD">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固体</w:t>
                  </w:r>
                </w:p>
                <w:p w14:paraId="79952653">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废物</w:t>
                  </w:r>
                </w:p>
              </w:tc>
              <w:tc>
                <w:tcPr>
                  <w:tcW w:w="1341" w:type="pct"/>
                  <w:gridSpan w:val="2"/>
                  <w:noWrap w:val="0"/>
                  <w:vAlign w:val="center"/>
                </w:tcPr>
                <w:p w14:paraId="39D63CC6">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生活垃圾</w:t>
                  </w:r>
                </w:p>
              </w:tc>
              <w:tc>
                <w:tcPr>
                  <w:tcW w:w="848" w:type="pct"/>
                  <w:noWrap w:val="0"/>
                  <w:vAlign w:val="center"/>
                </w:tcPr>
                <w:p w14:paraId="78C2D59F">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13.5</w:t>
                  </w:r>
                </w:p>
              </w:tc>
              <w:tc>
                <w:tcPr>
                  <w:tcW w:w="906" w:type="pct"/>
                  <w:noWrap w:val="0"/>
                  <w:vAlign w:val="center"/>
                </w:tcPr>
                <w:p w14:paraId="2347B924">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0</w:t>
                  </w:r>
                </w:p>
              </w:tc>
              <w:tc>
                <w:tcPr>
                  <w:tcW w:w="761" w:type="pct"/>
                  <w:noWrap w:val="0"/>
                  <w:vAlign w:val="center"/>
                </w:tcPr>
                <w:p w14:paraId="250FADA8">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0</w:t>
                  </w:r>
                </w:p>
              </w:tc>
              <w:tc>
                <w:tcPr>
                  <w:tcW w:w="683" w:type="pct"/>
                  <w:noWrap w:val="0"/>
                  <w:vAlign w:val="center"/>
                </w:tcPr>
                <w:p w14:paraId="7C371C00">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0</w:t>
                  </w:r>
                </w:p>
              </w:tc>
            </w:tr>
            <w:tr w14:paraId="1CE1BD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noWrap w:val="0"/>
                  <w:vAlign w:val="center"/>
                </w:tcPr>
                <w:p w14:paraId="51B43766">
                  <w:pPr>
                    <w:adjustRightInd w:val="0"/>
                    <w:snapToGrid w:val="0"/>
                    <w:jc w:val="center"/>
                    <w:rPr>
                      <w:rFonts w:hint="default" w:ascii="Times New Roman" w:hAnsi="Times New Roman" w:eastAsia="仿宋" w:cs="Times New Roman"/>
                      <w:b/>
                      <w:color w:val="auto"/>
                      <w:szCs w:val="21"/>
                    </w:rPr>
                  </w:pPr>
                </w:p>
              </w:tc>
              <w:tc>
                <w:tcPr>
                  <w:tcW w:w="1341" w:type="pct"/>
                  <w:gridSpan w:val="2"/>
                  <w:noWrap w:val="0"/>
                  <w:vAlign w:val="center"/>
                </w:tcPr>
                <w:p w14:paraId="20EEFAFA">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一般固废</w:t>
                  </w:r>
                </w:p>
              </w:tc>
              <w:tc>
                <w:tcPr>
                  <w:tcW w:w="848" w:type="pct"/>
                  <w:noWrap w:val="0"/>
                  <w:vAlign w:val="center"/>
                </w:tcPr>
                <w:p w14:paraId="0170CD60">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117.842</w:t>
                  </w:r>
                </w:p>
              </w:tc>
              <w:tc>
                <w:tcPr>
                  <w:tcW w:w="906" w:type="pct"/>
                  <w:noWrap w:val="0"/>
                  <w:vAlign w:val="center"/>
                </w:tcPr>
                <w:p w14:paraId="4466A7FC">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0</w:t>
                  </w:r>
                </w:p>
              </w:tc>
              <w:tc>
                <w:tcPr>
                  <w:tcW w:w="761" w:type="pct"/>
                  <w:noWrap w:val="0"/>
                  <w:vAlign w:val="center"/>
                </w:tcPr>
                <w:p w14:paraId="4FE9F257">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0</w:t>
                  </w:r>
                </w:p>
              </w:tc>
              <w:tc>
                <w:tcPr>
                  <w:tcW w:w="683" w:type="pct"/>
                  <w:noWrap w:val="0"/>
                  <w:vAlign w:val="center"/>
                </w:tcPr>
                <w:p w14:paraId="026B8116">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0</w:t>
                  </w:r>
                </w:p>
              </w:tc>
            </w:tr>
            <w:tr w14:paraId="534ED3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noWrap w:val="0"/>
                  <w:vAlign w:val="center"/>
                </w:tcPr>
                <w:p w14:paraId="3D7E1FD3">
                  <w:pPr>
                    <w:adjustRightInd w:val="0"/>
                    <w:snapToGrid w:val="0"/>
                    <w:jc w:val="center"/>
                    <w:rPr>
                      <w:rFonts w:hint="default" w:ascii="Times New Roman" w:hAnsi="Times New Roman" w:eastAsia="仿宋" w:cs="Times New Roman"/>
                      <w:b/>
                      <w:color w:val="auto"/>
                      <w:szCs w:val="21"/>
                    </w:rPr>
                  </w:pPr>
                </w:p>
              </w:tc>
              <w:tc>
                <w:tcPr>
                  <w:tcW w:w="1341" w:type="pct"/>
                  <w:gridSpan w:val="2"/>
                  <w:noWrap w:val="0"/>
                  <w:vAlign w:val="center"/>
                </w:tcPr>
                <w:p w14:paraId="256B8B8F">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危险废物</w:t>
                  </w:r>
                </w:p>
              </w:tc>
              <w:tc>
                <w:tcPr>
                  <w:tcW w:w="848" w:type="pct"/>
                  <w:noWrap w:val="0"/>
                  <w:vAlign w:val="center"/>
                </w:tcPr>
                <w:p w14:paraId="33BD51FB">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19.17</w:t>
                  </w:r>
                </w:p>
              </w:tc>
              <w:tc>
                <w:tcPr>
                  <w:tcW w:w="906" w:type="pct"/>
                  <w:noWrap w:val="0"/>
                  <w:vAlign w:val="center"/>
                </w:tcPr>
                <w:p w14:paraId="318A5376">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0</w:t>
                  </w:r>
                </w:p>
              </w:tc>
              <w:tc>
                <w:tcPr>
                  <w:tcW w:w="761" w:type="pct"/>
                  <w:noWrap w:val="0"/>
                  <w:vAlign w:val="center"/>
                </w:tcPr>
                <w:p w14:paraId="6E94D01C">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0</w:t>
                  </w:r>
                </w:p>
              </w:tc>
              <w:tc>
                <w:tcPr>
                  <w:tcW w:w="683" w:type="pct"/>
                  <w:noWrap w:val="0"/>
                  <w:vAlign w:val="center"/>
                </w:tcPr>
                <w:p w14:paraId="75551518">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0</w:t>
                  </w:r>
                </w:p>
              </w:tc>
            </w:tr>
          </w:tbl>
          <w:p w14:paraId="0242BA2D">
            <w:pPr>
              <w:adjustRightInd w:val="0"/>
              <w:snapToGrid w:val="0"/>
              <w:spacing w:line="500" w:lineRule="exact"/>
              <w:ind w:left="0" w:leftChars="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表3-1</w:t>
            </w:r>
            <w:r>
              <w:rPr>
                <w:rFonts w:hint="eastAsia" w:eastAsia="仿宋" w:cs="Times New Roman"/>
                <w:b/>
                <w:bCs/>
                <w:color w:val="auto"/>
                <w:sz w:val="21"/>
                <w:szCs w:val="21"/>
                <w:lang w:val="en-US" w:eastAsia="zh-CN"/>
              </w:rPr>
              <w:t>2</w:t>
            </w:r>
            <w:r>
              <w:rPr>
                <w:rFonts w:hint="default" w:ascii="Times New Roman" w:hAnsi="Times New Roman" w:eastAsia="仿宋" w:cs="Times New Roman"/>
                <w:b/>
                <w:bCs/>
                <w:color w:val="auto"/>
                <w:sz w:val="21"/>
                <w:szCs w:val="21"/>
                <w:lang w:val="en-US" w:eastAsia="zh-CN"/>
              </w:rPr>
              <w:t>全厂污染物排放情况一览表(t/a)</w:t>
            </w:r>
          </w:p>
          <w:tbl>
            <w:tblPr>
              <w:tblStyle w:val="27"/>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386"/>
              <w:gridCol w:w="1260"/>
              <w:gridCol w:w="1260"/>
              <w:gridCol w:w="833"/>
              <w:gridCol w:w="771"/>
              <w:gridCol w:w="886"/>
              <w:gridCol w:w="809"/>
              <w:gridCol w:w="742"/>
              <w:gridCol w:w="983"/>
            </w:tblGrid>
            <w:tr w14:paraId="746E68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037" w:type="pct"/>
                  <w:gridSpan w:val="2"/>
                  <w:vAlign w:val="center"/>
                </w:tcPr>
                <w:p w14:paraId="340E4FE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种类</w:t>
                  </w:r>
                </w:p>
              </w:tc>
              <w:tc>
                <w:tcPr>
                  <w:tcW w:w="794" w:type="pct"/>
                  <w:vAlign w:val="center"/>
                </w:tcPr>
                <w:p w14:paraId="0C014F2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污染物名称</w:t>
                  </w:r>
                </w:p>
              </w:tc>
              <w:tc>
                <w:tcPr>
                  <w:tcW w:w="525" w:type="pct"/>
                  <w:vAlign w:val="center"/>
                </w:tcPr>
                <w:p w14:paraId="6C85268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原有项目实际排放量</w:t>
                  </w:r>
                </w:p>
              </w:tc>
              <w:tc>
                <w:tcPr>
                  <w:tcW w:w="486" w:type="pct"/>
                  <w:vAlign w:val="center"/>
                </w:tcPr>
                <w:p w14:paraId="5D543D9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原有项目</w:t>
                  </w:r>
                  <w:r>
                    <w:rPr>
                      <w:rFonts w:hint="default" w:ascii="Times New Roman" w:hAnsi="Times New Roman" w:eastAsia="仿宋" w:cs="Times New Roman"/>
                      <w:b/>
                      <w:color w:val="auto"/>
                      <w:sz w:val="21"/>
                      <w:szCs w:val="21"/>
                      <w:lang w:val="en-US" w:eastAsia="zh-CN"/>
                    </w:rPr>
                    <w:t>环评批复</w:t>
                  </w:r>
                  <w:r>
                    <w:rPr>
                      <w:rFonts w:hint="default" w:ascii="Times New Roman" w:hAnsi="Times New Roman" w:eastAsia="仿宋" w:cs="Times New Roman"/>
                      <w:b/>
                      <w:color w:val="auto"/>
                      <w:sz w:val="21"/>
                      <w:szCs w:val="21"/>
                    </w:rPr>
                    <w:t>量</w:t>
                  </w:r>
                </w:p>
              </w:tc>
              <w:tc>
                <w:tcPr>
                  <w:tcW w:w="558" w:type="pct"/>
                  <w:vAlign w:val="center"/>
                </w:tcPr>
                <w:p w14:paraId="6E4453D7">
                  <w:pPr>
                    <w:keepNext w:val="0"/>
                    <w:keepLines w:val="0"/>
                    <w:pageBreakBefore w:val="0"/>
                    <w:widowControl/>
                    <w:kinsoku/>
                    <w:wordWrap/>
                    <w:overflowPunct/>
                    <w:topLinePunct w:val="0"/>
                    <w:autoSpaceDE/>
                    <w:autoSpaceDN/>
                    <w:bidi w:val="0"/>
                    <w:snapToGrid w:val="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lang w:val="en-US" w:eastAsia="zh-CN"/>
                    </w:rPr>
                    <w:t>本</w:t>
                  </w:r>
                  <w:r>
                    <w:rPr>
                      <w:rFonts w:hint="default" w:ascii="Times New Roman" w:hAnsi="Times New Roman" w:eastAsia="仿宋" w:cs="Times New Roman"/>
                      <w:b/>
                      <w:color w:val="auto"/>
                      <w:sz w:val="21"/>
                      <w:szCs w:val="21"/>
                    </w:rPr>
                    <w:t>项目排放量</w:t>
                  </w:r>
                </w:p>
              </w:tc>
              <w:tc>
                <w:tcPr>
                  <w:tcW w:w="510" w:type="pct"/>
                  <w:vAlign w:val="center"/>
                </w:tcPr>
                <w:p w14:paraId="19E247DC">
                  <w:pPr>
                    <w:keepNext w:val="0"/>
                    <w:keepLines w:val="0"/>
                    <w:pageBreakBefore w:val="0"/>
                    <w:widowControl/>
                    <w:kinsoku/>
                    <w:wordWrap/>
                    <w:overflowPunct/>
                    <w:topLinePunct w:val="0"/>
                    <w:autoSpaceDE/>
                    <w:autoSpaceDN/>
                    <w:bidi w:val="0"/>
                    <w:snapToGrid w:val="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“以新带老”削减量</w:t>
                  </w:r>
                </w:p>
              </w:tc>
              <w:tc>
                <w:tcPr>
                  <w:tcW w:w="467" w:type="pct"/>
                  <w:vAlign w:val="center"/>
                </w:tcPr>
                <w:p w14:paraId="35099F1F">
                  <w:pPr>
                    <w:keepNext w:val="0"/>
                    <w:keepLines w:val="0"/>
                    <w:pageBreakBefore w:val="0"/>
                    <w:widowControl/>
                    <w:kinsoku/>
                    <w:wordWrap/>
                    <w:overflowPunct/>
                    <w:topLinePunct w:val="0"/>
                    <w:autoSpaceDE/>
                    <w:autoSpaceDN/>
                    <w:bidi w:val="0"/>
                    <w:snapToGrid w:val="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全厂排放量</w:t>
                  </w:r>
                </w:p>
              </w:tc>
              <w:tc>
                <w:tcPr>
                  <w:tcW w:w="619" w:type="pct"/>
                  <w:vAlign w:val="center"/>
                </w:tcPr>
                <w:p w14:paraId="724E0468">
                  <w:pPr>
                    <w:keepNext w:val="0"/>
                    <w:keepLines w:val="0"/>
                    <w:pageBreakBefore w:val="0"/>
                    <w:widowControl/>
                    <w:kinsoku/>
                    <w:wordWrap/>
                    <w:overflowPunct/>
                    <w:topLinePunct w:val="0"/>
                    <w:autoSpaceDE/>
                    <w:autoSpaceDN/>
                    <w:bidi w:val="0"/>
                    <w:snapToGrid w:val="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扩建前后变化量</w:t>
                  </w:r>
                </w:p>
              </w:tc>
            </w:tr>
            <w:tr w14:paraId="47A93F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1037" w:type="pct"/>
                  <w:gridSpan w:val="2"/>
                  <w:vMerge w:val="restart"/>
                  <w:vAlign w:val="center"/>
                </w:tcPr>
                <w:p w14:paraId="0334E077">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w:t>
                  </w:r>
                </w:p>
                <w:p w14:paraId="3CE2319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rPr>
                  </w:pPr>
                </w:p>
                <w:p w14:paraId="600DBA2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rPr>
                  </w:pPr>
                </w:p>
              </w:tc>
              <w:tc>
                <w:tcPr>
                  <w:tcW w:w="794" w:type="pct"/>
                  <w:vAlign w:val="center"/>
                </w:tcPr>
                <w:p w14:paraId="4C2D4971">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水量</w:t>
                  </w:r>
                </w:p>
              </w:tc>
              <w:tc>
                <w:tcPr>
                  <w:tcW w:w="833" w:type="dxa"/>
                  <w:vAlign w:val="center"/>
                </w:tcPr>
                <w:p w14:paraId="37E03CC2">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720</w:t>
                  </w:r>
                </w:p>
              </w:tc>
              <w:tc>
                <w:tcPr>
                  <w:tcW w:w="771" w:type="dxa"/>
                  <w:vAlign w:val="center"/>
                </w:tcPr>
                <w:p w14:paraId="5FD843F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1440</w:t>
                  </w:r>
                </w:p>
              </w:tc>
              <w:tc>
                <w:tcPr>
                  <w:tcW w:w="558" w:type="pct"/>
                  <w:vAlign w:val="center"/>
                </w:tcPr>
                <w:p w14:paraId="19612AA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1920</w:t>
                  </w:r>
                </w:p>
              </w:tc>
              <w:tc>
                <w:tcPr>
                  <w:tcW w:w="809" w:type="dxa"/>
                  <w:vAlign w:val="center"/>
                </w:tcPr>
                <w:p w14:paraId="7B47E322">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720</w:t>
                  </w:r>
                </w:p>
              </w:tc>
              <w:tc>
                <w:tcPr>
                  <w:tcW w:w="742" w:type="dxa"/>
                  <w:vAlign w:val="center"/>
                </w:tcPr>
                <w:p w14:paraId="3E53CD6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1920</w:t>
                  </w:r>
                </w:p>
              </w:tc>
              <w:tc>
                <w:tcPr>
                  <w:tcW w:w="983" w:type="dxa"/>
                  <w:vAlign w:val="center"/>
                </w:tcPr>
                <w:p w14:paraId="678AA68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r>
                    <w:rPr>
                      <w:rFonts w:hint="eastAsia" w:ascii="Times New Roman" w:hAnsi="Times New Roman" w:eastAsia="仿宋" w:cs="Times New Roman"/>
                      <w:color w:val="auto"/>
                      <w:szCs w:val="21"/>
                      <w:lang w:val="en-US" w:eastAsia="zh-CN"/>
                    </w:rPr>
                    <w:t>1200</w:t>
                  </w:r>
                </w:p>
              </w:tc>
            </w:tr>
            <w:tr w14:paraId="7DE6D2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83" w:hRule="atLeast"/>
                <w:jc w:val="center"/>
              </w:trPr>
              <w:tc>
                <w:tcPr>
                  <w:tcW w:w="1037" w:type="pct"/>
                  <w:gridSpan w:val="2"/>
                  <w:vMerge w:val="continue"/>
                  <w:vAlign w:val="center"/>
                </w:tcPr>
                <w:p w14:paraId="5BF4D037">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rPr>
                  </w:pPr>
                </w:p>
              </w:tc>
              <w:tc>
                <w:tcPr>
                  <w:tcW w:w="794" w:type="pct"/>
                  <w:vAlign w:val="center"/>
                </w:tcPr>
                <w:p w14:paraId="35CE011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COD</w:t>
                  </w:r>
                </w:p>
              </w:tc>
              <w:tc>
                <w:tcPr>
                  <w:tcW w:w="833" w:type="dxa"/>
                  <w:vAlign w:val="center"/>
                </w:tcPr>
                <w:p w14:paraId="67034702">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eastAsia="zh-CN" w:bidi="ar-SA"/>
                    </w:rPr>
                  </w:pPr>
                  <w:r>
                    <w:rPr>
                      <w:rFonts w:hint="default" w:ascii="Times New Roman" w:hAnsi="Times New Roman" w:eastAsia="仿宋" w:cs="Times New Roman"/>
                      <w:snapToGrid w:val="0"/>
                      <w:color w:val="auto"/>
                      <w:kern w:val="21"/>
                      <w:szCs w:val="21"/>
                      <w:lang w:val="en-US" w:eastAsia="zh-CN"/>
                    </w:rPr>
                    <w:t>0.118</w:t>
                  </w:r>
                </w:p>
              </w:tc>
              <w:tc>
                <w:tcPr>
                  <w:tcW w:w="771" w:type="dxa"/>
                  <w:vAlign w:val="center"/>
                </w:tcPr>
                <w:p w14:paraId="4B870DE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0.504</w:t>
                  </w:r>
                </w:p>
              </w:tc>
              <w:tc>
                <w:tcPr>
                  <w:tcW w:w="886" w:type="dxa"/>
                  <w:vAlign w:val="center"/>
                </w:tcPr>
                <w:p w14:paraId="1AC258C5">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Cs w:val="21"/>
                      <w:lang w:val="en-US" w:eastAsia="zh-CN"/>
                    </w:rPr>
                    <w:t>0.576</w:t>
                  </w:r>
                </w:p>
              </w:tc>
              <w:tc>
                <w:tcPr>
                  <w:tcW w:w="809" w:type="dxa"/>
                  <w:vAlign w:val="center"/>
                </w:tcPr>
                <w:p w14:paraId="20143E8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snapToGrid w:val="0"/>
                      <w:color w:val="auto"/>
                      <w:kern w:val="21"/>
                      <w:szCs w:val="21"/>
                      <w:lang w:val="en-US" w:eastAsia="zh-CN"/>
                    </w:rPr>
                    <w:t>0.118</w:t>
                  </w:r>
                </w:p>
              </w:tc>
              <w:tc>
                <w:tcPr>
                  <w:tcW w:w="742" w:type="dxa"/>
                  <w:vAlign w:val="center"/>
                </w:tcPr>
                <w:p w14:paraId="04E6454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0.576</w:t>
                  </w:r>
                </w:p>
              </w:tc>
              <w:tc>
                <w:tcPr>
                  <w:tcW w:w="983" w:type="dxa"/>
                  <w:vAlign w:val="center"/>
                </w:tcPr>
                <w:p w14:paraId="68FB159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r>
                    <w:rPr>
                      <w:rFonts w:hint="eastAsia" w:ascii="Times New Roman" w:hAnsi="Times New Roman" w:eastAsia="仿宋" w:cs="Times New Roman"/>
                      <w:color w:val="auto"/>
                      <w:szCs w:val="21"/>
                      <w:lang w:val="en-US" w:eastAsia="zh-CN"/>
                    </w:rPr>
                    <w:t>0.458</w:t>
                  </w:r>
                </w:p>
              </w:tc>
            </w:tr>
            <w:tr w14:paraId="09E7AC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037" w:type="pct"/>
                  <w:gridSpan w:val="2"/>
                  <w:vMerge w:val="continue"/>
                  <w:vAlign w:val="center"/>
                </w:tcPr>
                <w:p w14:paraId="6C07D01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rPr>
                  </w:pPr>
                </w:p>
              </w:tc>
              <w:tc>
                <w:tcPr>
                  <w:tcW w:w="794" w:type="pct"/>
                  <w:vAlign w:val="center"/>
                </w:tcPr>
                <w:p w14:paraId="548B3FB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SS</w:t>
                  </w:r>
                </w:p>
              </w:tc>
              <w:tc>
                <w:tcPr>
                  <w:tcW w:w="833" w:type="dxa"/>
                  <w:vAlign w:val="center"/>
                </w:tcPr>
                <w:p w14:paraId="25D12EDF">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eastAsia="zh-CN" w:bidi="ar-SA"/>
                    </w:rPr>
                  </w:pPr>
                  <w:r>
                    <w:rPr>
                      <w:rFonts w:hint="default" w:ascii="Times New Roman" w:hAnsi="Times New Roman" w:eastAsia="仿宋" w:cs="Times New Roman"/>
                      <w:snapToGrid w:val="0"/>
                      <w:color w:val="auto"/>
                      <w:kern w:val="21"/>
                      <w:szCs w:val="21"/>
                      <w:lang w:val="en-US" w:eastAsia="zh-CN"/>
                    </w:rPr>
                    <w:t>0.055</w:t>
                  </w:r>
                </w:p>
              </w:tc>
              <w:tc>
                <w:tcPr>
                  <w:tcW w:w="771" w:type="dxa"/>
                  <w:vAlign w:val="center"/>
                </w:tcPr>
                <w:p w14:paraId="36AD323C">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0.288</w:t>
                  </w:r>
                </w:p>
              </w:tc>
              <w:tc>
                <w:tcPr>
                  <w:tcW w:w="886" w:type="dxa"/>
                  <w:vAlign w:val="center"/>
                </w:tcPr>
                <w:p w14:paraId="4D48790E">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Cs w:val="21"/>
                      <w:lang w:val="en-US" w:eastAsia="zh-CN"/>
                    </w:rPr>
                    <w:t>0.384</w:t>
                  </w:r>
                </w:p>
              </w:tc>
              <w:tc>
                <w:tcPr>
                  <w:tcW w:w="809" w:type="dxa"/>
                  <w:vAlign w:val="center"/>
                </w:tcPr>
                <w:p w14:paraId="6A4E2531">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snapToGrid w:val="0"/>
                      <w:color w:val="auto"/>
                      <w:kern w:val="21"/>
                      <w:szCs w:val="21"/>
                      <w:lang w:val="en-US" w:eastAsia="zh-CN"/>
                    </w:rPr>
                    <w:t>0.055</w:t>
                  </w:r>
                </w:p>
              </w:tc>
              <w:tc>
                <w:tcPr>
                  <w:tcW w:w="742" w:type="dxa"/>
                  <w:vAlign w:val="center"/>
                </w:tcPr>
                <w:p w14:paraId="0DA4A00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0.384</w:t>
                  </w:r>
                </w:p>
              </w:tc>
              <w:tc>
                <w:tcPr>
                  <w:tcW w:w="983" w:type="dxa"/>
                  <w:vAlign w:val="center"/>
                </w:tcPr>
                <w:p w14:paraId="01C8564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r>
                    <w:rPr>
                      <w:rFonts w:hint="eastAsia" w:ascii="Times New Roman" w:hAnsi="Times New Roman" w:eastAsia="仿宋" w:cs="Times New Roman"/>
                      <w:color w:val="auto"/>
                      <w:szCs w:val="21"/>
                      <w:lang w:val="en-US" w:eastAsia="zh-CN"/>
                    </w:rPr>
                    <w:t>0.329</w:t>
                  </w:r>
                </w:p>
              </w:tc>
            </w:tr>
            <w:tr w14:paraId="56095F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037" w:type="pct"/>
                  <w:gridSpan w:val="2"/>
                  <w:vMerge w:val="continue"/>
                  <w:vAlign w:val="center"/>
                </w:tcPr>
                <w:p w14:paraId="7642D581">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rPr>
                  </w:pPr>
                </w:p>
              </w:tc>
              <w:tc>
                <w:tcPr>
                  <w:tcW w:w="794" w:type="pct"/>
                  <w:vAlign w:val="center"/>
                </w:tcPr>
                <w:p w14:paraId="3F20B96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NH</w:t>
                  </w:r>
                  <w:r>
                    <w:rPr>
                      <w:rFonts w:hint="default" w:ascii="Times New Roman" w:hAnsi="Times New Roman" w:eastAsia="仿宋" w:cs="Times New Roman"/>
                      <w:color w:val="auto"/>
                      <w:szCs w:val="21"/>
                      <w:vertAlign w:val="subscript"/>
                    </w:rPr>
                    <w:t>3</w:t>
                  </w:r>
                  <w:r>
                    <w:rPr>
                      <w:rFonts w:hint="default" w:ascii="Times New Roman" w:hAnsi="Times New Roman" w:eastAsia="仿宋" w:cs="Times New Roman"/>
                      <w:color w:val="auto"/>
                      <w:szCs w:val="21"/>
                    </w:rPr>
                    <w:t>-N</w:t>
                  </w:r>
                </w:p>
              </w:tc>
              <w:tc>
                <w:tcPr>
                  <w:tcW w:w="833" w:type="dxa"/>
                  <w:vAlign w:val="center"/>
                </w:tcPr>
                <w:p w14:paraId="6E562F0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eastAsia="zh-CN" w:bidi="ar-SA"/>
                    </w:rPr>
                  </w:pPr>
                  <w:r>
                    <w:rPr>
                      <w:rFonts w:hint="default" w:ascii="Times New Roman" w:hAnsi="Times New Roman" w:eastAsia="仿宋" w:cs="Times New Roman"/>
                      <w:snapToGrid w:val="0"/>
                      <w:color w:val="auto"/>
                      <w:kern w:val="21"/>
                      <w:szCs w:val="21"/>
                      <w:lang w:val="en-US" w:eastAsia="zh-CN"/>
                    </w:rPr>
                    <w:t>0.028</w:t>
                  </w:r>
                </w:p>
              </w:tc>
              <w:tc>
                <w:tcPr>
                  <w:tcW w:w="771" w:type="dxa"/>
                  <w:vAlign w:val="center"/>
                </w:tcPr>
                <w:p w14:paraId="633F98A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0.036</w:t>
                  </w:r>
                </w:p>
              </w:tc>
              <w:tc>
                <w:tcPr>
                  <w:tcW w:w="886" w:type="dxa"/>
                  <w:vAlign w:val="center"/>
                </w:tcPr>
                <w:p w14:paraId="179A7FC0">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Cs w:val="21"/>
                      <w:lang w:val="en-US" w:eastAsia="zh-CN"/>
                    </w:rPr>
                    <w:t>0.0384</w:t>
                  </w:r>
                </w:p>
              </w:tc>
              <w:tc>
                <w:tcPr>
                  <w:tcW w:w="809" w:type="dxa"/>
                  <w:vAlign w:val="center"/>
                </w:tcPr>
                <w:p w14:paraId="43C75EB1">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snapToGrid w:val="0"/>
                      <w:color w:val="auto"/>
                      <w:kern w:val="21"/>
                      <w:szCs w:val="21"/>
                      <w:lang w:val="en-US" w:eastAsia="zh-CN"/>
                    </w:rPr>
                    <w:t>0.028</w:t>
                  </w:r>
                </w:p>
              </w:tc>
              <w:tc>
                <w:tcPr>
                  <w:tcW w:w="742" w:type="dxa"/>
                  <w:vAlign w:val="center"/>
                </w:tcPr>
                <w:p w14:paraId="26AD7085">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0.0384</w:t>
                  </w:r>
                </w:p>
              </w:tc>
              <w:tc>
                <w:tcPr>
                  <w:tcW w:w="983" w:type="dxa"/>
                  <w:vAlign w:val="center"/>
                </w:tcPr>
                <w:p w14:paraId="277C19B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r>
                    <w:rPr>
                      <w:rFonts w:hint="eastAsia" w:ascii="Times New Roman" w:hAnsi="Times New Roman" w:eastAsia="仿宋" w:cs="Times New Roman"/>
                      <w:color w:val="auto"/>
                      <w:szCs w:val="21"/>
                      <w:lang w:val="en-US" w:eastAsia="zh-CN"/>
                    </w:rPr>
                    <w:t>0.0104</w:t>
                  </w:r>
                </w:p>
              </w:tc>
            </w:tr>
            <w:tr w14:paraId="597DBD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037" w:type="pct"/>
                  <w:gridSpan w:val="2"/>
                  <w:vMerge w:val="continue"/>
                  <w:vAlign w:val="center"/>
                </w:tcPr>
                <w:p w14:paraId="52F8326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p>
              </w:tc>
              <w:tc>
                <w:tcPr>
                  <w:tcW w:w="794" w:type="pct"/>
                  <w:vAlign w:val="center"/>
                </w:tcPr>
                <w:p w14:paraId="4BA7A31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TN</w:t>
                  </w:r>
                </w:p>
              </w:tc>
              <w:tc>
                <w:tcPr>
                  <w:tcW w:w="833" w:type="dxa"/>
                  <w:vAlign w:val="center"/>
                </w:tcPr>
                <w:p w14:paraId="1BE81FD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eastAsia="zh-CN" w:bidi="ar-SA"/>
                    </w:rPr>
                  </w:pPr>
                  <w:r>
                    <w:rPr>
                      <w:rFonts w:hint="eastAsia" w:eastAsia="仿宋" w:cs="Times New Roman"/>
                      <w:snapToGrid w:val="0"/>
                      <w:color w:val="auto"/>
                      <w:kern w:val="21"/>
                      <w:sz w:val="21"/>
                      <w:szCs w:val="21"/>
                      <w:lang w:val="en-US" w:eastAsia="zh-CN" w:bidi="ar-SA"/>
                    </w:rPr>
                    <w:t>0.0216</w:t>
                  </w:r>
                </w:p>
              </w:tc>
              <w:tc>
                <w:tcPr>
                  <w:tcW w:w="486" w:type="pct"/>
                  <w:vAlign w:val="center"/>
                </w:tcPr>
                <w:p w14:paraId="33CE6CE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886" w:type="dxa"/>
                  <w:vAlign w:val="center"/>
                </w:tcPr>
                <w:p w14:paraId="3809406C">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Cs w:val="21"/>
                      <w:lang w:val="en-US" w:eastAsia="zh-CN"/>
                    </w:rPr>
                    <w:t>0.0576</w:t>
                  </w:r>
                </w:p>
              </w:tc>
              <w:tc>
                <w:tcPr>
                  <w:tcW w:w="809" w:type="dxa"/>
                  <w:vAlign w:val="center"/>
                </w:tcPr>
                <w:p w14:paraId="2B6A6087">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eastAsia" w:eastAsia="仿宋" w:cs="Times New Roman"/>
                      <w:snapToGrid w:val="0"/>
                      <w:color w:val="auto"/>
                      <w:kern w:val="21"/>
                      <w:sz w:val="21"/>
                      <w:szCs w:val="21"/>
                      <w:lang w:val="en-US" w:eastAsia="zh-CN" w:bidi="ar-SA"/>
                    </w:rPr>
                    <w:t>0.0216</w:t>
                  </w:r>
                </w:p>
              </w:tc>
              <w:tc>
                <w:tcPr>
                  <w:tcW w:w="742" w:type="dxa"/>
                  <w:vAlign w:val="center"/>
                </w:tcPr>
                <w:p w14:paraId="60D8BC7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0.0576</w:t>
                  </w:r>
                </w:p>
              </w:tc>
              <w:tc>
                <w:tcPr>
                  <w:tcW w:w="983" w:type="dxa"/>
                  <w:vAlign w:val="center"/>
                </w:tcPr>
                <w:p w14:paraId="075B135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r>
                    <w:rPr>
                      <w:rFonts w:hint="eastAsia" w:ascii="Times New Roman" w:hAnsi="Times New Roman" w:eastAsia="仿宋" w:cs="Times New Roman"/>
                      <w:color w:val="auto"/>
                      <w:szCs w:val="21"/>
                      <w:lang w:val="en-US" w:eastAsia="zh-CN"/>
                    </w:rPr>
                    <w:t>0.036</w:t>
                  </w:r>
                </w:p>
              </w:tc>
            </w:tr>
            <w:tr w14:paraId="5AC880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037" w:type="pct"/>
                  <w:gridSpan w:val="2"/>
                  <w:vMerge w:val="continue"/>
                  <w:vAlign w:val="center"/>
                </w:tcPr>
                <w:p w14:paraId="1DE6F1F1">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rPr>
                  </w:pPr>
                </w:p>
              </w:tc>
              <w:tc>
                <w:tcPr>
                  <w:tcW w:w="794" w:type="pct"/>
                  <w:vAlign w:val="center"/>
                </w:tcPr>
                <w:p w14:paraId="4D4F3AD5">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TP</w:t>
                  </w:r>
                </w:p>
              </w:tc>
              <w:tc>
                <w:tcPr>
                  <w:tcW w:w="833" w:type="dxa"/>
                  <w:vAlign w:val="center"/>
                </w:tcPr>
                <w:p w14:paraId="4F48A05F">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snapToGrid w:val="0"/>
                      <w:color w:val="auto"/>
                      <w:kern w:val="21"/>
                      <w:szCs w:val="21"/>
                      <w:lang w:val="en-US" w:eastAsia="zh-CN"/>
                    </w:rPr>
                    <w:t>0.004</w:t>
                  </w:r>
                </w:p>
              </w:tc>
              <w:tc>
                <w:tcPr>
                  <w:tcW w:w="486" w:type="pct"/>
                  <w:vAlign w:val="center"/>
                </w:tcPr>
                <w:p w14:paraId="049590C5">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lang w:val="en-US" w:eastAsia="zh-CN"/>
                    </w:rPr>
                    <w:t>0.0058</w:t>
                  </w:r>
                </w:p>
              </w:tc>
              <w:tc>
                <w:tcPr>
                  <w:tcW w:w="886" w:type="dxa"/>
                  <w:vAlign w:val="center"/>
                </w:tcPr>
                <w:p w14:paraId="63A3F33D">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Cs w:val="21"/>
                      <w:lang w:val="en-US" w:eastAsia="zh-CN"/>
                    </w:rPr>
                    <w:t>0.00</w:t>
                  </w:r>
                  <w:r>
                    <w:rPr>
                      <w:rFonts w:hint="eastAsia" w:eastAsia="仿宋" w:cs="Times New Roman"/>
                      <w:color w:val="auto"/>
                      <w:szCs w:val="21"/>
                      <w:lang w:val="en-US" w:eastAsia="zh-CN"/>
                    </w:rPr>
                    <w:t>58</w:t>
                  </w:r>
                </w:p>
              </w:tc>
              <w:tc>
                <w:tcPr>
                  <w:tcW w:w="809" w:type="dxa"/>
                  <w:vAlign w:val="center"/>
                </w:tcPr>
                <w:p w14:paraId="08CC2B1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snapToGrid w:val="0"/>
                      <w:color w:val="auto"/>
                      <w:kern w:val="21"/>
                      <w:szCs w:val="21"/>
                      <w:lang w:val="en-US" w:eastAsia="zh-CN"/>
                    </w:rPr>
                    <w:t>0.004</w:t>
                  </w:r>
                </w:p>
              </w:tc>
              <w:tc>
                <w:tcPr>
                  <w:tcW w:w="742" w:type="dxa"/>
                  <w:vAlign w:val="center"/>
                </w:tcPr>
                <w:p w14:paraId="2436572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0.0058</w:t>
                  </w:r>
                </w:p>
              </w:tc>
              <w:tc>
                <w:tcPr>
                  <w:tcW w:w="983" w:type="dxa"/>
                  <w:vAlign w:val="center"/>
                </w:tcPr>
                <w:p w14:paraId="053805F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r>
                    <w:rPr>
                      <w:rFonts w:hint="eastAsia" w:ascii="Times New Roman" w:hAnsi="Times New Roman" w:eastAsia="仿宋" w:cs="Times New Roman"/>
                      <w:color w:val="auto"/>
                      <w:szCs w:val="21"/>
                      <w:lang w:val="en-US" w:eastAsia="zh-CN"/>
                    </w:rPr>
                    <w:t>0.0018</w:t>
                  </w:r>
                </w:p>
              </w:tc>
            </w:tr>
            <w:tr w14:paraId="28FE54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43" w:type="pct"/>
                  <w:vMerge w:val="restart"/>
                  <w:vAlign w:val="center"/>
                </w:tcPr>
                <w:p w14:paraId="1C1E92C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w:t>
                  </w:r>
                </w:p>
              </w:tc>
              <w:tc>
                <w:tcPr>
                  <w:tcW w:w="794" w:type="pct"/>
                  <w:vMerge w:val="restart"/>
                  <w:vAlign w:val="center"/>
                </w:tcPr>
                <w:p w14:paraId="121C7AB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Cs w:val="21"/>
                    </w:rPr>
                    <w:t>有组织</w:t>
                  </w:r>
                </w:p>
              </w:tc>
              <w:tc>
                <w:tcPr>
                  <w:tcW w:w="794" w:type="pct"/>
                  <w:vAlign w:val="center"/>
                </w:tcPr>
                <w:p w14:paraId="5F705FE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颗粒物</w:t>
                  </w:r>
                </w:p>
              </w:tc>
              <w:tc>
                <w:tcPr>
                  <w:tcW w:w="525" w:type="pct"/>
                  <w:vAlign w:val="center"/>
                </w:tcPr>
                <w:p w14:paraId="403DCF43">
                  <w:pPr>
                    <w:keepNext w:val="0"/>
                    <w:keepLines w:val="0"/>
                    <w:pageBreakBefore w:val="0"/>
                    <w:widowControl/>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0.065</w:t>
                  </w:r>
                </w:p>
              </w:tc>
              <w:tc>
                <w:tcPr>
                  <w:tcW w:w="486" w:type="pct"/>
                  <w:vAlign w:val="center"/>
                </w:tcPr>
                <w:p w14:paraId="7BF77815">
                  <w:pPr>
                    <w:widowControl/>
                    <w:adjustRightInd w:val="0"/>
                    <w:snapToGrid w:val="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w:t>
                  </w:r>
                </w:p>
              </w:tc>
              <w:tc>
                <w:tcPr>
                  <w:tcW w:w="886" w:type="dxa"/>
                  <w:vAlign w:val="center"/>
                </w:tcPr>
                <w:p w14:paraId="15904424">
                  <w:pPr>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44"/>
                      <w:sz w:val="21"/>
                      <w:szCs w:val="21"/>
                      <w:lang w:val="en-US" w:eastAsia="zh-CN"/>
                    </w:rPr>
                    <w:t>0.253</w:t>
                  </w:r>
                </w:p>
              </w:tc>
              <w:tc>
                <w:tcPr>
                  <w:tcW w:w="510" w:type="pct"/>
                  <w:vAlign w:val="center"/>
                </w:tcPr>
                <w:p w14:paraId="144441B7">
                  <w:pPr>
                    <w:keepNext w:val="0"/>
                    <w:keepLines w:val="0"/>
                    <w:pageBreakBefore w:val="0"/>
                    <w:widowControl/>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kern w:val="2"/>
                      <w:sz w:val="21"/>
                      <w:szCs w:val="21"/>
                      <w:lang w:val="en-US" w:eastAsia="zh-CN" w:bidi="ar-SA"/>
                    </w:rPr>
                    <w:t>0.065</w:t>
                  </w:r>
                </w:p>
              </w:tc>
              <w:tc>
                <w:tcPr>
                  <w:tcW w:w="742" w:type="dxa"/>
                  <w:vAlign w:val="center"/>
                </w:tcPr>
                <w:p w14:paraId="3783A663">
                  <w:pPr>
                    <w:jc w:val="center"/>
                    <w:rPr>
                      <w:rFonts w:hint="default" w:ascii="Times New Roman" w:hAnsi="Times New Roman" w:eastAsia="仿宋" w:cs="Times New Roman"/>
                      <w:snapToGrid w:val="0"/>
                      <w:color w:val="auto"/>
                      <w:kern w:val="21"/>
                      <w:sz w:val="21"/>
                      <w:szCs w:val="21"/>
                      <w:lang w:val="en-US" w:eastAsia="zh-CN" w:bidi="ar-SA"/>
                    </w:rPr>
                  </w:pPr>
                  <w:r>
                    <w:rPr>
                      <w:rFonts w:hint="eastAsia" w:eastAsia="仿宋" w:cs="Times New Roman"/>
                      <w:color w:val="auto"/>
                      <w:kern w:val="44"/>
                      <w:sz w:val="21"/>
                      <w:szCs w:val="21"/>
                      <w:lang w:val="en-US" w:eastAsia="zh-CN"/>
                    </w:rPr>
                    <w:t>0.253</w:t>
                  </w:r>
                </w:p>
              </w:tc>
              <w:tc>
                <w:tcPr>
                  <w:tcW w:w="619" w:type="pct"/>
                  <w:vAlign w:val="center"/>
                </w:tcPr>
                <w:p w14:paraId="67A625A8">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w:t>
                  </w:r>
                  <w:r>
                    <w:rPr>
                      <w:rFonts w:hint="eastAsia" w:eastAsia="仿宋" w:cs="Times New Roman"/>
                      <w:snapToGrid w:val="0"/>
                      <w:color w:val="auto"/>
                      <w:kern w:val="21"/>
                      <w:sz w:val="21"/>
                      <w:szCs w:val="21"/>
                      <w:lang w:val="en-US" w:eastAsia="zh-CN" w:bidi="ar-SA"/>
                    </w:rPr>
                    <w:t>188</w:t>
                  </w:r>
                </w:p>
              </w:tc>
            </w:tr>
            <w:tr w14:paraId="7E8700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43" w:type="pct"/>
                  <w:vMerge w:val="continue"/>
                  <w:vAlign w:val="center"/>
                </w:tcPr>
                <w:p w14:paraId="67E352B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rPr>
                  </w:pPr>
                </w:p>
              </w:tc>
              <w:tc>
                <w:tcPr>
                  <w:tcW w:w="794" w:type="pct"/>
                  <w:vMerge w:val="continue"/>
                  <w:vAlign w:val="center"/>
                </w:tcPr>
                <w:p w14:paraId="6CEAFE6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2"/>
                      <w:sz w:val="21"/>
                      <w:szCs w:val="21"/>
                      <w:lang w:val="en-US" w:eastAsia="zh-CN" w:bidi="ar-SA"/>
                    </w:rPr>
                  </w:pPr>
                </w:p>
              </w:tc>
              <w:tc>
                <w:tcPr>
                  <w:tcW w:w="794" w:type="pct"/>
                  <w:vAlign w:val="center"/>
                </w:tcPr>
                <w:p w14:paraId="327ED95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非甲烷总烃</w:t>
                  </w:r>
                </w:p>
              </w:tc>
              <w:tc>
                <w:tcPr>
                  <w:tcW w:w="525" w:type="pct"/>
                  <w:vAlign w:val="center"/>
                </w:tcPr>
                <w:p w14:paraId="3990A51E">
                  <w:pPr>
                    <w:keepNext w:val="0"/>
                    <w:keepLines w:val="0"/>
                    <w:pageBreakBefore w:val="0"/>
                    <w:widowControl/>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1"/>
                      <w:szCs w:val="21"/>
                      <w:lang w:val="en-US" w:eastAsia="zh-CN" w:bidi="ar-SA"/>
                    </w:rPr>
                    <w:t>0</w:t>
                  </w:r>
                </w:p>
              </w:tc>
              <w:tc>
                <w:tcPr>
                  <w:tcW w:w="486" w:type="pct"/>
                  <w:vAlign w:val="center"/>
                </w:tcPr>
                <w:p w14:paraId="023CD65D">
                  <w:pPr>
                    <w:widowControl/>
                    <w:adjustRightInd w:val="0"/>
                    <w:snapToGrid w:val="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w:t>
                  </w:r>
                </w:p>
              </w:tc>
              <w:tc>
                <w:tcPr>
                  <w:tcW w:w="886" w:type="dxa"/>
                  <w:vAlign w:val="center"/>
                </w:tcPr>
                <w:p w14:paraId="763DAA71">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44"/>
                      <w:sz w:val="21"/>
                      <w:szCs w:val="21"/>
                      <w:lang w:val="en-US" w:eastAsia="zh-CN"/>
                    </w:rPr>
                    <w:t>0.046</w:t>
                  </w:r>
                </w:p>
              </w:tc>
              <w:tc>
                <w:tcPr>
                  <w:tcW w:w="510" w:type="pct"/>
                  <w:vAlign w:val="center"/>
                </w:tcPr>
                <w:p w14:paraId="143FDD78">
                  <w:pPr>
                    <w:keepNext w:val="0"/>
                    <w:keepLines w:val="0"/>
                    <w:pageBreakBefore w:val="0"/>
                    <w:widowControl/>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w:t>
                  </w:r>
                </w:p>
              </w:tc>
              <w:tc>
                <w:tcPr>
                  <w:tcW w:w="742" w:type="dxa"/>
                  <w:vAlign w:val="center"/>
                </w:tcPr>
                <w:p w14:paraId="66AFAB66">
                  <w:pPr>
                    <w:jc w:val="center"/>
                    <w:rPr>
                      <w:rFonts w:hint="default" w:ascii="Times New Roman" w:hAnsi="Times New Roman" w:eastAsia="仿宋" w:cs="Times New Roman"/>
                      <w:snapToGrid w:val="0"/>
                      <w:color w:val="auto"/>
                      <w:kern w:val="21"/>
                      <w:sz w:val="21"/>
                      <w:szCs w:val="21"/>
                      <w:lang w:val="en-US" w:eastAsia="zh-CN" w:bidi="ar-SA"/>
                    </w:rPr>
                  </w:pPr>
                  <w:r>
                    <w:rPr>
                      <w:rFonts w:hint="eastAsia" w:ascii="Times New Roman" w:hAnsi="Times New Roman" w:eastAsia="仿宋" w:cs="Times New Roman"/>
                      <w:color w:val="auto"/>
                      <w:kern w:val="44"/>
                      <w:sz w:val="21"/>
                      <w:szCs w:val="21"/>
                      <w:lang w:val="en-US" w:eastAsia="zh-CN"/>
                    </w:rPr>
                    <w:t>0.046</w:t>
                  </w:r>
                </w:p>
              </w:tc>
              <w:tc>
                <w:tcPr>
                  <w:tcW w:w="619" w:type="pct"/>
                  <w:vAlign w:val="center"/>
                </w:tcPr>
                <w:p w14:paraId="021FDE83">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r>
                    <w:rPr>
                      <w:rFonts w:hint="eastAsia" w:ascii="Times New Roman" w:hAnsi="Times New Roman" w:eastAsia="仿宋" w:cs="Times New Roman"/>
                      <w:color w:val="auto"/>
                      <w:kern w:val="44"/>
                      <w:sz w:val="21"/>
                      <w:szCs w:val="21"/>
                      <w:lang w:val="en-US" w:eastAsia="zh-CN"/>
                    </w:rPr>
                    <w:t>0.046</w:t>
                  </w:r>
                </w:p>
              </w:tc>
            </w:tr>
            <w:tr w14:paraId="69693E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43" w:type="pct"/>
                  <w:vMerge w:val="continue"/>
                  <w:vAlign w:val="center"/>
                </w:tcPr>
                <w:p w14:paraId="503C5CC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rPr>
                  </w:pPr>
                </w:p>
              </w:tc>
              <w:tc>
                <w:tcPr>
                  <w:tcW w:w="794" w:type="pct"/>
                  <w:vMerge w:val="restart"/>
                  <w:vAlign w:val="center"/>
                </w:tcPr>
                <w:p w14:paraId="5DAF186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szCs w:val="21"/>
                    </w:rPr>
                    <w:t>无组织</w:t>
                  </w:r>
                </w:p>
              </w:tc>
              <w:tc>
                <w:tcPr>
                  <w:tcW w:w="794" w:type="pct"/>
                  <w:vAlign w:val="center"/>
                </w:tcPr>
                <w:p w14:paraId="17F481B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颗粒物</w:t>
                  </w:r>
                </w:p>
              </w:tc>
              <w:tc>
                <w:tcPr>
                  <w:tcW w:w="525" w:type="pct"/>
                  <w:vAlign w:val="center"/>
                </w:tcPr>
                <w:p w14:paraId="3E343407">
                  <w:pPr>
                    <w:keepNext w:val="0"/>
                    <w:keepLines w:val="0"/>
                    <w:pageBreakBefore w:val="0"/>
                    <w:widowControl/>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0.05</w:t>
                  </w:r>
                </w:p>
              </w:tc>
              <w:tc>
                <w:tcPr>
                  <w:tcW w:w="486" w:type="pct"/>
                  <w:vAlign w:val="center"/>
                </w:tcPr>
                <w:p w14:paraId="51C0209E">
                  <w:pPr>
                    <w:widowControl/>
                    <w:adjustRightInd w:val="0"/>
                    <w:snapToGrid w:val="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Cs w:val="21"/>
                      <w:lang w:val="en-US" w:eastAsia="zh-CN"/>
                    </w:rPr>
                    <w:t>0.115</w:t>
                  </w:r>
                </w:p>
              </w:tc>
              <w:tc>
                <w:tcPr>
                  <w:tcW w:w="886" w:type="dxa"/>
                  <w:vAlign w:val="center"/>
                </w:tcPr>
                <w:p w14:paraId="4CC3CBF0">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44"/>
                      <w:sz w:val="21"/>
                      <w:szCs w:val="21"/>
                      <w:lang w:val="en-US" w:eastAsia="zh-CN"/>
                    </w:rPr>
                    <w:t>0.226</w:t>
                  </w:r>
                </w:p>
              </w:tc>
              <w:tc>
                <w:tcPr>
                  <w:tcW w:w="510" w:type="pct"/>
                  <w:vAlign w:val="center"/>
                </w:tcPr>
                <w:p w14:paraId="00089916">
                  <w:pPr>
                    <w:keepNext w:val="0"/>
                    <w:keepLines w:val="0"/>
                    <w:pageBreakBefore w:val="0"/>
                    <w:widowControl/>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0.05</w:t>
                  </w:r>
                </w:p>
              </w:tc>
              <w:tc>
                <w:tcPr>
                  <w:tcW w:w="742" w:type="dxa"/>
                  <w:vAlign w:val="center"/>
                </w:tcPr>
                <w:p w14:paraId="553407F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44"/>
                      <w:sz w:val="21"/>
                      <w:szCs w:val="21"/>
                      <w:lang w:val="en-US" w:eastAsia="zh-CN"/>
                    </w:rPr>
                    <w:t>0.226</w:t>
                  </w:r>
                </w:p>
              </w:tc>
              <w:tc>
                <w:tcPr>
                  <w:tcW w:w="619" w:type="pct"/>
                  <w:vAlign w:val="center"/>
                </w:tcPr>
                <w:p w14:paraId="2085ED9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r>
                    <w:rPr>
                      <w:rFonts w:hint="eastAsia" w:eastAsia="仿宋" w:cs="Times New Roman"/>
                      <w:color w:val="auto"/>
                      <w:szCs w:val="21"/>
                      <w:lang w:val="en-US" w:eastAsia="zh-CN"/>
                    </w:rPr>
                    <w:t>0.176</w:t>
                  </w:r>
                </w:p>
              </w:tc>
            </w:tr>
            <w:tr w14:paraId="574D94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243" w:type="pct"/>
                  <w:vMerge w:val="continue"/>
                  <w:vAlign w:val="center"/>
                </w:tcPr>
                <w:p w14:paraId="230B00A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rPr>
                  </w:pPr>
                </w:p>
              </w:tc>
              <w:tc>
                <w:tcPr>
                  <w:tcW w:w="794" w:type="pct"/>
                  <w:vMerge w:val="continue"/>
                  <w:vAlign w:val="center"/>
                </w:tcPr>
                <w:p w14:paraId="1A4BEDA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2"/>
                      <w:sz w:val="21"/>
                      <w:szCs w:val="21"/>
                      <w:lang w:val="en-US" w:eastAsia="zh-CN" w:bidi="ar-SA"/>
                    </w:rPr>
                  </w:pPr>
                </w:p>
              </w:tc>
              <w:tc>
                <w:tcPr>
                  <w:tcW w:w="794" w:type="pct"/>
                  <w:vAlign w:val="center"/>
                </w:tcPr>
                <w:p w14:paraId="16D0A72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非甲烷总烃</w:t>
                  </w:r>
                </w:p>
              </w:tc>
              <w:tc>
                <w:tcPr>
                  <w:tcW w:w="525" w:type="pct"/>
                  <w:vAlign w:val="center"/>
                </w:tcPr>
                <w:p w14:paraId="181F4062">
                  <w:pPr>
                    <w:keepNext w:val="0"/>
                    <w:keepLines w:val="0"/>
                    <w:pageBreakBefore w:val="0"/>
                    <w:widowControl/>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bidi="ar-SA"/>
                    </w:rPr>
                    <w:t>0</w:t>
                  </w:r>
                </w:p>
              </w:tc>
              <w:tc>
                <w:tcPr>
                  <w:tcW w:w="486" w:type="pct"/>
                  <w:vAlign w:val="center"/>
                </w:tcPr>
                <w:p w14:paraId="5A0A5DA4">
                  <w:pPr>
                    <w:widowControl/>
                    <w:adjustRightInd w:val="0"/>
                    <w:snapToGrid w:val="0"/>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0</w:t>
                  </w:r>
                </w:p>
              </w:tc>
              <w:tc>
                <w:tcPr>
                  <w:tcW w:w="886" w:type="dxa"/>
                  <w:vAlign w:val="center"/>
                </w:tcPr>
                <w:p w14:paraId="7761C69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44"/>
                      <w:sz w:val="21"/>
                      <w:szCs w:val="21"/>
                      <w:lang w:val="en-US" w:eastAsia="zh-CN"/>
                    </w:rPr>
                    <w:t>0</w:t>
                  </w:r>
                  <w:r>
                    <w:rPr>
                      <w:rFonts w:hint="eastAsia" w:ascii="Times New Roman" w:hAnsi="Times New Roman" w:eastAsia="仿宋" w:cs="Times New Roman"/>
                      <w:color w:val="auto"/>
                      <w:kern w:val="44"/>
                      <w:sz w:val="21"/>
                      <w:szCs w:val="21"/>
                      <w:lang w:val="en-US" w:eastAsia="zh-CN"/>
                    </w:rPr>
                    <w:t>.024</w:t>
                  </w:r>
                </w:p>
              </w:tc>
              <w:tc>
                <w:tcPr>
                  <w:tcW w:w="510" w:type="pct"/>
                  <w:vAlign w:val="center"/>
                </w:tcPr>
                <w:p w14:paraId="7C59A9C2">
                  <w:pPr>
                    <w:keepNext w:val="0"/>
                    <w:keepLines w:val="0"/>
                    <w:pageBreakBefore w:val="0"/>
                    <w:widowControl/>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0</w:t>
                  </w:r>
                </w:p>
              </w:tc>
              <w:tc>
                <w:tcPr>
                  <w:tcW w:w="742" w:type="dxa"/>
                  <w:vAlign w:val="center"/>
                </w:tcPr>
                <w:p w14:paraId="11365B0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44"/>
                      <w:sz w:val="21"/>
                      <w:szCs w:val="21"/>
                      <w:lang w:val="en-US" w:eastAsia="zh-CN"/>
                    </w:rPr>
                    <w:t>0</w:t>
                  </w:r>
                  <w:r>
                    <w:rPr>
                      <w:rFonts w:hint="eastAsia" w:ascii="Times New Roman" w:hAnsi="Times New Roman" w:eastAsia="仿宋" w:cs="Times New Roman"/>
                      <w:color w:val="auto"/>
                      <w:kern w:val="44"/>
                      <w:sz w:val="21"/>
                      <w:szCs w:val="21"/>
                      <w:lang w:val="en-US" w:eastAsia="zh-CN"/>
                    </w:rPr>
                    <w:t>.024</w:t>
                  </w:r>
                </w:p>
              </w:tc>
              <w:tc>
                <w:tcPr>
                  <w:tcW w:w="619" w:type="pct"/>
                  <w:vAlign w:val="center"/>
                </w:tcPr>
                <w:p w14:paraId="3BE5384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r>
                    <w:rPr>
                      <w:rFonts w:hint="default" w:ascii="Times New Roman" w:hAnsi="Times New Roman" w:eastAsia="仿宋" w:cs="Times New Roman"/>
                      <w:color w:val="auto"/>
                      <w:kern w:val="44"/>
                      <w:sz w:val="21"/>
                      <w:szCs w:val="21"/>
                      <w:lang w:val="en-US" w:eastAsia="zh-CN"/>
                    </w:rPr>
                    <w:t>0</w:t>
                  </w:r>
                  <w:r>
                    <w:rPr>
                      <w:rFonts w:hint="eastAsia" w:ascii="Times New Roman" w:hAnsi="Times New Roman" w:eastAsia="仿宋" w:cs="Times New Roman"/>
                      <w:color w:val="auto"/>
                      <w:kern w:val="44"/>
                      <w:sz w:val="21"/>
                      <w:szCs w:val="21"/>
                      <w:lang w:val="en-US" w:eastAsia="zh-CN"/>
                    </w:rPr>
                    <w:t>.024</w:t>
                  </w:r>
                </w:p>
              </w:tc>
            </w:tr>
          </w:tbl>
          <w:p w14:paraId="1BB520C2">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left"/>
              <w:textAlignment w:val="auto"/>
              <w:rPr>
                <w:rFonts w:hint="default" w:ascii="Times New Roman" w:hAnsi="Times New Roman" w:eastAsia="仿宋" w:cs="Times New Roman"/>
                <w:b/>
                <w:bCs w:val="0"/>
                <w:color w:val="auto"/>
                <w:sz w:val="21"/>
                <w:szCs w:val="21"/>
                <w:lang w:val="en-US" w:eastAsia="zh-CN"/>
              </w:rPr>
            </w:pPr>
            <w:r>
              <w:rPr>
                <w:rFonts w:hint="default" w:ascii="Times New Roman" w:hAnsi="Times New Roman" w:eastAsia="仿宋" w:cs="Times New Roman"/>
                <w:b/>
                <w:bCs w:val="0"/>
                <w:color w:val="auto"/>
                <w:sz w:val="21"/>
                <w:szCs w:val="21"/>
                <w:lang w:val="en-US" w:eastAsia="zh-CN"/>
              </w:rPr>
              <w:t>注：现有项目未分析生活污水</w:t>
            </w:r>
            <w:r>
              <w:rPr>
                <w:rFonts w:hint="default" w:ascii="Times New Roman" w:hAnsi="Times New Roman" w:eastAsia="仿宋" w:cs="Times New Roman"/>
                <w:b/>
                <w:bCs w:val="0"/>
                <w:color w:val="auto"/>
                <w:sz w:val="21"/>
                <w:szCs w:val="21"/>
              </w:rPr>
              <w:t>TN</w:t>
            </w:r>
            <w:r>
              <w:rPr>
                <w:rFonts w:hint="default" w:ascii="Times New Roman" w:hAnsi="Times New Roman" w:eastAsia="仿宋" w:cs="Times New Roman"/>
                <w:b/>
                <w:bCs w:val="0"/>
                <w:color w:val="auto"/>
                <w:sz w:val="21"/>
                <w:szCs w:val="21"/>
                <w:lang w:val="en-US" w:eastAsia="zh-CN"/>
              </w:rPr>
              <w:t>排放量，本次</w:t>
            </w:r>
            <w:r>
              <w:rPr>
                <w:rFonts w:hint="default" w:ascii="Times New Roman" w:hAnsi="Times New Roman" w:eastAsia="仿宋" w:cs="Times New Roman"/>
                <w:b/>
                <w:bCs w:val="0"/>
                <w:color w:val="auto"/>
                <w:lang w:val="en-US" w:eastAsia="zh-CN"/>
              </w:rPr>
              <w:t>按照现有环评文件结合污染物产生情况进行核算</w:t>
            </w:r>
            <w:r>
              <w:rPr>
                <w:rFonts w:hint="default" w:ascii="Times New Roman" w:hAnsi="Times New Roman" w:eastAsia="仿宋" w:cs="Times New Roman"/>
                <w:b/>
                <w:bCs w:val="0"/>
                <w:color w:val="auto"/>
                <w:sz w:val="21"/>
                <w:szCs w:val="21"/>
                <w:lang w:eastAsia="zh-CN"/>
              </w:rPr>
              <w:t>。</w:t>
            </w:r>
          </w:p>
          <w:p w14:paraId="436572F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2、总量平衡方案</w:t>
            </w:r>
          </w:p>
          <w:p w14:paraId="4F7BABA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bCs/>
                <w:color w:val="auto"/>
                <w:sz w:val="24"/>
                <w:szCs w:val="24"/>
                <w:highlight w:val="none"/>
              </w:rPr>
              <w:t>废气：</w:t>
            </w:r>
            <w:r>
              <w:rPr>
                <w:rFonts w:hint="default" w:ascii="Times New Roman" w:hAnsi="Times New Roman" w:eastAsia="仿宋" w:cs="Times New Roman"/>
                <w:bCs/>
                <w:color w:val="auto"/>
                <w:sz w:val="24"/>
                <w:szCs w:val="24"/>
                <w:highlight w:val="none"/>
                <w:lang w:val="en-US" w:eastAsia="zh-CN"/>
              </w:rPr>
              <w:t>本项目新增</w:t>
            </w:r>
            <w:r>
              <w:rPr>
                <w:rFonts w:hint="default" w:ascii="Times New Roman" w:hAnsi="Times New Roman" w:eastAsia="仿宋" w:cs="Times New Roman"/>
                <w:bCs/>
                <w:color w:val="auto"/>
                <w:sz w:val="24"/>
                <w:szCs w:val="24"/>
                <w:highlight w:val="none"/>
              </w:rPr>
              <w:t>排放</w:t>
            </w:r>
            <w:r>
              <w:rPr>
                <w:rFonts w:hint="default" w:ascii="Times New Roman" w:hAnsi="Times New Roman" w:eastAsia="仿宋" w:cs="Times New Roman"/>
                <w:bCs/>
                <w:color w:val="auto"/>
                <w:sz w:val="24"/>
                <w:szCs w:val="24"/>
                <w:highlight w:val="none"/>
                <w:lang w:val="en-US" w:eastAsia="zh-CN"/>
              </w:rPr>
              <w:t>颗粒物</w:t>
            </w:r>
            <w:r>
              <w:rPr>
                <w:rFonts w:hint="eastAsia" w:eastAsia="仿宋" w:cs="Times New Roman"/>
                <w:color w:val="auto"/>
                <w:kern w:val="0"/>
                <w:sz w:val="24"/>
                <w:szCs w:val="24"/>
                <w:lang w:val="en-US" w:eastAsia="zh-CN"/>
              </w:rPr>
              <w:t>0.364</w:t>
            </w:r>
            <w:r>
              <w:rPr>
                <w:rFonts w:hint="default" w:ascii="Times New Roman" w:hAnsi="Times New Roman" w:eastAsia="仿宋" w:cs="Times New Roman"/>
                <w:bCs/>
                <w:color w:val="auto"/>
                <w:sz w:val="24"/>
                <w:szCs w:val="24"/>
                <w:highlight w:val="none"/>
                <w:lang w:val="en-US" w:eastAsia="zh-CN"/>
              </w:rPr>
              <w:t>t/a、</w:t>
            </w:r>
            <w:r>
              <w:rPr>
                <w:rFonts w:hint="default" w:ascii="Times New Roman" w:hAnsi="Times New Roman" w:eastAsia="仿宋" w:cs="Times New Roman"/>
                <w:color w:val="auto"/>
                <w:kern w:val="2"/>
                <w:sz w:val="24"/>
                <w:szCs w:val="24"/>
                <w:lang w:val="en-US" w:eastAsia="zh-CN" w:bidi="ar-SA"/>
              </w:rPr>
              <w:t>非甲烷总烃0.</w:t>
            </w:r>
            <w:r>
              <w:rPr>
                <w:rFonts w:hint="eastAsia" w:eastAsia="仿宋" w:cs="Times New Roman"/>
                <w:color w:val="auto"/>
                <w:kern w:val="2"/>
                <w:sz w:val="24"/>
                <w:szCs w:val="24"/>
                <w:lang w:val="en-US" w:eastAsia="zh-CN" w:bidi="ar-SA"/>
              </w:rPr>
              <w:t>07</w:t>
            </w:r>
            <w:r>
              <w:rPr>
                <w:rFonts w:hint="default" w:ascii="Times New Roman" w:hAnsi="Times New Roman" w:eastAsia="仿宋" w:cs="Times New Roman"/>
                <w:bCs/>
                <w:color w:val="auto"/>
                <w:sz w:val="24"/>
                <w:szCs w:val="24"/>
                <w:highlight w:val="none"/>
                <w:lang w:val="en-US" w:eastAsia="zh-CN"/>
              </w:rPr>
              <w:t>t/a</w:t>
            </w:r>
            <w:r>
              <w:rPr>
                <w:rFonts w:hint="default" w:ascii="Times New Roman" w:hAnsi="Times New Roman" w:eastAsia="仿宋" w:cs="Times New Roman"/>
                <w:bCs/>
                <w:color w:val="auto"/>
                <w:sz w:val="24"/>
                <w:szCs w:val="24"/>
                <w:highlight w:val="none"/>
                <w:lang w:eastAsia="zh-CN"/>
              </w:rPr>
              <w:t>，</w:t>
            </w:r>
            <w:r>
              <w:rPr>
                <w:rFonts w:hint="default" w:ascii="Times New Roman" w:hAnsi="Times New Roman" w:eastAsia="仿宋" w:cs="Times New Roman"/>
                <w:bCs/>
                <w:color w:val="auto"/>
                <w:sz w:val="24"/>
                <w:szCs w:val="24"/>
                <w:highlight w:val="none"/>
              </w:rPr>
              <w:t>在</w:t>
            </w:r>
            <w:r>
              <w:rPr>
                <w:rFonts w:hint="default" w:ascii="Times New Roman" w:hAnsi="Times New Roman" w:eastAsia="仿宋" w:cs="Times New Roman"/>
                <w:bCs/>
                <w:color w:val="auto"/>
                <w:sz w:val="24"/>
                <w:szCs w:val="24"/>
                <w:highlight w:val="none"/>
                <w:lang w:eastAsia="zh-CN"/>
              </w:rPr>
              <w:t>金坛区</w:t>
            </w:r>
            <w:r>
              <w:rPr>
                <w:rFonts w:hint="default" w:ascii="Times New Roman" w:hAnsi="Times New Roman" w:eastAsia="仿宋" w:cs="Times New Roman"/>
                <w:bCs/>
                <w:color w:val="auto"/>
                <w:sz w:val="24"/>
                <w:szCs w:val="24"/>
                <w:highlight w:val="none"/>
              </w:rPr>
              <w:t>范围内平衡。</w:t>
            </w:r>
          </w:p>
          <w:p w14:paraId="5D13E54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color w:val="auto"/>
                <w:sz w:val="24"/>
                <w:szCs w:val="24"/>
              </w:rPr>
              <w:t>废水：</w:t>
            </w:r>
            <w:r>
              <w:rPr>
                <w:rFonts w:hint="default" w:ascii="Times New Roman" w:hAnsi="Times New Roman" w:eastAsia="仿宋" w:cs="Times New Roman"/>
                <w:color w:val="auto"/>
                <w:sz w:val="24"/>
                <w:szCs w:val="24"/>
                <w:lang w:val="en-US" w:eastAsia="zh-CN"/>
              </w:rPr>
              <w:t>本项目生活污水新增接管</w:t>
            </w:r>
            <w:r>
              <w:rPr>
                <w:rFonts w:hint="default" w:ascii="Times New Roman" w:hAnsi="Times New Roman" w:eastAsia="仿宋" w:cs="Times New Roman"/>
                <w:bCs/>
                <w:color w:val="auto"/>
                <w:sz w:val="24"/>
                <w:szCs w:val="24"/>
              </w:rPr>
              <w:t>量为</w:t>
            </w:r>
            <w:r>
              <w:rPr>
                <w:rFonts w:hint="eastAsia" w:eastAsia="仿宋" w:cs="Times New Roman"/>
                <w:bCs/>
                <w:color w:val="auto"/>
                <w:sz w:val="24"/>
                <w:szCs w:val="24"/>
                <w:lang w:val="en-US" w:eastAsia="zh-CN"/>
              </w:rPr>
              <w:t>1200</w:t>
            </w:r>
            <w:r>
              <w:rPr>
                <w:rFonts w:hint="default" w:ascii="Times New Roman" w:hAnsi="Times New Roman" w:eastAsia="仿宋" w:cs="Times New Roman"/>
                <w:bCs/>
                <w:color w:val="auto"/>
                <w:sz w:val="24"/>
                <w:szCs w:val="24"/>
              </w:rPr>
              <w:t>t/a，</w:t>
            </w:r>
            <w:r>
              <w:rPr>
                <w:rFonts w:hint="default" w:ascii="Times New Roman" w:hAnsi="Times New Roman" w:eastAsia="仿宋" w:cs="Times New Roman"/>
                <w:color w:val="auto"/>
                <w:sz w:val="24"/>
                <w:szCs w:val="24"/>
              </w:rPr>
              <w:t xml:space="preserve">COD </w:t>
            </w:r>
            <w:r>
              <w:rPr>
                <w:rFonts w:hint="eastAsia" w:ascii="Times New Roman" w:hAnsi="Times New Roman" w:eastAsia="仿宋" w:cs="Times New Roman"/>
                <w:color w:val="auto"/>
                <w:sz w:val="24"/>
                <w:szCs w:val="24"/>
                <w:lang w:val="en-US" w:eastAsia="zh-CN"/>
              </w:rPr>
              <w:t>0.458</w:t>
            </w:r>
            <w:r>
              <w:rPr>
                <w:rFonts w:hint="default" w:ascii="Times New Roman" w:hAnsi="Times New Roman" w:eastAsia="仿宋" w:cs="Times New Roman"/>
                <w:color w:val="auto"/>
                <w:sz w:val="24"/>
                <w:szCs w:val="24"/>
              </w:rPr>
              <w:t xml:space="preserve">t/a、SS </w:t>
            </w:r>
            <w:r>
              <w:rPr>
                <w:rFonts w:hint="eastAsia" w:ascii="Times New Roman" w:hAnsi="Times New Roman" w:eastAsia="仿宋" w:cs="Times New Roman"/>
                <w:color w:val="auto"/>
                <w:sz w:val="24"/>
                <w:szCs w:val="24"/>
                <w:lang w:val="en-US" w:eastAsia="zh-CN"/>
              </w:rPr>
              <w:t>0.329</w:t>
            </w:r>
            <w:r>
              <w:rPr>
                <w:rFonts w:hint="default" w:ascii="Times New Roman" w:hAnsi="Times New Roman" w:eastAsia="仿宋" w:cs="Times New Roman"/>
                <w:color w:val="auto"/>
                <w:sz w:val="24"/>
                <w:szCs w:val="24"/>
              </w:rPr>
              <w:t>t/a、NH</w:t>
            </w:r>
            <w:r>
              <w:rPr>
                <w:rFonts w:hint="default" w:ascii="Times New Roman" w:hAnsi="Times New Roman" w:eastAsia="仿宋" w:cs="Times New Roman"/>
                <w:color w:val="auto"/>
                <w:sz w:val="24"/>
                <w:szCs w:val="24"/>
                <w:vertAlign w:val="subscript"/>
              </w:rPr>
              <w:t>3</w:t>
            </w:r>
            <w:r>
              <w:rPr>
                <w:rFonts w:hint="default" w:ascii="Times New Roman" w:hAnsi="Times New Roman" w:eastAsia="仿宋" w:cs="Times New Roman"/>
                <w:color w:val="auto"/>
                <w:sz w:val="24"/>
                <w:szCs w:val="24"/>
              </w:rPr>
              <w:t>-N</w:t>
            </w:r>
            <w:r>
              <w:rPr>
                <w:rFonts w:hint="eastAsia" w:ascii="Times New Roman" w:hAnsi="Times New Roman" w:eastAsia="仿宋" w:cs="Times New Roman"/>
                <w:color w:val="auto"/>
                <w:sz w:val="24"/>
                <w:szCs w:val="24"/>
                <w:lang w:val="en-US" w:eastAsia="zh-CN"/>
              </w:rPr>
              <w:t>0.0104</w:t>
            </w:r>
            <w:r>
              <w:rPr>
                <w:rFonts w:hint="default" w:ascii="Times New Roman" w:hAnsi="Times New Roman" w:eastAsia="仿宋" w:cs="Times New Roman"/>
                <w:color w:val="auto"/>
                <w:sz w:val="24"/>
                <w:szCs w:val="24"/>
              </w:rPr>
              <w:t>t/a、</w:t>
            </w:r>
            <w:r>
              <w:rPr>
                <w:rFonts w:hint="default" w:ascii="Times New Roman" w:hAnsi="Times New Roman" w:eastAsia="仿宋" w:cs="Times New Roman"/>
                <w:color w:val="auto"/>
                <w:sz w:val="24"/>
                <w:szCs w:val="24"/>
                <w:lang w:val="en-US" w:eastAsia="zh-CN"/>
              </w:rPr>
              <w:t>TN</w:t>
            </w:r>
            <w:r>
              <w:rPr>
                <w:rFonts w:hint="eastAsia" w:ascii="Times New Roman" w:hAnsi="Times New Roman" w:eastAsia="仿宋" w:cs="Times New Roman"/>
                <w:color w:val="auto"/>
                <w:sz w:val="24"/>
                <w:szCs w:val="24"/>
                <w:lang w:val="en-US" w:eastAsia="zh-CN"/>
              </w:rPr>
              <w:t>0.036</w:t>
            </w:r>
            <w:r>
              <w:rPr>
                <w:rFonts w:hint="default" w:ascii="Times New Roman" w:hAnsi="Times New Roman" w:eastAsia="仿宋" w:cs="Times New Roman"/>
                <w:color w:val="auto"/>
                <w:sz w:val="24"/>
                <w:szCs w:val="24"/>
              </w:rPr>
              <w:t>t/a</w:t>
            </w:r>
            <w:r>
              <w:rPr>
                <w:rFonts w:hint="eastAsia" w:eastAsia="仿宋" w:cs="Times New Roman"/>
                <w:color w:val="auto"/>
                <w:sz w:val="24"/>
                <w:szCs w:val="24"/>
                <w:lang w:eastAsia="zh-CN"/>
              </w:rPr>
              <w:t>、</w:t>
            </w:r>
            <w:r>
              <w:rPr>
                <w:rFonts w:hint="eastAsia" w:eastAsia="仿宋" w:cs="Times New Roman"/>
                <w:color w:val="auto"/>
                <w:sz w:val="24"/>
                <w:szCs w:val="24"/>
                <w:lang w:val="en-US" w:eastAsia="zh-CN"/>
              </w:rPr>
              <w:t>TP</w:t>
            </w:r>
            <w:r>
              <w:rPr>
                <w:rFonts w:hint="eastAsia" w:ascii="Times New Roman" w:hAnsi="Times New Roman" w:eastAsia="仿宋" w:cs="Times New Roman"/>
                <w:color w:val="auto"/>
                <w:sz w:val="24"/>
                <w:szCs w:val="24"/>
                <w:lang w:val="en-US" w:eastAsia="zh-CN"/>
              </w:rPr>
              <w:t>0.0018</w:t>
            </w:r>
            <w:r>
              <w:rPr>
                <w:rFonts w:hint="default" w:ascii="Times New Roman" w:hAnsi="Times New Roman" w:eastAsia="仿宋" w:cs="Times New Roman"/>
                <w:color w:val="auto"/>
                <w:sz w:val="24"/>
                <w:szCs w:val="24"/>
              </w:rPr>
              <w:t>t/a</w:t>
            </w:r>
            <w:r>
              <w:rPr>
                <w:rFonts w:hint="default" w:ascii="Times New Roman" w:hAnsi="Times New Roman" w:eastAsia="仿宋" w:cs="Times New Roman"/>
                <w:bCs/>
                <w:color w:val="auto"/>
                <w:sz w:val="24"/>
                <w:szCs w:val="24"/>
              </w:rPr>
              <w:t>，接入污水管网，排入</w:t>
            </w:r>
            <w:r>
              <w:rPr>
                <w:rFonts w:hint="default" w:ascii="Times New Roman" w:hAnsi="Times New Roman" w:eastAsia="仿宋" w:cs="Times New Roman"/>
                <w:bCs/>
                <w:color w:val="auto"/>
                <w:sz w:val="24"/>
                <w:szCs w:val="24"/>
                <w:lang w:eastAsia="zh-CN"/>
              </w:rPr>
              <w:t>常州金坛区茅东污水处理厂</w:t>
            </w:r>
            <w:r>
              <w:rPr>
                <w:rFonts w:hint="default" w:ascii="Times New Roman" w:hAnsi="Times New Roman" w:eastAsia="仿宋" w:cs="Times New Roman"/>
                <w:bCs/>
                <w:color w:val="auto"/>
                <w:sz w:val="24"/>
                <w:szCs w:val="24"/>
              </w:rPr>
              <w:t>集中处理，污染物总量在污水处理厂内平衡。</w:t>
            </w:r>
          </w:p>
          <w:p w14:paraId="5D1CD25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szCs w:val="24"/>
                <w:lang w:val="en-US" w:eastAsia="zh-CN"/>
              </w:rPr>
              <w:t>固体废物：</w:t>
            </w:r>
            <w:r>
              <w:rPr>
                <w:rFonts w:hint="default" w:ascii="Times New Roman" w:hAnsi="Times New Roman" w:eastAsia="仿宋" w:cs="Times New Roman"/>
                <w:bCs/>
                <w:color w:val="auto"/>
                <w:sz w:val="24"/>
                <w:szCs w:val="24"/>
              </w:rPr>
              <w:t>本项目产生的固体废物均进行合理处置，实现固体废物100%处置，无需申请总</w:t>
            </w:r>
            <w:r>
              <w:rPr>
                <w:rFonts w:hint="default" w:ascii="Times New Roman" w:hAnsi="Times New Roman" w:eastAsia="仿宋" w:cs="Times New Roman"/>
                <w:bCs/>
                <w:color w:val="auto"/>
                <w:sz w:val="24"/>
                <w:szCs w:val="24"/>
                <w:lang w:val="en-US" w:eastAsia="zh-CN"/>
              </w:rPr>
              <w:t>量。</w:t>
            </w:r>
          </w:p>
        </w:tc>
      </w:tr>
    </w:tbl>
    <w:p w14:paraId="392999D5">
      <w:pPr>
        <w:pStyle w:val="22"/>
        <w:spacing w:before="0" w:beforeAutospacing="0" w:after="0" w:afterAutospacing="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6"/>
          <w:szCs w:val="36"/>
        </w:rPr>
        <w:br w:type="page"/>
      </w:r>
      <w:bookmarkStart w:id="4" w:name="_Toc4503"/>
      <w:r>
        <w:rPr>
          <w:rFonts w:hint="default" w:ascii="Times New Roman" w:hAnsi="Times New Roman" w:eastAsia="仿宋" w:cs="Times New Roman"/>
          <w:snapToGrid w:val="0"/>
          <w:color w:val="auto"/>
          <w:sz w:val="30"/>
          <w:szCs w:val="30"/>
        </w:rPr>
        <w:t>四、主要环境影响和保护措施</w:t>
      </w:r>
      <w:bookmarkEnd w:id="4"/>
    </w:p>
    <w:tbl>
      <w:tblPr>
        <w:tblStyle w:val="27"/>
        <w:tblpPr w:leftFromText="180" w:rightFromText="180" w:vertAnchor="text" w:tblpXSpec="center" w:tblpY="1"/>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8683"/>
      </w:tblGrid>
      <w:tr w14:paraId="7434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559" w:type="dxa"/>
            <w:tcMar>
              <w:left w:w="28" w:type="dxa"/>
              <w:right w:w="28" w:type="dxa"/>
            </w:tcMar>
            <w:vAlign w:val="center"/>
          </w:tcPr>
          <w:p w14:paraId="537DEFFC">
            <w:pPr>
              <w:pStyle w:val="22"/>
              <w:adjustRightInd w:val="0"/>
              <w:snapToGrid w:val="0"/>
              <w:spacing w:before="0" w:beforeAutospacing="0" w:after="0" w:afterAutospacing="0"/>
              <w:jc w:val="center"/>
              <w:rPr>
                <w:rFonts w:hint="default" w:ascii="Times New Roman" w:hAnsi="Times New Roman" w:eastAsia="仿宋" w:cs="Times New Roman"/>
                <w:color w:val="auto"/>
                <w:kern w:val="2"/>
                <w:szCs w:val="24"/>
              </w:rPr>
            </w:pPr>
            <w:r>
              <w:rPr>
                <w:rFonts w:hint="default" w:ascii="Times New Roman" w:hAnsi="Times New Roman" w:eastAsia="仿宋" w:cs="Times New Roman"/>
                <w:color w:val="auto"/>
                <w:kern w:val="2"/>
                <w:szCs w:val="24"/>
              </w:rPr>
              <w:t>施工</w:t>
            </w:r>
          </w:p>
          <w:p w14:paraId="4D97B935">
            <w:pPr>
              <w:pStyle w:val="22"/>
              <w:adjustRightInd w:val="0"/>
              <w:snapToGrid w:val="0"/>
              <w:spacing w:before="0" w:beforeAutospacing="0" w:after="0" w:afterAutospacing="0"/>
              <w:jc w:val="center"/>
              <w:rPr>
                <w:rFonts w:hint="default" w:ascii="Times New Roman" w:hAnsi="Times New Roman" w:eastAsia="仿宋" w:cs="Times New Roman"/>
                <w:color w:val="auto"/>
                <w:kern w:val="2"/>
                <w:szCs w:val="24"/>
              </w:rPr>
            </w:pPr>
            <w:r>
              <w:rPr>
                <w:rFonts w:hint="default" w:ascii="Times New Roman" w:hAnsi="Times New Roman" w:eastAsia="仿宋" w:cs="Times New Roman"/>
                <w:color w:val="auto"/>
                <w:kern w:val="2"/>
                <w:szCs w:val="24"/>
              </w:rPr>
              <w:t>期环</w:t>
            </w:r>
          </w:p>
          <w:p w14:paraId="0E195AA9">
            <w:pPr>
              <w:pStyle w:val="22"/>
              <w:adjustRightInd w:val="0"/>
              <w:snapToGrid w:val="0"/>
              <w:spacing w:before="0" w:beforeAutospacing="0" w:after="0" w:afterAutospacing="0"/>
              <w:jc w:val="center"/>
              <w:rPr>
                <w:rFonts w:hint="default" w:ascii="Times New Roman" w:hAnsi="Times New Roman" w:eastAsia="仿宋" w:cs="Times New Roman"/>
                <w:color w:val="auto"/>
                <w:kern w:val="2"/>
                <w:szCs w:val="24"/>
              </w:rPr>
            </w:pPr>
            <w:r>
              <w:rPr>
                <w:rFonts w:hint="default" w:ascii="Times New Roman" w:hAnsi="Times New Roman" w:eastAsia="仿宋" w:cs="Times New Roman"/>
                <w:color w:val="auto"/>
                <w:kern w:val="2"/>
                <w:szCs w:val="24"/>
              </w:rPr>
              <w:t>境保</w:t>
            </w:r>
          </w:p>
          <w:p w14:paraId="739ECA0D">
            <w:pPr>
              <w:pStyle w:val="22"/>
              <w:adjustRightInd w:val="0"/>
              <w:snapToGrid w:val="0"/>
              <w:spacing w:before="0" w:beforeAutospacing="0" w:after="0" w:afterAutospacing="0"/>
              <w:jc w:val="center"/>
              <w:rPr>
                <w:rFonts w:hint="default" w:ascii="Times New Roman" w:hAnsi="Times New Roman" w:eastAsia="仿宋" w:cs="Times New Roman"/>
                <w:color w:val="auto"/>
                <w:kern w:val="2"/>
                <w:szCs w:val="24"/>
              </w:rPr>
            </w:pPr>
            <w:r>
              <w:rPr>
                <w:rFonts w:hint="default" w:ascii="Times New Roman" w:hAnsi="Times New Roman" w:eastAsia="仿宋" w:cs="Times New Roman"/>
                <w:color w:val="auto"/>
                <w:kern w:val="2"/>
                <w:szCs w:val="24"/>
              </w:rPr>
              <w:t>护措</w:t>
            </w:r>
          </w:p>
          <w:p w14:paraId="24690758">
            <w:pPr>
              <w:pStyle w:val="22"/>
              <w:adjustRightInd w:val="0"/>
              <w:snapToGrid w:val="0"/>
              <w:spacing w:before="0" w:beforeAutospacing="0" w:after="0" w:afterAutospacing="0"/>
              <w:jc w:val="center"/>
              <w:rPr>
                <w:rFonts w:hint="default" w:ascii="Times New Roman" w:hAnsi="Times New Roman" w:eastAsia="仿宋" w:cs="Times New Roman"/>
                <w:bCs/>
                <w:color w:val="auto"/>
                <w:kern w:val="2"/>
                <w:szCs w:val="24"/>
              </w:rPr>
            </w:pPr>
            <w:r>
              <w:rPr>
                <w:rFonts w:hint="default" w:ascii="Times New Roman" w:hAnsi="Times New Roman" w:eastAsia="仿宋" w:cs="Times New Roman"/>
                <w:color w:val="auto"/>
                <w:kern w:val="2"/>
                <w:szCs w:val="24"/>
              </w:rPr>
              <w:t>施</w:t>
            </w:r>
          </w:p>
        </w:tc>
        <w:tc>
          <w:tcPr>
            <w:tcW w:w="8683" w:type="dxa"/>
            <w:vAlign w:val="center"/>
          </w:tcPr>
          <w:p w14:paraId="4F4AE658">
            <w:pPr>
              <w:adjustRightInd w:val="0"/>
              <w:snapToGrid w:val="0"/>
              <w:spacing w:line="500" w:lineRule="exact"/>
              <w:ind w:firstLine="480" w:firstLineChars="200"/>
              <w:rPr>
                <w:rFonts w:hint="default" w:ascii="Times New Roman" w:hAnsi="Times New Roman" w:eastAsia="仿宋" w:cs="Times New Roman"/>
                <w:bCs/>
                <w:color w:val="auto"/>
                <w:spacing w:val="-10"/>
                <w:szCs w:val="21"/>
              </w:rPr>
            </w:pPr>
            <w:r>
              <w:rPr>
                <w:rFonts w:hint="default" w:ascii="Times New Roman" w:hAnsi="Times New Roman" w:eastAsia="仿宋" w:cs="Times New Roman"/>
                <w:color w:val="auto"/>
                <w:sz w:val="24"/>
              </w:rPr>
              <w:t>本项目使用现有闲置厂房，包括后期设备安装等，不涉及土建，对周围环境影响较小，故本次环评不再对施工期环境影响进行分析</w:t>
            </w:r>
            <w:r>
              <w:rPr>
                <w:rFonts w:hint="default" w:ascii="Times New Roman" w:hAnsi="Times New Roman" w:eastAsia="仿宋" w:cs="Times New Roman"/>
                <w:bCs/>
                <w:color w:val="auto"/>
                <w:sz w:val="24"/>
              </w:rPr>
              <w:t>。</w:t>
            </w:r>
          </w:p>
        </w:tc>
      </w:tr>
      <w:tr w14:paraId="5A81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4" w:hRule="atLeast"/>
        </w:trPr>
        <w:tc>
          <w:tcPr>
            <w:tcW w:w="559" w:type="dxa"/>
            <w:tcMar>
              <w:left w:w="28" w:type="dxa"/>
              <w:right w:w="28" w:type="dxa"/>
            </w:tcMar>
            <w:vAlign w:val="center"/>
          </w:tcPr>
          <w:p w14:paraId="54748818">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运营</w:t>
            </w:r>
          </w:p>
          <w:p w14:paraId="02EA20B2">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期环</w:t>
            </w:r>
          </w:p>
          <w:p w14:paraId="6E727081">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境影</w:t>
            </w:r>
          </w:p>
          <w:p w14:paraId="77FCAC24">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响和</w:t>
            </w:r>
          </w:p>
          <w:p w14:paraId="44661EA0">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保护</w:t>
            </w:r>
          </w:p>
          <w:p w14:paraId="20514F92">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措施</w:t>
            </w:r>
          </w:p>
        </w:tc>
        <w:tc>
          <w:tcPr>
            <w:tcW w:w="8683" w:type="dxa"/>
            <w:vAlign w:val="center"/>
          </w:tcPr>
          <w:p w14:paraId="2BA2CF4B">
            <w:pPr>
              <w:keepNext w:val="0"/>
              <w:keepLines w:val="0"/>
              <w:pageBreakBefore w:val="0"/>
              <w:widowControl w:val="0"/>
              <w:tabs>
                <w:tab w:val="left" w:pos="2352"/>
              </w:tabs>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eastAsia="仿宋" w:cs="Times New Roman"/>
                <w:b/>
                <w:bCs w:val="0"/>
                <w:color w:val="auto"/>
                <w:kern w:val="2"/>
                <w:sz w:val="24"/>
                <w:szCs w:val="24"/>
                <w:lang w:val="en-US" w:eastAsia="zh-CN" w:bidi="ar-SA"/>
              </w:rPr>
            </w:pPr>
            <w:r>
              <w:rPr>
                <w:rFonts w:hint="default" w:ascii="Times New Roman" w:hAnsi="Times New Roman" w:eastAsia="仿宋" w:cs="Times New Roman"/>
                <w:b/>
                <w:bCs w:val="0"/>
                <w:color w:val="auto"/>
                <w:kern w:val="2"/>
                <w:sz w:val="24"/>
                <w:szCs w:val="24"/>
                <w:lang w:val="en-US" w:eastAsia="zh-CN" w:bidi="ar-SA"/>
              </w:rPr>
              <w:t>一、废气</w:t>
            </w:r>
          </w:p>
          <w:p w14:paraId="05587A29">
            <w:pPr>
              <w:keepNext w:val="0"/>
              <w:keepLines w:val="0"/>
              <w:pageBreakBefore w:val="0"/>
              <w:widowControl w:val="0"/>
              <w:tabs>
                <w:tab w:val="left" w:pos="2352"/>
              </w:tabs>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1、废气源强</w:t>
            </w:r>
          </w:p>
          <w:p w14:paraId="6010A240">
            <w:pPr>
              <w:keepNext w:val="0"/>
              <w:keepLines w:val="0"/>
              <w:pageBreakBefore w:val="0"/>
              <w:widowControl w:val="0"/>
              <w:tabs>
                <w:tab w:val="left" w:pos="2352"/>
              </w:tabs>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项目废气主要为焊接废气（G</w:t>
            </w:r>
            <w:r>
              <w:rPr>
                <w:rFonts w:hint="eastAsia" w:eastAsia="仿宋" w:cs="Times New Roman"/>
                <w:bCs/>
                <w:color w:val="auto"/>
                <w:kern w:val="2"/>
                <w:sz w:val="24"/>
                <w:szCs w:val="24"/>
                <w:lang w:val="en-US" w:eastAsia="zh-CN" w:bidi="ar-SA"/>
              </w:rPr>
              <w:t>1</w:t>
            </w:r>
            <w:r>
              <w:rPr>
                <w:rFonts w:hint="default" w:ascii="Times New Roman" w:hAnsi="Times New Roman" w:eastAsia="仿宋" w:cs="Times New Roman"/>
                <w:bCs/>
                <w:color w:val="auto"/>
                <w:kern w:val="2"/>
                <w:sz w:val="24"/>
                <w:szCs w:val="24"/>
                <w:lang w:val="en-US" w:eastAsia="zh-CN" w:bidi="ar-SA"/>
              </w:rPr>
              <w:t>）、</w:t>
            </w:r>
            <w:r>
              <w:rPr>
                <w:rFonts w:hint="eastAsia" w:eastAsia="仿宋" w:cs="Times New Roman"/>
                <w:bCs/>
                <w:color w:val="auto"/>
                <w:kern w:val="2"/>
                <w:sz w:val="24"/>
                <w:szCs w:val="24"/>
                <w:lang w:val="en-US" w:eastAsia="zh-CN" w:bidi="ar-SA"/>
              </w:rPr>
              <w:t>精加工油雾</w:t>
            </w:r>
            <w:r>
              <w:rPr>
                <w:rFonts w:hint="default" w:ascii="Times New Roman" w:hAnsi="Times New Roman" w:eastAsia="仿宋" w:cs="Times New Roman"/>
                <w:bCs/>
                <w:color w:val="auto"/>
                <w:kern w:val="2"/>
                <w:sz w:val="24"/>
                <w:szCs w:val="24"/>
                <w:lang w:val="en-US" w:eastAsia="zh-CN" w:bidi="ar-SA"/>
              </w:rPr>
              <w:t>（G</w:t>
            </w:r>
            <w:r>
              <w:rPr>
                <w:rFonts w:hint="eastAsia" w:eastAsia="仿宋" w:cs="Times New Roman"/>
                <w:bCs/>
                <w:color w:val="auto"/>
                <w:kern w:val="2"/>
                <w:sz w:val="24"/>
                <w:szCs w:val="24"/>
                <w:lang w:val="en-US" w:eastAsia="zh-CN" w:bidi="ar-SA"/>
              </w:rPr>
              <w:t>2</w:t>
            </w:r>
            <w:r>
              <w:rPr>
                <w:rFonts w:hint="default" w:ascii="Times New Roman" w:hAnsi="Times New Roman" w:eastAsia="仿宋" w:cs="Times New Roman"/>
                <w:bCs/>
                <w:color w:val="auto"/>
                <w:kern w:val="2"/>
                <w:sz w:val="24"/>
                <w:szCs w:val="24"/>
                <w:lang w:val="en-US" w:eastAsia="zh-CN" w:bidi="ar-SA"/>
              </w:rPr>
              <w:t>）</w:t>
            </w:r>
            <w:r>
              <w:rPr>
                <w:rFonts w:hint="eastAsia" w:eastAsia="仿宋" w:cs="Times New Roman"/>
                <w:bCs/>
                <w:color w:val="auto"/>
                <w:kern w:val="2"/>
                <w:sz w:val="24"/>
                <w:szCs w:val="24"/>
                <w:lang w:val="en-US" w:eastAsia="zh-CN" w:bidi="ar-SA"/>
              </w:rPr>
              <w:t>、打磨废气</w:t>
            </w:r>
            <w:r>
              <w:rPr>
                <w:rFonts w:hint="default" w:ascii="Times New Roman" w:hAnsi="Times New Roman" w:eastAsia="仿宋" w:cs="Times New Roman"/>
                <w:bCs/>
                <w:color w:val="auto"/>
                <w:kern w:val="2"/>
                <w:sz w:val="24"/>
                <w:szCs w:val="24"/>
                <w:lang w:val="en-US" w:eastAsia="zh-CN" w:bidi="ar-SA"/>
              </w:rPr>
              <w:t>（G</w:t>
            </w:r>
            <w:r>
              <w:rPr>
                <w:rFonts w:hint="eastAsia" w:eastAsia="仿宋" w:cs="Times New Roman"/>
                <w:bCs/>
                <w:color w:val="auto"/>
                <w:kern w:val="2"/>
                <w:sz w:val="24"/>
                <w:szCs w:val="24"/>
                <w:lang w:val="en-US" w:eastAsia="zh-CN" w:bidi="ar-SA"/>
              </w:rPr>
              <w:t>3</w:t>
            </w:r>
            <w:r>
              <w:rPr>
                <w:rFonts w:hint="default" w:ascii="Times New Roman" w:hAnsi="Times New Roman" w:eastAsia="仿宋" w:cs="Times New Roman"/>
                <w:bCs/>
                <w:color w:val="auto"/>
                <w:kern w:val="2"/>
                <w:sz w:val="24"/>
                <w:szCs w:val="24"/>
                <w:lang w:val="en-US" w:eastAsia="zh-CN" w:bidi="ar-SA"/>
              </w:rPr>
              <w:t>）</w:t>
            </w:r>
            <w:r>
              <w:rPr>
                <w:rFonts w:hint="eastAsia" w:eastAsia="仿宋" w:cs="Times New Roman"/>
                <w:bCs/>
                <w:color w:val="auto"/>
                <w:kern w:val="2"/>
                <w:sz w:val="24"/>
                <w:szCs w:val="24"/>
                <w:lang w:val="en-US" w:eastAsia="zh-CN" w:bidi="ar-SA"/>
              </w:rPr>
              <w:t>、</w:t>
            </w:r>
            <w:r>
              <w:rPr>
                <w:rFonts w:hint="default" w:ascii="Times New Roman" w:hAnsi="Times New Roman" w:eastAsia="仿宋" w:cs="Times New Roman"/>
                <w:bCs/>
                <w:color w:val="auto"/>
                <w:kern w:val="2"/>
                <w:sz w:val="24"/>
                <w:szCs w:val="24"/>
                <w:lang w:val="en-US" w:eastAsia="zh-CN" w:bidi="ar-SA"/>
              </w:rPr>
              <w:t>抛光废气（G</w:t>
            </w:r>
            <w:r>
              <w:rPr>
                <w:rFonts w:hint="eastAsia" w:eastAsia="仿宋" w:cs="Times New Roman"/>
                <w:bCs/>
                <w:color w:val="auto"/>
                <w:kern w:val="2"/>
                <w:sz w:val="24"/>
                <w:szCs w:val="24"/>
                <w:lang w:val="en-US" w:eastAsia="zh-CN" w:bidi="ar-SA"/>
              </w:rPr>
              <w:t>4</w:t>
            </w:r>
            <w:r>
              <w:rPr>
                <w:rFonts w:hint="default" w:ascii="Times New Roman" w:hAnsi="Times New Roman" w:eastAsia="仿宋" w:cs="Times New Roman"/>
                <w:bCs/>
                <w:color w:val="auto"/>
                <w:kern w:val="2"/>
                <w:sz w:val="24"/>
                <w:szCs w:val="24"/>
                <w:lang w:val="en-US" w:eastAsia="zh-CN" w:bidi="ar-SA"/>
              </w:rPr>
              <w:t>）、喷砂废气（G</w:t>
            </w:r>
            <w:r>
              <w:rPr>
                <w:rFonts w:hint="eastAsia" w:eastAsia="仿宋" w:cs="Times New Roman"/>
                <w:bCs/>
                <w:color w:val="auto"/>
                <w:kern w:val="2"/>
                <w:sz w:val="24"/>
                <w:szCs w:val="24"/>
                <w:lang w:val="en-US" w:eastAsia="zh-CN" w:bidi="ar-SA"/>
              </w:rPr>
              <w:t>5</w:t>
            </w:r>
            <w:r>
              <w:rPr>
                <w:rFonts w:hint="default" w:ascii="Times New Roman" w:hAnsi="Times New Roman" w:eastAsia="仿宋" w:cs="Times New Roman"/>
                <w:bCs/>
                <w:color w:val="auto"/>
                <w:kern w:val="2"/>
                <w:sz w:val="24"/>
                <w:szCs w:val="24"/>
                <w:lang w:val="en-US" w:eastAsia="zh-CN" w:bidi="ar-SA"/>
              </w:rPr>
              <w:t>）、调漆废气（G</w:t>
            </w:r>
            <w:r>
              <w:rPr>
                <w:rFonts w:hint="eastAsia" w:eastAsia="仿宋" w:cs="Times New Roman"/>
                <w:bCs/>
                <w:color w:val="auto"/>
                <w:kern w:val="2"/>
                <w:sz w:val="24"/>
                <w:szCs w:val="24"/>
                <w:lang w:val="en-US" w:eastAsia="zh-CN" w:bidi="ar-SA"/>
              </w:rPr>
              <w:t>6</w:t>
            </w:r>
            <w:r>
              <w:rPr>
                <w:rFonts w:hint="default" w:ascii="Times New Roman" w:hAnsi="Times New Roman" w:eastAsia="仿宋" w:cs="Times New Roman"/>
                <w:bCs/>
                <w:color w:val="auto"/>
                <w:kern w:val="2"/>
                <w:sz w:val="24"/>
                <w:szCs w:val="24"/>
                <w:lang w:val="en-US" w:eastAsia="zh-CN" w:bidi="ar-SA"/>
              </w:rPr>
              <w:t>）、喷漆废气（G</w:t>
            </w:r>
            <w:r>
              <w:rPr>
                <w:rFonts w:hint="eastAsia" w:eastAsia="仿宋" w:cs="Times New Roman"/>
                <w:bCs/>
                <w:color w:val="auto"/>
                <w:kern w:val="2"/>
                <w:sz w:val="24"/>
                <w:szCs w:val="24"/>
                <w:lang w:val="en-US" w:eastAsia="zh-CN" w:bidi="ar-SA"/>
              </w:rPr>
              <w:t>7</w:t>
            </w:r>
            <w:r>
              <w:rPr>
                <w:rFonts w:hint="default" w:ascii="Times New Roman" w:hAnsi="Times New Roman" w:eastAsia="仿宋" w:cs="Times New Roman"/>
                <w:bCs/>
                <w:color w:val="auto"/>
                <w:kern w:val="2"/>
                <w:sz w:val="24"/>
                <w:szCs w:val="24"/>
                <w:lang w:val="en-US" w:eastAsia="zh-CN" w:bidi="ar-SA"/>
              </w:rPr>
              <w:t>）、烘干废气（G</w:t>
            </w:r>
            <w:r>
              <w:rPr>
                <w:rFonts w:hint="eastAsia" w:eastAsia="仿宋" w:cs="Times New Roman"/>
                <w:bCs/>
                <w:color w:val="auto"/>
                <w:kern w:val="2"/>
                <w:sz w:val="24"/>
                <w:szCs w:val="24"/>
                <w:lang w:val="en-US" w:eastAsia="zh-CN" w:bidi="ar-SA"/>
              </w:rPr>
              <w:t>8</w:t>
            </w:r>
            <w:r>
              <w:rPr>
                <w:rFonts w:hint="default" w:ascii="Times New Roman" w:hAnsi="Times New Roman" w:eastAsia="仿宋" w:cs="Times New Roman"/>
                <w:bCs/>
                <w:color w:val="auto"/>
                <w:kern w:val="2"/>
                <w:sz w:val="24"/>
                <w:szCs w:val="24"/>
                <w:lang w:val="en-US" w:eastAsia="zh-CN" w:bidi="ar-SA"/>
              </w:rPr>
              <w:t>）和危废库房废气。</w:t>
            </w:r>
          </w:p>
          <w:p w14:paraId="44DACBF1">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w:t>
            </w:r>
            <w:r>
              <w:rPr>
                <w:rFonts w:hint="eastAsia" w:ascii="Times New Roman" w:hAnsi="Times New Roman" w:eastAsia="仿宋" w:cs="Times New Roman"/>
                <w:bCs/>
                <w:color w:val="auto"/>
                <w:kern w:val="2"/>
                <w:sz w:val="24"/>
                <w:szCs w:val="24"/>
                <w:lang w:val="en-US" w:eastAsia="zh-CN" w:bidi="ar-SA"/>
              </w:rPr>
              <w:t>1</w:t>
            </w:r>
            <w:r>
              <w:rPr>
                <w:rFonts w:hint="default" w:ascii="Times New Roman" w:hAnsi="Times New Roman" w:eastAsia="仿宋" w:cs="Times New Roman"/>
                <w:bCs/>
                <w:color w:val="auto"/>
                <w:kern w:val="2"/>
                <w:sz w:val="24"/>
                <w:szCs w:val="24"/>
                <w:lang w:val="en-US" w:eastAsia="zh-CN" w:bidi="ar-SA"/>
              </w:rPr>
              <w:t>）焊接粉尘（G</w:t>
            </w:r>
            <w:r>
              <w:rPr>
                <w:rFonts w:hint="eastAsia" w:ascii="Times New Roman" w:hAnsi="Times New Roman" w:eastAsia="仿宋" w:cs="Times New Roman"/>
                <w:bCs/>
                <w:color w:val="auto"/>
                <w:kern w:val="2"/>
                <w:sz w:val="24"/>
                <w:szCs w:val="24"/>
                <w:lang w:val="en-US" w:eastAsia="zh-CN" w:bidi="ar-SA"/>
              </w:rPr>
              <w:t>1</w:t>
            </w:r>
            <w:r>
              <w:rPr>
                <w:rFonts w:hint="default" w:ascii="Times New Roman" w:hAnsi="Times New Roman" w:eastAsia="仿宋" w:cs="Times New Roman"/>
                <w:bCs/>
                <w:color w:val="auto"/>
                <w:kern w:val="2"/>
                <w:sz w:val="24"/>
                <w:szCs w:val="24"/>
                <w:lang w:val="en-US" w:eastAsia="zh-CN" w:bidi="ar-SA"/>
              </w:rPr>
              <w:t>）</w:t>
            </w:r>
          </w:p>
          <w:p w14:paraId="2A6194F9">
            <w:pPr>
              <w:keepNext w:val="0"/>
              <w:keepLines w:val="0"/>
              <w:pageBreakBefore w:val="0"/>
              <w:widowControl w:val="0"/>
              <w:tabs>
                <w:tab w:val="left" w:pos="2352"/>
              </w:tabs>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项目焊接过程产生废气，以颗粒物计。参考《排放源统计调查产排污核算方法和系数手册》中机械行业系数手册中“焊接-焊接件-实芯焊丝-二氧化碳保护焊、埋弧焊、氩弧焊-所有规模-颗粒物”的产污系数9.19kg/t（原料），本项目焊丝用量</w:t>
            </w:r>
            <w:r>
              <w:rPr>
                <w:rFonts w:hint="eastAsia" w:eastAsia="仿宋" w:cs="Times New Roman"/>
                <w:bCs/>
                <w:color w:val="auto"/>
                <w:kern w:val="2"/>
                <w:sz w:val="24"/>
                <w:szCs w:val="24"/>
                <w:lang w:val="en-US" w:eastAsia="zh-CN" w:bidi="ar-SA"/>
              </w:rPr>
              <w:t>30</w:t>
            </w:r>
            <w:r>
              <w:rPr>
                <w:rFonts w:hint="default" w:ascii="Times New Roman" w:hAnsi="Times New Roman" w:eastAsia="仿宋" w:cs="Times New Roman"/>
                <w:bCs/>
                <w:color w:val="auto"/>
                <w:kern w:val="2"/>
                <w:sz w:val="24"/>
                <w:szCs w:val="24"/>
                <w:lang w:val="en-US" w:eastAsia="zh-CN" w:bidi="ar-SA"/>
              </w:rPr>
              <w:t>t/a，则焊接废气颗粒物产生量约</w:t>
            </w:r>
            <w:r>
              <w:rPr>
                <w:rFonts w:hint="eastAsia" w:eastAsia="仿宋" w:cs="Times New Roman"/>
                <w:bCs/>
                <w:color w:val="auto"/>
                <w:kern w:val="2"/>
                <w:sz w:val="24"/>
                <w:szCs w:val="24"/>
                <w:lang w:val="en-US" w:eastAsia="zh-CN" w:bidi="ar-SA"/>
              </w:rPr>
              <w:t>0.276</w:t>
            </w:r>
            <w:r>
              <w:rPr>
                <w:rFonts w:hint="default" w:ascii="Times New Roman" w:hAnsi="Times New Roman" w:eastAsia="仿宋" w:cs="Times New Roman"/>
                <w:bCs/>
                <w:color w:val="auto"/>
                <w:kern w:val="2"/>
                <w:sz w:val="24"/>
                <w:szCs w:val="24"/>
                <w:lang w:val="en-US" w:eastAsia="zh-CN" w:bidi="ar-SA"/>
              </w:rPr>
              <w:t>t/a。</w:t>
            </w:r>
          </w:p>
          <w:p w14:paraId="1B4263A4">
            <w:pPr>
              <w:pStyle w:val="22"/>
              <w:keepNext w:val="0"/>
              <w:keepLines w:val="0"/>
              <w:pageBreakBefore w:val="0"/>
              <w:numPr>
                <w:ilvl w:val="0"/>
                <w:numId w:val="3"/>
              </w:numPr>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eastAsia" w:eastAsia="仿宋" w:cs="Times New Roman"/>
                <w:bCs/>
                <w:color w:val="auto"/>
                <w:kern w:val="2"/>
                <w:sz w:val="24"/>
                <w:szCs w:val="24"/>
                <w:lang w:val="en-US" w:eastAsia="zh-CN" w:bidi="ar-SA"/>
              </w:rPr>
              <w:t>精加工油雾</w:t>
            </w:r>
            <w:r>
              <w:rPr>
                <w:rFonts w:hint="default" w:ascii="Times New Roman" w:hAnsi="Times New Roman" w:eastAsia="仿宋" w:cs="Times New Roman"/>
                <w:bCs/>
                <w:color w:val="auto"/>
                <w:kern w:val="2"/>
                <w:sz w:val="24"/>
                <w:szCs w:val="24"/>
                <w:lang w:val="en-US" w:eastAsia="zh-CN" w:bidi="ar-SA"/>
              </w:rPr>
              <w:t>（G</w:t>
            </w:r>
            <w:r>
              <w:rPr>
                <w:rFonts w:hint="eastAsia" w:eastAsia="仿宋" w:cs="Times New Roman"/>
                <w:bCs/>
                <w:color w:val="auto"/>
                <w:kern w:val="2"/>
                <w:sz w:val="24"/>
                <w:szCs w:val="24"/>
                <w:lang w:val="en-US" w:eastAsia="zh-CN" w:bidi="ar-SA"/>
              </w:rPr>
              <w:t>2</w:t>
            </w:r>
            <w:r>
              <w:rPr>
                <w:rFonts w:hint="default" w:ascii="Times New Roman" w:hAnsi="Times New Roman" w:eastAsia="仿宋" w:cs="Times New Roman"/>
                <w:bCs/>
                <w:color w:val="auto"/>
                <w:kern w:val="2"/>
                <w:sz w:val="24"/>
                <w:szCs w:val="24"/>
                <w:lang w:val="en-US" w:eastAsia="zh-CN" w:bidi="ar-SA"/>
              </w:rPr>
              <w:t>）</w:t>
            </w:r>
          </w:p>
          <w:p w14:paraId="629E8C7B">
            <w:pPr>
              <w:pStyle w:val="22"/>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60" w:lineRule="auto"/>
              <w:jc w:val="both"/>
              <w:textAlignment w:val="auto"/>
              <w:rPr>
                <w:rFonts w:hint="default" w:ascii="Times New Roman" w:hAnsi="Times New Roman" w:eastAsia="仿宋" w:cs="Times New Roman"/>
                <w:bCs/>
                <w:color w:val="auto"/>
                <w:kern w:val="2"/>
                <w:sz w:val="24"/>
                <w:szCs w:val="24"/>
                <w:lang w:val="en-US" w:eastAsia="zh-CN" w:bidi="ar-SA"/>
              </w:rPr>
            </w:pPr>
            <w:r>
              <w:rPr>
                <w:rFonts w:hint="eastAsia" w:ascii="Times New Roman" w:hAnsi="Times New Roman" w:eastAsia="仿宋" w:cs="Times New Roman"/>
                <w:bCs/>
                <w:color w:val="auto"/>
                <w:kern w:val="2"/>
                <w:sz w:val="24"/>
                <w:szCs w:val="24"/>
                <w:lang w:val="en-US" w:eastAsia="zh-CN" w:bidi="ar-SA"/>
              </w:rPr>
              <w:t xml:space="preserve">    项目精加工过程产生少量油雾，由于切削液兑水使用，且切削液用量较少（2t/a），产生的油雾极微量，本次不做定量分析</w:t>
            </w:r>
            <w:r>
              <w:rPr>
                <w:rFonts w:hint="default" w:ascii="Times New Roman" w:hAnsi="Times New Roman" w:eastAsia="仿宋" w:cs="Times New Roman"/>
                <w:bCs/>
                <w:color w:val="auto"/>
                <w:kern w:val="2"/>
                <w:sz w:val="24"/>
                <w:szCs w:val="24"/>
                <w:lang w:val="en-US" w:eastAsia="zh-CN" w:bidi="ar-SA"/>
              </w:rPr>
              <w:t>。</w:t>
            </w:r>
          </w:p>
          <w:p w14:paraId="57FCFCD4">
            <w:pPr>
              <w:pStyle w:val="22"/>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60" w:lineRule="auto"/>
              <w:ind w:leftChars="200"/>
              <w:jc w:val="both"/>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w:t>
            </w:r>
            <w:r>
              <w:rPr>
                <w:rFonts w:hint="eastAsia" w:ascii="Times New Roman" w:hAnsi="Times New Roman" w:eastAsia="仿宋" w:cs="Times New Roman"/>
                <w:bCs/>
                <w:color w:val="auto"/>
                <w:kern w:val="2"/>
                <w:sz w:val="24"/>
                <w:szCs w:val="24"/>
                <w:lang w:val="en-US" w:eastAsia="zh-CN" w:bidi="ar-SA"/>
              </w:rPr>
              <w:t>3</w:t>
            </w:r>
            <w:r>
              <w:rPr>
                <w:rFonts w:hint="default" w:ascii="Times New Roman" w:hAnsi="Times New Roman" w:eastAsia="仿宋" w:cs="Times New Roman"/>
                <w:bCs/>
                <w:color w:val="auto"/>
                <w:kern w:val="2"/>
                <w:sz w:val="24"/>
                <w:szCs w:val="24"/>
                <w:lang w:val="en-US" w:eastAsia="zh-CN" w:bidi="ar-SA"/>
              </w:rPr>
              <w:t>）</w:t>
            </w:r>
            <w:r>
              <w:rPr>
                <w:rFonts w:hint="eastAsia" w:ascii="Times New Roman" w:hAnsi="Times New Roman" w:eastAsia="仿宋" w:cs="Times New Roman"/>
                <w:bCs/>
                <w:color w:val="auto"/>
                <w:kern w:val="2"/>
                <w:sz w:val="24"/>
                <w:szCs w:val="24"/>
                <w:lang w:val="en-US" w:eastAsia="zh-CN" w:bidi="ar-SA"/>
              </w:rPr>
              <w:t>打磨</w:t>
            </w:r>
            <w:r>
              <w:rPr>
                <w:rFonts w:hint="default" w:ascii="Times New Roman" w:hAnsi="Times New Roman" w:eastAsia="仿宋" w:cs="Times New Roman"/>
                <w:bCs/>
                <w:color w:val="auto"/>
                <w:kern w:val="2"/>
                <w:sz w:val="24"/>
                <w:szCs w:val="24"/>
                <w:lang w:val="en-US" w:eastAsia="zh-CN" w:bidi="ar-SA"/>
              </w:rPr>
              <w:t>废气（G</w:t>
            </w:r>
            <w:r>
              <w:rPr>
                <w:rFonts w:hint="eastAsia" w:ascii="Times New Roman" w:hAnsi="Times New Roman" w:eastAsia="仿宋" w:cs="Times New Roman"/>
                <w:bCs/>
                <w:color w:val="auto"/>
                <w:kern w:val="2"/>
                <w:sz w:val="24"/>
                <w:szCs w:val="24"/>
                <w:lang w:val="en-US" w:eastAsia="zh-CN" w:bidi="ar-SA"/>
              </w:rPr>
              <w:t>3</w:t>
            </w:r>
            <w:r>
              <w:rPr>
                <w:rFonts w:hint="default" w:ascii="Times New Roman" w:hAnsi="Times New Roman" w:eastAsia="仿宋" w:cs="Times New Roman"/>
                <w:bCs/>
                <w:color w:val="auto"/>
                <w:kern w:val="2"/>
                <w:sz w:val="24"/>
                <w:szCs w:val="24"/>
                <w:lang w:val="en-US" w:eastAsia="zh-CN" w:bidi="ar-SA"/>
              </w:rPr>
              <w:t>）</w:t>
            </w:r>
          </w:p>
          <w:p w14:paraId="34F44D9F">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项目</w:t>
            </w:r>
            <w:r>
              <w:rPr>
                <w:rFonts w:hint="eastAsia" w:ascii="Times New Roman" w:hAnsi="Times New Roman" w:eastAsia="仿宋" w:cs="Times New Roman"/>
                <w:bCs/>
                <w:color w:val="auto"/>
                <w:kern w:val="2"/>
                <w:sz w:val="24"/>
                <w:szCs w:val="24"/>
                <w:lang w:val="en-US" w:eastAsia="zh-CN" w:bidi="ar-SA"/>
              </w:rPr>
              <w:t>打磨</w:t>
            </w:r>
            <w:r>
              <w:rPr>
                <w:rFonts w:hint="default" w:ascii="Times New Roman" w:hAnsi="Times New Roman" w:eastAsia="仿宋" w:cs="Times New Roman"/>
                <w:bCs/>
                <w:color w:val="auto"/>
                <w:kern w:val="2"/>
                <w:sz w:val="24"/>
                <w:szCs w:val="24"/>
                <w:lang w:val="en-US" w:eastAsia="zh-CN" w:bidi="ar-SA"/>
              </w:rPr>
              <w:t>过程产生废气，以颗粒物计。需</w:t>
            </w:r>
            <w:r>
              <w:rPr>
                <w:rFonts w:hint="eastAsia" w:ascii="Times New Roman" w:hAnsi="Times New Roman" w:eastAsia="仿宋" w:cs="Times New Roman"/>
                <w:bCs/>
                <w:color w:val="auto"/>
                <w:kern w:val="2"/>
                <w:sz w:val="24"/>
                <w:szCs w:val="24"/>
                <w:lang w:val="en-US" w:eastAsia="zh-CN" w:bidi="ar-SA"/>
              </w:rPr>
              <w:t>打磨</w:t>
            </w:r>
            <w:r>
              <w:rPr>
                <w:rFonts w:hint="default" w:ascii="Times New Roman" w:hAnsi="Times New Roman" w:eastAsia="仿宋" w:cs="Times New Roman"/>
                <w:bCs/>
                <w:color w:val="auto"/>
                <w:kern w:val="2"/>
                <w:sz w:val="24"/>
                <w:szCs w:val="24"/>
                <w:lang w:val="en-US" w:eastAsia="zh-CN" w:bidi="ar-SA"/>
              </w:rPr>
              <w:t>的工件约</w:t>
            </w:r>
            <w:r>
              <w:rPr>
                <w:rFonts w:hint="eastAsia" w:ascii="Times New Roman" w:hAnsi="Times New Roman" w:eastAsia="仿宋" w:cs="Times New Roman"/>
                <w:bCs/>
                <w:color w:val="auto"/>
                <w:kern w:val="2"/>
                <w:sz w:val="24"/>
                <w:szCs w:val="24"/>
                <w:lang w:val="en-US" w:eastAsia="zh-CN" w:bidi="ar-SA"/>
              </w:rPr>
              <w:t>2</w:t>
            </w:r>
            <w:r>
              <w:rPr>
                <w:rFonts w:hint="default" w:ascii="Times New Roman" w:hAnsi="Times New Roman" w:eastAsia="仿宋" w:cs="Times New Roman"/>
                <w:bCs/>
                <w:color w:val="auto"/>
                <w:kern w:val="2"/>
                <w:sz w:val="24"/>
                <w:szCs w:val="24"/>
                <w:lang w:val="en-US" w:eastAsia="zh-CN" w:bidi="ar-SA"/>
              </w:rPr>
              <w:t>000t/a，参考《排放源统计调查产排污核算方法和系数手册》中机械行业系数手册中“预处理-干式预处理件-钢材、铝材、铝合金、铁材、其他金属材料-抛丸、喷砂、打磨、滚筒-所有规模-废气-颗粒物”的产污系数2.19kg/t（原料），则抛光废气颗粒物产生量约为</w:t>
            </w:r>
            <w:r>
              <w:rPr>
                <w:rFonts w:hint="eastAsia" w:ascii="Times New Roman" w:hAnsi="Times New Roman" w:eastAsia="仿宋" w:cs="Times New Roman"/>
                <w:bCs/>
                <w:color w:val="auto"/>
                <w:kern w:val="2"/>
                <w:sz w:val="24"/>
                <w:szCs w:val="24"/>
                <w:lang w:val="en-US" w:eastAsia="zh-CN" w:bidi="ar-SA"/>
              </w:rPr>
              <w:t>4.38</w:t>
            </w:r>
            <w:r>
              <w:rPr>
                <w:rFonts w:hint="default" w:ascii="Times New Roman" w:hAnsi="Times New Roman" w:eastAsia="仿宋" w:cs="Times New Roman"/>
                <w:bCs/>
                <w:color w:val="auto"/>
                <w:kern w:val="2"/>
                <w:sz w:val="24"/>
                <w:szCs w:val="24"/>
                <w:lang w:val="en-US" w:eastAsia="zh-CN" w:bidi="ar-SA"/>
              </w:rPr>
              <w:t>t/a。</w:t>
            </w:r>
          </w:p>
          <w:p w14:paraId="0731BF10">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eastAsia" w:ascii="Times New Roman" w:hAnsi="Times New Roman" w:eastAsia="仿宋" w:cs="Times New Roman"/>
                <w:bCs/>
                <w:color w:val="auto"/>
                <w:kern w:val="2"/>
                <w:sz w:val="24"/>
                <w:szCs w:val="24"/>
                <w:lang w:val="en-US" w:eastAsia="zh-CN" w:bidi="ar-SA"/>
              </w:rPr>
              <w:t>（4）</w:t>
            </w:r>
            <w:r>
              <w:rPr>
                <w:rFonts w:hint="default" w:ascii="Times New Roman" w:hAnsi="Times New Roman" w:eastAsia="仿宋" w:cs="Times New Roman"/>
                <w:bCs/>
                <w:color w:val="auto"/>
                <w:kern w:val="2"/>
                <w:sz w:val="24"/>
                <w:szCs w:val="24"/>
                <w:lang w:val="en-US" w:eastAsia="zh-CN" w:bidi="ar-SA"/>
              </w:rPr>
              <w:t>抛光废气（G</w:t>
            </w:r>
            <w:r>
              <w:rPr>
                <w:rFonts w:hint="eastAsia" w:ascii="Times New Roman" w:hAnsi="Times New Roman" w:eastAsia="仿宋" w:cs="Times New Roman"/>
                <w:bCs/>
                <w:color w:val="auto"/>
                <w:kern w:val="2"/>
                <w:sz w:val="24"/>
                <w:szCs w:val="24"/>
                <w:lang w:val="en-US" w:eastAsia="zh-CN" w:bidi="ar-SA"/>
              </w:rPr>
              <w:t>4</w:t>
            </w:r>
            <w:r>
              <w:rPr>
                <w:rFonts w:hint="default" w:ascii="Times New Roman" w:hAnsi="Times New Roman" w:eastAsia="仿宋" w:cs="Times New Roman"/>
                <w:bCs/>
                <w:color w:val="auto"/>
                <w:kern w:val="2"/>
                <w:sz w:val="24"/>
                <w:szCs w:val="24"/>
                <w:lang w:val="en-US" w:eastAsia="zh-CN" w:bidi="ar-SA"/>
              </w:rPr>
              <w:t>）</w:t>
            </w:r>
          </w:p>
          <w:p w14:paraId="173318A7">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项目抛光过程产生废气，以颗粒物计</w:t>
            </w:r>
            <w:r>
              <w:rPr>
                <w:rFonts w:hint="eastAsia" w:ascii="Times New Roman" w:hAnsi="Times New Roman" w:eastAsia="仿宋" w:cs="Times New Roman"/>
                <w:bCs/>
                <w:color w:val="auto"/>
                <w:kern w:val="2"/>
                <w:sz w:val="24"/>
                <w:szCs w:val="24"/>
                <w:lang w:val="en-US" w:eastAsia="zh-CN" w:bidi="ar-SA"/>
              </w:rPr>
              <w:t>（项目抛光过程为常温，原料不锈钢板中的镍、铬不会熔化产生镍及其化合物、铬及其化合物等重金属烟尘）</w:t>
            </w:r>
            <w:r>
              <w:rPr>
                <w:rFonts w:hint="default" w:ascii="Times New Roman" w:hAnsi="Times New Roman" w:eastAsia="仿宋" w:cs="Times New Roman"/>
                <w:bCs/>
                <w:color w:val="auto"/>
                <w:kern w:val="2"/>
                <w:sz w:val="24"/>
                <w:szCs w:val="24"/>
                <w:lang w:val="en-US" w:eastAsia="zh-CN" w:bidi="ar-SA"/>
              </w:rPr>
              <w:t>。需抛光的工件约</w:t>
            </w:r>
            <w:r>
              <w:rPr>
                <w:rFonts w:hint="eastAsia" w:ascii="Times New Roman" w:hAnsi="Times New Roman" w:eastAsia="仿宋" w:cs="Times New Roman"/>
                <w:bCs/>
                <w:color w:val="auto"/>
                <w:kern w:val="2"/>
                <w:sz w:val="24"/>
                <w:szCs w:val="24"/>
                <w:lang w:val="en-US" w:eastAsia="zh-CN" w:bidi="ar-SA"/>
              </w:rPr>
              <w:t>2</w:t>
            </w:r>
            <w:r>
              <w:rPr>
                <w:rFonts w:hint="default" w:ascii="Times New Roman" w:hAnsi="Times New Roman" w:eastAsia="仿宋" w:cs="Times New Roman"/>
                <w:bCs/>
                <w:color w:val="auto"/>
                <w:kern w:val="2"/>
                <w:sz w:val="24"/>
                <w:szCs w:val="24"/>
                <w:lang w:val="en-US" w:eastAsia="zh-CN" w:bidi="ar-SA"/>
              </w:rPr>
              <w:t>000t/a，参考《排放源统计调查产排污核算方法和系数手册》中机械行业系数手册中“预处理-干式预处理件-钢材、铝材、铝合金、铁材、其他金属材料-抛丸、喷砂、打磨、滚筒-所有规模-废气-颗粒物”的产污系数2.19kg/t（原料），则抛光废气颗粒物产生量约为</w:t>
            </w:r>
            <w:r>
              <w:rPr>
                <w:rFonts w:hint="eastAsia" w:ascii="Times New Roman" w:hAnsi="Times New Roman" w:eastAsia="仿宋" w:cs="Times New Roman"/>
                <w:bCs/>
                <w:color w:val="auto"/>
                <w:kern w:val="2"/>
                <w:sz w:val="24"/>
                <w:szCs w:val="24"/>
                <w:lang w:val="en-US" w:eastAsia="zh-CN" w:bidi="ar-SA"/>
              </w:rPr>
              <w:t>4.38</w:t>
            </w:r>
            <w:r>
              <w:rPr>
                <w:rFonts w:hint="default" w:ascii="Times New Roman" w:hAnsi="Times New Roman" w:eastAsia="仿宋" w:cs="Times New Roman"/>
                <w:bCs/>
                <w:color w:val="auto"/>
                <w:kern w:val="2"/>
                <w:sz w:val="24"/>
                <w:szCs w:val="24"/>
                <w:lang w:val="en-US" w:eastAsia="zh-CN" w:bidi="ar-SA"/>
              </w:rPr>
              <w:t>t/a。</w:t>
            </w:r>
          </w:p>
          <w:p w14:paraId="37D3C571">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w:t>
            </w:r>
            <w:r>
              <w:rPr>
                <w:rFonts w:hint="eastAsia" w:ascii="Times New Roman" w:hAnsi="Times New Roman" w:eastAsia="仿宋" w:cs="Times New Roman"/>
                <w:bCs/>
                <w:color w:val="auto"/>
                <w:kern w:val="2"/>
                <w:sz w:val="24"/>
                <w:szCs w:val="24"/>
                <w:lang w:val="en-US" w:eastAsia="zh-CN" w:bidi="ar-SA"/>
              </w:rPr>
              <w:t>5</w:t>
            </w:r>
            <w:r>
              <w:rPr>
                <w:rFonts w:hint="default" w:ascii="Times New Roman" w:hAnsi="Times New Roman" w:eastAsia="仿宋" w:cs="Times New Roman"/>
                <w:bCs/>
                <w:color w:val="auto"/>
                <w:kern w:val="2"/>
                <w:sz w:val="24"/>
                <w:szCs w:val="24"/>
                <w:lang w:val="en-US" w:eastAsia="zh-CN" w:bidi="ar-SA"/>
              </w:rPr>
              <w:t>）喷砂废气（G</w:t>
            </w:r>
            <w:r>
              <w:rPr>
                <w:rFonts w:hint="eastAsia" w:ascii="Times New Roman" w:hAnsi="Times New Roman" w:eastAsia="仿宋" w:cs="Times New Roman"/>
                <w:bCs/>
                <w:color w:val="auto"/>
                <w:kern w:val="2"/>
                <w:sz w:val="24"/>
                <w:szCs w:val="24"/>
                <w:lang w:val="en-US" w:eastAsia="zh-CN" w:bidi="ar-SA"/>
              </w:rPr>
              <w:t>5</w:t>
            </w:r>
            <w:r>
              <w:rPr>
                <w:rFonts w:hint="default" w:ascii="Times New Roman" w:hAnsi="Times New Roman" w:eastAsia="仿宋" w:cs="Times New Roman"/>
                <w:bCs/>
                <w:color w:val="auto"/>
                <w:kern w:val="2"/>
                <w:sz w:val="24"/>
                <w:szCs w:val="24"/>
                <w:lang w:val="en-US" w:eastAsia="zh-CN" w:bidi="ar-SA"/>
              </w:rPr>
              <w:t>）</w:t>
            </w:r>
          </w:p>
          <w:p w14:paraId="0C94C31B">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项目喷砂过程产生废气，以颗粒物计</w:t>
            </w:r>
            <w:r>
              <w:rPr>
                <w:rFonts w:hint="eastAsia" w:ascii="Times New Roman" w:hAnsi="Times New Roman" w:eastAsia="仿宋" w:cs="Times New Roman"/>
                <w:bCs/>
                <w:color w:val="auto"/>
                <w:kern w:val="2"/>
                <w:sz w:val="24"/>
                <w:szCs w:val="24"/>
                <w:lang w:val="en-US" w:eastAsia="zh-CN" w:bidi="ar-SA"/>
              </w:rPr>
              <w:t>（项目</w:t>
            </w:r>
            <w:r>
              <w:rPr>
                <w:rFonts w:hint="default" w:ascii="Times New Roman" w:hAnsi="Times New Roman" w:eastAsia="仿宋" w:cs="Times New Roman"/>
                <w:bCs/>
                <w:color w:val="auto"/>
                <w:kern w:val="2"/>
                <w:sz w:val="24"/>
                <w:szCs w:val="24"/>
                <w:lang w:val="en-US" w:eastAsia="zh-CN" w:bidi="ar-SA"/>
              </w:rPr>
              <w:t>喷砂</w:t>
            </w:r>
            <w:r>
              <w:rPr>
                <w:rFonts w:hint="eastAsia" w:ascii="Times New Roman" w:hAnsi="Times New Roman" w:eastAsia="仿宋" w:cs="Times New Roman"/>
                <w:bCs/>
                <w:color w:val="auto"/>
                <w:kern w:val="2"/>
                <w:sz w:val="24"/>
                <w:szCs w:val="24"/>
                <w:lang w:val="en-US" w:eastAsia="zh-CN" w:bidi="ar-SA"/>
              </w:rPr>
              <w:t>过程为常温，原料不锈钢板中的镍、铬不会熔化产生镍及其化合物、铬及其化合物等重金属烟尘）</w:t>
            </w:r>
            <w:r>
              <w:rPr>
                <w:rFonts w:hint="default" w:ascii="Times New Roman" w:hAnsi="Times New Roman" w:eastAsia="仿宋" w:cs="Times New Roman"/>
                <w:bCs/>
                <w:color w:val="auto"/>
                <w:kern w:val="2"/>
                <w:sz w:val="24"/>
                <w:szCs w:val="24"/>
                <w:lang w:val="en-US" w:eastAsia="zh-CN" w:bidi="ar-SA"/>
              </w:rPr>
              <w:t>。需喷砂的工件约</w:t>
            </w:r>
            <w:r>
              <w:rPr>
                <w:rFonts w:hint="eastAsia" w:ascii="Times New Roman" w:hAnsi="Times New Roman" w:eastAsia="仿宋" w:cs="Times New Roman"/>
                <w:bCs/>
                <w:color w:val="auto"/>
                <w:kern w:val="2"/>
                <w:sz w:val="24"/>
                <w:szCs w:val="24"/>
                <w:lang w:val="en-US" w:eastAsia="zh-CN" w:bidi="ar-SA"/>
              </w:rPr>
              <w:t>2</w:t>
            </w:r>
            <w:r>
              <w:rPr>
                <w:rFonts w:hint="default" w:ascii="Times New Roman" w:hAnsi="Times New Roman" w:eastAsia="仿宋" w:cs="Times New Roman"/>
                <w:bCs/>
                <w:color w:val="auto"/>
                <w:kern w:val="2"/>
                <w:sz w:val="24"/>
                <w:szCs w:val="24"/>
                <w:lang w:val="en-US" w:eastAsia="zh-CN" w:bidi="ar-SA"/>
              </w:rPr>
              <w:t>000t/a，参考《排放源统计调查产排污核算方法和系数手册》中机械行业系数手册中“预处理-干式预处理件-钢材、铝材、铝合金、铁材、其他金属材料-抛光、喷砂、打磨、滚筒-所有规模-废气-颗粒物”的产污系数2.19kg/t（原料）”，则喷砂废气颗粒物产生量约为</w:t>
            </w:r>
            <w:r>
              <w:rPr>
                <w:rFonts w:hint="eastAsia" w:ascii="Times New Roman" w:hAnsi="Times New Roman" w:eastAsia="仿宋" w:cs="Times New Roman"/>
                <w:bCs/>
                <w:color w:val="auto"/>
                <w:kern w:val="2"/>
                <w:sz w:val="24"/>
                <w:szCs w:val="24"/>
                <w:lang w:val="en-US" w:eastAsia="zh-CN" w:bidi="ar-SA"/>
              </w:rPr>
              <w:t>4.38</w:t>
            </w:r>
            <w:r>
              <w:rPr>
                <w:rFonts w:hint="default" w:ascii="Times New Roman" w:hAnsi="Times New Roman" w:eastAsia="仿宋" w:cs="Times New Roman"/>
                <w:bCs/>
                <w:color w:val="auto"/>
                <w:kern w:val="2"/>
                <w:sz w:val="24"/>
                <w:szCs w:val="24"/>
                <w:lang w:val="en-US" w:eastAsia="zh-CN" w:bidi="ar-SA"/>
              </w:rPr>
              <w:t>t/a。</w:t>
            </w:r>
          </w:p>
          <w:p w14:paraId="6A79A5A4">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w:t>
            </w:r>
            <w:r>
              <w:rPr>
                <w:rFonts w:hint="eastAsia" w:ascii="Times New Roman" w:hAnsi="Times New Roman" w:eastAsia="仿宋" w:cs="Times New Roman"/>
                <w:bCs/>
                <w:color w:val="auto"/>
                <w:kern w:val="2"/>
                <w:sz w:val="24"/>
                <w:szCs w:val="24"/>
                <w:lang w:val="en-US" w:eastAsia="zh-CN" w:bidi="ar-SA"/>
              </w:rPr>
              <w:t>6</w:t>
            </w:r>
            <w:r>
              <w:rPr>
                <w:rFonts w:hint="default" w:ascii="Times New Roman" w:hAnsi="Times New Roman" w:eastAsia="仿宋" w:cs="Times New Roman"/>
                <w:bCs/>
                <w:color w:val="auto"/>
                <w:kern w:val="2"/>
                <w:sz w:val="24"/>
                <w:szCs w:val="24"/>
                <w:lang w:val="en-US" w:eastAsia="zh-CN" w:bidi="ar-SA"/>
              </w:rPr>
              <w:t>）调漆废气（G</w:t>
            </w:r>
            <w:r>
              <w:rPr>
                <w:rFonts w:hint="eastAsia" w:ascii="Times New Roman" w:hAnsi="Times New Roman" w:eastAsia="仿宋" w:cs="Times New Roman"/>
                <w:bCs/>
                <w:color w:val="auto"/>
                <w:kern w:val="2"/>
                <w:sz w:val="24"/>
                <w:szCs w:val="24"/>
                <w:lang w:val="en-US" w:eastAsia="zh-CN" w:bidi="ar-SA"/>
              </w:rPr>
              <w:t>6</w:t>
            </w:r>
            <w:r>
              <w:rPr>
                <w:rFonts w:hint="default" w:ascii="Times New Roman" w:hAnsi="Times New Roman" w:eastAsia="仿宋" w:cs="Times New Roman"/>
                <w:bCs/>
                <w:color w:val="auto"/>
                <w:kern w:val="2"/>
                <w:sz w:val="24"/>
                <w:szCs w:val="24"/>
                <w:lang w:val="en-US" w:eastAsia="zh-CN" w:bidi="ar-SA"/>
              </w:rPr>
              <w:t>）</w:t>
            </w:r>
          </w:p>
          <w:p w14:paraId="70488BA0">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项目在进行喷水性漆工序前，需进行调漆工序，水性漆调配在密闭调漆房内进行，调漆工序主要污染物为挥发性有机物（以非甲烷总烃计），产生量参考《环境影响评价实用技术指南》中推荐的经验系数进行估算，按原料年使用量的1%计。项目</w:t>
            </w:r>
            <w:r>
              <w:rPr>
                <w:rFonts w:hint="eastAsia" w:ascii="Times New Roman" w:hAnsi="Times New Roman" w:eastAsia="仿宋" w:cs="Times New Roman"/>
                <w:bCs/>
                <w:color w:val="auto"/>
                <w:kern w:val="2"/>
                <w:sz w:val="24"/>
                <w:szCs w:val="24"/>
                <w:lang w:val="en-US" w:eastAsia="zh-CN" w:bidi="ar-SA"/>
              </w:rPr>
              <w:t>水性漆</w:t>
            </w:r>
            <w:r>
              <w:rPr>
                <w:rFonts w:hint="default" w:ascii="Times New Roman" w:hAnsi="Times New Roman" w:eastAsia="仿宋" w:cs="Times New Roman"/>
                <w:bCs/>
                <w:color w:val="auto"/>
                <w:kern w:val="2"/>
                <w:sz w:val="24"/>
                <w:szCs w:val="24"/>
                <w:lang w:val="en-US" w:eastAsia="zh-CN" w:bidi="ar-SA"/>
              </w:rPr>
              <w:t>用量约12t/a，根据水性</w:t>
            </w:r>
            <w:r>
              <w:rPr>
                <w:rFonts w:hint="eastAsia" w:ascii="Times New Roman" w:hAnsi="Times New Roman" w:eastAsia="仿宋" w:cs="Times New Roman"/>
                <w:bCs/>
                <w:color w:val="auto"/>
                <w:kern w:val="2"/>
                <w:sz w:val="24"/>
                <w:szCs w:val="24"/>
                <w:lang w:val="en-US" w:eastAsia="zh-CN" w:bidi="ar-SA"/>
              </w:rPr>
              <w:t>底漆</w:t>
            </w:r>
            <w:r>
              <w:rPr>
                <w:rFonts w:hint="default" w:ascii="Times New Roman" w:hAnsi="Times New Roman" w:eastAsia="仿宋" w:cs="Times New Roman"/>
                <w:bCs/>
                <w:color w:val="auto"/>
                <w:kern w:val="2"/>
                <w:sz w:val="24"/>
                <w:szCs w:val="24"/>
                <w:lang w:val="en-US" w:eastAsia="zh-CN" w:bidi="ar-SA"/>
              </w:rPr>
              <w:t>MSDS，</w:t>
            </w:r>
            <w:r>
              <w:rPr>
                <w:rFonts w:hint="eastAsia" w:ascii="Times New Roman" w:hAnsi="Times New Roman" w:eastAsia="仿宋" w:cs="Times New Roman"/>
                <w:bCs/>
                <w:color w:val="auto"/>
                <w:kern w:val="2"/>
                <w:sz w:val="24"/>
                <w:szCs w:val="24"/>
                <w:lang w:val="en-US" w:eastAsia="zh-CN" w:bidi="ar-SA"/>
              </w:rPr>
              <w:t>水性漆</w:t>
            </w:r>
            <w:r>
              <w:rPr>
                <w:rFonts w:hint="default" w:ascii="Times New Roman" w:hAnsi="Times New Roman" w:eastAsia="仿宋" w:cs="Times New Roman"/>
                <w:bCs/>
                <w:color w:val="auto"/>
                <w:kern w:val="2"/>
                <w:sz w:val="24"/>
                <w:szCs w:val="24"/>
                <w:lang w:val="en-US" w:eastAsia="zh-CN" w:bidi="ar-SA"/>
              </w:rPr>
              <w:t>中挥发性组分含量约4%。根据水性漆物料平衡图2-1，调漆工序非甲烷总烃的产生量为</w:t>
            </w:r>
            <w:r>
              <w:rPr>
                <w:rFonts w:hint="default" w:ascii="Times New Roman" w:hAnsi="Times New Roman" w:eastAsia="仿宋" w:cs="Times New Roman"/>
                <w:color w:val="auto"/>
                <w:kern w:val="0"/>
                <w:sz w:val="24"/>
              </w:rPr>
              <w:t>0.</w:t>
            </w:r>
            <w:r>
              <w:rPr>
                <w:rFonts w:hint="default" w:ascii="Times New Roman" w:hAnsi="Times New Roman" w:eastAsia="仿宋" w:cs="Times New Roman"/>
                <w:color w:val="auto"/>
                <w:kern w:val="0"/>
                <w:sz w:val="24"/>
                <w:lang w:val="en-US" w:eastAsia="zh-CN"/>
              </w:rPr>
              <w:t>48</w:t>
            </w:r>
            <w:r>
              <w:rPr>
                <w:rFonts w:hint="default" w:ascii="Times New Roman" w:hAnsi="Times New Roman" w:eastAsia="仿宋" w:cs="Times New Roman"/>
                <w:color w:val="auto"/>
                <w:sz w:val="24"/>
              </w:rPr>
              <w:t>×1%=</w:t>
            </w:r>
            <w:r>
              <w:rPr>
                <w:rFonts w:hint="default" w:ascii="Times New Roman" w:hAnsi="Times New Roman" w:eastAsia="仿宋" w:cs="Times New Roman"/>
                <w:bCs/>
                <w:color w:val="auto"/>
                <w:kern w:val="2"/>
                <w:sz w:val="24"/>
                <w:szCs w:val="24"/>
                <w:lang w:val="en-US" w:eastAsia="zh-CN" w:bidi="ar-SA"/>
              </w:rPr>
              <w:t>0.005t/a。</w:t>
            </w:r>
          </w:p>
          <w:p w14:paraId="50F6246B">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w:t>
            </w:r>
            <w:r>
              <w:rPr>
                <w:rFonts w:hint="eastAsia" w:ascii="Times New Roman" w:hAnsi="Times New Roman" w:eastAsia="仿宋" w:cs="Times New Roman"/>
                <w:bCs/>
                <w:color w:val="auto"/>
                <w:kern w:val="2"/>
                <w:sz w:val="24"/>
                <w:szCs w:val="24"/>
                <w:lang w:val="en-US" w:eastAsia="zh-CN" w:bidi="ar-SA"/>
              </w:rPr>
              <w:t>7</w:t>
            </w:r>
            <w:r>
              <w:rPr>
                <w:rFonts w:hint="default" w:ascii="Times New Roman" w:hAnsi="Times New Roman" w:eastAsia="仿宋" w:cs="Times New Roman"/>
                <w:bCs/>
                <w:color w:val="auto"/>
                <w:kern w:val="2"/>
                <w:sz w:val="24"/>
                <w:szCs w:val="24"/>
                <w:lang w:val="en-US" w:eastAsia="zh-CN" w:bidi="ar-SA"/>
              </w:rPr>
              <w:t>）喷漆废气（G</w:t>
            </w:r>
            <w:r>
              <w:rPr>
                <w:rFonts w:hint="eastAsia" w:ascii="Times New Roman" w:hAnsi="Times New Roman" w:eastAsia="仿宋" w:cs="Times New Roman"/>
                <w:bCs/>
                <w:color w:val="auto"/>
                <w:kern w:val="2"/>
                <w:sz w:val="24"/>
                <w:szCs w:val="24"/>
                <w:lang w:val="en-US" w:eastAsia="zh-CN" w:bidi="ar-SA"/>
              </w:rPr>
              <w:t>7</w:t>
            </w:r>
            <w:r>
              <w:rPr>
                <w:rFonts w:hint="default" w:ascii="Times New Roman" w:hAnsi="Times New Roman" w:eastAsia="仿宋" w:cs="Times New Roman"/>
                <w:bCs/>
                <w:color w:val="auto"/>
                <w:kern w:val="2"/>
                <w:sz w:val="24"/>
                <w:szCs w:val="24"/>
                <w:lang w:val="en-US" w:eastAsia="zh-CN" w:bidi="ar-SA"/>
              </w:rPr>
              <w:t>）</w:t>
            </w:r>
          </w:p>
          <w:p w14:paraId="31E15D04">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 xml:space="preserve"> 项目水性漆喷漆过程产生废气，主要污染物为颗粒物、非甲烷总烃。喷漆工序工件表面固体分附着率为60%，约20%喷漆过程掉落地面形成漆渣，剩余20%以漆雾的形式进入</w:t>
            </w:r>
            <w:r>
              <w:rPr>
                <w:rFonts w:hint="eastAsia" w:ascii="Times New Roman" w:hAnsi="Times New Roman" w:eastAsia="仿宋" w:cs="Times New Roman"/>
                <w:bCs/>
                <w:color w:val="FF0000"/>
                <w:kern w:val="2"/>
                <w:sz w:val="24"/>
                <w:szCs w:val="24"/>
                <w:lang w:val="en-US" w:eastAsia="zh-CN" w:bidi="ar-SA"/>
              </w:rPr>
              <w:t>干式过滤装置</w:t>
            </w:r>
            <w:r>
              <w:rPr>
                <w:rFonts w:hint="default" w:ascii="Times New Roman" w:hAnsi="Times New Roman" w:eastAsia="仿宋" w:cs="Times New Roman"/>
                <w:bCs/>
                <w:color w:val="auto"/>
                <w:kern w:val="2"/>
                <w:sz w:val="24"/>
                <w:szCs w:val="24"/>
                <w:lang w:val="en-US" w:eastAsia="zh-CN" w:bidi="ar-SA"/>
              </w:rPr>
              <w:t>。项目喷漆阶段使用漆料11.903t/a，其中水分4.8t/a、非甲烷总烃量为0.475t/a，固份含量为6.653t/a，则喷漆阶段非甲烷总烃产生量为0.475×40%=0.19t/a，颗粒物产生量为6.653×20%=1.331t/a。</w:t>
            </w:r>
          </w:p>
          <w:p w14:paraId="293B4019">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w:t>
            </w:r>
            <w:r>
              <w:rPr>
                <w:rFonts w:hint="eastAsia" w:ascii="Times New Roman" w:hAnsi="Times New Roman" w:eastAsia="仿宋" w:cs="Times New Roman"/>
                <w:bCs/>
                <w:color w:val="auto"/>
                <w:kern w:val="2"/>
                <w:sz w:val="24"/>
                <w:szCs w:val="24"/>
                <w:lang w:val="en-US" w:eastAsia="zh-CN" w:bidi="ar-SA"/>
              </w:rPr>
              <w:t>8</w:t>
            </w:r>
            <w:r>
              <w:rPr>
                <w:rFonts w:hint="default" w:ascii="Times New Roman" w:hAnsi="Times New Roman" w:eastAsia="仿宋" w:cs="Times New Roman"/>
                <w:bCs/>
                <w:color w:val="auto"/>
                <w:kern w:val="2"/>
                <w:sz w:val="24"/>
                <w:szCs w:val="24"/>
                <w:lang w:val="en-US" w:eastAsia="zh-CN" w:bidi="ar-SA"/>
              </w:rPr>
              <w:t>）烘干废气（G</w:t>
            </w:r>
            <w:r>
              <w:rPr>
                <w:rFonts w:hint="eastAsia" w:ascii="Times New Roman" w:hAnsi="Times New Roman" w:eastAsia="仿宋" w:cs="Times New Roman"/>
                <w:bCs/>
                <w:color w:val="auto"/>
                <w:kern w:val="2"/>
                <w:sz w:val="24"/>
                <w:szCs w:val="24"/>
                <w:lang w:val="en-US" w:eastAsia="zh-CN" w:bidi="ar-SA"/>
              </w:rPr>
              <w:t>8</w:t>
            </w:r>
            <w:r>
              <w:rPr>
                <w:rFonts w:hint="default" w:ascii="Times New Roman" w:hAnsi="Times New Roman" w:eastAsia="仿宋" w:cs="Times New Roman"/>
                <w:bCs/>
                <w:color w:val="auto"/>
                <w:kern w:val="2"/>
                <w:sz w:val="24"/>
                <w:szCs w:val="24"/>
                <w:lang w:val="en-US" w:eastAsia="zh-CN" w:bidi="ar-SA"/>
              </w:rPr>
              <w:t>）</w:t>
            </w:r>
          </w:p>
          <w:p w14:paraId="38259353">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项目喷完水性漆的工件转移至烘道内烘干，烘干过程产生有机废气，主要污染物为非甲烷总烃，根据水性漆物料平衡图2-1，水性漆烘干废气非甲烷总烃的产生量为</w:t>
            </w:r>
            <w:r>
              <w:rPr>
                <w:rFonts w:hint="default" w:ascii="Times New Roman" w:hAnsi="Times New Roman" w:eastAsia="仿宋" w:cs="Times New Roman"/>
                <w:color w:val="auto"/>
                <w:sz w:val="24"/>
              </w:rPr>
              <w:t>0.</w:t>
            </w:r>
            <w:r>
              <w:rPr>
                <w:rFonts w:hint="default" w:ascii="Times New Roman" w:hAnsi="Times New Roman" w:eastAsia="仿宋" w:cs="Times New Roman"/>
                <w:color w:val="auto"/>
                <w:sz w:val="24"/>
                <w:lang w:val="en-US" w:eastAsia="zh-CN"/>
              </w:rPr>
              <w:t>475</w:t>
            </w:r>
            <w:r>
              <w:rPr>
                <w:rFonts w:hint="default" w:ascii="Times New Roman" w:hAnsi="Times New Roman" w:eastAsia="仿宋" w:cs="Times New Roman"/>
                <w:color w:val="auto"/>
                <w:sz w:val="24"/>
              </w:rPr>
              <w:t>×6</w:t>
            </w:r>
            <w:r>
              <w:rPr>
                <w:rFonts w:hint="default" w:ascii="Times New Roman" w:hAnsi="Times New Roman" w:eastAsia="仿宋" w:cs="Times New Roman"/>
                <w:color w:val="auto"/>
                <w:sz w:val="24"/>
                <w:lang w:val="en-US" w:eastAsia="zh-CN"/>
              </w:rPr>
              <w:t>0</w:t>
            </w:r>
            <w:r>
              <w:rPr>
                <w:rFonts w:hint="default" w:ascii="Times New Roman" w:hAnsi="Times New Roman" w:eastAsia="仿宋" w:cs="Times New Roman"/>
                <w:color w:val="auto"/>
                <w:sz w:val="24"/>
              </w:rPr>
              <w:t>%=</w:t>
            </w:r>
            <w:r>
              <w:rPr>
                <w:rFonts w:hint="default" w:ascii="Times New Roman" w:hAnsi="Times New Roman" w:eastAsia="仿宋" w:cs="Times New Roman"/>
                <w:bCs/>
                <w:color w:val="auto"/>
                <w:kern w:val="2"/>
                <w:sz w:val="24"/>
                <w:szCs w:val="24"/>
                <w:lang w:val="en-US" w:eastAsia="zh-CN" w:bidi="ar-SA"/>
              </w:rPr>
              <w:t xml:space="preserve">0.285t/a。 </w:t>
            </w:r>
          </w:p>
          <w:p w14:paraId="17987B66">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w:t>
            </w:r>
            <w:r>
              <w:rPr>
                <w:rFonts w:hint="eastAsia" w:ascii="Times New Roman" w:hAnsi="Times New Roman" w:eastAsia="仿宋" w:cs="Times New Roman"/>
                <w:bCs/>
                <w:color w:val="auto"/>
                <w:kern w:val="2"/>
                <w:sz w:val="24"/>
                <w:szCs w:val="24"/>
                <w:lang w:val="en-US" w:eastAsia="zh-CN" w:bidi="ar-SA"/>
              </w:rPr>
              <w:t>9</w:t>
            </w:r>
            <w:r>
              <w:rPr>
                <w:rFonts w:hint="default" w:ascii="Times New Roman" w:hAnsi="Times New Roman" w:eastAsia="仿宋" w:cs="Times New Roman"/>
                <w:bCs/>
                <w:color w:val="auto"/>
                <w:kern w:val="2"/>
                <w:sz w:val="24"/>
                <w:szCs w:val="24"/>
                <w:lang w:val="en-US" w:eastAsia="zh-CN" w:bidi="ar-SA"/>
              </w:rPr>
              <w:t xml:space="preserve">）危废仓库废气 </w:t>
            </w:r>
          </w:p>
          <w:p w14:paraId="552ABFB8">
            <w:pPr>
              <w:keepNext w:val="0"/>
              <w:keepLines w:val="0"/>
              <w:pageBreakBefore w:val="0"/>
              <w:widowControl/>
              <w:kinsoku/>
              <w:wordWrap/>
              <w:overflowPunct/>
              <w:topLinePunct w:val="0"/>
              <w:autoSpaceDE/>
              <w:autoSpaceDN/>
              <w:bidi w:val="0"/>
              <w:spacing w:line="360" w:lineRule="auto"/>
              <w:ind w:left="0" w:leftChars="0" w:firstLine="480" w:firstLineChars="200"/>
              <w:jc w:val="left"/>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bCs/>
                <w:color w:val="auto"/>
                <w:kern w:val="2"/>
                <w:sz w:val="24"/>
                <w:szCs w:val="24"/>
                <w:lang w:val="en-US" w:eastAsia="zh-CN" w:bidi="ar-SA"/>
              </w:rPr>
              <w:t>本项目运营期危废仓库产生少量废气，主要来自废活性炭、废包装桶、漆渣等危险废物散发的微量有机废气，由危废均储存于密闭包装袋和包装桶中，散发的有机废气极微量，故不进行定量分析。</w:t>
            </w:r>
          </w:p>
          <w:p w14:paraId="714BEBBF">
            <w:pPr>
              <w:keepNext w:val="0"/>
              <w:keepLines w:val="0"/>
              <w:pageBreakBefore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仿宋" w:cs="Times New Roman"/>
                <w:b/>
                <w:bCs/>
                <w:color w:val="auto"/>
                <w:sz w:val="24"/>
                <w:lang w:val="en-US" w:eastAsia="zh-CN"/>
              </w:rPr>
            </w:pPr>
            <w:r>
              <w:rPr>
                <w:rFonts w:hint="default" w:ascii="Times New Roman" w:hAnsi="Times New Roman" w:eastAsia="仿宋" w:cs="Times New Roman"/>
                <w:b/>
                <w:bCs/>
                <w:color w:val="auto"/>
                <w:sz w:val="24"/>
                <w:lang w:val="en-US" w:eastAsia="zh-CN"/>
              </w:rPr>
              <w:t>2、污染</w:t>
            </w:r>
            <w:r>
              <w:rPr>
                <w:rFonts w:hint="default" w:ascii="Times New Roman" w:hAnsi="Times New Roman" w:eastAsia="仿宋" w:cs="Times New Roman"/>
                <w:b/>
                <w:bCs/>
                <w:color w:val="auto"/>
                <w:sz w:val="24"/>
              </w:rPr>
              <w:t>防治措施</w:t>
            </w:r>
          </w:p>
          <w:p w14:paraId="52F290ED">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1</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有组织废气</w:t>
            </w:r>
          </w:p>
          <w:p w14:paraId="6F3D7C6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lang w:eastAsia="zh-CN"/>
              </w:rPr>
              <w:t>废气</w:t>
            </w:r>
            <w:r>
              <w:rPr>
                <w:rFonts w:hint="default" w:ascii="Times New Roman" w:hAnsi="Times New Roman" w:eastAsia="仿宋" w:cs="Times New Roman"/>
                <w:color w:val="auto"/>
                <w:sz w:val="24"/>
                <w:szCs w:val="24"/>
                <w:lang w:val="en-US" w:eastAsia="zh-CN"/>
              </w:rPr>
              <w:t>收集系统风量核算</w:t>
            </w:r>
          </w:p>
          <w:p w14:paraId="4CA623A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仿宋" w:cs="Times New Roman"/>
                <w:bCs/>
                <w:color w:val="auto"/>
                <w:sz w:val="24"/>
                <w:szCs w:val="24"/>
                <w:highlight w:val="none"/>
                <w:lang w:val="en-US" w:eastAsia="zh-CN"/>
              </w:rPr>
            </w:pPr>
            <w:r>
              <w:rPr>
                <w:rFonts w:hint="default" w:ascii="Times New Roman" w:hAnsi="Times New Roman" w:eastAsia="仿宋" w:cs="Times New Roman"/>
                <w:color w:val="auto"/>
                <w:sz w:val="24"/>
                <w:szCs w:val="24"/>
              </w:rPr>
              <w:t>结合生产工艺、设备配置情况，结合生产工艺、设备配置情况，本项目</w:t>
            </w:r>
            <w:r>
              <w:rPr>
                <w:rFonts w:hint="default" w:ascii="Times New Roman" w:hAnsi="Times New Roman" w:eastAsia="仿宋" w:cs="Times New Roman"/>
                <w:color w:val="auto"/>
                <w:sz w:val="24"/>
                <w:szCs w:val="24"/>
                <w:lang w:val="en-US" w:eastAsia="zh-CN"/>
              </w:rPr>
              <w:t>废气采用密闭空间负压收集和集气罩收集2种收集方式。</w:t>
            </w:r>
          </w:p>
          <w:p w14:paraId="4EAEBA6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仿宋" w:cs="Times New Roman"/>
                <w:bCs/>
                <w:color w:val="auto"/>
                <w:spacing w:val="-10"/>
                <w:sz w:val="24"/>
                <w:szCs w:val="24"/>
                <w:lang w:val="en-US" w:eastAsia="zh-CN"/>
              </w:rPr>
            </w:pPr>
            <w:r>
              <w:rPr>
                <w:rFonts w:hint="default" w:ascii="Times New Roman" w:hAnsi="Times New Roman" w:eastAsia="仿宋" w:cs="Times New Roman"/>
                <w:bCs/>
                <w:color w:val="auto"/>
                <w:spacing w:val="-10"/>
                <w:sz w:val="24"/>
                <w:szCs w:val="24"/>
                <w:lang w:val="en-US" w:eastAsia="zh-CN"/>
              </w:rPr>
              <w:fldChar w:fldCharType="begin"/>
            </w:r>
            <w:r>
              <w:rPr>
                <w:rFonts w:hint="default" w:ascii="Times New Roman" w:hAnsi="Times New Roman" w:eastAsia="仿宋" w:cs="Times New Roman"/>
                <w:bCs/>
                <w:color w:val="auto"/>
                <w:spacing w:val="-10"/>
                <w:sz w:val="24"/>
                <w:szCs w:val="24"/>
                <w:lang w:val="en-US" w:eastAsia="zh-CN"/>
              </w:rPr>
              <w:instrText xml:space="preserve"> = 1 \* GB3 \* MERGEFORMAT </w:instrText>
            </w:r>
            <w:r>
              <w:rPr>
                <w:rFonts w:hint="default" w:ascii="Times New Roman" w:hAnsi="Times New Roman" w:eastAsia="仿宋" w:cs="Times New Roman"/>
                <w:bCs/>
                <w:color w:val="auto"/>
                <w:spacing w:val="-10"/>
                <w:sz w:val="24"/>
                <w:szCs w:val="24"/>
                <w:lang w:val="en-US" w:eastAsia="zh-CN"/>
              </w:rPr>
              <w:fldChar w:fldCharType="separate"/>
            </w:r>
            <w:r>
              <w:rPr>
                <w:rFonts w:hint="default" w:ascii="Times New Roman" w:hAnsi="Times New Roman" w:eastAsia="仿宋" w:cs="Times New Roman"/>
                <w:color w:val="auto"/>
              </w:rPr>
              <w:t>①</w:t>
            </w:r>
            <w:r>
              <w:rPr>
                <w:rFonts w:hint="default" w:ascii="Times New Roman" w:hAnsi="Times New Roman" w:eastAsia="仿宋" w:cs="Times New Roman"/>
                <w:bCs/>
                <w:color w:val="auto"/>
                <w:spacing w:val="-10"/>
                <w:sz w:val="24"/>
                <w:szCs w:val="24"/>
                <w:lang w:val="en-US" w:eastAsia="zh-CN"/>
              </w:rPr>
              <w:fldChar w:fldCharType="end"/>
            </w:r>
            <w:r>
              <w:rPr>
                <w:rFonts w:hint="default" w:ascii="Times New Roman" w:hAnsi="Times New Roman" w:eastAsia="仿宋" w:cs="Times New Roman"/>
                <w:bCs/>
                <w:color w:val="auto"/>
                <w:spacing w:val="-10"/>
                <w:sz w:val="24"/>
                <w:szCs w:val="24"/>
                <w:lang w:val="en-US" w:eastAsia="zh-CN"/>
              </w:rPr>
              <w:t>本项目焊接废气采用</w:t>
            </w:r>
            <w:r>
              <w:rPr>
                <w:rFonts w:hint="default" w:ascii="Times New Roman" w:hAnsi="Times New Roman" w:eastAsia="仿宋" w:cs="Times New Roman"/>
                <w:bCs/>
                <w:color w:val="auto"/>
                <w:sz w:val="24"/>
                <w:szCs w:val="24"/>
                <w:highlight w:val="none"/>
                <w:lang w:val="en-US" w:eastAsia="zh-CN"/>
              </w:rPr>
              <w:t>上吸风罩收集</w:t>
            </w:r>
            <w:r>
              <w:rPr>
                <w:rFonts w:hint="default" w:ascii="Times New Roman" w:hAnsi="Times New Roman" w:eastAsia="仿宋" w:cs="Times New Roman"/>
                <w:bCs/>
                <w:color w:val="auto"/>
                <w:spacing w:val="-10"/>
                <w:sz w:val="24"/>
                <w:szCs w:val="24"/>
                <w:lang w:val="en-US" w:eastAsia="zh-CN"/>
              </w:rPr>
              <w:t>，为确保废气收集效率，使用伞形集气罩。集气罩集气效率的高低取决于集气罩至污染源的距离及集气罩吸风在污染物发生点产生的控制风速。本项目在主要废气产生区域上方设置负压集气罩，根据《废气处理工程技术手册》（王纯 张殿印主编，化学工业出版社，2013），上部伞形集气罩排风量计算公式如下：</w:t>
            </w:r>
          </w:p>
          <w:p w14:paraId="23B0CCBA">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仿宋" w:cs="Times New Roman"/>
                <w:color w:val="auto"/>
                <w:sz w:val="24"/>
                <w:lang w:val="en-US"/>
              </w:rPr>
            </w:pPr>
            <m:oMathPara>
              <m:oMath>
                <m:r>
                  <m:rPr>
                    <m:sty m:val="p"/>
                  </m:rPr>
                  <w:rPr>
                    <w:rFonts w:hint="default" w:ascii="Cambria Math" w:hAnsi="Cambria Math" w:eastAsia="仿宋" w:cs="Times New Roman"/>
                    <w:color w:val="auto"/>
                    <w:kern w:val="2"/>
                    <w:sz w:val="24"/>
                    <w:szCs w:val="24"/>
                    <w:lang w:val="en-US" w:eastAsia="zh-CN" w:bidi="ar-SA"/>
                  </w:rPr>
                  <m:t>L=（W+B）∗H∗</m:t>
                </m:r>
                <m:sSub>
                  <m:sSubPr>
                    <m:ctrlPr>
                      <w:rPr>
                        <w:rFonts w:hint="default" w:ascii="Cambria Math" w:hAnsi="Cambria Math" w:eastAsia="仿宋" w:cs="Times New Roman"/>
                        <w:color w:val="auto"/>
                        <w:kern w:val="2"/>
                        <w:sz w:val="24"/>
                        <w:szCs w:val="24"/>
                        <w:lang w:val="en-US" w:eastAsia="zh-CN" w:bidi="ar-SA"/>
                      </w:rPr>
                    </m:ctrlPr>
                  </m:sSubPr>
                  <m:e>
                    <m:r>
                      <m:rPr>
                        <m:sty m:val="p"/>
                      </m:rPr>
                      <w:rPr>
                        <w:rFonts w:hint="default" w:ascii="Cambria Math" w:hAnsi="Cambria Math" w:eastAsia="仿宋" w:cs="Times New Roman"/>
                        <w:color w:val="auto"/>
                        <w:kern w:val="2"/>
                        <w:sz w:val="24"/>
                        <w:szCs w:val="24"/>
                        <w:lang w:val="en-US" w:eastAsia="zh-CN" w:bidi="ar-SA"/>
                      </w:rPr>
                      <m:t>V</m:t>
                    </m:r>
                    <m:ctrlPr>
                      <w:rPr>
                        <w:rFonts w:hint="default" w:ascii="Cambria Math" w:hAnsi="Cambria Math" w:eastAsia="仿宋" w:cs="Times New Roman"/>
                        <w:color w:val="auto"/>
                        <w:kern w:val="2"/>
                        <w:sz w:val="24"/>
                        <w:szCs w:val="24"/>
                        <w:lang w:val="en-US" w:eastAsia="zh-CN" w:bidi="ar-SA"/>
                      </w:rPr>
                    </m:ctrlPr>
                  </m:e>
                  <m:sub>
                    <m:r>
                      <m:rPr>
                        <m:sty m:val="p"/>
                      </m:rPr>
                      <w:rPr>
                        <w:rFonts w:hint="default" w:ascii="Cambria Math" w:hAnsi="Cambria Math" w:eastAsia="仿宋" w:cs="Times New Roman"/>
                        <w:color w:val="auto"/>
                        <w:kern w:val="2"/>
                        <w:sz w:val="24"/>
                        <w:szCs w:val="24"/>
                        <w:lang w:val="en-US" w:eastAsia="zh-CN" w:bidi="ar-SA"/>
                      </w:rPr>
                      <m:t>x</m:t>
                    </m:r>
                    <m:ctrlPr>
                      <w:rPr>
                        <w:rFonts w:hint="default" w:ascii="Cambria Math" w:hAnsi="Cambria Math" w:eastAsia="仿宋" w:cs="Times New Roman"/>
                        <w:color w:val="auto"/>
                        <w:kern w:val="2"/>
                        <w:sz w:val="24"/>
                        <w:szCs w:val="24"/>
                        <w:lang w:val="en-US" w:eastAsia="zh-CN" w:bidi="ar-SA"/>
                      </w:rPr>
                    </m:ctrlPr>
                  </m:sub>
                </m:sSub>
              </m:oMath>
            </m:oMathPara>
          </w:p>
          <w:p w14:paraId="2E1525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式中：</w:t>
            </w:r>
            <m:oMath>
              <m:r>
                <m:rPr>
                  <m:sty m:val="p"/>
                </m:rPr>
                <w:rPr>
                  <w:rFonts w:hint="default" w:ascii="Cambria Math" w:hAnsi="Cambria Math" w:eastAsia="仿宋" w:cs="Times New Roman"/>
                  <w:color w:val="auto"/>
                  <w:kern w:val="2"/>
                  <w:sz w:val="24"/>
                  <w:szCs w:val="24"/>
                  <w:lang w:val="en-US" w:eastAsia="zh-CN" w:bidi="ar-SA"/>
                </w:rPr>
                <m:t>W</m:t>
              </m:r>
            </m:oMath>
            <w:r>
              <w:rPr>
                <w:rFonts w:hint="default" w:ascii="Times New Roman" w:hAnsi="Times New Roman" w:eastAsia="仿宋" w:cs="Times New Roman"/>
                <w:color w:val="auto"/>
                <w:sz w:val="24"/>
              </w:rPr>
              <w:t>——罩</w:t>
            </w:r>
            <w:r>
              <w:rPr>
                <w:rFonts w:hint="default" w:ascii="Times New Roman" w:hAnsi="Times New Roman" w:eastAsia="仿宋" w:cs="Times New Roman"/>
                <w:color w:val="auto"/>
                <w:sz w:val="24"/>
                <w:lang w:val="en-US" w:eastAsia="zh-CN"/>
              </w:rPr>
              <w:t>口长度</w:t>
            </w:r>
            <w:r>
              <w:rPr>
                <w:rFonts w:hint="default" w:ascii="Times New Roman" w:hAnsi="Times New Roman" w:eastAsia="仿宋" w:cs="Times New Roman"/>
                <w:color w:val="auto"/>
                <w:sz w:val="24"/>
              </w:rPr>
              <w:t>，m；</w:t>
            </w:r>
          </w:p>
          <w:p w14:paraId="7A87E721">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仿宋" w:cs="Times New Roman"/>
                <w:color w:val="auto"/>
                <w:sz w:val="24"/>
              </w:rPr>
            </w:pPr>
            <m:oMath>
              <m:r>
                <m:rPr>
                  <m:sty m:val="p"/>
                </m:rPr>
                <w:rPr>
                  <w:rFonts w:hint="default" w:ascii="Cambria Math" w:hAnsi="Cambria Math" w:eastAsia="仿宋" w:cs="Times New Roman"/>
                  <w:color w:val="auto"/>
                  <w:kern w:val="2"/>
                  <w:sz w:val="24"/>
                  <w:szCs w:val="24"/>
                  <w:lang w:val="en-US" w:eastAsia="zh-CN" w:bidi="ar-SA"/>
                </w:rPr>
                <m:t>B</m:t>
              </m:r>
            </m:oMath>
            <w:r>
              <w:rPr>
                <w:rFonts w:hint="default" w:ascii="Times New Roman" w:hAnsi="Times New Roman" w:eastAsia="仿宋" w:cs="Times New Roman"/>
                <w:color w:val="auto"/>
                <w:sz w:val="24"/>
              </w:rPr>
              <w:t>——罩</w:t>
            </w:r>
            <w:r>
              <w:rPr>
                <w:rFonts w:hint="default" w:ascii="Times New Roman" w:hAnsi="Times New Roman" w:eastAsia="仿宋" w:cs="Times New Roman"/>
                <w:color w:val="auto"/>
                <w:sz w:val="24"/>
                <w:lang w:val="en-US" w:eastAsia="zh-CN"/>
              </w:rPr>
              <w:t>口宽度</w:t>
            </w:r>
            <w:r>
              <w:rPr>
                <w:rFonts w:hint="default" w:ascii="Times New Roman" w:hAnsi="Times New Roman" w:eastAsia="仿宋" w:cs="Times New Roman"/>
                <w:color w:val="auto"/>
                <w:sz w:val="24"/>
              </w:rPr>
              <w:t>，m；</w:t>
            </w:r>
          </w:p>
          <w:p w14:paraId="2E591231">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H</w:t>
            </w:r>
            <w:r>
              <w:rPr>
                <w:rFonts w:hint="default" w:ascii="Times New Roman" w:hAnsi="Times New Roman" w:eastAsia="仿宋" w:cs="Times New Roman"/>
                <w:color w:val="auto"/>
                <w:sz w:val="24"/>
              </w:rPr>
              <w:t>——罩口至有害物源的距离，m；</w:t>
            </w:r>
          </w:p>
          <w:p w14:paraId="0B0E95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V</w:t>
            </w:r>
            <w:r>
              <w:rPr>
                <w:rFonts w:hint="default" w:ascii="Times New Roman" w:hAnsi="Times New Roman" w:eastAsia="仿宋" w:cs="Times New Roman"/>
                <w:color w:val="auto"/>
                <w:sz w:val="24"/>
                <w:vertAlign w:val="subscript"/>
              </w:rPr>
              <w:t>x</w:t>
            </w:r>
            <w:r>
              <w:rPr>
                <w:rFonts w:hint="default" w:ascii="Times New Roman" w:hAnsi="Times New Roman" w:eastAsia="仿宋" w:cs="Times New Roman"/>
                <w:color w:val="auto"/>
                <w:sz w:val="24"/>
              </w:rPr>
              <w:t>——边缘控制点的控制风速，m/s；</w:t>
            </w:r>
          </w:p>
          <w:p w14:paraId="73C1DF3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仿宋" w:cs="Times New Roman"/>
                <w:bCs/>
                <w:color w:val="auto"/>
                <w:sz w:val="24"/>
                <w:szCs w:val="24"/>
                <w:highlight w:val="none"/>
                <w:lang w:val="en-US" w:eastAsia="zh-CN"/>
              </w:rPr>
            </w:pPr>
            <w:r>
              <w:rPr>
                <w:rFonts w:hint="default" w:ascii="Times New Roman" w:hAnsi="Times New Roman" w:eastAsia="仿宋" w:cs="Times New Roman"/>
                <w:bCs/>
                <w:color w:val="auto"/>
                <w:sz w:val="24"/>
                <w:szCs w:val="24"/>
                <w:highlight w:val="none"/>
                <w:lang w:val="en-US" w:eastAsia="zh-CN"/>
              </w:rPr>
              <w:fldChar w:fldCharType="begin"/>
            </w:r>
            <w:r>
              <w:rPr>
                <w:rFonts w:hint="default" w:ascii="Times New Roman" w:hAnsi="Times New Roman" w:eastAsia="仿宋" w:cs="Times New Roman"/>
                <w:bCs/>
                <w:color w:val="auto"/>
                <w:sz w:val="24"/>
                <w:szCs w:val="24"/>
                <w:highlight w:val="none"/>
                <w:lang w:val="en-US" w:eastAsia="zh-CN"/>
              </w:rPr>
              <w:instrText xml:space="preserve"> = 2 \* GB3 \* MERGEFORMAT </w:instrText>
            </w:r>
            <w:r>
              <w:rPr>
                <w:rFonts w:hint="default" w:ascii="Times New Roman" w:hAnsi="Times New Roman" w:eastAsia="仿宋" w:cs="Times New Roman"/>
                <w:bCs/>
                <w:color w:val="auto"/>
                <w:sz w:val="24"/>
                <w:szCs w:val="24"/>
                <w:highlight w:val="none"/>
                <w:lang w:val="en-US" w:eastAsia="zh-CN"/>
              </w:rPr>
              <w:fldChar w:fldCharType="separate"/>
            </w:r>
            <w:r>
              <w:rPr>
                <w:rFonts w:hint="default" w:ascii="Times New Roman" w:hAnsi="Times New Roman" w:eastAsia="仿宋" w:cs="Times New Roman"/>
                <w:color w:val="auto"/>
              </w:rPr>
              <w:t>②</w:t>
            </w:r>
            <w:r>
              <w:rPr>
                <w:rFonts w:hint="default" w:ascii="Times New Roman" w:hAnsi="Times New Roman" w:eastAsia="仿宋" w:cs="Times New Roman"/>
                <w:bCs/>
                <w:color w:val="auto"/>
                <w:sz w:val="24"/>
                <w:szCs w:val="24"/>
                <w:highlight w:val="none"/>
                <w:lang w:val="en-US" w:eastAsia="zh-CN"/>
              </w:rPr>
              <w:fldChar w:fldCharType="end"/>
            </w:r>
            <w:r>
              <w:rPr>
                <w:rFonts w:hint="default" w:ascii="Times New Roman" w:hAnsi="Times New Roman" w:eastAsia="仿宋" w:cs="Times New Roman"/>
                <w:bCs/>
                <w:color w:val="auto"/>
                <w:sz w:val="24"/>
                <w:szCs w:val="24"/>
                <w:highlight w:val="none"/>
                <w:lang w:val="en-US" w:eastAsia="zh-CN"/>
              </w:rPr>
              <w:t>项目</w:t>
            </w:r>
            <w:r>
              <w:rPr>
                <w:rFonts w:hint="eastAsia" w:eastAsia="仿宋" w:cs="Times New Roman"/>
                <w:bCs/>
                <w:color w:val="auto"/>
                <w:sz w:val="24"/>
                <w:szCs w:val="24"/>
                <w:highlight w:val="none"/>
                <w:lang w:val="en-US" w:eastAsia="zh-CN"/>
              </w:rPr>
              <w:t>打磨</w:t>
            </w:r>
            <w:r>
              <w:rPr>
                <w:rFonts w:hint="default" w:ascii="Times New Roman" w:hAnsi="Times New Roman" w:eastAsia="仿宋" w:cs="Times New Roman"/>
                <w:bCs/>
                <w:color w:val="auto"/>
                <w:sz w:val="24"/>
                <w:szCs w:val="24"/>
                <w:highlight w:val="none"/>
                <w:lang w:val="en-US" w:eastAsia="zh-CN"/>
              </w:rPr>
              <w:t>废气、</w:t>
            </w:r>
            <w:r>
              <w:rPr>
                <w:rFonts w:hint="eastAsia" w:eastAsia="仿宋" w:cs="Times New Roman"/>
                <w:bCs/>
                <w:color w:val="auto"/>
                <w:sz w:val="24"/>
                <w:szCs w:val="24"/>
                <w:highlight w:val="none"/>
                <w:lang w:val="en-US" w:eastAsia="zh-CN"/>
              </w:rPr>
              <w:t>抛光废气、</w:t>
            </w:r>
            <w:r>
              <w:rPr>
                <w:rFonts w:hint="default" w:ascii="Times New Roman" w:hAnsi="Times New Roman" w:eastAsia="仿宋" w:cs="Times New Roman"/>
                <w:bCs/>
                <w:color w:val="auto"/>
                <w:sz w:val="24"/>
                <w:szCs w:val="24"/>
                <w:highlight w:val="none"/>
                <w:lang w:val="en-US" w:eastAsia="zh-CN"/>
              </w:rPr>
              <w:t>喷砂废气、喷涂废气、危废库房废气采用密闭空间换风收集</w:t>
            </w:r>
            <w:r>
              <w:rPr>
                <w:rFonts w:hint="eastAsia" w:eastAsia="仿宋" w:cs="Times New Roman"/>
                <w:bCs/>
                <w:color w:val="auto"/>
                <w:sz w:val="24"/>
                <w:szCs w:val="24"/>
                <w:highlight w:val="none"/>
                <w:lang w:val="en-US" w:eastAsia="zh-CN"/>
              </w:rPr>
              <w:t>。</w:t>
            </w:r>
            <w:r>
              <w:rPr>
                <w:rFonts w:hint="default" w:ascii="Times New Roman" w:hAnsi="Times New Roman" w:eastAsia="仿宋" w:cs="Times New Roman"/>
                <w:bCs/>
                <w:color w:val="auto"/>
                <w:sz w:val="24"/>
                <w:szCs w:val="24"/>
                <w:highlight w:val="none"/>
                <w:lang w:val="en-US" w:eastAsia="zh-CN"/>
              </w:rPr>
              <w:t>打磨、抛光间</w:t>
            </w:r>
            <w:r>
              <w:rPr>
                <w:rFonts w:hint="eastAsia" w:ascii="Times New Roman" w:hAnsi="Times New Roman" w:eastAsia="仿宋" w:cs="Times New Roman"/>
                <w:bCs/>
                <w:color w:val="auto"/>
                <w:sz w:val="24"/>
                <w:szCs w:val="24"/>
                <w:highlight w:val="none"/>
                <w:lang w:val="en-US" w:eastAsia="zh-CN"/>
              </w:rPr>
              <w:t>、喷漆房、</w:t>
            </w:r>
            <w:r>
              <w:rPr>
                <w:rFonts w:hint="default" w:ascii="Times New Roman" w:hAnsi="Times New Roman" w:eastAsia="仿宋" w:cs="Times New Roman"/>
                <w:bCs/>
                <w:color w:val="auto"/>
                <w:sz w:val="24"/>
                <w:szCs w:val="24"/>
                <w:highlight w:val="none"/>
                <w:lang w:val="en-US" w:eastAsia="zh-CN"/>
              </w:rPr>
              <w:t>烘房</w:t>
            </w:r>
            <w:r>
              <w:rPr>
                <w:rFonts w:hint="eastAsia" w:ascii="Times New Roman" w:hAnsi="Times New Roman" w:eastAsia="仿宋" w:cs="Times New Roman"/>
                <w:bCs/>
                <w:color w:val="auto"/>
                <w:sz w:val="24"/>
                <w:szCs w:val="24"/>
                <w:highlight w:val="none"/>
                <w:lang w:val="en-US" w:eastAsia="zh-CN"/>
              </w:rPr>
              <w:t>均设置两套门，控制漏风面积，仅大件进出时打开喷漆房和喷砂房的大门，小件和人员进出仅打开小门，减少风量的</w:t>
            </w:r>
            <w:r>
              <w:rPr>
                <w:rFonts w:hint="eastAsia" w:eastAsia="仿宋" w:cs="Times New Roman"/>
                <w:bCs/>
                <w:color w:val="auto"/>
                <w:sz w:val="24"/>
                <w:szCs w:val="24"/>
                <w:highlight w:val="none"/>
                <w:lang w:val="en-US" w:eastAsia="zh-CN"/>
              </w:rPr>
              <w:t>溢出</w:t>
            </w:r>
            <w:r>
              <w:rPr>
                <w:rFonts w:hint="eastAsia" w:ascii="Times New Roman" w:hAnsi="Times New Roman" w:eastAsia="仿宋" w:cs="Times New Roman"/>
                <w:bCs/>
                <w:color w:val="auto"/>
                <w:sz w:val="24"/>
                <w:szCs w:val="24"/>
                <w:highlight w:val="none"/>
                <w:lang w:val="en-US" w:eastAsia="zh-CN"/>
              </w:rPr>
              <w:t>。</w:t>
            </w:r>
            <w:r>
              <w:rPr>
                <w:rFonts w:hint="eastAsia" w:ascii="Times New Roman" w:hAnsi="Times New Roman" w:eastAsia="仿宋" w:cs="Times New Roman"/>
                <w:color w:val="auto"/>
                <w:sz w:val="24"/>
                <w:szCs w:val="24"/>
                <w:lang w:val="en-US" w:eastAsia="zh-CN"/>
              </w:rPr>
              <w:t>参考《</w:t>
            </w:r>
            <w:r>
              <w:rPr>
                <w:rFonts w:hint="default" w:ascii="Times New Roman" w:hAnsi="Times New Roman" w:eastAsia="仿宋" w:cs="Times New Roman"/>
                <w:color w:val="auto"/>
                <w:sz w:val="24"/>
                <w:szCs w:val="24"/>
                <w:lang w:val="en-US" w:eastAsia="zh-CN"/>
              </w:rPr>
              <w:fldChar w:fldCharType="begin"/>
            </w:r>
            <w:r>
              <w:rPr>
                <w:rFonts w:hint="default" w:ascii="Times New Roman" w:hAnsi="Times New Roman" w:eastAsia="仿宋" w:cs="Times New Roman"/>
                <w:color w:val="auto"/>
                <w:sz w:val="24"/>
                <w:szCs w:val="24"/>
                <w:lang w:val="en-US" w:eastAsia="zh-CN"/>
              </w:rPr>
              <w:instrText xml:space="preserve"> HYPERLINK "https://www.baidu.com/link?url=1yAJ5DzcCjcQU4lag3AWZ9Y2jdAXv4eLv0m2hfBswpHxcnlHcRptJtUk1dCeBaOsYymp1VP-Zm2fy7c51uDZvuoJDHnhH7GbdU4UoJF1OHtAeZFuw8L968jWkIKSobr6&amp;wd=&amp;eqid=95a38a070000c28e0000000465fe28c4" \t "https://www.baidu.com/_blank" </w:instrText>
            </w:r>
            <w:r>
              <w:rPr>
                <w:rFonts w:hint="default" w:ascii="Times New Roman" w:hAnsi="Times New Roman" w:eastAsia="仿宋" w:cs="Times New Roman"/>
                <w:color w:val="auto"/>
                <w:sz w:val="24"/>
                <w:szCs w:val="24"/>
                <w:lang w:val="en-US" w:eastAsia="zh-CN"/>
              </w:rPr>
              <w:fldChar w:fldCharType="separate"/>
            </w:r>
            <w:r>
              <w:rPr>
                <w:rFonts w:hint="default" w:ascii="Times New Roman" w:hAnsi="Times New Roman" w:eastAsia="仿宋" w:cs="Times New Roman"/>
                <w:color w:val="auto"/>
                <w:sz w:val="24"/>
                <w:szCs w:val="24"/>
                <w:lang w:val="en-US" w:eastAsia="zh-CN"/>
              </w:rPr>
              <w:t>广东省工业源挥发性有机物减排量核算方法</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fldChar w:fldCharType="end"/>
            </w:r>
            <w:r>
              <w:rPr>
                <w:rFonts w:hint="eastAsia" w:ascii="Times New Roman" w:hAnsi="Times New Roman" w:eastAsia="仿宋" w:cs="Times New Roman"/>
                <w:color w:val="auto"/>
                <w:sz w:val="24"/>
                <w:szCs w:val="24"/>
                <w:lang w:val="en-US" w:eastAsia="zh-CN"/>
              </w:rPr>
              <w:t>表4.5-1，全密封空间单层密闭负压收集，</w:t>
            </w:r>
            <w:r>
              <w:rPr>
                <w:rFonts w:hint="default" w:ascii="Times New Roman" w:hAnsi="Times New Roman" w:eastAsia="仿宋" w:cs="Times New Roman"/>
                <w:color w:val="auto"/>
                <w:sz w:val="24"/>
                <w:szCs w:val="24"/>
                <w:lang w:val="en-US" w:eastAsia="zh-CN"/>
              </w:rPr>
              <w:t>废气捕集效率</w:t>
            </w:r>
            <w:r>
              <w:rPr>
                <w:rFonts w:hint="eastAsia" w:ascii="Times New Roman" w:hAnsi="Times New Roman" w:eastAsia="仿宋" w:cs="Times New Roman"/>
                <w:color w:val="auto"/>
                <w:sz w:val="24"/>
                <w:szCs w:val="24"/>
                <w:lang w:val="en-US" w:eastAsia="zh-CN"/>
              </w:rPr>
              <w:t>可达</w:t>
            </w:r>
            <w:r>
              <w:rPr>
                <w:rFonts w:hint="default" w:ascii="Times New Roman" w:hAnsi="Times New Roman" w:eastAsia="仿宋" w:cs="Times New Roman"/>
                <w:color w:val="auto"/>
                <w:sz w:val="24"/>
                <w:szCs w:val="24"/>
                <w:lang w:val="en-US" w:eastAsia="zh-CN"/>
              </w:rPr>
              <w:t>95%</w:t>
            </w:r>
            <w:r>
              <w:rPr>
                <w:rFonts w:hint="eastAsia" w:eastAsia="仿宋" w:cs="Times New Roman"/>
                <w:color w:val="auto"/>
                <w:sz w:val="24"/>
                <w:szCs w:val="24"/>
                <w:lang w:val="en-US" w:eastAsia="zh-CN"/>
              </w:rPr>
              <w:t>。</w:t>
            </w:r>
          </w:p>
          <w:p w14:paraId="3FA9C92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bCs/>
                <w:color w:val="auto"/>
                <w:sz w:val="24"/>
                <w:szCs w:val="24"/>
                <w:highlight w:val="none"/>
                <w:lang w:val="en-US" w:eastAsia="zh-CN"/>
              </w:rPr>
              <w:t>密闭空间排风量L（m</w:t>
            </w:r>
            <w:r>
              <w:rPr>
                <w:rFonts w:hint="default" w:ascii="Times New Roman" w:hAnsi="Times New Roman" w:eastAsia="仿宋" w:cs="Times New Roman"/>
                <w:bCs/>
                <w:color w:val="auto"/>
                <w:sz w:val="24"/>
                <w:szCs w:val="24"/>
                <w:highlight w:val="none"/>
                <w:vertAlign w:val="superscript"/>
                <w:lang w:val="en-US" w:eastAsia="zh-CN"/>
              </w:rPr>
              <w:t>3</w:t>
            </w:r>
            <w:r>
              <w:rPr>
                <w:rFonts w:hint="default" w:ascii="Times New Roman" w:hAnsi="Times New Roman" w:eastAsia="仿宋" w:cs="Times New Roman"/>
                <w:bCs/>
                <w:color w:val="auto"/>
                <w:sz w:val="24"/>
                <w:szCs w:val="24"/>
                <w:highlight w:val="none"/>
                <w:lang w:val="en-US" w:eastAsia="zh-CN"/>
              </w:rPr>
              <w:t xml:space="preserve">/h）的计算公式为：L=nVf </w:t>
            </w:r>
          </w:p>
          <w:p w14:paraId="36E54C2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bCs/>
                <w:color w:val="auto"/>
                <w:sz w:val="24"/>
                <w:szCs w:val="24"/>
                <w:highlight w:val="none"/>
                <w:lang w:val="en-US" w:eastAsia="zh-CN"/>
              </w:rPr>
              <w:t xml:space="preserve">式中： </w:t>
            </w:r>
          </w:p>
          <w:p w14:paraId="7EBA6DC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bCs/>
                <w:color w:val="auto"/>
                <w:sz w:val="24"/>
                <w:szCs w:val="24"/>
                <w:highlight w:val="none"/>
                <w:lang w:val="en-US" w:eastAsia="zh-CN"/>
              </w:rPr>
              <w:t xml:space="preserve">n—换气次数，1/h； </w:t>
            </w:r>
          </w:p>
          <w:p w14:paraId="598A5A9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仿宋" w:cs="Times New Roman"/>
                <w:bCs/>
                <w:color w:val="auto"/>
                <w:sz w:val="24"/>
                <w:szCs w:val="24"/>
                <w:highlight w:val="none"/>
                <w:lang w:val="en-US" w:eastAsia="zh-CN"/>
              </w:rPr>
            </w:pPr>
            <w:r>
              <w:rPr>
                <w:rFonts w:hint="default" w:ascii="Times New Roman" w:hAnsi="Times New Roman" w:eastAsia="仿宋" w:cs="Times New Roman"/>
                <w:bCs/>
                <w:color w:val="auto"/>
                <w:sz w:val="24"/>
                <w:szCs w:val="24"/>
                <w:highlight w:val="none"/>
                <w:lang w:val="en-US" w:eastAsia="zh-CN"/>
              </w:rPr>
              <w:t>Vf—通风房间体积，m</w:t>
            </w:r>
            <w:r>
              <w:rPr>
                <w:rFonts w:hint="default" w:ascii="Times New Roman" w:hAnsi="Times New Roman" w:eastAsia="仿宋" w:cs="Times New Roman"/>
                <w:bCs/>
                <w:color w:val="auto"/>
                <w:sz w:val="24"/>
                <w:szCs w:val="24"/>
                <w:highlight w:val="none"/>
                <w:vertAlign w:val="superscript"/>
                <w:lang w:val="en-US" w:eastAsia="zh-CN"/>
              </w:rPr>
              <w:t>3</w:t>
            </w:r>
            <w:r>
              <w:rPr>
                <w:rFonts w:hint="default" w:ascii="Times New Roman" w:hAnsi="Times New Roman" w:eastAsia="仿宋" w:cs="Times New Roman"/>
                <w:bCs/>
                <w:color w:val="auto"/>
                <w:sz w:val="24"/>
                <w:szCs w:val="24"/>
                <w:highlight w:val="none"/>
                <w:lang w:val="en-US" w:eastAsia="zh-CN"/>
              </w:rPr>
              <w:t>。</w:t>
            </w:r>
          </w:p>
          <w:p w14:paraId="03D51B30">
            <w:pPr>
              <w:numPr>
                <w:ilvl w:val="0"/>
                <w:numId w:val="0"/>
              </w:num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
                <w:bCs w:val="0"/>
                <w:color w:val="auto"/>
                <w:spacing w:val="-10"/>
                <w:sz w:val="21"/>
                <w:szCs w:val="21"/>
                <w:lang w:val="en-US" w:eastAsia="zh-CN"/>
              </w:rPr>
              <w:t>表4-1 本项目排气筒</w:t>
            </w:r>
            <w:r>
              <w:rPr>
                <w:rFonts w:hint="default" w:ascii="Times New Roman" w:hAnsi="Times New Roman" w:eastAsia="仿宋" w:cs="Times New Roman"/>
                <w:b/>
                <w:bCs/>
                <w:color w:val="auto"/>
                <w:sz w:val="21"/>
                <w:szCs w:val="21"/>
                <w:highlight w:val="none"/>
              </w:rPr>
              <w:t>风量核算一览表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51" w:type="dxa"/>
                <w:bottom w:w="57" w:type="dxa"/>
                <w:right w:w="51" w:type="dxa"/>
              </w:tblCellMar>
            </w:tblPr>
            <w:tblGrid>
              <w:gridCol w:w="1330"/>
              <w:gridCol w:w="1861"/>
              <w:gridCol w:w="4196"/>
              <w:gridCol w:w="1077"/>
            </w:tblGrid>
            <w:tr w14:paraId="519D19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312" w:hRule="atLeast"/>
                <w:jc w:val="center"/>
              </w:trPr>
              <w:tc>
                <w:tcPr>
                  <w:tcW w:w="786" w:type="pct"/>
                  <w:shd w:val="clear" w:color="auto" w:fill="auto"/>
                  <w:vAlign w:val="center"/>
                </w:tcPr>
                <w:p w14:paraId="6264418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highlight w:val="none"/>
                      <w:lang w:eastAsia="zh-CN"/>
                    </w:rPr>
                    <w:t>排气筒编号</w:t>
                  </w:r>
                </w:p>
              </w:tc>
              <w:tc>
                <w:tcPr>
                  <w:tcW w:w="1099" w:type="pct"/>
                  <w:shd w:val="clear" w:color="auto" w:fill="auto"/>
                  <w:vAlign w:val="center"/>
                </w:tcPr>
                <w:p w14:paraId="31DFC2B1">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 w:val="21"/>
                      <w:szCs w:val="21"/>
                    </w:rPr>
                    <w:t>废气收集工段</w:t>
                  </w:r>
                </w:p>
              </w:tc>
              <w:tc>
                <w:tcPr>
                  <w:tcW w:w="2478" w:type="pct"/>
                  <w:shd w:val="clear" w:color="auto" w:fill="auto"/>
                  <w:vAlign w:val="center"/>
                </w:tcPr>
                <w:p w14:paraId="0BA437F1">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lang w:val="en-US" w:eastAsia="zh-CN"/>
                    </w:rPr>
                    <w:t>计算过程</w:t>
                  </w:r>
                </w:p>
              </w:tc>
              <w:tc>
                <w:tcPr>
                  <w:tcW w:w="636" w:type="pct"/>
                  <w:shd w:val="clear" w:color="auto" w:fill="auto"/>
                  <w:vAlign w:val="center"/>
                </w:tcPr>
                <w:p w14:paraId="4E1A9958">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kern w:val="44"/>
                      <w:sz w:val="21"/>
                      <w:szCs w:val="21"/>
                      <w:lang w:val="en-US" w:eastAsia="zh-CN" w:bidi="ar-SA"/>
                    </w:rPr>
                  </w:pPr>
                  <w:r>
                    <w:rPr>
                      <w:rFonts w:hint="default" w:ascii="Times New Roman" w:hAnsi="Times New Roman" w:eastAsia="仿宋" w:cs="Times New Roman"/>
                      <w:b/>
                      <w:bCs/>
                      <w:color w:val="auto"/>
                      <w:sz w:val="21"/>
                      <w:szCs w:val="21"/>
                      <w:lang w:val="en-US" w:eastAsia="zh-CN"/>
                    </w:rPr>
                    <w:t>设计风量</w:t>
                  </w:r>
                </w:p>
              </w:tc>
            </w:tr>
            <w:tr w14:paraId="4637CC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340" w:hRule="atLeast"/>
                <w:jc w:val="center"/>
              </w:trPr>
              <w:tc>
                <w:tcPr>
                  <w:tcW w:w="786" w:type="pct"/>
                  <w:shd w:val="clear" w:color="auto" w:fill="auto"/>
                  <w:vAlign w:val="center"/>
                </w:tcPr>
                <w:p w14:paraId="2A301FC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DA001</w:t>
                  </w:r>
                </w:p>
              </w:tc>
              <w:tc>
                <w:tcPr>
                  <w:tcW w:w="1099" w:type="pct"/>
                  <w:shd w:val="clear" w:color="auto" w:fill="auto"/>
                  <w:vAlign w:val="center"/>
                </w:tcPr>
                <w:p w14:paraId="7D4A8DC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打磨、抛光</w:t>
                  </w:r>
                </w:p>
              </w:tc>
              <w:tc>
                <w:tcPr>
                  <w:tcW w:w="2478" w:type="pct"/>
                  <w:shd w:val="clear" w:color="auto" w:fill="auto"/>
                  <w:vAlign w:val="center"/>
                </w:tcPr>
                <w:p w14:paraId="3B67A412">
                  <w:pPr>
                    <w:keepNext w:val="0"/>
                    <w:keepLines w:val="0"/>
                    <w:pageBreakBefore w:val="0"/>
                    <w:tabs>
                      <w:tab w:val="left" w:pos="1390"/>
                    </w:tabs>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项目设有1个打磨、抛光间，打磨、抛光间体积为</w:t>
                  </w:r>
                  <w:r>
                    <w:rPr>
                      <w:rFonts w:hint="default" w:ascii="Times New Roman" w:hAnsi="Times New Roman" w:eastAsia="仿宋" w:cs="Times New Roman"/>
                      <w:color w:val="auto"/>
                      <w:kern w:val="0"/>
                      <w:sz w:val="21"/>
                      <w:szCs w:val="21"/>
                      <w:lang w:val="en-US" w:eastAsia="zh-CN"/>
                    </w:rPr>
                    <w:t>600</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，每小时</w:t>
                  </w:r>
                  <w:r>
                    <w:rPr>
                      <w:rFonts w:hint="default" w:ascii="Times New Roman" w:hAnsi="Times New Roman" w:eastAsia="仿宋" w:cs="Times New Roman"/>
                      <w:bCs/>
                      <w:color w:val="auto"/>
                      <w:sz w:val="21"/>
                      <w:szCs w:val="21"/>
                      <w:highlight w:val="none"/>
                      <w:lang w:val="en-US" w:eastAsia="zh-CN"/>
                    </w:rPr>
                    <w:t>换气次数</w:t>
                  </w:r>
                  <w:r>
                    <w:rPr>
                      <w:rFonts w:hint="default" w:ascii="Times New Roman" w:hAnsi="Times New Roman" w:eastAsia="仿宋" w:cs="Times New Roman"/>
                      <w:color w:val="auto"/>
                      <w:sz w:val="21"/>
                      <w:szCs w:val="21"/>
                      <w:lang w:val="en-US" w:eastAsia="zh-CN"/>
                    </w:rPr>
                    <w:t>为</w:t>
                  </w:r>
                  <w:r>
                    <w:rPr>
                      <w:rFonts w:hint="eastAsia" w:eastAsia="仿宋" w:cs="Times New Roman"/>
                      <w:color w:val="auto"/>
                      <w:sz w:val="21"/>
                      <w:szCs w:val="21"/>
                      <w:lang w:val="en-US" w:eastAsia="zh-CN"/>
                    </w:rPr>
                    <w:t>20</w:t>
                  </w:r>
                  <w:r>
                    <w:rPr>
                      <w:rFonts w:hint="default" w:ascii="Times New Roman" w:hAnsi="Times New Roman" w:eastAsia="仿宋" w:cs="Times New Roman"/>
                      <w:color w:val="auto"/>
                      <w:sz w:val="21"/>
                      <w:szCs w:val="21"/>
                      <w:lang w:val="en-US" w:eastAsia="zh-CN"/>
                    </w:rPr>
                    <w:t>次，打磨、抛光</w:t>
                  </w:r>
                  <w:r>
                    <w:rPr>
                      <w:rFonts w:hint="default" w:ascii="Times New Roman" w:hAnsi="Times New Roman" w:eastAsia="仿宋" w:cs="Times New Roman"/>
                      <w:color w:val="auto"/>
                      <w:sz w:val="21"/>
                      <w:szCs w:val="21"/>
                    </w:rPr>
                    <w:t>排风量</w:t>
                  </w:r>
                  <w:r>
                    <w:rPr>
                      <w:rFonts w:hint="default" w:ascii="Times New Roman" w:hAnsi="Times New Roman" w:eastAsia="仿宋" w:cs="Times New Roman"/>
                      <w:color w:val="auto"/>
                      <w:sz w:val="21"/>
                      <w:szCs w:val="21"/>
                      <w:lang w:val="en-US" w:eastAsia="zh-CN"/>
                    </w:rPr>
                    <w:t>L</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600</w:t>
                  </w:r>
                  <w:r>
                    <w:rPr>
                      <w:rFonts w:hint="default" w:ascii="Times New Roman" w:hAnsi="Times New Roman" w:eastAsia="仿宋" w:cs="Times New Roman"/>
                      <w:color w:val="auto"/>
                      <w:sz w:val="21"/>
                      <w:szCs w:val="21"/>
                    </w:rPr>
                    <w:t>×</w:t>
                  </w:r>
                  <w:r>
                    <w:rPr>
                      <w:rFonts w:hint="eastAsia" w:eastAsia="仿宋" w:cs="Times New Roman"/>
                      <w:color w:val="auto"/>
                      <w:sz w:val="21"/>
                      <w:szCs w:val="21"/>
                      <w:lang w:val="en-US" w:eastAsia="zh-CN"/>
                    </w:rPr>
                    <w:t>2</w:t>
                  </w:r>
                  <w:r>
                    <w:rPr>
                      <w:rFonts w:hint="default" w:ascii="Times New Roman" w:hAnsi="Times New Roman" w:eastAsia="仿宋" w:cs="Times New Roman"/>
                      <w:color w:val="auto"/>
                      <w:sz w:val="21"/>
                      <w:szCs w:val="21"/>
                      <w:lang w:val="en-US" w:eastAsia="zh-CN"/>
                    </w:rPr>
                    <w:t>0=</w:t>
                  </w:r>
                  <w:r>
                    <w:rPr>
                      <w:rFonts w:hint="eastAsia" w:eastAsia="仿宋" w:cs="Times New Roman"/>
                      <w:color w:val="auto"/>
                      <w:sz w:val="21"/>
                      <w:szCs w:val="21"/>
                      <w:lang w:val="en-US" w:eastAsia="zh-CN"/>
                    </w:rPr>
                    <w:t>12</w:t>
                  </w:r>
                  <w:r>
                    <w:rPr>
                      <w:rFonts w:hint="default" w:ascii="Times New Roman" w:hAnsi="Times New Roman" w:eastAsia="仿宋" w:cs="Times New Roman"/>
                      <w:color w:val="auto"/>
                      <w:sz w:val="21"/>
                      <w:szCs w:val="21"/>
                      <w:lang w:val="en-US" w:eastAsia="zh-CN"/>
                    </w:rPr>
                    <w:t>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636" w:type="pct"/>
                  <w:shd w:val="clear" w:color="auto" w:fill="auto"/>
                  <w:vAlign w:val="center"/>
                </w:tcPr>
                <w:p w14:paraId="3FA9BF42">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13</w:t>
                  </w:r>
                  <w:r>
                    <w:rPr>
                      <w:rFonts w:hint="default" w:ascii="Times New Roman" w:hAnsi="Times New Roman" w:eastAsia="仿宋" w:cs="Times New Roman"/>
                      <w:color w:val="auto"/>
                      <w:sz w:val="21"/>
                      <w:szCs w:val="21"/>
                      <w:lang w:val="en-US" w:eastAsia="zh-CN"/>
                    </w:rPr>
                    <w:t>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r>
            <w:tr w14:paraId="5AFFFE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340" w:hRule="atLeast"/>
                <w:jc w:val="center"/>
              </w:trPr>
              <w:tc>
                <w:tcPr>
                  <w:tcW w:w="786" w:type="pct"/>
                  <w:shd w:val="clear" w:color="auto" w:fill="auto"/>
                  <w:vAlign w:val="center"/>
                </w:tcPr>
                <w:p w14:paraId="480B17DC">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DA002</w:t>
                  </w:r>
                </w:p>
              </w:tc>
              <w:tc>
                <w:tcPr>
                  <w:tcW w:w="1099" w:type="pct"/>
                  <w:shd w:val="clear" w:color="auto" w:fill="auto"/>
                  <w:vAlign w:val="center"/>
                </w:tcPr>
                <w:p w14:paraId="10D79619">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焊接、喷砂</w:t>
                  </w:r>
                </w:p>
              </w:tc>
              <w:tc>
                <w:tcPr>
                  <w:tcW w:w="2478" w:type="pct"/>
                  <w:shd w:val="clear" w:color="auto" w:fill="auto"/>
                  <w:vAlign w:val="center"/>
                </w:tcPr>
                <w:p w14:paraId="4C06F23A">
                  <w:pPr>
                    <w:keepNext w:val="0"/>
                    <w:keepLines w:val="0"/>
                    <w:pageBreakBefore w:val="0"/>
                    <w:tabs>
                      <w:tab w:val="left" w:pos="1390"/>
                    </w:tabs>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项目设有</w:t>
                  </w:r>
                  <w:r>
                    <w:rPr>
                      <w:rFonts w:hint="default" w:ascii="Times New Roman" w:hAnsi="Times New Roman" w:eastAsia="仿宋" w:cs="Times New Roman"/>
                      <w:i w:val="0"/>
                      <w:iCs w:val="0"/>
                      <w:color w:val="auto"/>
                      <w:kern w:val="0"/>
                      <w:sz w:val="21"/>
                      <w:szCs w:val="21"/>
                      <w:u w:val="none"/>
                      <w:lang w:val="en-US" w:eastAsia="zh-CN" w:bidi="ar"/>
                    </w:rPr>
                    <w:t>4个焊接工位，</w:t>
                  </w:r>
                  <w:r>
                    <w:rPr>
                      <w:rFonts w:hint="default" w:ascii="Times New Roman" w:hAnsi="Times New Roman" w:eastAsia="仿宋" w:cs="Times New Roman"/>
                      <w:color w:val="auto"/>
                      <w:sz w:val="21"/>
                      <w:szCs w:val="21"/>
                    </w:rPr>
                    <w:t>设有</w:t>
                  </w:r>
                  <w:r>
                    <w:rPr>
                      <w:rFonts w:hint="default" w:ascii="Times New Roman" w:hAnsi="Times New Roman" w:eastAsia="仿宋" w:cs="Times New Roman"/>
                      <w:color w:val="auto"/>
                      <w:sz w:val="21"/>
                      <w:szCs w:val="21"/>
                      <w:lang w:val="en-US" w:eastAsia="zh-CN"/>
                    </w:rPr>
                    <w:t>4</w:t>
                  </w:r>
                  <w:r>
                    <w:rPr>
                      <w:rFonts w:hint="default" w:ascii="Times New Roman" w:hAnsi="Times New Roman" w:eastAsia="仿宋" w:cs="Times New Roman"/>
                      <w:color w:val="auto"/>
                      <w:sz w:val="21"/>
                      <w:szCs w:val="21"/>
                    </w:rPr>
                    <w:t>个</w:t>
                  </w:r>
                  <w:r>
                    <w:rPr>
                      <w:rFonts w:hint="default" w:ascii="Times New Roman" w:hAnsi="Times New Roman" w:eastAsia="仿宋" w:cs="Times New Roman"/>
                      <w:color w:val="auto"/>
                      <w:sz w:val="21"/>
                      <w:szCs w:val="21"/>
                      <w:lang w:val="en-US" w:eastAsia="zh-CN"/>
                    </w:rPr>
                    <w:t>集气罩</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4</w:t>
                  </w:r>
                  <w:r>
                    <w:rPr>
                      <w:rFonts w:hint="default" w:ascii="Times New Roman" w:hAnsi="Times New Roman" w:eastAsia="仿宋" w:cs="Times New Roman"/>
                      <w:color w:val="auto"/>
                      <w:sz w:val="21"/>
                      <w:szCs w:val="21"/>
                    </w:rPr>
                    <w:t>个</w:t>
                  </w:r>
                  <w:r>
                    <w:rPr>
                      <w:rFonts w:hint="default" w:ascii="Times New Roman" w:hAnsi="Times New Roman" w:eastAsia="仿宋" w:cs="Times New Roman"/>
                      <w:color w:val="auto"/>
                      <w:sz w:val="21"/>
                      <w:szCs w:val="21"/>
                      <w:lang w:val="en-US" w:eastAsia="zh-CN"/>
                    </w:rPr>
                    <w:t>集气罩</w:t>
                  </w:r>
                  <w:r>
                    <w:rPr>
                      <w:rFonts w:hint="default" w:ascii="Times New Roman" w:hAnsi="Times New Roman" w:eastAsia="仿宋" w:cs="Times New Roman"/>
                      <w:color w:val="auto"/>
                      <w:sz w:val="21"/>
                      <w:szCs w:val="21"/>
                    </w:rPr>
                    <w:t>排风量</w:t>
                  </w:r>
                  <w:r>
                    <w:rPr>
                      <w:rFonts w:hint="default" w:ascii="Times New Roman" w:hAnsi="Times New Roman" w:eastAsia="仿宋" w:cs="Times New Roman"/>
                      <w:color w:val="auto"/>
                      <w:sz w:val="21"/>
                      <w:szCs w:val="21"/>
                      <w:lang w:val="en-US" w:eastAsia="zh-CN"/>
                    </w:rPr>
                    <w:t>L</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2+2</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×0.</w:t>
                  </w:r>
                  <w:r>
                    <w:rPr>
                      <w:rFonts w:hint="default"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rPr>
                    <w:t>×0.</w:t>
                  </w:r>
                  <w:r>
                    <w:rPr>
                      <w:rFonts w:hint="default" w:ascii="Times New Roman" w:hAnsi="Times New Roman" w:eastAsia="仿宋" w:cs="Times New Roman"/>
                      <w:color w:val="auto"/>
                      <w:sz w:val="21"/>
                      <w:szCs w:val="21"/>
                      <w:lang w:val="en-US" w:eastAsia="zh-CN"/>
                    </w:rPr>
                    <w:t>4</w:t>
                  </w:r>
                  <w:r>
                    <w:rPr>
                      <w:rFonts w:hint="default" w:ascii="Times New Roman" w:hAnsi="Times New Roman" w:eastAsia="仿宋" w:cs="Times New Roman"/>
                      <w:color w:val="auto"/>
                      <w:sz w:val="21"/>
                      <w:szCs w:val="21"/>
                    </w:rPr>
                    <w:t>×3600×</w:t>
                  </w:r>
                  <w:r>
                    <w:rPr>
                      <w:rFonts w:hint="default" w:ascii="Times New Roman" w:hAnsi="Times New Roman" w:eastAsia="仿宋" w:cs="Times New Roman"/>
                      <w:color w:val="auto"/>
                      <w:sz w:val="21"/>
                      <w:szCs w:val="21"/>
                      <w:lang w:val="en-US" w:eastAsia="zh-CN"/>
                    </w:rPr>
                    <w:t>4=6912</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项目设有2</w:t>
                  </w:r>
                  <w:r>
                    <w:rPr>
                      <w:rFonts w:hint="default" w:ascii="Times New Roman" w:hAnsi="Times New Roman" w:eastAsia="仿宋" w:cs="Times New Roman"/>
                      <w:i w:val="0"/>
                      <w:iCs w:val="0"/>
                      <w:color w:val="auto"/>
                      <w:kern w:val="0"/>
                      <w:sz w:val="21"/>
                      <w:szCs w:val="21"/>
                      <w:u w:val="none"/>
                      <w:lang w:val="en-US" w:eastAsia="zh-CN" w:bidi="ar"/>
                    </w:rPr>
                    <w:t>台</w:t>
                  </w:r>
                  <w:r>
                    <w:rPr>
                      <w:rFonts w:hint="default" w:ascii="Times New Roman" w:hAnsi="Times New Roman" w:eastAsia="仿宋" w:cs="Times New Roman"/>
                      <w:color w:val="auto"/>
                      <w:sz w:val="21"/>
                      <w:szCs w:val="21"/>
                      <w:lang w:val="en-US" w:eastAsia="zh-CN"/>
                    </w:rPr>
                    <w:t>喷砂机</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喷砂机内部容积约3m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，每小时</w:t>
                  </w:r>
                  <w:r>
                    <w:rPr>
                      <w:rFonts w:hint="default" w:ascii="Times New Roman" w:hAnsi="Times New Roman" w:eastAsia="仿宋" w:cs="Times New Roman"/>
                      <w:bCs/>
                      <w:color w:val="auto"/>
                      <w:sz w:val="21"/>
                      <w:szCs w:val="21"/>
                      <w:highlight w:val="none"/>
                      <w:lang w:val="en-US" w:eastAsia="zh-CN"/>
                    </w:rPr>
                    <w:t>换气次数</w:t>
                  </w:r>
                  <w:r>
                    <w:rPr>
                      <w:rFonts w:hint="default" w:ascii="Times New Roman" w:hAnsi="Times New Roman" w:eastAsia="仿宋" w:cs="Times New Roman"/>
                      <w:color w:val="auto"/>
                      <w:sz w:val="21"/>
                      <w:szCs w:val="21"/>
                      <w:lang w:val="en-US" w:eastAsia="zh-CN"/>
                    </w:rPr>
                    <w:t>为60次，2台喷砂机</w:t>
                  </w:r>
                  <w:r>
                    <w:rPr>
                      <w:rFonts w:hint="default" w:ascii="Times New Roman" w:hAnsi="Times New Roman" w:eastAsia="仿宋" w:cs="Times New Roman"/>
                      <w:color w:val="auto"/>
                      <w:sz w:val="21"/>
                      <w:szCs w:val="21"/>
                    </w:rPr>
                    <w:t>排风量</w:t>
                  </w:r>
                  <w:r>
                    <w:rPr>
                      <w:rFonts w:hint="default" w:ascii="Times New Roman" w:hAnsi="Times New Roman" w:eastAsia="仿宋" w:cs="Times New Roman"/>
                      <w:color w:val="auto"/>
                      <w:sz w:val="21"/>
                      <w:szCs w:val="21"/>
                      <w:lang w:val="en-US" w:eastAsia="zh-CN"/>
                    </w:rPr>
                    <w:t>L</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60</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2=360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r>
                    <w:rPr>
                      <w:rFonts w:hint="default" w:ascii="Times New Roman" w:hAnsi="Times New Roman" w:eastAsia="仿宋" w:cs="Times New Roman"/>
                      <w:color w:val="auto"/>
                      <w:sz w:val="21"/>
                      <w:szCs w:val="21"/>
                      <w:lang w:val="en-US" w:eastAsia="zh-CN"/>
                    </w:rPr>
                    <w:t>，则该系统总排风量为6912+360</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7272</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r>
                    <w:rPr>
                      <w:rFonts w:hint="default" w:ascii="Times New Roman" w:hAnsi="Times New Roman" w:eastAsia="仿宋" w:cs="Times New Roman"/>
                      <w:color w:val="auto"/>
                      <w:sz w:val="21"/>
                      <w:szCs w:val="21"/>
                      <w:lang w:eastAsia="zh-CN"/>
                    </w:rPr>
                    <w:t>。</w:t>
                  </w:r>
                </w:p>
              </w:tc>
              <w:tc>
                <w:tcPr>
                  <w:tcW w:w="636" w:type="pct"/>
                  <w:shd w:val="clear" w:color="auto" w:fill="auto"/>
                  <w:vAlign w:val="center"/>
                </w:tcPr>
                <w:p w14:paraId="3742006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r>
            <w:tr w14:paraId="18C966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340" w:hRule="atLeast"/>
                <w:jc w:val="center"/>
              </w:trPr>
              <w:tc>
                <w:tcPr>
                  <w:tcW w:w="786" w:type="pct"/>
                  <w:shd w:val="clear" w:color="auto" w:fill="auto"/>
                  <w:vAlign w:val="center"/>
                </w:tcPr>
                <w:p w14:paraId="6FD6C2BB">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lang w:val="en-US" w:eastAsia="zh-CN"/>
                    </w:rPr>
                    <w:t>DA003</w:t>
                  </w:r>
                </w:p>
              </w:tc>
              <w:tc>
                <w:tcPr>
                  <w:tcW w:w="1099" w:type="pct"/>
                  <w:shd w:val="clear" w:color="auto" w:fill="auto"/>
                  <w:vAlign w:val="center"/>
                </w:tcPr>
                <w:p w14:paraId="3F00444D">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highlight w:val="none"/>
                      <w:lang w:val="en-US" w:eastAsia="zh-CN"/>
                    </w:rPr>
                    <w:t>调漆、喷漆、烘干</w:t>
                  </w:r>
                </w:p>
              </w:tc>
              <w:tc>
                <w:tcPr>
                  <w:tcW w:w="2478" w:type="pct"/>
                  <w:shd w:val="clear" w:color="auto" w:fill="auto"/>
                  <w:vAlign w:val="center"/>
                </w:tcPr>
                <w:p w14:paraId="032492EC">
                  <w:pPr>
                    <w:keepNext w:val="0"/>
                    <w:keepLines w:val="0"/>
                    <w:pageBreakBefore w:val="0"/>
                    <w:tabs>
                      <w:tab w:val="left" w:pos="1390"/>
                    </w:tabs>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车间设有1个喷漆房、</w:t>
                  </w:r>
                  <w:r>
                    <w:rPr>
                      <w:rFonts w:hint="default" w:ascii="Times New Roman" w:hAnsi="Times New Roman" w:eastAsia="仿宋" w:cs="Times New Roman"/>
                      <w:i w:val="0"/>
                      <w:iCs w:val="0"/>
                      <w:color w:val="auto"/>
                      <w:kern w:val="0"/>
                      <w:sz w:val="21"/>
                      <w:szCs w:val="21"/>
                      <w:u w:val="none"/>
                      <w:lang w:val="en-US" w:eastAsia="zh-CN" w:bidi="ar"/>
                    </w:rPr>
                    <w:t>1</w:t>
                  </w:r>
                  <w:r>
                    <w:rPr>
                      <w:rFonts w:hint="default" w:ascii="Times New Roman" w:hAnsi="Times New Roman" w:eastAsia="仿宋" w:cs="Times New Roman"/>
                      <w:color w:val="auto"/>
                      <w:sz w:val="21"/>
                      <w:szCs w:val="21"/>
                      <w:lang w:val="en-US" w:eastAsia="zh-CN"/>
                    </w:rPr>
                    <w:t>个</w:t>
                  </w:r>
                  <w:r>
                    <w:rPr>
                      <w:rFonts w:hint="default" w:ascii="Times New Roman" w:hAnsi="Times New Roman" w:eastAsia="仿宋" w:cs="Times New Roman"/>
                      <w:i w:val="0"/>
                      <w:iCs w:val="0"/>
                      <w:color w:val="auto"/>
                      <w:kern w:val="0"/>
                      <w:sz w:val="21"/>
                      <w:szCs w:val="21"/>
                      <w:u w:val="none"/>
                      <w:lang w:val="en-US" w:eastAsia="zh-CN" w:bidi="ar"/>
                    </w:rPr>
                    <w:t>烘房</w:t>
                  </w:r>
                  <w:r>
                    <w:rPr>
                      <w:rFonts w:hint="default" w:ascii="Times New Roman" w:hAnsi="Times New Roman" w:eastAsia="仿宋" w:cs="Times New Roman"/>
                      <w:color w:val="auto"/>
                      <w:sz w:val="21"/>
                      <w:szCs w:val="21"/>
                      <w:lang w:val="en-US" w:eastAsia="zh-CN"/>
                    </w:rPr>
                    <w:t>，喷漆房体积为240m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，每小时</w:t>
                  </w:r>
                  <w:r>
                    <w:rPr>
                      <w:rFonts w:hint="default" w:ascii="Times New Roman" w:hAnsi="Times New Roman" w:eastAsia="仿宋" w:cs="Times New Roman"/>
                      <w:bCs/>
                      <w:color w:val="auto"/>
                      <w:sz w:val="21"/>
                      <w:szCs w:val="21"/>
                      <w:highlight w:val="none"/>
                      <w:lang w:val="en-US" w:eastAsia="zh-CN"/>
                    </w:rPr>
                    <w:t>换气次数</w:t>
                  </w:r>
                  <w:r>
                    <w:rPr>
                      <w:rFonts w:hint="default" w:ascii="Times New Roman" w:hAnsi="Times New Roman" w:eastAsia="仿宋" w:cs="Times New Roman"/>
                      <w:color w:val="auto"/>
                      <w:sz w:val="21"/>
                      <w:szCs w:val="21"/>
                      <w:lang w:val="en-US" w:eastAsia="zh-CN"/>
                    </w:rPr>
                    <w:t>为40次，喷漆房</w:t>
                  </w:r>
                  <w:r>
                    <w:rPr>
                      <w:rFonts w:hint="default" w:ascii="Times New Roman" w:hAnsi="Times New Roman" w:eastAsia="仿宋" w:cs="Times New Roman"/>
                      <w:color w:val="auto"/>
                      <w:sz w:val="21"/>
                      <w:szCs w:val="21"/>
                    </w:rPr>
                    <w:t>排风量</w:t>
                  </w:r>
                  <w:r>
                    <w:rPr>
                      <w:rFonts w:hint="default" w:ascii="Times New Roman" w:hAnsi="Times New Roman" w:eastAsia="仿宋" w:cs="Times New Roman"/>
                      <w:color w:val="auto"/>
                      <w:sz w:val="21"/>
                      <w:szCs w:val="21"/>
                      <w:lang w:val="en-US" w:eastAsia="zh-CN"/>
                    </w:rPr>
                    <w:t>L</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240</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40=9600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i w:val="0"/>
                      <w:iCs w:val="0"/>
                      <w:color w:val="auto"/>
                      <w:kern w:val="0"/>
                      <w:sz w:val="21"/>
                      <w:szCs w:val="21"/>
                      <w:u w:val="none"/>
                      <w:lang w:val="en-US" w:eastAsia="zh-CN" w:bidi="ar"/>
                    </w:rPr>
                    <w:t>烘房</w:t>
                  </w:r>
                  <w:r>
                    <w:rPr>
                      <w:rFonts w:hint="default" w:ascii="Times New Roman" w:hAnsi="Times New Roman" w:eastAsia="仿宋" w:cs="Times New Roman"/>
                      <w:color w:val="auto"/>
                      <w:sz w:val="21"/>
                      <w:szCs w:val="21"/>
                      <w:lang w:val="en-US" w:eastAsia="zh-CN"/>
                    </w:rPr>
                    <w:t>体积为</w:t>
                  </w:r>
                  <w:r>
                    <w:rPr>
                      <w:rFonts w:hint="default" w:ascii="Times New Roman" w:hAnsi="Times New Roman" w:eastAsia="仿宋" w:cs="Times New Roman"/>
                      <w:color w:val="auto"/>
                      <w:kern w:val="0"/>
                      <w:sz w:val="21"/>
                      <w:szCs w:val="21"/>
                      <w:lang w:val="en-US" w:eastAsia="zh-CN"/>
                    </w:rPr>
                    <w:t>396</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，每小时</w:t>
                  </w:r>
                  <w:r>
                    <w:rPr>
                      <w:rFonts w:hint="default" w:ascii="Times New Roman" w:hAnsi="Times New Roman" w:eastAsia="仿宋" w:cs="Times New Roman"/>
                      <w:bCs/>
                      <w:color w:val="auto"/>
                      <w:sz w:val="21"/>
                      <w:szCs w:val="21"/>
                      <w:highlight w:val="none"/>
                      <w:lang w:val="en-US" w:eastAsia="zh-CN"/>
                    </w:rPr>
                    <w:t>换气次数</w:t>
                  </w:r>
                  <w:r>
                    <w:rPr>
                      <w:rFonts w:hint="default" w:ascii="Times New Roman" w:hAnsi="Times New Roman" w:eastAsia="仿宋" w:cs="Times New Roman"/>
                      <w:color w:val="auto"/>
                      <w:sz w:val="21"/>
                      <w:szCs w:val="21"/>
                      <w:lang w:val="en-US" w:eastAsia="zh-CN"/>
                    </w:rPr>
                    <w:t>为20次，</w:t>
                  </w:r>
                  <w:r>
                    <w:rPr>
                      <w:rFonts w:hint="default" w:ascii="Times New Roman" w:hAnsi="Times New Roman" w:eastAsia="仿宋" w:cs="Times New Roman"/>
                      <w:i w:val="0"/>
                      <w:iCs w:val="0"/>
                      <w:color w:val="auto"/>
                      <w:kern w:val="0"/>
                      <w:sz w:val="21"/>
                      <w:szCs w:val="21"/>
                      <w:u w:val="none"/>
                      <w:lang w:val="en-US" w:eastAsia="zh-CN" w:bidi="ar"/>
                    </w:rPr>
                    <w:t>烘房</w:t>
                  </w:r>
                  <w:r>
                    <w:rPr>
                      <w:rFonts w:hint="default" w:ascii="Times New Roman" w:hAnsi="Times New Roman" w:eastAsia="仿宋" w:cs="Times New Roman"/>
                      <w:color w:val="auto"/>
                      <w:sz w:val="21"/>
                      <w:szCs w:val="21"/>
                    </w:rPr>
                    <w:t>排风量</w:t>
                  </w:r>
                  <w:r>
                    <w:rPr>
                      <w:rFonts w:hint="default" w:ascii="Times New Roman" w:hAnsi="Times New Roman" w:eastAsia="仿宋" w:cs="Times New Roman"/>
                      <w:color w:val="auto"/>
                      <w:sz w:val="21"/>
                      <w:szCs w:val="21"/>
                      <w:lang w:val="en-US" w:eastAsia="zh-CN"/>
                    </w:rPr>
                    <w:t>L</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396</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20=7920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则该系统总排风量为9600+7920</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17520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636" w:type="pct"/>
                  <w:shd w:val="clear" w:color="auto" w:fill="auto"/>
                  <w:vAlign w:val="center"/>
                </w:tcPr>
                <w:p w14:paraId="3C03C1F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r>
            <w:tr w14:paraId="79C488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340" w:hRule="atLeast"/>
                <w:jc w:val="center"/>
              </w:trPr>
              <w:tc>
                <w:tcPr>
                  <w:tcW w:w="786" w:type="pct"/>
                  <w:shd w:val="clear" w:color="auto" w:fill="auto"/>
                  <w:vAlign w:val="center"/>
                </w:tcPr>
                <w:p w14:paraId="20C76532">
                  <w:pPr>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sz w:val="21"/>
                      <w:szCs w:val="21"/>
                      <w:lang w:val="en-US" w:eastAsia="zh-CN"/>
                    </w:rPr>
                    <w:t>DA004</w:t>
                  </w:r>
                </w:p>
              </w:tc>
              <w:tc>
                <w:tcPr>
                  <w:tcW w:w="1099" w:type="pct"/>
                  <w:shd w:val="clear" w:color="auto" w:fill="auto"/>
                  <w:vAlign w:val="center"/>
                </w:tcPr>
                <w:p w14:paraId="754D3AD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bidi="ar"/>
                    </w:rPr>
                    <w:t>危废库房</w:t>
                  </w:r>
                </w:p>
              </w:tc>
              <w:tc>
                <w:tcPr>
                  <w:tcW w:w="2478" w:type="pct"/>
                  <w:shd w:val="clear" w:color="auto" w:fill="auto"/>
                  <w:vAlign w:val="center"/>
                </w:tcPr>
                <w:p w14:paraId="596B98AC">
                  <w:pPr>
                    <w:keepNext w:val="0"/>
                    <w:keepLines w:val="0"/>
                    <w:pageBreakBefore w:val="0"/>
                    <w:tabs>
                      <w:tab w:val="left" w:pos="1390"/>
                    </w:tabs>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项目设有</w:t>
                  </w:r>
                  <w:r>
                    <w:rPr>
                      <w:rFonts w:hint="default" w:ascii="Times New Roman" w:hAnsi="Times New Roman" w:eastAsia="仿宋" w:cs="Times New Roman"/>
                      <w:i w:val="0"/>
                      <w:iCs w:val="0"/>
                      <w:color w:val="auto"/>
                      <w:kern w:val="0"/>
                      <w:sz w:val="21"/>
                      <w:szCs w:val="21"/>
                      <w:u w:val="none"/>
                      <w:lang w:val="en-US" w:eastAsia="zh-CN" w:bidi="ar"/>
                    </w:rPr>
                    <w:t>1个危废库房</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体积为40m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，每小时</w:t>
                  </w:r>
                  <w:r>
                    <w:rPr>
                      <w:rFonts w:hint="default" w:ascii="Times New Roman" w:hAnsi="Times New Roman" w:eastAsia="仿宋" w:cs="Times New Roman"/>
                      <w:bCs/>
                      <w:color w:val="auto"/>
                      <w:sz w:val="21"/>
                      <w:szCs w:val="21"/>
                      <w:highlight w:val="none"/>
                      <w:lang w:val="en-US" w:eastAsia="zh-CN"/>
                    </w:rPr>
                    <w:t>换气次数</w:t>
                  </w:r>
                  <w:r>
                    <w:rPr>
                      <w:rFonts w:hint="default" w:ascii="Times New Roman" w:hAnsi="Times New Roman" w:eastAsia="仿宋" w:cs="Times New Roman"/>
                      <w:color w:val="auto"/>
                      <w:sz w:val="21"/>
                      <w:szCs w:val="21"/>
                      <w:lang w:val="en-US" w:eastAsia="zh-CN"/>
                    </w:rPr>
                    <w:t>为20次，危废库房</w:t>
                  </w:r>
                  <w:r>
                    <w:rPr>
                      <w:rFonts w:hint="default" w:ascii="Times New Roman" w:hAnsi="Times New Roman" w:eastAsia="仿宋" w:cs="Times New Roman"/>
                      <w:color w:val="auto"/>
                      <w:sz w:val="21"/>
                      <w:szCs w:val="21"/>
                    </w:rPr>
                    <w:t>排风量</w:t>
                  </w:r>
                  <w:r>
                    <w:rPr>
                      <w:rFonts w:hint="default" w:ascii="Times New Roman" w:hAnsi="Times New Roman" w:eastAsia="仿宋" w:cs="Times New Roman"/>
                      <w:color w:val="auto"/>
                      <w:sz w:val="21"/>
                      <w:szCs w:val="21"/>
                      <w:lang w:val="en-US" w:eastAsia="zh-CN"/>
                    </w:rPr>
                    <w:t>L</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40</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20=800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636" w:type="pct"/>
                  <w:shd w:val="clear" w:color="auto" w:fill="auto"/>
                  <w:vAlign w:val="center"/>
                </w:tcPr>
                <w:p w14:paraId="6D8364AD">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r>
          </w:tbl>
          <w:p w14:paraId="481B5C01">
            <w:pPr>
              <w:adjustRightInd w:val="0"/>
              <w:snapToGrid w:val="0"/>
              <w:jc w:val="center"/>
              <w:rPr>
                <w:rFonts w:hint="default" w:ascii="Times New Roman" w:hAnsi="Times New Roman" w:eastAsia="仿宋" w:cs="Times New Roman"/>
                <w:b/>
                <w:bCs/>
                <w:color w:val="auto"/>
                <w:sz w:val="21"/>
                <w:szCs w:val="21"/>
                <w:highlight w:val="none"/>
              </w:rPr>
            </w:pPr>
          </w:p>
          <w:p w14:paraId="72DD1CB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Cs/>
                <w:color w:val="auto"/>
                <w:sz w:val="24"/>
                <w:szCs w:val="24"/>
                <w:highlight w:val="none"/>
              </w:rPr>
              <w:t>由表</w:t>
            </w:r>
            <w:r>
              <w:rPr>
                <w:rFonts w:hint="default" w:ascii="Times New Roman" w:hAnsi="Times New Roman" w:eastAsia="仿宋" w:cs="Times New Roman"/>
                <w:bCs/>
                <w:color w:val="auto"/>
                <w:sz w:val="24"/>
                <w:szCs w:val="24"/>
                <w:highlight w:val="none"/>
                <w:lang w:val="en-US" w:eastAsia="zh-CN"/>
              </w:rPr>
              <w:t>4-1</w:t>
            </w:r>
            <w:r>
              <w:rPr>
                <w:rFonts w:hint="default" w:ascii="Times New Roman" w:hAnsi="Times New Roman" w:eastAsia="仿宋" w:cs="Times New Roman"/>
                <w:bCs/>
                <w:color w:val="auto"/>
                <w:sz w:val="24"/>
                <w:szCs w:val="24"/>
                <w:highlight w:val="none"/>
              </w:rPr>
              <w:t>可知，本项目</w:t>
            </w:r>
            <w:r>
              <w:rPr>
                <w:rFonts w:hint="default" w:ascii="Times New Roman" w:hAnsi="Times New Roman" w:eastAsia="仿宋" w:cs="Times New Roman"/>
                <w:color w:val="auto"/>
                <w:sz w:val="24"/>
                <w:szCs w:val="24"/>
                <w:lang w:val="en-US" w:eastAsia="zh-CN"/>
              </w:rPr>
              <w:t>DA001</w:t>
            </w:r>
            <w:r>
              <w:rPr>
                <w:rFonts w:hint="default" w:ascii="Times New Roman" w:hAnsi="Times New Roman" w:eastAsia="仿宋" w:cs="Times New Roman"/>
                <w:color w:val="auto"/>
                <w:sz w:val="24"/>
                <w:szCs w:val="24"/>
                <w:highlight w:val="none"/>
                <w:lang w:eastAsia="zh-CN"/>
              </w:rPr>
              <w:t>排气筒</w:t>
            </w:r>
            <w:r>
              <w:rPr>
                <w:rFonts w:hint="default" w:ascii="Times New Roman" w:hAnsi="Times New Roman" w:eastAsia="仿宋" w:cs="Times New Roman"/>
                <w:bCs/>
                <w:color w:val="auto"/>
                <w:sz w:val="24"/>
                <w:szCs w:val="24"/>
                <w:highlight w:val="none"/>
              </w:rPr>
              <w:t>拟设计风量为</w:t>
            </w:r>
            <w:r>
              <w:rPr>
                <w:rFonts w:hint="eastAsia" w:eastAsia="仿宋" w:cs="Times New Roman"/>
                <w:bCs/>
                <w:color w:val="auto"/>
                <w:sz w:val="24"/>
                <w:szCs w:val="24"/>
                <w:highlight w:val="none"/>
                <w:lang w:val="en-US" w:eastAsia="zh-CN"/>
              </w:rPr>
              <w:t>13000</w:t>
            </w:r>
            <w:r>
              <w:rPr>
                <w:rFonts w:hint="default" w:ascii="Times New Roman" w:hAnsi="Times New Roman" w:eastAsia="仿宋" w:cs="Times New Roman"/>
                <w:bCs/>
                <w:color w:val="auto"/>
                <w:sz w:val="24"/>
                <w:szCs w:val="24"/>
                <w:highlight w:val="none"/>
              </w:rPr>
              <w:t>m</w:t>
            </w:r>
            <w:r>
              <w:rPr>
                <w:rFonts w:hint="default" w:ascii="Times New Roman" w:hAnsi="Times New Roman" w:eastAsia="仿宋" w:cs="Times New Roman"/>
                <w:bCs/>
                <w:color w:val="auto"/>
                <w:sz w:val="24"/>
                <w:szCs w:val="24"/>
                <w:highlight w:val="none"/>
                <w:vertAlign w:val="superscript"/>
              </w:rPr>
              <w:t>3</w:t>
            </w:r>
            <w:r>
              <w:rPr>
                <w:rFonts w:hint="default" w:ascii="Times New Roman" w:hAnsi="Times New Roman" w:eastAsia="仿宋" w:cs="Times New Roman"/>
                <w:bCs/>
                <w:color w:val="auto"/>
                <w:sz w:val="24"/>
                <w:szCs w:val="24"/>
                <w:highlight w:val="none"/>
              </w:rPr>
              <w:t>/h</w:t>
            </w:r>
            <w:r>
              <w:rPr>
                <w:rFonts w:hint="default" w:ascii="Times New Roman" w:hAnsi="Times New Roman" w:eastAsia="仿宋" w:cs="Times New Roman"/>
                <w:bCs/>
                <w:color w:val="auto"/>
                <w:sz w:val="24"/>
                <w:szCs w:val="24"/>
                <w:highlight w:val="none"/>
                <w:lang w:eastAsia="zh-CN"/>
              </w:rPr>
              <w:t>，</w:t>
            </w:r>
            <w:r>
              <w:rPr>
                <w:rFonts w:hint="default" w:ascii="Times New Roman" w:hAnsi="Times New Roman" w:eastAsia="仿宋" w:cs="Times New Roman"/>
                <w:color w:val="auto"/>
                <w:sz w:val="24"/>
                <w:szCs w:val="24"/>
                <w:lang w:val="en-US" w:eastAsia="zh-CN"/>
              </w:rPr>
              <w:t>DA002</w:t>
            </w:r>
            <w:r>
              <w:rPr>
                <w:rFonts w:hint="default" w:ascii="Times New Roman" w:hAnsi="Times New Roman" w:eastAsia="仿宋" w:cs="Times New Roman"/>
                <w:color w:val="auto"/>
                <w:sz w:val="24"/>
                <w:szCs w:val="24"/>
                <w:highlight w:val="none"/>
                <w:lang w:eastAsia="zh-CN"/>
              </w:rPr>
              <w:t>排气筒</w:t>
            </w:r>
            <w:r>
              <w:rPr>
                <w:rFonts w:hint="default" w:ascii="Times New Roman" w:hAnsi="Times New Roman" w:eastAsia="仿宋" w:cs="Times New Roman"/>
                <w:bCs/>
                <w:color w:val="auto"/>
                <w:sz w:val="24"/>
                <w:szCs w:val="24"/>
                <w:highlight w:val="none"/>
              </w:rPr>
              <w:t>拟设计风量为</w:t>
            </w:r>
            <w:r>
              <w:rPr>
                <w:rFonts w:hint="eastAsia" w:eastAsia="仿宋" w:cs="Times New Roman"/>
                <w:bCs/>
                <w:color w:val="auto"/>
                <w:sz w:val="24"/>
                <w:szCs w:val="24"/>
                <w:highlight w:val="none"/>
                <w:lang w:val="en-US" w:eastAsia="zh-CN"/>
              </w:rPr>
              <w:t>8000</w:t>
            </w:r>
            <w:r>
              <w:rPr>
                <w:rFonts w:hint="default" w:ascii="Times New Roman" w:hAnsi="Times New Roman" w:eastAsia="仿宋" w:cs="Times New Roman"/>
                <w:bCs/>
                <w:color w:val="auto"/>
                <w:sz w:val="24"/>
                <w:szCs w:val="24"/>
                <w:highlight w:val="none"/>
              </w:rPr>
              <w:t>m</w:t>
            </w:r>
            <w:r>
              <w:rPr>
                <w:rFonts w:hint="default" w:ascii="Times New Roman" w:hAnsi="Times New Roman" w:eastAsia="仿宋" w:cs="Times New Roman"/>
                <w:bCs/>
                <w:color w:val="auto"/>
                <w:sz w:val="24"/>
                <w:szCs w:val="24"/>
                <w:highlight w:val="none"/>
                <w:vertAlign w:val="superscript"/>
              </w:rPr>
              <w:t>3</w:t>
            </w:r>
            <w:r>
              <w:rPr>
                <w:rFonts w:hint="default" w:ascii="Times New Roman" w:hAnsi="Times New Roman" w:eastAsia="仿宋" w:cs="Times New Roman"/>
                <w:bCs/>
                <w:color w:val="auto"/>
                <w:sz w:val="24"/>
                <w:szCs w:val="24"/>
                <w:highlight w:val="none"/>
              </w:rPr>
              <w:t>/h</w:t>
            </w:r>
            <w:r>
              <w:rPr>
                <w:rFonts w:hint="default" w:ascii="Times New Roman" w:hAnsi="Times New Roman" w:eastAsia="仿宋" w:cs="Times New Roman"/>
                <w:bCs/>
                <w:color w:val="auto"/>
                <w:sz w:val="24"/>
                <w:szCs w:val="24"/>
                <w:highlight w:val="none"/>
                <w:lang w:eastAsia="zh-CN"/>
              </w:rPr>
              <w:t>，</w:t>
            </w:r>
            <w:r>
              <w:rPr>
                <w:rFonts w:hint="default" w:ascii="Times New Roman" w:hAnsi="Times New Roman" w:eastAsia="仿宋" w:cs="Times New Roman"/>
                <w:color w:val="auto"/>
                <w:sz w:val="24"/>
                <w:szCs w:val="24"/>
                <w:lang w:val="en-US" w:eastAsia="zh-CN"/>
              </w:rPr>
              <w:t>DA003</w:t>
            </w:r>
            <w:r>
              <w:rPr>
                <w:rFonts w:hint="default" w:ascii="Times New Roman" w:hAnsi="Times New Roman" w:eastAsia="仿宋" w:cs="Times New Roman"/>
                <w:color w:val="auto"/>
                <w:sz w:val="24"/>
                <w:szCs w:val="24"/>
                <w:highlight w:val="none"/>
                <w:lang w:eastAsia="zh-CN"/>
              </w:rPr>
              <w:t>排气筒</w:t>
            </w:r>
            <w:r>
              <w:rPr>
                <w:rFonts w:hint="default" w:ascii="Times New Roman" w:hAnsi="Times New Roman" w:eastAsia="仿宋" w:cs="Times New Roman"/>
                <w:bCs/>
                <w:color w:val="auto"/>
                <w:sz w:val="24"/>
                <w:szCs w:val="24"/>
                <w:highlight w:val="none"/>
              </w:rPr>
              <w:t>拟设计风量为</w:t>
            </w:r>
            <w:r>
              <w:rPr>
                <w:rFonts w:hint="eastAsia" w:eastAsia="仿宋" w:cs="Times New Roman"/>
                <w:bCs/>
                <w:color w:val="auto"/>
                <w:sz w:val="24"/>
                <w:szCs w:val="24"/>
                <w:highlight w:val="none"/>
                <w:lang w:val="en-US" w:eastAsia="zh-CN"/>
              </w:rPr>
              <w:t>18000</w:t>
            </w:r>
            <w:r>
              <w:rPr>
                <w:rFonts w:hint="default" w:ascii="Times New Roman" w:hAnsi="Times New Roman" w:eastAsia="仿宋" w:cs="Times New Roman"/>
                <w:bCs/>
                <w:color w:val="auto"/>
                <w:sz w:val="24"/>
                <w:szCs w:val="24"/>
                <w:highlight w:val="none"/>
              </w:rPr>
              <w:t>m</w:t>
            </w:r>
            <w:r>
              <w:rPr>
                <w:rFonts w:hint="default" w:ascii="Times New Roman" w:hAnsi="Times New Roman" w:eastAsia="仿宋" w:cs="Times New Roman"/>
                <w:bCs/>
                <w:color w:val="auto"/>
                <w:sz w:val="24"/>
                <w:szCs w:val="24"/>
                <w:highlight w:val="none"/>
                <w:vertAlign w:val="superscript"/>
              </w:rPr>
              <w:t>3</w:t>
            </w:r>
            <w:r>
              <w:rPr>
                <w:rFonts w:hint="default" w:ascii="Times New Roman" w:hAnsi="Times New Roman" w:eastAsia="仿宋" w:cs="Times New Roman"/>
                <w:bCs/>
                <w:color w:val="auto"/>
                <w:sz w:val="24"/>
                <w:szCs w:val="24"/>
                <w:highlight w:val="none"/>
              </w:rPr>
              <w:t>/h</w:t>
            </w:r>
            <w:r>
              <w:rPr>
                <w:rFonts w:hint="default" w:ascii="Times New Roman" w:hAnsi="Times New Roman" w:eastAsia="仿宋" w:cs="Times New Roman"/>
                <w:bCs/>
                <w:color w:val="auto"/>
                <w:sz w:val="24"/>
                <w:szCs w:val="24"/>
                <w:highlight w:val="none"/>
                <w:lang w:eastAsia="zh-CN"/>
              </w:rPr>
              <w:t>，</w:t>
            </w:r>
            <w:r>
              <w:rPr>
                <w:rFonts w:hint="default" w:ascii="Times New Roman" w:hAnsi="Times New Roman" w:eastAsia="仿宋" w:cs="Times New Roman"/>
                <w:color w:val="auto"/>
                <w:sz w:val="24"/>
                <w:szCs w:val="24"/>
                <w:lang w:val="en-US" w:eastAsia="zh-CN"/>
              </w:rPr>
              <w:t>DA004</w:t>
            </w:r>
            <w:r>
              <w:rPr>
                <w:rFonts w:hint="default" w:ascii="Times New Roman" w:hAnsi="Times New Roman" w:eastAsia="仿宋" w:cs="Times New Roman"/>
                <w:color w:val="auto"/>
                <w:sz w:val="24"/>
                <w:szCs w:val="24"/>
                <w:highlight w:val="none"/>
                <w:lang w:eastAsia="zh-CN"/>
              </w:rPr>
              <w:t>排气筒</w:t>
            </w:r>
            <w:r>
              <w:rPr>
                <w:rFonts w:hint="default" w:ascii="Times New Roman" w:hAnsi="Times New Roman" w:eastAsia="仿宋" w:cs="Times New Roman"/>
                <w:bCs/>
                <w:color w:val="auto"/>
                <w:sz w:val="24"/>
                <w:szCs w:val="24"/>
                <w:highlight w:val="none"/>
              </w:rPr>
              <w:t>拟设计风量为</w:t>
            </w:r>
            <w:r>
              <w:rPr>
                <w:rFonts w:hint="default" w:ascii="Times New Roman" w:hAnsi="Times New Roman" w:eastAsia="仿宋" w:cs="Times New Roman"/>
                <w:bCs/>
                <w:color w:val="auto"/>
                <w:sz w:val="24"/>
                <w:szCs w:val="24"/>
                <w:highlight w:val="none"/>
                <w:lang w:val="en-US" w:eastAsia="zh-CN"/>
              </w:rPr>
              <w:t>1000</w:t>
            </w:r>
            <w:r>
              <w:rPr>
                <w:rFonts w:hint="default" w:ascii="Times New Roman" w:hAnsi="Times New Roman" w:eastAsia="仿宋" w:cs="Times New Roman"/>
                <w:bCs/>
                <w:color w:val="auto"/>
                <w:sz w:val="24"/>
                <w:szCs w:val="24"/>
                <w:highlight w:val="none"/>
              </w:rPr>
              <w:t>m</w:t>
            </w:r>
            <w:r>
              <w:rPr>
                <w:rFonts w:hint="default" w:ascii="Times New Roman" w:hAnsi="Times New Roman" w:eastAsia="仿宋" w:cs="Times New Roman"/>
                <w:bCs/>
                <w:color w:val="auto"/>
                <w:sz w:val="24"/>
                <w:szCs w:val="24"/>
                <w:highlight w:val="none"/>
                <w:vertAlign w:val="superscript"/>
              </w:rPr>
              <w:t>3</w:t>
            </w:r>
            <w:r>
              <w:rPr>
                <w:rFonts w:hint="default" w:ascii="Times New Roman" w:hAnsi="Times New Roman" w:eastAsia="仿宋" w:cs="Times New Roman"/>
                <w:bCs/>
                <w:color w:val="auto"/>
                <w:sz w:val="24"/>
                <w:szCs w:val="24"/>
                <w:highlight w:val="none"/>
              </w:rPr>
              <w:t>/h。</w:t>
            </w:r>
          </w:p>
          <w:p w14:paraId="0F4A9A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bCs/>
                <w:color w:val="auto"/>
                <w:sz w:val="24"/>
                <w:szCs w:val="24"/>
                <w:lang w:val="en-US" w:eastAsia="zh-CN"/>
              </w:rPr>
              <w:t>(2)有组织</w:t>
            </w:r>
            <w:r>
              <w:rPr>
                <w:rFonts w:hint="default" w:ascii="Times New Roman" w:hAnsi="Times New Roman" w:eastAsia="仿宋" w:cs="Times New Roman"/>
                <w:color w:val="auto"/>
                <w:sz w:val="24"/>
                <w:szCs w:val="24"/>
                <w:highlight w:val="none"/>
                <w:lang w:val="en-US" w:eastAsia="zh-CN"/>
              </w:rPr>
              <w:t>废气污染防治措施概述</w:t>
            </w:r>
          </w:p>
          <w:p w14:paraId="50F5F7AE">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1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①</w:t>
            </w:r>
            <w:r>
              <w:rPr>
                <w:rFonts w:hint="default" w:ascii="Times New Roman" w:hAnsi="Times New Roman" w:eastAsia="仿宋" w:cs="Times New Roman"/>
                <w:color w:val="auto"/>
                <w:sz w:val="24"/>
                <w:szCs w:val="24"/>
              </w:rPr>
              <w:fldChar w:fldCharType="end"/>
            </w:r>
            <w:r>
              <w:rPr>
                <w:rFonts w:hint="eastAsia" w:ascii="Times New Roman" w:hAnsi="Times New Roman" w:eastAsia="仿宋" w:cs="Times New Roman"/>
                <w:color w:val="auto"/>
                <w:sz w:val="24"/>
                <w:szCs w:val="24"/>
                <w:lang w:val="en-US" w:eastAsia="zh-CN"/>
              </w:rPr>
              <w:t>打磨、</w:t>
            </w:r>
            <w:r>
              <w:rPr>
                <w:rFonts w:hint="default" w:ascii="Times New Roman" w:hAnsi="Times New Roman" w:eastAsia="仿宋" w:cs="Times New Roman"/>
                <w:color w:val="auto"/>
                <w:sz w:val="24"/>
                <w:szCs w:val="24"/>
                <w:lang w:eastAsia="zh-CN"/>
              </w:rPr>
              <w:t>抛光废气</w:t>
            </w:r>
          </w:p>
          <w:p w14:paraId="24C7356A">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eastAsia"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lang w:eastAsia="zh-CN"/>
              </w:rPr>
              <w:t>项目</w:t>
            </w:r>
            <w:r>
              <w:rPr>
                <w:rFonts w:hint="eastAsia" w:ascii="Times New Roman" w:hAnsi="Times New Roman" w:eastAsia="仿宋" w:cs="Times New Roman"/>
                <w:color w:val="auto"/>
                <w:sz w:val="24"/>
                <w:szCs w:val="24"/>
                <w:lang w:val="en-US" w:eastAsia="zh-CN"/>
              </w:rPr>
              <w:t>打磨、</w:t>
            </w:r>
            <w:r>
              <w:rPr>
                <w:rFonts w:hint="default" w:ascii="Times New Roman" w:hAnsi="Times New Roman" w:eastAsia="仿宋" w:cs="Times New Roman"/>
                <w:color w:val="auto"/>
                <w:sz w:val="24"/>
                <w:szCs w:val="24"/>
                <w:lang w:eastAsia="zh-CN"/>
              </w:rPr>
              <w:t>抛光废气</w:t>
            </w:r>
            <w:r>
              <w:rPr>
                <w:rFonts w:hint="eastAsia" w:ascii="Times New Roman" w:hAnsi="Times New Roman" w:eastAsia="仿宋" w:cs="Times New Roman"/>
                <w:color w:val="auto"/>
                <w:sz w:val="24"/>
                <w:szCs w:val="24"/>
                <w:lang w:val="en-US" w:eastAsia="zh-CN"/>
              </w:rPr>
              <w:t>采用密闭空间引风</w:t>
            </w:r>
            <w:r>
              <w:rPr>
                <w:rFonts w:hint="default" w:ascii="Times New Roman" w:hAnsi="Times New Roman" w:eastAsia="仿宋" w:cs="Times New Roman"/>
                <w:color w:val="auto"/>
                <w:sz w:val="24"/>
                <w:szCs w:val="24"/>
                <w:lang w:val="en-US" w:eastAsia="zh-CN"/>
              </w:rPr>
              <w:t>收集</w:t>
            </w:r>
            <w:r>
              <w:rPr>
                <w:rFonts w:hint="eastAsia" w:ascii="Times New Roman" w:hAnsi="Times New Roman" w:eastAsia="仿宋" w:cs="Times New Roman"/>
                <w:color w:val="auto"/>
                <w:sz w:val="24"/>
                <w:szCs w:val="24"/>
                <w:lang w:val="en-US" w:eastAsia="zh-CN"/>
              </w:rPr>
              <w:t>，废气收集</w:t>
            </w:r>
            <w:r>
              <w:rPr>
                <w:rFonts w:hint="default" w:ascii="Times New Roman" w:hAnsi="Times New Roman" w:eastAsia="仿宋" w:cs="Times New Roman"/>
                <w:color w:val="auto"/>
                <w:sz w:val="24"/>
                <w:szCs w:val="24"/>
                <w:lang w:val="en-US" w:eastAsia="zh-CN"/>
              </w:rPr>
              <w:t>后进入</w:t>
            </w:r>
            <w:r>
              <w:rPr>
                <w:rFonts w:hint="default" w:ascii="Times New Roman" w:hAnsi="Times New Roman" w:eastAsia="仿宋" w:cs="Times New Roman"/>
                <w:color w:val="auto"/>
                <w:sz w:val="24"/>
                <w:szCs w:val="24"/>
                <w:lang w:eastAsia="zh-CN"/>
              </w:rPr>
              <w:t>袋式除尘器处理，尾气通过</w:t>
            </w:r>
            <w:r>
              <w:rPr>
                <w:rFonts w:hint="default" w:ascii="Times New Roman" w:hAnsi="Times New Roman" w:eastAsia="仿宋" w:cs="Times New Roman"/>
                <w:color w:val="auto"/>
                <w:sz w:val="24"/>
                <w:szCs w:val="24"/>
                <w:lang w:val="en-US" w:eastAsia="zh-CN"/>
              </w:rPr>
              <w:t>15m高排气筒(DA001)排放。</w:t>
            </w:r>
            <w:r>
              <w:rPr>
                <w:rFonts w:hint="eastAsia" w:ascii="Times New Roman" w:hAnsi="Times New Roman" w:eastAsia="仿宋" w:cs="Times New Roman"/>
                <w:color w:val="auto"/>
                <w:sz w:val="24"/>
                <w:szCs w:val="24"/>
                <w:lang w:val="en-US" w:eastAsia="zh-CN"/>
              </w:rPr>
              <w:t>项目打磨、</w:t>
            </w:r>
            <w:r>
              <w:rPr>
                <w:rFonts w:hint="default" w:ascii="Times New Roman" w:hAnsi="Times New Roman" w:eastAsia="仿宋" w:cs="Times New Roman"/>
                <w:color w:val="auto"/>
                <w:sz w:val="24"/>
                <w:szCs w:val="24"/>
                <w:lang w:eastAsia="zh-CN"/>
              </w:rPr>
              <w:t>抛光废气</w:t>
            </w:r>
            <w:r>
              <w:rPr>
                <w:rFonts w:hint="default" w:ascii="Times New Roman" w:hAnsi="Times New Roman" w:eastAsia="仿宋" w:cs="Times New Roman"/>
                <w:color w:val="auto"/>
                <w:sz w:val="24"/>
                <w:szCs w:val="24"/>
                <w:highlight w:val="none"/>
              </w:rPr>
              <w:t>捕集率以9</w:t>
            </w:r>
            <w:r>
              <w:rPr>
                <w:rFonts w:hint="eastAsia" w:ascii="Times New Roman" w:hAnsi="Times New Roman" w:eastAsia="仿宋" w:cs="Times New Roman"/>
                <w:color w:val="auto"/>
                <w:sz w:val="24"/>
                <w:szCs w:val="24"/>
                <w:highlight w:val="none"/>
                <w:lang w:val="en-US" w:eastAsia="zh-CN"/>
              </w:rPr>
              <w:t>5</w:t>
            </w:r>
            <w:r>
              <w:rPr>
                <w:rFonts w:hint="default" w:ascii="Times New Roman" w:hAnsi="Times New Roman" w:eastAsia="仿宋" w:cs="Times New Roman"/>
                <w:color w:val="auto"/>
                <w:sz w:val="24"/>
                <w:szCs w:val="24"/>
                <w:highlight w:val="none"/>
              </w:rPr>
              <w:t>%计，</w:t>
            </w:r>
            <w:r>
              <w:rPr>
                <w:rFonts w:hint="eastAsia" w:ascii="Times New Roman" w:hAnsi="Times New Roman" w:eastAsia="仿宋" w:cs="Times New Roman"/>
                <w:color w:val="auto"/>
                <w:sz w:val="24"/>
                <w:szCs w:val="24"/>
                <w:highlight w:val="none"/>
                <w:lang w:val="en-US" w:eastAsia="zh-CN"/>
              </w:rPr>
              <w:t>废气</w:t>
            </w:r>
            <w:r>
              <w:rPr>
                <w:rFonts w:hint="default" w:ascii="Times New Roman" w:hAnsi="Times New Roman" w:eastAsia="仿宋" w:cs="Times New Roman"/>
                <w:color w:val="auto"/>
                <w:sz w:val="24"/>
                <w:szCs w:val="24"/>
                <w:highlight w:val="none"/>
              </w:rPr>
              <w:t>处理效率取9</w:t>
            </w:r>
            <w:r>
              <w:rPr>
                <w:rFonts w:hint="eastAsia" w:ascii="Times New Roman" w:hAnsi="Times New Roman" w:eastAsia="仿宋" w:cs="Times New Roman"/>
                <w:color w:val="auto"/>
                <w:sz w:val="24"/>
                <w:szCs w:val="24"/>
                <w:highlight w:val="none"/>
                <w:lang w:val="en-US" w:eastAsia="zh-CN"/>
              </w:rPr>
              <w:t>9</w:t>
            </w:r>
            <w:r>
              <w:rPr>
                <w:rFonts w:hint="default" w:ascii="Times New Roman" w:hAnsi="Times New Roman" w:eastAsia="仿宋" w:cs="Times New Roman"/>
                <w:color w:val="auto"/>
                <w:sz w:val="24"/>
                <w:szCs w:val="24"/>
                <w:highlight w:val="none"/>
              </w:rPr>
              <w:t>%计，则</w:t>
            </w:r>
            <w:r>
              <w:rPr>
                <w:rFonts w:hint="eastAsia" w:ascii="Times New Roman" w:hAnsi="Times New Roman" w:eastAsia="仿宋" w:cs="Times New Roman"/>
                <w:color w:val="auto"/>
                <w:sz w:val="24"/>
                <w:szCs w:val="24"/>
                <w:lang w:val="en-US" w:eastAsia="zh-CN"/>
              </w:rPr>
              <w:t>打磨、</w:t>
            </w:r>
            <w:r>
              <w:rPr>
                <w:rFonts w:hint="default" w:ascii="Times New Roman" w:hAnsi="Times New Roman" w:eastAsia="仿宋" w:cs="Times New Roman"/>
                <w:color w:val="auto"/>
                <w:sz w:val="24"/>
                <w:szCs w:val="24"/>
                <w:lang w:eastAsia="zh-CN"/>
              </w:rPr>
              <w:t>抛光废气</w:t>
            </w:r>
            <w:r>
              <w:rPr>
                <w:rFonts w:hint="default" w:ascii="Times New Roman" w:hAnsi="Times New Roman" w:eastAsia="仿宋" w:cs="Times New Roman"/>
                <w:color w:val="auto"/>
                <w:sz w:val="24"/>
                <w:szCs w:val="24"/>
                <w:highlight w:val="none"/>
                <w:lang w:eastAsia="zh-CN"/>
              </w:rPr>
              <w:t>颗粒物</w:t>
            </w:r>
            <w:r>
              <w:rPr>
                <w:rFonts w:hint="default" w:ascii="Times New Roman" w:hAnsi="Times New Roman" w:eastAsia="仿宋" w:cs="Times New Roman"/>
                <w:color w:val="auto"/>
                <w:sz w:val="24"/>
                <w:szCs w:val="24"/>
                <w:highlight w:val="none"/>
              </w:rPr>
              <w:t>有组织排放量为</w:t>
            </w:r>
            <w:r>
              <w:rPr>
                <w:rFonts w:hint="default" w:ascii="Times New Roman" w:hAnsi="Times New Roman" w:eastAsia="仿宋" w:cs="Times New Roman"/>
                <w:color w:val="auto"/>
                <w:sz w:val="24"/>
                <w:szCs w:val="24"/>
                <w:highlight w:val="none"/>
                <w:lang w:val="en-US" w:eastAsia="zh-CN"/>
              </w:rPr>
              <w:t>0</w:t>
            </w:r>
            <w:r>
              <w:rPr>
                <w:rFonts w:hint="eastAsia" w:ascii="Times New Roman" w:hAnsi="Times New Roman" w:eastAsia="仿宋" w:cs="Times New Roman"/>
                <w:color w:val="auto"/>
                <w:sz w:val="24"/>
                <w:szCs w:val="24"/>
                <w:highlight w:val="none"/>
                <w:lang w:val="en-US" w:eastAsia="zh-CN"/>
              </w:rPr>
              <w:t>.083</w:t>
            </w:r>
            <w:r>
              <w:rPr>
                <w:rFonts w:hint="default" w:ascii="Times New Roman" w:hAnsi="Times New Roman" w:eastAsia="仿宋" w:cs="Times New Roman"/>
                <w:color w:val="auto"/>
                <w:sz w:val="24"/>
                <w:szCs w:val="24"/>
                <w:highlight w:val="none"/>
                <w:lang w:val="en-US" w:eastAsia="zh-CN"/>
              </w:rPr>
              <w:t>t</w:t>
            </w:r>
            <w:r>
              <w:rPr>
                <w:rFonts w:hint="default" w:ascii="Times New Roman" w:hAnsi="Times New Roman" w:eastAsia="仿宋" w:cs="Times New Roman"/>
                <w:color w:val="auto"/>
                <w:sz w:val="24"/>
                <w:szCs w:val="24"/>
                <w:highlight w:val="none"/>
              </w:rPr>
              <w:t>/a</w:t>
            </w:r>
            <w:r>
              <w:rPr>
                <w:rFonts w:hint="eastAsia" w:ascii="Times New Roman" w:hAnsi="Times New Roman" w:eastAsia="仿宋" w:cs="Times New Roman"/>
                <w:color w:val="auto"/>
                <w:sz w:val="24"/>
                <w:szCs w:val="24"/>
                <w:highlight w:val="none"/>
                <w:lang w:eastAsia="zh-CN"/>
              </w:rPr>
              <w:t>。</w:t>
            </w:r>
          </w:p>
          <w:p w14:paraId="6D788A09">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lang w:val="en-US" w:eastAsia="zh-CN"/>
              </w:rPr>
              <w:t>焊接</w:t>
            </w:r>
            <w:r>
              <w:rPr>
                <w:rFonts w:hint="default" w:ascii="Times New Roman" w:hAnsi="Times New Roman" w:eastAsia="仿宋" w:cs="Times New Roman"/>
                <w:color w:val="auto"/>
                <w:sz w:val="24"/>
                <w:szCs w:val="24"/>
                <w:lang w:eastAsia="zh-CN"/>
              </w:rPr>
              <w:t>、喷砂废气</w:t>
            </w:r>
          </w:p>
          <w:p w14:paraId="34895043">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eastAsia="zh-CN"/>
              </w:rPr>
              <w:t>项目</w:t>
            </w:r>
            <w:r>
              <w:rPr>
                <w:rFonts w:hint="default" w:ascii="Times New Roman" w:hAnsi="Times New Roman" w:eastAsia="仿宋" w:cs="Times New Roman"/>
                <w:color w:val="auto"/>
                <w:sz w:val="24"/>
                <w:szCs w:val="24"/>
                <w:lang w:val="en-US" w:eastAsia="zh-CN"/>
              </w:rPr>
              <w:t>焊接</w:t>
            </w:r>
            <w:r>
              <w:rPr>
                <w:rFonts w:hint="eastAsia" w:ascii="Times New Roman" w:hAnsi="Times New Roman" w:eastAsia="仿宋" w:cs="Times New Roman"/>
                <w:color w:val="auto"/>
                <w:sz w:val="24"/>
                <w:szCs w:val="24"/>
                <w:lang w:val="en-US" w:eastAsia="zh-CN"/>
              </w:rPr>
              <w:t>废气采用集气罩收集</w:t>
            </w:r>
            <w:r>
              <w:rPr>
                <w:rFonts w:hint="eastAsia"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eastAsia="zh-CN"/>
              </w:rPr>
              <w:t>喷砂废气</w:t>
            </w:r>
            <w:r>
              <w:rPr>
                <w:rFonts w:hint="eastAsia" w:ascii="Times New Roman" w:hAnsi="Times New Roman" w:eastAsia="仿宋" w:cs="Times New Roman"/>
                <w:color w:val="auto"/>
                <w:sz w:val="24"/>
                <w:szCs w:val="24"/>
                <w:lang w:val="en-US" w:eastAsia="zh-CN"/>
              </w:rPr>
              <w:t>采用密闭空间引风</w:t>
            </w:r>
            <w:r>
              <w:rPr>
                <w:rFonts w:hint="default" w:ascii="Times New Roman" w:hAnsi="Times New Roman" w:eastAsia="仿宋" w:cs="Times New Roman"/>
                <w:color w:val="auto"/>
                <w:sz w:val="24"/>
                <w:szCs w:val="24"/>
                <w:lang w:val="en-US" w:eastAsia="zh-CN"/>
              </w:rPr>
              <w:t>收集</w:t>
            </w:r>
            <w:r>
              <w:rPr>
                <w:rFonts w:hint="eastAsia" w:ascii="Times New Roman" w:hAnsi="Times New Roman" w:eastAsia="仿宋" w:cs="Times New Roman"/>
                <w:color w:val="auto"/>
                <w:sz w:val="24"/>
                <w:szCs w:val="24"/>
                <w:lang w:val="en-US" w:eastAsia="zh-CN"/>
              </w:rPr>
              <w:t>，2股废气汇合后进入</w:t>
            </w:r>
            <w:r>
              <w:rPr>
                <w:rFonts w:hint="default" w:ascii="Times New Roman" w:hAnsi="Times New Roman" w:eastAsia="仿宋" w:cs="Times New Roman"/>
                <w:color w:val="auto"/>
                <w:sz w:val="24"/>
                <w:szCs w:val="24"/>
                <w:lang w:eastAsia="zh-CN"/>
              </w:rPr>
              <w:t>袋式除尘器处理，尾气通过</w:t>
            </w:r>
            <w:r>
              <w:rPr>
                <w:rFonts w:hint="default" w:ascii="Times New Roman" w:hAnsi="Times New Roman" w:eastAsia="仿宋" w:cs="Times New Roman"/>
                <w:color w:val="auto"/>
                <w:sz w:val="24"/>
                <w:szCs w:val="24"/>
                <w:lang w:val="en-US" w:eastAsia="zh-CN"/>
              </w:rPr>
              <w:t>15m高排气筒(DA002)排放。</w:t>
            </w:r>
            <w:r>
              <w:rPr>
                <w:rFonts w:hint="eastAsia" w:ascii="Times New Roman" w:hAnsi="Times New Roman" w:eastAsia="仿宋" w:cs="Times New Roman"/>
                <w:color w:val="auto"/>
                <w:sz w:val="24"/>
                <w:szCs w:val="24"/>
                <w:lang w:val="en-US" w:eastAsia="zh-CN"/>
              </w:rPr>
              <w:t>项目</w:t>
            </w:r>
            <w:r>
              <w:rPr>
                <w:rFonts w:hint="default" w:ascii="Times New Roman" w:hAnsi="Times New Roman" w:eastAsia="仿宋" w:cs="Times New Roman"/>
                <w:color w:val="auto"/>
                <w:sz w:val="24"/>
                <w:szCs w:val="24"/>
                <w:lang w:val="en-US" w:eastAsia="zh-CN"/>
              </w:rPr>
              <w:t>焊接</w:t>
            </w:r>
            <w:r>
              <w:rPr>
                <w:rFonts w:hint="default" w:ascii="Times New Roman" w:hAnsi="Times New Roman" w:eastAsia="仿宋" w:cs="Times New Roman"/>
                <w:color w:val="auto"/>
                <w:sz w:val="24"/>
                <w:szCs w:val="24"/>
                <w:highlight w:val="none"/>
              </w:rPr>
              <w:t>废气捕集率以9</w:t>
            </w:r>
            <w:r>
              <w:rPr>
                <w:rFonts w:hint="default" w:ascii="Times New Roman" w:hAnsi="Times New Roman" w:eastAsia="仿宋" w:cs="Times New Roman"/>
                <w:color w:val="auto"/>
                <w:sz w:val="24"/>
                <w:szCs w:val="24"/>
                <w:highlight w:val="none"/>
                <w:lang w:val="en-US" w:eastAsia="zh-CN"/>
              </w:rPr>
              <w:t>0</w:t>
            </w:r>
            <w:r>
              <w:rPr>
                <w:rFonts w:hint="default" w:ascii="Times New Roman" w:hAnsi="Times New Roman" w:eastAsia="仿宋" w:cs="Times New Roman"/>
                <w:color w:val="auto"/>
                <w:sz w:val="24"/>
                <w:szCs w:val="24"/>
                <w:highlight w:val="none"/>
              </w:rPr>
              <w:t>%计，</w:t>
            </w:r>
            <w:r>
              <w:rPr>
                <w:rFonts w:hint="default" w:ascii="Times New Roman" w:hAnsi="Times New Roman" w:eastAsia="仿宋" w:cs="Times New Roman"/>
                <w:color w:val="auto"/>
                <w:sz w:val="24"/>
                <w:szCs w:val="24"/>
                <w:lang w:eastAsia="zh-CN"/>
              </w:rPr>
              <w:t>喷砂</w:t>
            </w:r>
            <w:r>
              <w:rPr>
                <w:rFonts w:hint="default" w:ascii="Times New Roman" w:hAnsi="Times New Roman" w:eastAsia="仿宋" w:cs="Times New Roman"/>
                <w:color w:val="auto"/>
                <w:sz w:val="24"/>
                <w:szCs w:val="24"/>
                <w:highlight w:val="none"/>
              </w:rPr>
              <w:t>废气捕集率以9</w:t>
            </w:r>
            <w:r>
              <w:rPr>
                <w:rFonts w:hint="eastAsia" w:ascii="Times New Roman" w:hAnsi="Times New Roman" w:eastAsia="仿宋" w:cs="Times New Roman"/>
                <w:color w:val="auto"/>
                <w:sz w:val="24"/>
                <w:szCs w:val="24"/>
                <w:highlight w:val="none"/>
                <w:lang w:val="en-US" w:eastAsia="zh-CN"/>
              </w:rPr>
              <w:t>5</w:t>
            </w:r>
            <w:r>
              <w:rPr>
                <w:rFonts w:hint="default" w:ascii="Times New Roman" w:hAnsi="Times New Roman" w:eastAsia="仿宋" w:cs="Times New Roman"/>
                <w:color w:val="auto"/>
                <w:sz w:val="24"/>
                <w:szCs w:val="24"/>
                <w:highlight w:val="none"/>
              </w:rPr>
              <w:t>%计，</w:t>
            </w:r>
            <w:r>
              <w:rPr>
                <w:rFonts w:hint="eastAsia" w:ascii="Times New Roman" w:hAnsi="Times New Roman" w:eastAsia="仿宋" w:cs="Times New Roman"/>
                <w:color w:val="auto"/>
                <w:sz w:val="24"/>
                <w:szCs w:val="24"/>
                <w:highlight w:val="none"/>
                <w:lang w:val="en-US" w:eastAsia="zh-CN"/>
              </w:rPr>
              <w:t>废气</w:t>
            </w:r>
            <w:r>
              <w:rPr>
                <w:rFonts w:hint="default" w:ascii="Times New Roman" w:hAnsi="Times New Roman" w:eastAsia="仿宋" w:cs="Times New Roman"/>
                <w:color w:val="auto"/>
                <w:sz w:val="24"/>
                <w:szCs w:val="24"/>
                <w:highlight w:val="none"/>
              </w:rPr>
              <w:t>处理效率取9</w:t>
            </w:r>
            <w:r>
              <w:rPr>
                <w:rFonts w:hint="eastAsia" w:ascii="Times New Roman" w:hAnsi="Times New Roman" w:eastAsia="仿宋" w:cs="Times New Roman"/>
                <w:color w:val="auto"/>
                <w:sz w:val="24"/>
                <w:szCs w:val="24"/>
                <w:highlight w:val="none"/>
                <w:lang w:val="en-US" w:eastAsia="zh-CN"/>
              </w:rPr>
              <w:t>9</w:t>
            </w:r>
            <w:r>
              <w:rPr>
                <w:rFonts w:hint="default" w:ascii="Times New Roman" w:hAnsi="Times New Roman" w:eastAsia="仿宋" w:cs="Times New Roman"/>
                <w:color w:val="auto"/>
                <w:sz w:val="24"/>
                <w:szCs w:val="24"/>
                <w:highlight w:val="none"/>
              </w:rPr>
              <w:t>%计，则</w:t>
            </w:r>
            <w:r>
              <w:rPr>
                <w:rFonts w:hint="default" w:ascii="Times New Roman" w:hAnsi="Times New Roman" w:eastAsia="仿宋" w:cs="Times New Roman"/>
                <w:color w:val="auto"/>
                <w:sz w:val="24"/>
                <w:szCs w:val="24"/>
                <w:lang w:val="en-US" w:eastAsia="zh-CN"/>
              </w:rPr>
              <w:t>焊接</w:t>
            </w:r>
            <w:r>
              <w:rPr>
                <w:rFonts w:hint="default" w:ascii="Times New Roman" w:hAnsi="Times New Roman" w:eastAsia="仿宋" w:cs="Times New Roman"/>
                <w:color w:val="auto"/>
                <w:sz w:val="24"/>
                <w:szCs w:val="24"/>
                <w:lang w:eastAsia="zh-CN"/>
              </w:rPr>
              <w:t>、喷砂废气</w:t>
            </w:r>
            <w:r>
              <w:rPr>
                <w:rFonts w:hint="default" w:ascii="Times New Roman" w:hAnsi="Times New Roman" w:eastAsia="仿宋" w:cs="Times New Roman"/>
                <w:color w:val="auto"/>
                <w:sz w:val="24"/>
                <w:szCs w:val="24"/>
                <w:highlight w:val="none"/>
                <w:lang w:eastAsia="zh-CN"/>
              </w:rPr>
              <w:t>颗粒物</w:t>
            </w:r>
            <w:r>
              <w:rPr>
                <w:rFonts w:hint="default" w:ascii="Times New Roman" w:hAnsi="Times New Roman" w:eastAsia="仿宋" w:cs="Times New Roman"/>
                <w:color w:val="auto"/>
                <w:sz w:val="24"/>
                <w:szCs w:val="24"/>
                <w:highlight w:val="none"/>
              </w:rPr>
              <w:t>有组织排放量为</w:t>
            </w:r>
            <w:r>
              <w:rPr>
                <w:rFonts w:hint="default" w:ascii="Times New Roman" w:hAnsi="Times New Roman" w:eastAsia="仿宋" w:cs="Times New Roman"/>
                <w:color w:val="auto"/>
                <w:sz w:val="24"/>
                <w:szCs w:val="24"/>
                <w:highlight w:val="none"/>
                <w:lang w:val="en-US" w:eastAsia="zh-CN"/>
              </w:rPr>
              <w:t>0.</w:t>
            </w:r>
            <w:r>
              <w:rPr>
                <w:rFonts w:hint="eastAsia" w:ascii="Times New Roman" w:hAnsi="Times New Roman" w:eastAsia="仿宋" w:cs="Times New Roman"/>
                <w:color w:val="auto"/>
                <w:sz w:val="24"/>
                <w:szCs w:val="24"/>
                <w:highlight w:val="none"/>
                <w:lang w:val="en-US" w:eastAsia="zh-CN"/>
              </w:rPr>
              <w:t>042</w:t>
            </w:r>
            <w:r>
              <w:rPr>
                <w:rFonts w:hint="default" w:ascii="Times New Roman" w:hAnsi="Times New Roman" w:eastAsia="仿宋" w:cs="Times New Roman"/>
                <w:color w:val="auto"/>
                <w:sz w:val="24"/>
                <w:szCs w:val="24"/>
                <w:highlight w:val="none"/>
                <w:lang w:val="en-US" w:eastAsia="zh-CN"/>
              </w:rPr>
              <w:t>t</w:t>
            </w:r>
            <w:r>
              <w:rPr>
                <w:rFonts w:hint="default" w:ascii="Times New Roman" w:hAnsi="Times New Roman" w:eastAsia="仿宋" w:cs="Times New Roman"/>
                <w:color w:val="auto"/>
                <w:sz w:val="24"/>
                <w:szCs w:val="24"/>
                <w:highlight w:val="none"/>
              </w:rPr>
              <w:t>/a</w:t>
            </w:r>
            <w:r>
              <w:rPr>
                <w:rFonts w:hint="default" w:ascii="Times New Roman" w:hAnsi="Times New Roman" w:eastAsia="仿宋" w:cs="Times New Roman"/>
                <w:color w:val="auto"/>
                <w:sz w:val="24"/>
                <w:szCs w:val="24"/>
                <w:lang w:val="en-US" w:eastAsia="zh-CN"/>
              </w:rPr>
              <w:t>。</w:t>
            </w:r>
          </w:p>
          <w:p w14:paraId="708CED83">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fldChar w:fldCharType="begin"/>
            </w:r>
            <w:r>
              <w:rPr>
                <w:rFonts w:hint="default" w:ascii="Times New Roman" w:hAnsi="Times New Roman" w:eastAsia="仿宋" w:cs="Times New Roman"/>
                <w:color w:val="auto"/>
                <w:sz w:val="24"/>
                <w:szCs w:val="24"/>
                <w:lang w:eastAsia="zh-CN"/>
              </w:rPr>
              <w:instrText xml:space="preserve"> = 3 \* GB3 \* MERGEFORMAT </w:instrText>
            </w:r>
            <w:r>
              <w:rPr>
                <w:rFonts w:hint="default" w:ascii="Times New Roman" w:hAnsi="Times New Roman" w:eastAsia="仿宋" w:cs="Times New Roman"/>
                <w:color w:val="auto"/>
                <w:sz w:val="24"/>
                <w:szCs w:val="24"/>
                <w:lang w:eastAsia="zh-CN"/>
              </w:rPr>
              <w:fldChar w:fldCharType="separate"/>
            </w:r>
            <w:r>
              <w:rPr>
                <w:rFonts w:hint="default" w:ascii="Times New Roman" w:hAnsi="Times New Roman" w:eastAsia="仿宋" w:cs="Times New Roman"/>
                <w:color w:val="auto"/>
                <w:sz w:val="24"/>
                <w:szCs w:val="24"/>
              </w:rPr>
              <w:t>③</w:t>
            </w:r>
            <w:r>
              <w:rPr>
                <w:rFonts w:hint="default" w:ascii="Times New Roman" w:hAnsi="Times New Roman" w:eastAsia="仿宋" w:cs="Times New Roman"/>
                <w:color w:val="auto"/>
                <w:sz w:val="24"/>
                <w:szCs w:val="24"/>
                <w:lang w:eastAsia="zh-CN"/>
              </w:rPr>
              <w:fldChar w:fldCharType="end"/>
            </w:r>
            <w:r>
              <w:rPr>
                <w:rFonts w:hint="default" w:ascii="Times New Roman" w:hAnsi="Times New Roman" w:eastAsia="仿宋" w:cs="Times New Roman"/>
                <w:color w:val="auto"/>
                <w:sz w:val="24"/>
                <w:szCs w:val="24"/>
                <w:lang w:eastAsia="zh-CN"/>
              </w:rPr>
              <w:t>调漆废气、喷漆废气、烘干废气</w:t>
            </w:r>
          </w:p>
          <w:p w14:paraId="4B7FE027">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项目调漆、喷漆均在密闭</w:t>
            </w:r>
            <w:r>
              <w:rPr>
                <w:rFonts w:hint="default" w:ascii="Times New Roman" w:hAnsi="Times New Roman" w:eastAsia="仿宋" w:cs="Times New Roman"/>
                <w:color w:val="auto"/>
                <w:sz w:val="24"/>
                <w:szCs w:val="24"/>
              </w:rPr>
              <w:t>喷漆</w:t>
            </w:r>
            <w:r>
              <w:rPr>
                <w:rFonts w:hint="default" w:ascii="Times New Roman" w:hAnsi="Times New Roman" w:eastAsia="仿宋" w:cs="Times New Roman"/>
                <w:color w:val="auto"/>
                <w:sz w:val="24"/>
                <w:szCs w:val="24"/>
                <w:lang w:eastAsia="zh-CN"/>
              </w:rPr>
              <w:t>室</w:t>
            </w:r>
            <w:r>
              <w:rPr>
                <w:rFonts w:hint="default" w:ascii="Times New Roman" w:hAnsi="Times New Roman" w:eastAsia="仿宋" w:cs="Times New Roman"/>
                <w:color w:val="auto"/>
                <w:sz w:val="24"/>
                <w:szCs w:val="24"/>
              </w:rPr>
              <w:t>（尺寸为</w:t>
            </w:r>
            <w:r>
              <w:rPr>
                <w:rFonts w:hint="default" w:ascii="Times New Roman" w:hAnsi="Times New Roman" w:eastAsia="仿宋" w:cs="Times New Roman"/>
                <w:color w:val="auto"/>
                <w:kern w:val="0"/>
                <w:sz w:val="24"/>
                <w:szCs w:val="24"/>
                <w:lang w:val="en-US" w:eastAsia="zh-CN"/>
              </w:rPr>
              <w:t>11m*8m*4.5m</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eastAsia="zh-CN"/>
              </w:rPr>
              <w:t>进行，烘干在</w:t>
            </w:r>
            <w:r>
              <w:rPr>
                <w:rFonts w:hint="default" w:ascii="Times New Roman" w:hAnsi="Times New Roman" w:eastAsia="仿宋" w:cs="Times New Roman"/>
                <w:color w:val="auto"/>
                <w:sz w:val="24"/>
                <w:szCs w:val="24"/>
                <w:lang w:val="en-US" w:eastAsia="zh-CN"/>
              </w:rPr>
              <w:t>密闭</w:t>
            </w:r>
            <w:r>
              <w:rPr>
                <w:rFonts w:hint="eastAsia" w:ascii="Times New Roman" w:hAnsi="Times New Roman" w:eastAsia="仿宋" w:cs="Times New Roman"/>
                <w:color w:val="auto"/>
                <w:sz w:val="24"/>
                <w:szCs w:val="24"/>
                <w:lang w:val="en-US" w:eastAsia="zh-CN"/>
              </w:rPr>
              <w:t>烘房</w:t>
            </w:r>
            <w:r>
              <w:rPr>
                <w:rFonts w:hint="default" w:ascii="Times New Roman" w:hAnsi="Times New Roman" w:eastAsia="仿宋" w:cs="Times New Roman"/>
                <w:color w:val="auto"/>
                <w:sz w:val="24"/>
                <w:szCs w:val="24"/>
                <w:lang w:val="en-US" w:eastAsia="zh-CN"/>
              </w:rPr>
              <w:t>内进行，调漆、喷漆废气经密闭喷漆室（内置干式过滤器）收集、烘干废气经</w:t>
            </w:r>
            <w:r>
              <w:rPr>
                <w:rFonts w:hint="default" w:ascii="Times New Roman" w:hAnsi="Times New Roman" w:eastAsia="仿宋" w:cs="Times New Roman"/>
                <w:color w:val="auto"/>
                <w:sz w:val="24"/>
                <w:szCs w:val="24"/>
              </w:rPr>
              <w:t>密闭空间收集</w:t>
            </w:r>
            <w:r>
              <w:rPr>
                <w:rFonts w:hint="default" w:ascii="Times New Roman" w:hAnsi="Times New Roman" w:eastAsia="仿宋" w:cs="Times New Roman"/>
                <w:color w:val="auto"/>
                <w:sz w:val="24"/>
                <w:szCs w:val="24"/>
                <w:lang w:eastAsia="zh-CN"/>
              </w:rPr>
              <w:t>，上述废气收集汇合后进入</w:t>
            </w:r>
            <w:r>
              <w:rPr>
                <w:rFonts w:hint="default" w:ascii="Times New Roman" w:hAnsi="Times New Roman" w:eastAsia="仿宋" w:cs="Times New Roman"/>
                <w:color w:val="auto"/>
                <w:sz w:val="24"/>
                <w:szCs w:val="24"/>
                <w:lang w:val="en-US" w:eastAsia="zh-CN"/>
              </w:rPr>
              <w:t>除湿器+二级活性炭吸附装置处理</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尾气通过15m高排气筒(DA003)排放。</w:t>
            </w:r>
            <w:r>
              <w:rPr>
                <w:rFonts w:hint="default" w:ascii="Times New Roman" w:hAnsi="Times New Roman" w:eastAsia="仿宋" w:cs="Times New Roman"/>
                <w:color w:val="auto"/>
                <w:sz w:val="24"/>
                <w:szCs w:val="24"/>
                <w:highlight w:val="none"/>
              </w:rPr>
              <w:t>废气捕集率以9</w:t>
            </w:r>
            <w:r>
              <w:rPr>
                <w:rFonts w:hint="default" w:ascii="Times New Roman" w:hAnsi="Times New Roman" w:eastAsia="仿宋" w:cs="Times New Roman"/>
                <w:color w:val="auto"/>
                <w:sz w:val="24"/>
                <w:szCs w:val="24"/>
                <w:highlight w:val="none"/>
                <w:lang w:val="en-US" w:eastAsia="zh-CN"/>
              </w:rPr>
              <w:t>5</w:t>
            </w:r>
            <w:r>
              <w:rPr>
                <w:rFonts w:hint="default" w:ascii="Times New Roman" w:hAnsi="Times New Roman" w:eastAsia="仿宋" w:cs="Times New Roman"/>
                <w:color w:val="auto"/>
                <w:sz w:val="24"/>
                <w:szCs w:val="24"/>
                <w:highlight w:val="none"/>
              </w:rPr>
              <w:t>%计，废气处理效率取9</w:t>
            </w:r>
            <w:r>
              <w:rPr>
                <w:rFonts w:hint="default" w:ascii="Times New Roman" w:hAnsi="Times New Roman" w:eastAsia="仿宋" w:cs="Times New Roman"/>
                <w:color w:val="auto"/>
                <w:sz w:val="24"/>
                <w:szCs w:val="24"/>
                <w:highlight w:val="none"/>
                <w:lang w:val="en-US" w:eastAsia="zh-CN"/>
              </w:rPr>
              <w:t>0</w:t>
            </w:r>
            <w:r>
              <w:rPr>
                <w:rFonts w:hint="default" w:ascii="Times New Roman" w:hAnsi="Times New Roman" w:eastAsia="仿宋" w:cs="Times New Roman"/>
                <w:color w:val="auto"/>
                <w:sz w:val="24"/>
                <w:szCs w:val="24"/>
                <w:highlight w:val="none"/>
              </w:rPr>
              <w:t>%计，则</w:t>
            </w:r>
            <w:r>
              <w:rPr>
                <w:rFonts w:hint="default" w:ascii="Times New Roman" w:hAnsi="Times New Roman" w:eastAsia="仿宋" w:cs="Times New Roman"/>
                <w:color w:val="auto"/>
                <w:sz w:val="24"/>
                <w:szCs w:val="24"/>
                <w:lang w:val="en-US" w:eastAsia="zh-CN"/>
              </w:rPr>
              <w:t>调漆、固化、烘干</w:t>
            </w:r>
            <w:r>
              <w:rPr>
                <w:rFonts w:hint="default" w:ascii="Times New Roman" w:hAnsi="Times New Roman" w:eastAsia="仿宋" w:cs="Times New Roman"/>
                <w:color w:val="auto"/>
                <w:sz w:val="24"/>
                <w:szCs w:val="24"/>
                <w:highlight w:val="none"/>
                <w:lang w:eastAsia="zh-CN"/>
              </w:rPr>
              <w:t>废气中非甲烷总烃、颗粒物</w:t>
            </w:r>
            <w:r>
              <w:rPr>
                <w:rFonts w:hint="default" w:ascii="Times New Roman" w:hAnsi="Times New Roman" w:eastAsia="仿宋" w:cs="Times New Roman"/>
                <w:color w:val="auto"/>
                <w:sz w:val="24"/>
                <w:szCs w:val="24"/>
                <w:highlight w:val="none"/>
              </w:rPr>
              <w:t>有组织排放量</w:t>
            </w:r>
            <w:r>
              <w:rPr>
                <w:rFonts w:hint="default" w:ascii="Times New Roman" w:hAnsi="Times New Roman" w:eastAsia="仿宋" w:cs="Times New Roman"/>
                <w:color w:val="auto"/>
                <w:sz w:val="24"/>
                <w:szCs w:val="24"/>
                <w:highlight w:val="none"/>
                <w:lang w:eastAsia="zh-CN"/>
              </w:rPr>
              <w:t>分别</w:t>
            </w:r>
            <w:r>
              <w:rPr>
                <w:rFonts w:hint="default" w:ascii="Times New Roman" w:hAnsi="Times New Roman" w:eastAsia="仿宋" w:cs="Times New Roman"/>
                <w:color w:val="auto"/>
                <w:sz w:val="24"/>
                <w:szCs w:val="24"/>
                <w:highlight w:val="none"/>
              </w:rPr>
              <w:t>为</w:t>
            </w:r>
            <w:r>
              <w:rPr>
                <w:rFonts w:hint="default" w:ascii="Times New Roman" w:hAnsi="Times New Roman" w:eastAsia="仿宋" w:cs="Times New Roman"/>
                <w:color w:val="auto"/>
                <w:sz w:val="24"/>
                <w:szCs w:val="24"/>
                <w:highlight w:val="none"/>
                <w:lang w:val="en-US" w:eastAsia="zh-CN"/>
              </w:rPr>
              <w:t>0.046</w:t>
            </w:r>
            <w:r>
              <w:rPr>
                <w:rFonts w:hint="default" w:ascii="Times New Roman" w:hAnsi="Times New Roman" w:eastAsia="仿宋" w:cs="Times New Roman"/>
                <w:color w:val="auto"/>
                <w:sz w:val="24"/>
                <w:szCs w:val="24"/>
                <w:highlight w:val="none"/>
              </w:rPr>
              <w:t>t/a</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0.126</w:t>
            </w:r>
            <w:r>
              <w:rPr>
                <w:rFonts w:hint="default" w:ascii="Times New Roman" w:hAnsi="Times New Roman" w:eastAsia="仿宋" w:cs="Times New Roman"/>
                <w:color w:val="auto"/>
                <w:sz w:val="24"/>
                <w:szCs w:val="24"/>
                <w:highlight w:val="none"/>
              </w:rPr>
              <w:t>t/a</w:t>
            </w:r>
            <w:r>
              <w:rPr>
                <w:rFonts w:hint="default" w:ascii="Times New Roman" w:hAnsi="Times New Roman" w:eastAsia="仿宋" w:cs="Times New Roman"/>
                <w:color w:val="auto"/>
                <w:sz w:val="24"/>
                <w:szCs w:val="24"/>
                <w:lang w:val="en-US" w:eastAsia="zh-CN"/>
              </w:rPr>
              <w:t>。</w:t>
            </w:r>
          </w:p>
          <w:p w14:paraId="1AF98E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4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④</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lang w:val="en-US" w:eastAsia="zh-CN"/>
              </w:rPr>
              <w:t>危废库房废气</w:t>
            </w:r>
          </w:p>
          <w:p w14:paraId="2569C6B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项目危废仓库废气整体密闭负压收集，经二级活性炭</w:t>
            </w:r>
            <w:r>
              <w:rPr>
                <w:rFonts w:hint="eastAsia" w:eastAsia="仿宋" w:cs="Times New Roman"/>
                <w:color w:val="auto"/>
                <w:sz w:val="24"/>
                <w:highlight w:val="none"/>
                <w:lang w:val="en-US" w:eastAsia="zh-CN"/>
              </w:rPr>
              <w:t>吸附</w:t>
            </w:r>
            <w:r>
              <w:rPr>
                <w:rFonts w:hint="default" w:ascii="Times New Roman" w:hAnsi="Times New Roman" w:eastAsia="仿宋" w:cs="Times New Roman"/>
                <w:color w:val="auto"/>
                <w:sz w:val="24"/>
                <w:highlight w:val="none"/>
                <w:lang w:val="en-US" w:eastAsia="zh-CN"/>
              </w:rPr>
              <w:t>处理后通过1根15米高排气筒（DA004）有组织排放。</w:t>
            </w:r>
          </w:p>
          <w:p w14:paraId="7DFD36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2)无组织废气</w:t>
            </w:r>
          </w:p>
          <w:p w14:paraId="6BFA2E03">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highlight w:val="none"/>
                <w:lang w:val="en-US" w:eastAsia="zh-CN"/>
              </w:rPr>
              <w:t>项目</w:t>
            </w:r>
            <w:r>
              <w:rPr>
                <w:rFonts w:hint="eastAsia" w:ascii="Times New Roman" w:hAnsi="Times New Roman" w:eastAsia="仿宋" w:cs="Times New Roman"/>
                <w:color w:val="auto"/>
                <w:sz w:val="24"/>
                <w:szCs w:val="24"/>
                <w:highlight w:val="none"/>
                <w:lang w:val="en-US" w:eastAsia="zh-CN"/>
              </w:rPr>
              <w:t>未捕集的</w:t>
            </w:r>
            <w:r>
              <w:rPr>
                <w:rFonts w:hint="eastAsia" w:ascii="Times New Roman" w:hAnsi="Times New Roman" w:eastAsia="仿宋" w:cs="Times New Roman"/>
                <w:color w:val="auto"/>
                <w:sz w:val="24"/>
                <w:szCs w:val="24"/>
                <w:lang w:val="en-US" w:eastAsia="zh-CN"/>
              </w:rPr>
              <w:t>打磨、</w:t>
            </w:r>
            <w:r>
              <w:rPr>
                <w:rFonts w:hint="default" w:ascii="Times New Roman" w:hAnsi="Times New Roman" w:eastAsia="仿宋" w:cs="Times New Roman"/>
                <w:color w:val="auto"/>
                <w:sz w:val="24"/>
                <w:szCs w:val="24"/>
                <w:lang w:eastAsia="zh-CN"/>
              </w:rPr>
              <w:t>抛光</w:t>
            </w:r>
            <w:r>
              <w:rPr>
                <w:rFonts w:hint="eastAsia"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喷砂</w:t>
            </w:r>
            <w:r>
              <w:rPr>
                <w:rFonts w:hint="default" w:ascii="Times New Roman" w:hAnsi="Times New Roman" w:eastAsia="仿宋" w:cs="Times New Roman"/>
                <w:color w:val="auto"/>
                <w:sz w:val="24"/>
                <w:szCs w:val="24"/>
                <w:lang w:eastAsia="zh-CN"/>
              </w:rPr>
              <w:t>废气</w:t>
            </w:r>
            <w:r>
              <w:rPr>
                <w:rFonts w:hint="default" w:ascii="Times New Roman" w:hAnsi="Times New Roman" w:eastAsia="仿宋" w:cs="Times New Roman"/>
                <w:color w:val="auto"/>
                <w:sz w:val="24"/>
                <w:szCs w:val="24"/>
                <w:highlight w:val="none"/>
                <w:lang w:eastAsia="zh-CN"/>
              </w:rPr>
              <w:t>颗粒物</w:t>
            </w:r>
            <w:r>
              <w:rPr>
                <w:rFonts w:hint="eastAsia" w:ascii="Times New Roman" w:hAnsi="Times New Roman" w:eastAsia="仿宋" w:cs="Times New Roman"/>
                <w:color w:val="auto"/>
                <w:sz w:val="24"/>
                <w:szCs w:val="24"/>
                <w:highlight w:val="none"/>
                <w:lang w:val="en-US" w:eastAsia="zh-CN"/>
              </w:rPr>
              <w:t>约</w:t>
            </w:r>
            <w:r>
              <w:rPr>
                <w:rFonts w:hint="default" w:ascii="Times New Roman" w:hAnsi="Times New Roman" w:eastAsia="仿宋" w:cs="Times New Roman"/>
                <w:color w:val="auto"/>
                <w:sz w:val="24"/>
                <w:szCs w:val="24"/>
                <w:highlight w:val="none"/>
              </w:rPr>
              <w:t>0.</w:t>
            </w:r>
            <w:r>
              <w:rPr>
                <w:rFonts w:hint="eastAsia" w:ascii="Times New Roman" w:hAnsi="Times New Roman" w:eastAsia="仿宋" w:cs="Times New Roman"/>
                <w:color w:val="auto"/>
                <w:sz w:val="24"/>
                <w:szCs w:val="24"/>
                <w:highlight w:val="none"/>
                <w:lang w:val="en-US" w:eastAsia="zh-CN"/>
              </w:rPr>
              <w:t>657</w:t>
            </w:r>
            <w:r>
              <w:rPr>
                <w:rFonts w:hint="default" w:ascii="Times New Roman" w:hAnsi="Times New Roman" w:eastAsia="仿宋" w:cs="Times New Roman"/>
                <w:color w:val="auto"/>
                <w:sz w:val="24"/>
                <w:szCs w:val="24"/>
                <w:highlight w:val="none"/>
                <w:lang w:val="en-US" w:eastAsia="zh-CN"/>
              </w:rPr>
              <w:t>t</w:t>
            </w:r>
            <w:r>
              <w:rPr>
                <w:rFonts w:hint="default" w:ascii="Times New Roman" w:hAnsi="Times New Roman" w:eastAsia="仿宋" w:cs="Times New Roman"/>
                <w:color w:val="auto"/>
                <w:sz w:val="24"/>
                <w:szCs w:val="24"/>
                <w:highlight w:val="none"/>
              </w:rPr>
              <w:t>/a</w:t>
            </w:r>
            <w:r>
              <w:rPr>
                <w:rFonts w:hint="eastAsia" w:ascii="Times New Roman" w:hAnsi="Times New Roman" w:eastAsia="仿宋" w:cs="Times New Roman"/>
                <w:color w:val="auto"/>
                <w:sz w:val="24"/>
                <w:szCs w:val="24"/>
                <w:highlight w:val="none"/>
                <w:lang w:eastAsia="zh-CN"/>
              </w:rPr>
              <w:t>，</w:t>
            </w:r>
            <w:r>
              <w:rPr>
                <w:rFonts w:hint="eastAsia" w:ascii="Times New Roman" w:hAnsi="Times New Roman" w:eastAsia="仿宋" w:cs="Times New Roman"/>
                <w:color w:val="auto"/>
                <w:sz w:val="24"/>
                <w:szCs w:val="24"/>
                <w:lang w:val="en-US" w:eastAsia="zh-CN"/>
              </w:rPr>
              <w:t>由于金属粉尘比重较大，未捕集的粉尘约80%沉降在生产车间地面，定期使用吸尘器进行清扫，故</w:t>
            </w:r>
            <w:r>
              <w:rPr>
                <w:rFonts w:hint="eastAsia" w:ascii="Times New Roman" w:hAnsi="Times New Roman" w:eastAsia="仿宋" w:cs="Times New Roman"/>
                <w:color w:val="auto"/>
                <w:sz w:val="24"/>
                <w:szCs w:val="24"/>
                <w:highlight w:val="none"/>
                <w:lang w:val="en-US" w:eastAsia="zh-CN"/>
              </w:rPr>
              <w:t>未捕集的</w:t>
            </w:r>
            <w:r>
              <w:rPr>
                <w:rFonts w:hint="eastAsia" w:ascii="Times New Roman" w:hAnsi="Times New Roman" w:eastAsia="仿宋" w:cs="Times New Roman"/>
                <w:color w:val="auto"/>
                <w:sz w:val="24"/>
                <w:szCs w:val="24"/>
                <w:lang w:val="en-US" w:eastAsia="zh-CN"/>
              </w:rPr>
              <w:t>打磨、</w:t>
            </w:r>
            <w:r>
              <w:rPr>
                <w:rFonts w:hint="default" w:ascii="Times New Roman" w:hAnsi="Times New Roman" w:eastAsia="仿宋" w:cs="Times New Roman"/>
                <w:color w:val="auto"/>
                <w:sz w:val="24"/>
                <w:szCs w:val="24"/>
                <w:lang w:eastAsia="zh-CN"/>
              </w:rPr>
              <w:t>抛光</w:t>
            </w:r>
            <w:r>
              <w:rPr>
                <w:rFonts w:hint="eastAsia"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喷砂</w:t>
            </w:r>
            <w:r>
              <w:rPr>
                <w:rFonts w:hint="default" w:ascii="Times New Roman" w:hAnsi="Times New Roman" w:eastAsia="仿宋" w:cs="Times New Roman"/>
                <w:color w:val="auto"/>
                <w:sz w:val="24"/>
                <w:szCs w:val="24"/>
                <w:lang w:eastAsia="zh-CN"/>
              </w:rPr>
              <w:t>废气</w:t>
            </w:r>
            <w:r>
              <w:rPr>
                <w:rFonts w:hint="default" w:ascii="Times New Roman" w:hAnsi="Times New Roman" w:eastAsia="仿宋" w:cs="Times New Roman"/>
                <w:color w:val="auto"/>
                <w:sz w:val="24"/>
                <w:szCs w:val="24"/>
                <w:highlight w:val="none"/>
                <w:lang w:eastAsia="zh-CN"/>
              </w:rPr>
              <w:t>颗粒物</w:t>
            </w:r>
            <w:r>
              <w:rPr>
                <w:rFonts w:hint="default" w:ascii="Times New Roman" w:hAnsi="Times New Roman" w:eastAsia="仿宋" w:cs="Times New Roman"/>
                <w:color w:val="auto"/>
                <w:sz w:val="24"/>
                <w:szCs w:val="24"/>
                <w:lang w:val="en-US" w:eastAsia="zh-CN"/>
              </w:rPr>
              <w:t>无组织排放量为0.</w:t>
            </w:r>
            <w:r>
              <w:rPr>
                <w:rFonts w:hint="eastAsia" w:ascii="Times New Roman" w:hAnsi="Times New Roman" w:eastAsia="仿宋" w:cs="Times New Roman"/>
                <w:color w:val="auto"/>
                <w:sz w:val="24"/>
                <w:szCs w:val="24"/>
                <w:lang w:val="en-US" w:eastAsia="zh-CN"/>
              </w:rPr>
              <w:t>131</w:t>
            </w:r>
            <w:r>
              <w:rPr>
                <w:rFonts w:hint="default" w:ascii="Times New Roman" w:hAnsi="Times New Roman" w:eastAsia="仿宋" w:cs="Times New Roman"/>
                <w:color w:val="auto"/>
                <w:sz w:val="24"/>
                <w:szCs w:val="24"/>
                <w:lang w:val="en-US" w:eastAsia="zh-CN"/>
              </w:rPr>
              <w:t>t/a</w:t>
            </w:r>
            <w:r>
              <w:rPr>
                <w:rFonts w:hint="eastAsia" w:ascii="Times New Roman" w:hAnsi="Times New Roman" w:eastAsia="仿宋" w:cs="Times New Roman"/>
                <w:color w:val="auto"/>
                <w:sz w:val="24"/>
                <w:szCs w:val="24"/>
                <w:lang w:val="en-US" w:eastAsia="zh-CN"/>
              </w:rPr>
              <w:t>，直接在车间无组织排放。</w:t>
            </w:r>
          </w:p>
          <w:p w14:paraId="6FCD1D6D">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项目</w:t>
            </w:r>
            <w:r>
              <w:rPr>
                <w:rFonts w:hint="eastAsia" w:ascii="Times New Roman" w:hAnsi="Times New Roman" w:eastAsia="仿宋" w:cs="Times New Roman"/>
                <w:color w:val="auto"/>
                <w:sz w:val="24"/>
                <w:szCs w:val="24"/>
                <w:highlight w:val="none"/>
                <w:lang w:val="en-US" w:eastAsia="zh-CN"/>
              </w:rPr>
              <w:t>未捕集的</w:t>
            </w:r>
            <w:r>
              <w:rPr>
                <w:rFonts w:hint="default" w:ascii="Times New Roman" w:hAnsi="Times New Roman" w:eastAsia="仿宋" w:cs="Times New Roman"/>
                <w:color w:val="auto"/>
                <w:sz w:val="24"/>
                <w:highlight w:val="none"/>
                <w:lang w:val="en-US" w:eastAsia="zh-CN"/>
              </w:rPr>
              <w:t>焊接废气</w:t>
            </w:r>
            <w:r>
              <w:rPr>
                <w:rFonts w:hint="eastAsia" w:ascii="Times New Roman" w:hAnsi="Times New Roman" w:eastAsia="仿宋" w:cs="Times New Roman"/>
                <w:color w:val="auto"/>
                <w:sz w:val="24"/>
                <w:highlight w:val="none"/>
                <w:lang w:val="en-US" w:eastAsia="zh-CN"/>
              </w:rPr>
              <w:t>约</w:t>
            </w:r>
            <w:r>
              <w:rPr>
                <w:rFonts w:hint="default" w:ascii="Times New Roman" w:hAnsi="Times New Roman" w:eastAsia="仿宋" w:cs="Times New Roman"/>
                <w:bCs/>
                <w:color w:val="auto"/>
                <w:kern w:val="2"/>
                <w:sz w:val="24"/>
                <w:szCs w:val="24"/>
                <w:lang w:val="en-US" w:eastAsia="zh-CN" w:bidi="ar-SA"/>
              </w:rPr>
              <w:t>0.</w:t>
            </w:r>
            <w:r>
              <w:rPr>
                <w:rFonts w:hint="eastAsia" w:ascii="Times New Roman" w:hAnsi="Times New Roman" w:eastAsia="仿宋" w:cs="Times New Roman"/>
                <w:bCs/>
                <w:color w:val="auto"/>
                <w:kern w:val="2"/>
                <w:sz w:val="24"/>
                <w:szCs w:val="24"/>
                <w:lang w:val="en-US" w:eastAsia="zh-CN" w:bidi="ar-SA"/>
              </w:rPr>
              <w:t>028</w:t>
            </w:r>
            <w:r>
              <w:rPr>
                <w:rFonts w:hint="default" w:ascii="Times New Roman" w:hAnsi="Times New Roman" w:eastAsia="仿宋" w:cs="Times New Roman"/>
                <w:color w:val="auto"/>
                <w:sz w:val="24"/>
                <w:szCs w:val="24"/>
                <w:lang w:val="en-US" w:eastAsia="zh-CN"/>
              </w:rPr>
              <w:t>t/a</w:t>
            </w:r>
            <w:r>
              <w:rPr>
                <w:rFonts w:hint="eastAsia" w:ascii="Times New Roman" w:hAnsi="Times New Roman" w:eastAsia="仿宋" w:cs="Times New Roman"/>
                <w:color w:val="auto"/>
                <w:sz w:val="24"/>
                <w:szCs w:val="24"/>
                <w:lang w:val="en-US" w:eastAsia="zh-CN"/>
              </w:rPr>
              <w:t>，直接在车间无组织排放。</w:t>
            </w:r>
          </w:p>
          <w:p w14:paraId="01E9FA6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highlight w:val="none"/>
              </w:rPr>
            </w:pPr>
            <w:r>
              <w:rPr>
                <w:rFonts w:hint="eastAsia" w:eastAsia="仿宋" w:cs="Times New Roman"/>
                <w:color w:val="auto"/>
                <w:sz w:val="24"/>
                <w:szCs w:val="24"/>
                <w:lang w:val="en-US" w:eastAsia="zh-CN"/>
              </w:rPr>
              <w:t>项目未捕集的</w:t>
            </w:r>
            <w:r>
              <w:rPr>
                <w:rFonts w:hint="default" w:ascii="Times New Roman" w:hAnsi="Times New Roman" w:eastAsia="仿宋" w:cs="Times New Roman"/>
                <w:color w:val="auto"/>
                <w:sz w:val="24"/>
                <w:szCs w:val="24"/>
                <w:lang w:val="en-US" w:eastAsia="zh-CN"/>
              </w:rPr>
              <w:t>涂装及烘干废气</w:t>
            </w:r>
            <w:r>
              <w:rPr>
                <w:rFonts w:hint="default" w:ascii="Times New Roman" w:hAnsi="Times New Roman" w:eastAsia="仿宋" w:cs="Times New Roman"/>
                <w:color w:val="auto"/>
                <w:sz w:val="24"/>
                <w:szCs w:val="24"/>
                <w:highlight w:val="none"/>
                <w:lang w:eastAsia="zh-CN"/>
              </w:rPr>
              <w:t>非甲烷总烃、颗粒物</w:t>
            </w:r>
            <w:r>
              <w:rPr>
                <w:rFonts w:hint="default" w:ascii="Times New Roman" w:hAnsi="Times New Roman" w:eastAsia="仿宋" w:cs="Times New Roman"/>
                <w:color w:val="auto"/>
                <w:sz w:val="24"/>
                <w:szCs w:val="24"/>
                <w:highlight w:val="none"/>
              </w:rPr>
              <w:t>无组织排放量</w:t>
            </w:r>
            <w:r>
              <w:rPr>
                <w:rFonts w:hint="default" w:ascii="Times New Roman" w:hAnsi="Times New Roman" w:eastAsia="仿宋" w:cs="Times New Roman"/>
                <w:color w:val="auto"/>
                <w:sz w:val="24"/>
                <w:szCs w:val="24"/>
                <w:highlight w:val="none"/>
                <w:lang w:eastAsia="zh-CN"/>
              </w:rPr>
              <w:t>分别</w:t>
            </w:r>
            <w:r>
              <w:rPr>
                <w:rFonts w:hint="default" w:ascii="Times New Roman" w:hAnsi="Times New Roman" w:eastAsia="仿宋" w:cs="Times New Roman"/>
                <w:color w:val="auto"/>
                <w:sz w:val="24"/>
                <w:szCs w:val="24"/>
                <w:highlight w:val="none"/>
              </w:rPr>
              <w:t>为</w:t>
            </w:r>
            <w:r>
              <w:rPr>
                <w:rFonts w:hint="default" w:ascii="Times New Roman" w:hAnsi="Times New Roman" w:eastAsia="仿宋" w:cs="Times New Roman"/>
                <w:color w:val="auto"/>
                <w:sz w:val="24"/>
                <w:szCs w:val="24"/>
                <w:highlight w:val="none"/>
                <w:lang w:val="en-US" w:eastAsia="zh-CN"/>
              </w:rPr>
              <w:t>0.024</w:t>
            </w:r>
            <w:r>
              <w:rPr>
                <w:rFonts w:hint="default" w:ascii="Times New Roman" w:hAnsi="Times New Roman" w:eastAsia="仿宋" w:cs="Times New Roman"/>
                <w:color w:val="auto"/>
                <w:sz w:val="24"/>
                <w:szCs w:val="24"/>
                <w:highlight w:val="none"/>
              </w:rPr>
              <w:t>t/a</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0.067</w:t>
            </w:r>
            <w:r>
              <w:rPr>
                <w:rFonts w:hint="default" w:ascii="Times New Roman" w:hAnsi="Times New Roman" w:eastAsia="仿宋" w:cs="Times New Roman"/>
                <w:color w:val="auto"/>
                <w:sz w:val="24"/>
                <w:szCs w:val="24"/>
                <w:highlight w:val="none"/>
              </w:rPr>
              <w:t>t/a</w:t>
            </w:r>
            <w:r>
              <w:rPr>
                <w:rFonts w:hint="eastAsia" w:ascii="Times New Roman" w:hAnsi="Times New Roman" w:eastAsia="仿宋" w:cs="Times New Roman"/>
                <w:color w:val="auto"/>
                <w:sz w:val="24"/>
                <w:szCs w:val="24"/>
                <w:lang w:val="en-US" w:eastAsia="zh-CN"/>
              </w:rPr>
              <w:t>，直接在车间无组织排放。</w:t>
            </w:r>
          </w:p>
          <w:p w14:paraId="12E0B1B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通过采取以下措施减少废气无组织排放：车间定期洒水抑尘，尽量提高生产设施废气产生工段的密闭性，尽可能多的捕集产生的废气以减少无组织的产生量；选用高质量的设备和管件，提高安装质量，定期对设备进行检修维护，保证集气罩边缘控制点的控制风速达到设计要求。</w:t>
            </w:r>
          </w:p>
          <w:p w14:paraId="38E03C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r>
              <w:drawing>
                <wp:inline distT="0" distB="0" distL="114300" distR="114300">
                  <wp:extent cx="5525770" cy="2397760"/>
                  <wp:effectExtent l="0" t="0" r="17780" b="25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rcRect/>
                          <a:stretch>
                            <a:fillRect/>
                          </a:stretch>
                        </pic:blipFill>
                        <pic:spPr>
                          <a:xfrm>
                            <a:off x="0" y="0"/>
                            <a:ext cx="5525770" cy="2397760"/>
                          </a:xfrm>
                          <a:prstGeom prst="rect">
                            <a:avLst/>
                          </a:prstGeom>
                          <a:noFill/>
                          <a:ln>
                            <a:noFill/>
                          </a:ln>
                        </pic:spPr>
                      </pic:pic>
                    </a:graphicData>
                  </a:graphic>
                </wp:inline>
              </w:drawing>
            </w:r>
          </w:p>
          <w:p w14:paraId="753140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
                <w:bCs/>
                <w:color w:val="auto"/>
                <w:szCs w:val="21"/>
                <w:lang w:eastAsia="zh-CN"/>
              </w:rPr>
              <w:t>图4-1</w:t>
            </w:r>
            <w:r>
              <w:rPr>
                <w:rFonts w:hint="default" w:ascii="Times New Roman" w:hAnsi="Times New Roman" w:eastAsia="仿宋" w:cs="Times New Roman"/>
                <w:b/>
                <w:bCs/>
                <w:color w:val="auto"/>
                <w:szCs w:val="21"/>
                <w:lang w:val="en-US" w:eastAsia="zh-CN"/>
              </w:rPr>
              <w:t xml:space="preserve">  </w:t>
            </w:r>
            <w:r>
              <w:rPr>
                <w:rFonts w:hint="default" w:ascii="Times New Roman" w:hAnsi="Times New Roman" w:eastAsia="仿宋" w:cs="Times New Roman"/>
                <w:b/>
                <w:bCs/>
                <w:color w:val="auto"/>
                <w:szCs w:val="21"/>
                <w:lang w:eastAsia="zh-CN"/>
              </w:rPr>
              <w:t>项目废气治理措施示意图</w:t>
            </w:r>
          </w:p>
          <w:p w14:paraId="2E5304B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3）废气污染防治措施技术可行性论证</w:t>
            </w:r>
          </w:p>
          <w:p w14:paraId="586FADF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 xml:space="preserve">（1）与排污许可技术规范对照分析 </w:t>
            </w:r>
          </w:p>
          <w:p w14:paraId="185E4D1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本项目属于</w:t>
            </w:r>
            <w:r>
              <w:rPr>
                <w:rFonts w:hint="default" w:ascii="Times New Roman" w:hAnsi="Times New Roman" w:eastAsia="仿宋" w:cs="Times New Roman"/>
                <w:color w:val="auto"/>
                <w:sz w:val="24"/>
                <w:lang w:eastAsia="zh-CN"/>
              </w:rPr>
              <w:t>C3499其他未列明通用设备制造业</w:t>
            </w:r>
            <w:r>
              <w:rPr>
                <w:rFonts w:hint="default" w:ascii="Times New Roman" w:hAnsi="Times New Roman" w:eastAsia="仿宋" w:cs="Times New Roman"/>
                <w:color w:val="auto"/>
                <w:sz w:val="24"/>
                <w:highlight w:val="none"/>
                <w:lang w:val="en-US" w:eastAsia="zh-CN"/>
              </w:rPr>
              <w:t>，参照《排污许可证申请与核发技术规范铁路、船舶、航空航天和其他运输设备制造业》（HJ1124—2020）中附录C、《排污许可证申请与核发技术规范汽车制造业》（HJ971—2018）中表25，</w:t>
            </w:r>
            <w:r>
              <w:rPr>
                <w:rFonts w:hint="eastAsia" w:eastAsia="仿宋" w:cs="Times New Roman"/>
                <w:color w:val="auto"/>
                <w:sz w:val="24"/>
                <w:highlight w:val="none"/>
                <w:lang w:val="en-US" w:eastAsia="zh-CN"/>
              </w:rPr>
              <w:t>打磨</w:t>
            </w:r>
            <w:r>
              <w:rPr>
                <w:rFonts w:hint="default" w:ascii="Times New Roman" w:hAnsi="Times New Roman" w:eastAsia="仿宋" w:cs="Times New Roman"/>
                <w:color w:val="auto"/>
                <w:sz w:val="24"/>
                <w:highlight w:val="none"/>
                <w:lang w:val="en-US" w:eastAsia="zh-CN"/>
              </w:rPr>
              <w:t>、焊接、</w:t>
            </w:r>
            <w:r>
              <w:rPr>
                <w:rFonts w:hint="default" w:ascii="Times New Roman" w:hAnsi="Times New Roman" w:eastAsia="仿宋" w:cs="Times New Roman"/>
                <w:color w:val="auto"/>
                <w:sz w:val="24"/>
                <w:szCs w:val="24"/>
                <w:lang w:val="en-US" w:eastAsia="zh-CN"/>
              </w:rPr>
              <w:t>喷砂、抛光</w:t>
            </w:r>
            <w:r>
              <w:rPr>
                <w:rFonts w:hint="default" w:ascii="Times New Roman" w:hAnsi="Times New Roman" w:eastAsia="仿宋" w:cs="Times New Roman"/>
                <w:color w:val="auto"/>
                <w:sz w:val="24"/>
                <w:highlight w:val="none"/>
                <w:lang w:val="en-US" w:eastAsia="zh-CN"/>
              </w:rPr>
              <w:t>废气采用袋式除尘器处理为可行性技术；喷涂、烘干有机废气采用</w:t>
            </w:r>
            <w:r>
              <w:rPr>
                <w:rFonts w:hint="eastAsia" w:eastAsia="仿宋" w:cs="Times New Roman"/>
                <w:color w:val="auto"/>
                <w:sz w:val="24"/>
                <w:highlight w:val="none"/>
                <w:lang w:val="en-US" w:eastAsia="zh-CN"/>
              </w:rPr>
              <w:t>干式过滤+</w:t>
            </w:r>
            <w:r>
              <w:rPr>
                <w:rFonts w:hint="default" w:ascii="Times New Roman" w:hAnsi="Times New Roman" w:eastAsia="仿宋" w:cs="Times New Roman"/>
                <w:color w:val="auto"/>
                <w:sz w:val="24"/>
                <w:highlight w:val="none"/>
                <w:lang w:val="en-US" w:eastAsia="zh-CN"/>
              </w:rPr>
              <w:t xml:space="preserve">二级活性炭吸附技术可行。 </w:t>
            </w:r>
          </w:p>
          <w:p w14:paraId="132CC61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highlight w:val="none"/>
                <w:lang w:val="en-US" w:eastAsia="zh-CN"/>
              </w:rPr>
              <w:t>（2）废气设施运行原理</w:t>
            </w:r>
          </w:p>
          <w:p w14:paraId="4727D4FF">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①袋式除尘器</w:t>
            </w:r>
          </w:p>
          <w:p w14:paraId="6970324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布袋除尘器正常工作时，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脉冲电磁阀发出信号，随着脉冲阀把用作清灰的高压逆向气流送入袋内，滤袋迅速鼓胀，并产生强烈抖动，导致滤袋外侧的粉尘抖落，达到清灰的目的。对照《袋式除尘工程通用技术规范》（HJ2020-2012）袋式除尘工艺适用于各种风量下的含尘气体净化，且含尘空气的净化应优先采用袋式除尘工艺，袋式除尘器是一种成熟常用的除尘工艺，处理效率可达9</w:t>
            </w:r>
            <w:r>
              <w:rPr>
                <w:rFonts w:hint="eastAsia" w:eastAsia="仿宋" w:cs="Times New Roman"/>
                <w:color w:val="auto"/>
                <w:sz w:val="24"/>
                <w:lang w:val="en-US" w:eastAsia="zh-CN"/>
              </w:rPr>
              <w:t>9</w:t>
            </w:r>
            <w:r>
              <w:rPr>
                <w:rFonts w:hint="default" w:ascii="Times New Roman" w:hAnsi="Times New Roman" w:eastAsia="仿宋" w:cs="Times New Roman"/>
                <w:color w:val="auto"/>
                <w:sz w:val="24"/>
                <w:lang w:val="en-US" w:eastAsia="zh-CN"/>
              </w:rPr>
              <w:t>%以上。</w:t>
            </w:r>
          </w:p>
          <w:p w14:paraId="525B2D2C">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②漆雾</w:t>
            </w:r>
            <w:r>
              <w:rPr>
                <w:rFonts w:hint="eastAsia" w:eastAsia="仿宋" w:cs="Times New Roman"/>
                <w:color w:val="auto"/>
                <w:sz w:val="24"/>
                <w:lang w:val="en-US" w:eastAsia="zh-CN"/>
              </w:rPr>
              <w:t>干式</w:t>
            </w:r>
            <w:r>
              <w:rPr>
                <w:rFonts w:hint="default" w:ascii="Times New Roman" w:hAnsi="Times New Roman" w:eastAsia="仿宋" w:cs="Times New Roman"/>
                <w:color w:val="auto"/>
                <w:sz w:val="24"/>
                <w:lang w:val="en-US" w:eastAsia="zh-CN"/>
              </w:rPr>
              <w:t xml:space="preserve">过滤 </w:t>
            </w:r>
          </w:p>
          <w:p w14:paraId="5B83E8E1">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为了防止漆雾进入到活性炭吸附净化装置，于密闭喷漆房集气口采用漆雾过滤盒过滤，通过离心过滤原理，将空气中大颗粒的漆雾撞击拦截在漆雾过滤纸盒内。干式过滤整体具有通风量大、阻力小、容尘量大等特点。</w:t>
            </w:r>
          </w:p>
          <w:p w14:paraId="7BC96C29">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szCs w:val="24"/>
                <w:lang w:val="en-US" w:eastAsia="zh-CN"/>
              </w:rPr>
              <w:t>③</w:t>
            </w:r>
            <w:r>
              <w:rPr>
                <w:rFonts w:hint="default" w:ascii="Times New Roman" w:hAnsi="Times New Roman" w:eastAsia="仿宋" w:cs="Times New Roman"/>
                <w:color w:val="auto"/>
                <w:sz w:val="24"/>
                <w:lang w:val="en-US" w:eastAsia="zh-CN"/>
              </w:rPr>
              <w:t>两级活性炭吸附装置</w:t>
            </w:r>
          </w:p>
          <w:p w14:paraId="4FC06F0E">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活性炭是一种多孔性质的含炭物质，它具有高度发达的孔隙结构，活性炭的多孔结构为其提供了大量的表面积，能与气体（杂质）充分接触，从而赋予了活性炭所特有的吸附功能，使其非常容易达到吸收收集杂质的目的，就像磁力一样，所有的分子间都具有相互引力。正因为如此，活性炭孔壁上的大量的分子可以产生强大的引力，从而达到将有害的杂质吸引到孔径中的目的。</w:t>
            </w:r>
          </w:p>
          <w:p w14:paraId="79716E81">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活性炭具有微晶结构，微晶排列完全不规则，晶体中有微孔、过渡孔（半径20～1000）、大孔（半径1000～100000），使它具有很大的内表面，比表面积为500～1700m</w:t>
            </w:r>
            <w:r>
              <w:rPr>
                <w:rFonts w:hint="default" w:ascii="Times New Roman" w:hAnsi="Times New Roman" w:eastAsia="仿宋" w:cs="Times New Roman"/>
                <w:color w:val="auto"/>
                <w:sz w:val="24"/>
                <w:vertAlign w:val="superscript"/>
                <w:lang w:val="en-US" w:eastAsia="zh-CN"/>
              </w:rPr>
              <w:t>2</w:t>
            </w:r>
            <w:r>
              <w:rPr>
                <w:rFonts w:hint="default" w:ascii="Times New Roman" w:hAnsi="Times New Roman" w:eastAsia="仿宋" w:cs="Times New Roman"/>
                <w:color w:val="auto"/>
                <w:sz w:val="24"/>
                <w:lang w:val="en-US" w:eastAsia="zh-CN"/>
              </w:rPr>
              <w:t>/g。这决定了活性炭具有良好的吸附性，可以吸附废水和废气中的金属离子、有害气体、有机污染物、色素等。工业上应用活性炭还要求机械强度大、耐磨性能好，它的结构力求稳定，吸附所需能量小，以有利于再生。</w:t>
            </w:r>
          </w:p>
          <w:p w14:paraId="75C1E7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活性炭吸附法适用于大风量、低浓度、温度不高的有机废气治理，其能耗低、工艺成熟，效果可靠，是治理有机废气较为理想的方案。根据《大气中VOCs的污染现状及治理技术研究进展》（环境科学与管理，2012年第37卷第6期，曲茉莉）中数据，活性炭吸附对有机废气等的去除效率可达75%以上。本项目有机废气采用二级活性炭吸附，处理效率可达90%以上。</w:t>
            </w:r>
          </w:p>
          <w:p w14:paraId="252E49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 w:cs="Times New Roman"/>
                <w:bCs/>
                <w:color w:val="auto"/>
                <w:sz w:val="24"/>
                <w:szCs w:val="22"/>
              </w:rPr>
            </w:pPr>
            <w:r>
              <w:rPr>
                <w:rFonts w:hint="default" w:ascii="Times New Roman" w:hAnsi="Times New Roman" w:eastAsia="仿宋" w:cs="Times New Roman"/>
                <w:color w:val="auto"/>
                <w:sz w:val="24"/>
                <w:lang w:val="en-US" w:eastAsia="zh-CN"/>
              </w:rPr>
              <w:t xml:space="preserve">  </w:t>
            </w:r>
          </w:p>
        </w:tc>
      </w:tr>
    </w:tbl>
    <w:p w14:paraId="1CDDBB27">
      <w:pPr>
        <w:pStyle w:val="22"/>
        <w:spacing w:before="0" w:beforeAutospacing="0" w:after="0" w:afterAutospacing="0"/>
        <w:jc w:val="both"/>
        <w:outlineLvl w:val="0"/>
        <w:rPr>
          <w:rFonts w:hint="default" w:ascii="Times New Roman" w:hAnsi="Times New Roman" w:eastAsia="仿宋" w:cs="Times New Roman"/>
          <w:snapToGrid w:val="0"/>
          <w:color w:val="auto"/>
          <w:sz w:val="30"/>
          <w:szCs w:val="30"/>
        </w:rPr>
        <w:sectPr>
          <w:footerReference r:id="rId5" w:type="default"/>
          <w:pgSz w:w="11906" w:h="16838"/>
          <w:pgMar w:top="1701" w:right="1531" w:bottom="1701" w:left="1531" w:header="851" w:footer="1134" w:gutter="0"/>
          <w:pgBorders>
            <w:top w:val="none" w:sz="0" w:space="0"/>
            <w:left w:val="none" w:sz="0" w:space="0"/>
            <w:bottom w:val="none" w:sz="0" w:space="0"/>
            <w:right w:val="none" w:sz="0" w:space="0"/>
          </w:pgBorders>
          <w:cols w:space="720" w:num="1"/>
          <w:docGrid w:linePitch="312" w:charSpace="0"/>
        </w:sectPr>
      </w:pPr>
      <w:bookmarkStart w:id="5" w:name="_Toc9211"/>
    </w:p>
    <w:tbl>
      <w:tblPr>
        <w:tblStyle w:val="28"/>
        <w:tblW w:w="13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3175"/>
      </w:tblGrid>
      <w:tr w14:paraId="3C1B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6" w:hRule="atLeast"/>
          <w:jc w:val="center"/>
        </w:trPr>
        <w:tc>
          <w:tcPr>
            <w:tcW w:w="562" w:type="dxa"/>
            <w:vAlign w:val="center"/>
          </w:tcPr>
          <w:p w14:paraId="39E45C67">
            <w:pPr>
              <w:adjustRightInd w:val="0"/>
              <w:snapToGrid w:val="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运营</w:t>
            </w:r>
          </w:p>
          <w:p w14:paraId="16AB38E7">
            <w:pPr>
              <w:adjustRightInd w:val="0"/>
              <w:snapToGrid w:val="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期环</w:t>
            </w:r>
          </w:p>
          <w:p w14:paraId="22BD63E8">
            <w:pPr>
              <w:adjustRightInd w:val="0"/>
              <w:snapToGrid w:val="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境影</w:t>
            </w:r>
          </w:p>
          <w:p w14:paraId="738785B3">
            <w:pPr>
              <w:adjustRightInd w:val="0"/>
              <w:snapToGrid w:val="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响和</w:t>
            </w:r>
          </w:p>
          <w:p w14:paraId="5C341BB9">
            <w:pPr>
              <w:adjustRightInd w:val="0"/>
              <w:snapToGrid w:val="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保护</w:t>
            </w:r>
          </w:p>
          <w:p w14:paraId="7B8BCCDE">
            <w:pPr>
              <w:adjustRightInd w:val="0"/>
              <w:snapToGrid w:val="0"/>
              <w:jc w:val="center"/>
              <w:rPr>
                <w:rFonts w:hint="default" w:ascii="Times New Roman" w:hAnsi="Times New Roman" w:eastAsia="仿宋" w:cs="Times New Roman"/>
                <w:snapToGrid w:val="0"/>
                <w:color w:val="auto"/>
                <w:sz w:val="30"/>
                <w:szCs w:val="30"/>
                <w:vertAlign w:val="baseline"/>
              </w:rPr>
            </w:pPr>
            <w:r>
              <w:rPr>
                <w:rFonts w:hint="default" w:ascii="Times New Roman" w:hAnsi="Times New Roman" w:eastAsia="仿宋" w:cs="Times New Roman"/>
                <w:bCs/>
                <w:color w:val="auto"/>
                <w:sz w:val="24"/>
                <w:szCs w:val="24"/>
              </w:rPr>
              <w:t>措施</w:t>
            </w:r>
          </w:p>
        </w:tc>
        <w:tc>
          <w:tcPr>
            <w:tcW w:w="13175" w:type="dxa"/>
          </w:tcPr>
          <w:p w14:paraId="676646D5">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color w:val="auto"/>
                <w:sz w:val="24"/>
                <w:lang w:val="en-US"/>
              </w:rPr>
            </w:pPr>
            <w:r>
              <w:rPr>
                <w:rFonts w:hint="default" w:ascii="Times New Roman" w:hAnsi="Times New Roman" w:eastAsia="仿宋" w:cs="Times New Roman"/>
                <w:b/>
                <w:bCs/>
                <w:color w:val="auto"/>
                <w:sz w:val="24"/>
                <w:lang w:val="en-US" w:eastAsia="zh-CN"/>
              </w:rPr>
              <w:t>3.废气</w:t>
            </w:r>
            <w:r>
              <w:rPr>
                <w:rFonts w:hint="default" w:ascii="Times New Roman" w:hAnsi="Times New Roman" w:eastAsia="仿宋" w:cs="Times New Roman"/>
                <w:b/>
                <w:bCs/>
                <w:color w:val="auto"/>
                <w:sz w:val="24"/>
              </w:rPr>
              <w:t>排放</w:t>
            </w:r>
            <w:r>
              <w:rPr>
                <w:rFonts w:hint="default" w:ascii="Times New Roman" w:hAnsi="Times New Roman" w:eastAsia="仿宋" w:cs="Times New Roman"/>
                <w:b/>
                <w:bCs/>
                <w:color w:val="auto"/>
                <w:sz w:val="24"/>
                <w:lang w:val="en-US" w:eastAsia="zh-CN"/>
              </w:rPr>
              <w:t>情况及达标情况分析</w:t>
            </w:r>
          </w:p>
          <w:p w14:paraId="2ECF5BB0">
            <w:pPr>
              <w:adjustRightInd w:val="0"/>
              <w:snapToGrid w:val="0"/>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表4-</w:t>
            </w:r>
            <w:r>
              <w:rPr>
                <w:rFonts w:hint="eastAsia" w:ascii="Times New Roman" w:hAnsi="Times New Roman" w:eastAsia="仿宋" w:cs="Times New Roman"/>
                <w:b/>
                <w:bCs/>
                <w:color w:val="auto"/>
                <w:kern w:val="0"/>
                <w:szCs w:val="21"/>
                <w:lang w:val="en-US" w:eastAsia="zh-CN"/>
              </w:rPr>
              <w:t>3</w:t>
            </w:r>
            <w:r>
              <w:rPr>
                <w:rFonts w:hint="default" w:ascii="Times New Roman" w:hAnsi="Times New Roman" w:eastAsia="仿宋" w:cs="Times New Roman"/>
                <w:b/>
                <w:bCs/>
                <w:color w:val="auto"/>
                <w:kern w:val="0"/>
                <w:szCs w:val="21"/>
              </w:rPr>
              <w:t xml:space="preserve"> </w:t>
            </w:r>
            <w:r>
              <w:rPr>
                <w:rFonts w:hint="default" w:ascii="Times New Roman" w:hAnsi="Times New Roman" w:eastAsia="仿宋" w:cs="Times New Roman"/>
                <w:b/>
                <w:bCs/>
                <w:snapToGrid w:val="0"/>
                <w:color w:val="auto"/>
                <w:kern w:val="0"/>
                <w:szCs w:val="21"/>
              </w:rPr>
              <w:t>建设项目</w:t>
            </w:r>
            <w:r>
              <w:rPr>
                <w:rFonts w:hint="default" w:ascii="Times New Roman" w:hAnsi="Times New Roman" w:eastAsia="仿宋" w:cs="Times New Roman"/>
                <w:b/>
                <w:bCs/>
                <w:color w:val="auto"/>
                <w:kern w:val="0"/>
                <w:szCs w:val="21"/>
              </w:rPr>
              <w:t>废气源强核算、收集、处理、排放方式情况一览表</w:t>
            </w:r>
          </w:p>
          <w:tbl>
            <w:tblPr>
              <w:tblStyle w:val="27"/>
              <w:tblW w:w="501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7"/>
              <w:gridCol w:w="947"/>
              <w:gridCol w:w="1556"/>
              <w:gridCol w:w="775"/>
              <w:gridCol w:w="1056"/>
              <w:gridCol w:w="926"/>
              <w:gridCol w:w="674"/>
              <w:gridCol w:w="1647"/>
              <w:gridCol w:w="752"/>
              <w:gridCol w:w="1077"/>
              <w:gridCol w:w="1147"/>
              <w:gridCol w:w="791"/>
              <w:gridCol w:w="716"/>
            </w:tblGrid>
            <w:tr w14:paraId="7F0509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vMerge w:val="restart"/>
                  <w:noWrap w:val="0"/>
                  <w:vAlign w:val="center"/>
                </w:tcPr>
                <w:p w14:paraId="0F350677">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污染源</w:t>
                  </w:r>
                </w:p>
              </w:tc>
              <w:tc>
                <w:tcPr>
                  <w:tcW w:w="364" w:type="pct"/>
                  <w:vMerge w:val="restart"/>
                  <w:noWrap w:val="0"/>
                  <w:vAlign w:val="center"/>
                </w:tcPr>
                <w:p w14:paraId="66A153F1">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污染源</w:t>
                  </w:r>
                </w:p>
                <w:p w14:paraId="773A5153">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编号</w:t>
                  </w:r>
                </w:p>
              </w:tc>
              <w:tc>
                <w:tcPr>
                  <w:tcW w:w="598" w:type="pct"/>
                  <w:vMerge w:val="restart"/>
                  <w:noWrap w:val="0"/>
                  <w:vAlign w:val="center"/>
                </w:tcPr>
                <w:p w14:paraId="7CD2DAB3">
                  <w:pPr>
                    <w:widowControl/>
                    <w:adjustRightInd w:val="0"/>
                    <w:snapToGrid w:val="0"/>
                    <w:ind w:left="-105" w:leftChars="-50" w:right="-105" w:rightChars="-50"/>
                    <w:jc w:val="center"/>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污染物</w:t>
                  </w:r>
                </w:p>
                <w:p w14:paraId="101C3C85">
                  <w:pPr>
                    <w:widowControl/>
                    <w:adjustRightInd w:val="0"/>
                    <w:snapToGrid w:val="0"/>
                    <w:ind w:left="-105" w:leftChars="-50" w:right="-105" w:rightChars="-50"/>
                    <w:jc w:val="center"/>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种类</w:t>
                  </w:r>
                </w:p>
              </w:tc>
              <w:tc>
                <w:tcPr>
                  <w:tcW w:w="298" w:type="pct"/>
                  <w:vMerge w:val="restart"/>
                  <w:noWrap w:val="0"/>
                  <w:vAlign w:val="center"/>
                </w:tcPr>
                <w:p w14:paraId="5EC6E537">
                  <w:pPr>
                    <w:widowControl/>
                    <w:adjustRightInd w:val="0"/>
                    <w:snapToGrid w:val="0"/>
                    <w:ind w:left="-105" w:leftChars="-50" w:right="-105" w:rightChars="-50"/>
                    <w:jc w:val="center"/>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污染源强核算（t/a）</w:t>
                  </w:r>
                </w:p>
              </w:tc>
              <w:tc>
                <w:tcPr>
                  <w:tcW w:w="406" w:type="pct"/>
                  <w:vMerge w:val="restart"/>
                  <w:noWrap w:val="0"/>
                  <w:vAlign w:val="center"/>
                </w:tcPr>
                <w:p w14:paraId="0A1E2D96">
                  <w:pPr>
                    <w:widowControl/>
                    <w:adjustRightInd w:val="0"/>
                    <w:snapToGrid w:val="0"/>
                    <w:ind w:left="-105" w:leftChars="-50" w:right="-105" w:rightChars="-50"/>
                    <w:jc w:val="center"/>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源强核算依据</w:t>
                  </w:r>
                </w:p>
              </w:tc>
              <w:tc>
                <w:tcPr>
                  <w:tcW w:w="356" w:type="pct"/>
                  <w:vMerge w:val="restart"/>
                  <w:noWrap w:val="0"/>
                  <w:vAlign w:val="center"/>
                </w:tcPr>
                <w:p w14:paraId="25128F30">
                  <w:pPr>
                    <w:widowControl/>
                    <w:adjustRightInd w:val="0"/>
                    <w:snapToGrid w:val="0"/>
                    <w:ind w:left="-105" w:leftChars="-50" w:right="-105" w:rightChars="-50"/>
                    <w:jc w:val="center"/>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废气收集方式</w:t>
                  </w:r>
                </w:p>
              </w:tc>
              <w:tc>
                <w:tcPr>
                  <w:tcW w:w="259" w:type="pct"/>
                  <w:vMerge w:val="restart"/>
                  <w:noWrap w:val="0"/>
                  <w:vAlign w:val="center"/>
                </w:tcPr>
                <w:p w14:paraId="4C1F422A">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收集</w:t>
                  </w:r>
                </w:p>
                <w:p w14:paraId="36988DAE">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效率</w:t>
                  </w:r>
                </w:p>
              </w:tc>
              <w:tc>
                <w:tcPr>
                  <w:tcW w:w="1336" w:type="pct"/>
                  <w:gridSpan w:val="3"/>
                  <w:noWrap w:val="0"/>
                  <w:vAlign w:val="center"/>
                </w:tcPr>
                <w:p w14:paraId="07010137">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治理措施</w:t>
                  </w:r>
                </w:p>
              </w:tc>
              <w:tc>
                <w:tcPr>
                  <w:tcW w:w="441" w:type="pct"/>
                  <w:vMerge w:val="restart"/>
                  <w:noWrap w:val="0"/>
                  <w:vAlign w:val="center"/>
                </w:tcPr>
                <w:p w14:paraId="1B19F95D">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排风量</w:t>
                  </w:r>
                </w:p>
                <w:p w14:paraId="06727F5B">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（m</w:t>
                  </w:r>
                  <w:r>
                    <w:rPr>
                      <w:rFonts w:hint="default" w:ascii="Times New Roman" w:hAnsi="Times New Roman" w:eastAsia="仿宋" w:cs="Times New Roman"/>
                      <w:b/>
                      <w:bCs/>
                      <w:color w:val="auto"/>
                      <w:sz w:val="21"/>
                      <w:szCs w:val="21"/>
                      <w:vertAlign w:val="superscript"/>
                    </w:rPr>
                    <w:t>3</w:t>
                  </w:r>
                  <w:r>
                    <w:rPr>
                      <w:rFonts w:hint="default" w:ascii="Times New Roman" w:hAnsi="Times New Roman" w:eastAsia="仿宋" w:cs="Times New Roman"/>
                      <w:b/>
                      <w:bCs/>
                      <w:color w:val="auto"/>
                      <w:sz w:val="21"/>
                      <w:szCs w:val="21"/>
                    </w:rPr>
                    <w:t>/h）</w:t>
                  </w:r>
                </w:p>
              </w:tc>
              <w:tc>
                <w:tcPr>
                  <w:tcW w:w="579" w:type="pct"/>
                  <w:gridSpan w:val="2"/>
                  <w:noWrap w:val="0"/>
                  <w:vAlign w:val="center"/>
                </w:tcPr>
                <w:p w14:paraId="6CE8AF7D">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排放形式</w:t>
                  </w:r>
                </w:p>
              </w:tc>
            </w:tr>
            <w:tr w14:paraId="0CDBEC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vMerge w:val="continue"/>
                  <w:noWrap w:val="0"/>
                  <w:vAlign w:val="center"/>
                </w:tcPr>
                <w:p w14:paraId="4A981999">
                  <w:pPr>
                    <w:adjustRightInd w:val="0"/>
                    <w:snapToGrid w:val="0"/>
                    <w:ind w:left="-105" w:leftChars="-50" w:right="-105" w:rightChars="-50"/>
                    <w:jc w:val="center"/>
                    <w:rPr>
                      <w:rFonts w:hint="default" w:ascii="Times New Roman" w:hAnsi="Times New Roman" w:eastAsia="仿宋" w:cs="Times New Roman"/>
                      <w:b/>
                      <w:bCs/>
                      <w:color w:val="auto"/>
                      <w:sz w:val="21"/>
                      <w:szCs w:val="21"/>
                    </w:rPr>
                  </w:pPr>
                </w:p>
              </w:tc>
              <w:tc>
                <w:tcPr>
                  <w:tcW w:w="364" w:type="pct"/>
                  <w:vMerge w:val="continue"/>
                  <w:noWrap w:val="0"/>
                  <w:vAlign w:val="center"/>
                </w:tcPr>
                <w:p w14:paraId="532ED61D">
                  <w:pPr>
                    <w:adjustRightInd w:val="0"/>
                    <w:snapToGrid w:val="0"/>
                    <w:ind w:left="-105" w:leftChars="-50" w:right="-105" w:rightChars="-50"/>
                    <w:jc w:val="center"/>
                    <w:rPr>
                      <w:rFonts w:hint="default" w:ascii="Times New Roman" w:hAnsi="Times New Roman" w:eastAsia="仿宋" w:cs="Times New Roman"/>
                      <w:b/>
                      <w:bCs/>
                      <w:color w:val="auto"/>
                      <w:sz w:val="21"/>
                      <w:szCs w:val="21"/>
                    </w:rPr>
                  </w:pPr>
                </w:p>
              </w:tc>
              <w:tc>
                <w:tcPr>
                  <w:tcW w:w="598" w:type="pct"/>
                  <w:vMerge w:val="continue"/>
                  <w:noWrap w:val="0"/>
                  <w:vAlign w:val="center"/>
                </w:tcPr>
                <w:p w14:paraId="05E98E28">
                  <w:pPr>
                    <w:widowControl/>
                    <w:adjustRightInd w:val="0"/>
                    <w:snapToGrid w:val="0"/>
                    <w:ind w:left="-105" w:leftChars="-50" w:right="-105" w:rightChars="-50"/>
                    <w:jc w:val="center"/>
                    <w:rPr>
                      <w:rFonts w:hint="default" w:ascii="Times New Roman" w:hAnsi="Times New Roman" w:eastAsia="仿宋" w:cs="Times New Roman"/>
                      <w:b/>
                      <w:bCs/>
                      <w:color w:val="auto"/>
                      <w:kern w:val="0"/>
                      <w:sz w:val="21"/>
                      <w:szCs w:val="21"/>
                    </w:rPr>
                  </w:pPr>
                </w:p>
              </w:tc>
              <w:tc>
                <w:tcPr>
                  <w:tcW w:w="298" w:type="pct"/>
                  <w:vMerge w:val="continue"/>
                  <w:noWrap w:val="0"/>
                  <w:vAlign w:val="center"/>
                </w:tcPr>
                <w:p w14:paraId="0D325BA6">
                  <w:pPr>
                    <w:widowControl/>
                    <w:adjustRightInd w:val="0"/>
                    <w:snapToGrid w:val="0"/>
                    <w:ind w:left="-105" w:leftChars="-50" w:right="-105" w:rightChars="-50"/>
                    <w:jc w:val="center"/>
                    <w:rPr>
                      <w:rFonts w:hint="default" w:ascii="Times New Roman" w:hAnsi="Times New Roman" w:eastAsia="仿宋" w:cs="Times New Roman"/>
                      <w:b/>
                      <w:bCs/>
                      <w:color w:val="auto"/>
                      <w:kern w:val="0"/>
                      <w:sz w:val="21"/>
                      <w:szCs w:val="21"/>
                    </w:rPr>
                  </w:pPr>
                </w:p>
              </w:tc>
              <w:tc>
                <w:tcPr>
                  <w:tcW w:w="406" w:type="pct"/>
                  <w:vMerge w:val="continue"/>
                  <w:noWrap w:val="0"/>
                  <w:vAlign w:val="center"/>
                </w:tcPr>
                <w:p w14:paraId="4F74A2C5">
                  <w:pPr>
                    <w:widowControl/>
                    <w:adjustRightInd w:val="0"/>
                    <w:snapToGrid w:val="0"/>
                    <w:ind w:left="-105" w:leftChars="-50" w:right="-105" w:rightChars="-50"/>
                    <w:jc w:val="center"/>
                    <w:rPr>
                      <w:rFonts w:hint="default" w:ascii="Times New Roman" w:hAnsi="Times New Roman" w:eastAsia="仿宋" w:cs="Times New Roman"/>
                      <w:b/>
                      <w:bCs/>
                      <w:color w:val="auto"/>
                      <w:kern w:val="0"/>
                      <w:sz w:val="21"/>
                      <w:szCs w:val="21"/>
                    </w:rPr>
                  </w:pPr>
                </w:p>
              </w:tc>
              <w:tc>
                <w:tcPr>
                  <w:tcW w:w="356" w:type="pct"/>
                  <w:vMerge w:val="continue"/>
                  <w:noWrap w:val="0"/>
                  <w:vAlign w:val="center"/>
                </w:tcPr>
                <w:p w14:paraId="6B3A4E79">
                  <w:pPr>
                    <w:widowControl/>
                    <w:adjustRightInd w:val="0"/>
                    <w:snapToGrid w:val="0"/>
                    <w:ind w:left="-105" w:leftChars="-50" w:right="-105" w:rightChars="-50"/>
                    <w:jc w:val="center"/>
                    <w:rPr>
                      <w:rFonts w:hint="default" w:ascii="Times New Roman" w:hAnsi="Times New Roman" w:eastAsia="仿宋" w:cs="Times New Roman"/>
                      <w:b/>
                      <w:bCs/>
                      <w:color w:val="auto"/>
                      <w:kern w:val="0"/>
                      <w:sz w:val="21"/>
                      <w:szCs w:val="21"/>
                    </w:rPr>
                  </w:pPr>
                </w:p>
              </w:tc>
              <w:tc>
                <w:tcPr>
                  <w:tcW w:w="259" w:type="pct"/>
                  <w:vMerge w:val="continue"/>
                  <w:noWrap w:val="0"/>
                  <w:vAlign w:val="center"/>
                </w:tcPr>
                <w:p w14:paraId="42D22065">
                  <w:pPr>
                    <w:adjustRightInd w:val="0"/>
                    <w:snapToGrid w:val="0"/>
                    <w:ind w:left="-105" w:leftChars="-50" w:right="-105" w:rightChars="-50"/>
                    <w:jc w:val="center"/>
                    <w:rPr>
                      <w:rFonts w:hint="default" w:ascii="Times New Roman" w:hAnsi="Times New Roman" w:eastAsia="仿宋" w:cs="Times New Roman"/>
                      <w:b/>
                      <w:bCs/>
                      <w:color w:val="auto"/>
                      <w:sz w:val="21"/>
                      <w:szCs w:val="21"/>
                    </w:rPr>
                  </w:pPr>
                </w:p>
              </w:tc>
              <w:tc>
                <w:tcPr>
                  <w:tcW w:w="633" w:type="pct"/>
                  <w:noWrap w:val="0"/>
                  <w:vAlign w:val="center"/>
                </w:tcPr>
                <w:p w14:paraId="00AE6C58">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治理工艺</w:t>
                  </w:r>
                </w:p>
              </w:tc>
              <w:tc>
                <w:tcPr>
                  <w:tcW w:w="289" w:type="pct"/>
                  <w:noWrap w:val="0"/>
                  <w:vAlign w:val="center"/>
                </w:tcPr>
                <w:p w14:paraId="5862A633">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去除</w:t>
                  </w:r>
                </w:p>
                <w:p w14:paraId="7EBEFC9E">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效率</w:t>
                  </w:r>
                </w:p>
              </w:tc>
              <w:tc>
                <w:tcPr>
                  <w:tcW w:w="414" w:type="pct"/>
                  <w:noWrap w:val="0"/>
                  <w:vAlign w:val="center"/>
                </w:tcPr>
                <w:p w14:paraId="76972337">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是否为可行技术</w:t>
                  </w:r>
                </w:p>
              </w:tc>
              <w:tc>
                <w:tcPr>
                  <w:tcW w:w="441" w:type="pct"/>
                  <w:vMerge w:val="continue"/>
                  <w:noWrap w:val="0"/>
                  <w:vAlign w:val="center"/>
                </w:tcPr>
                <w:p w14:paraId="647AFD27">
                  <w:pPr>
                    <w:adjustRightInd w:val="0"/>
                    <w:snapToGrid w:val="0"/>
                    <w:ind w:left="-105" w:leftChars="-50" w:right="-105" w:rightChars="-50"/>
                    <w:jc w:val="center"/>
                    <w:rPr>
                      <w:rFonts w:hint="default" w:ascii="Times New Roman" w:hAnsi="Times New Roman" w:eastAsia="仿宋" w:cs="Times New Roman"/>
                      <w:b/>
                      <w:bCs/>
                      <w:color w:val="auto"/>
                      <w:sz w:val="21"/>
                      <w:szCs w:val="21"/>
                    </w:rPr>
                  </w:pPr>
                </w:p>
              </w:tc>
              <w:tc>
                <w:tcPr>
                  <w:tcW w:w="304" w:type="pct"/>
                  <w:noWrap w:val="0"/>
                  <w:vAlign w:val="center"/>
                </w:tcPr>
                <w:p w14:paraId="5F8263E8">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有组织</w:t>
                  </w:r>
                </w:p>
              </w:tc>
              <w:tc>
                <w:tcPr>
                  <w:tcW w:w="275" w:type="pct"/>
                  <w:noWrap w:val="0"/>
                  <w:vAlign w:val="center"/>
                </w:tcPr>
                <w:p w14:paraId="7747ABC3">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无组织</w:t>
                  </w:r>
                </w:p>
              </w:tc>
            </w:tr>
            <w:tr w14:paraId="6F5C68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noWrap w:val="0"/>
                  <w:vAlign w:val="center"/>
                </w:tcPr>
                <w:p w14:paraId="6902C127">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打磨</w:t>
                  </w:r>
                </w:p>
              </w:tc>
              <w:tc>
                <w:tcPr>
                  <w:tcW w:w="364" w:type="pct"/>
                  <w:noWrap w:val="0"/>
                  <w:vAlign w:val="center"/>
                </w:tcPr>
                <w:p w14:paraId="43FA0E28">
                  <w:pPr>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G</w:t>
                  </w:r>
                  <w:r>
                    <w:rPr>
                      <w:rFonts w:hint="eastAsia" w:eastAsia="仿宋" w:cs="Times New Roman"/>
                      <w:bCs/>
                      <w:color w:val="auto"/>
                      <w:kern w:val="2"/>
                      <w:sz w:val="21"/>
                      <w:szCs w:val="21"/>
                      <w:lang w:val="en-US" w:eastAsia="zh-CN" w:bidi="ar-SA"/>
                    </w:rPr>
                    <w:t>2</w:t>
                  </w:r>
                </w:p>
              </w:tc>
              <w:tc>
                <w:tcPr>
                  <w:tcW w:w="598" w:type="pct"/>
                  <w:noWrap w:val="0"/>
                  <w:vAlign w:val="center"/>
                </w:tcPr>
                <w:p w14:paraId="3DB534D4">
                  <w:pPr>
                    <w:pStyle w:val="22"/>
                    <w:snapToGrid w:val="0"/>
                    <w:spacing w:before="0" w:beforeAutospacing="0" w:after="0" w:afterAutospacing="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颗粒物</w:t>
                  </w:r>
                </w:p>
              </w:tc>
              <w:tc>
                <w:tcPr>
                  <w:tcW w:w="298" w:type="pct"/>
                  <w:noWrap w:val="0"/>
                  <w:vAlign w:val="center"/>
                </w:tcPr>
                <w:p w14:paraId="46D2DD60">
                  <w:pPr>
                    <w:widowControl/>
                    <w:jc w:val="center"/>
                    <w:rPr>
                      <w:rFonts w:hint="default" w:ascii="Times New Roman" w:hAnsi="Times New Roman" w:eastAsia="仿宋" w:cs="Times New Roman"/>
                      <w:color w:val="auto"/>
                      <w:sz w:val="21"/>
                      <w:szCs w:val="21"/>
                      <w:lang w:val="en-US" w:bidi="zh-CN"/>
                    </w:rPr>
                  </w:pPr>
                  <w:r>
                    <w:rPr>
                      <w:rFonts w:hint="eastAsia" w:eastAsia="仿宋" w:cs="Times New Roman"/>
                      <w:bCs/>
                      <w:color w:val="auto"/>
                      <w:kern w:val="2"/>
                      <w:sz w:val="21"/>
                      <w:szCs w:val="21"/>
                      <w:lang w:val="en-US" w:eastAsia="zh-CN" w:bidi="ar-SA"/>
                    </w:rPr>
                    <w:t>4.38</w:t>
                  </w:r>
                </w:p>
              </w:tc>
              <w:tc>
                <w:tcPr>
                  <w:tcW w:w="406" w:type="pct"/>
                  <w:noWrap w:val="0"/>
                  <w:vAlign w:val="center"/>
                </w:tcPr>
                <w:p w14:paraId="78F03AAE">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产污系数法</w:t>
                  </w:r>
                </w:p>
              </w:tc>
              <w:tc>
                <w:tcPr>
                  <w:tcW w:w="356" w:type="pct"/>
                  <w:noWrap w:val="0"/>
                  <w:vAlign w:val="center"/>
                </w:tcPr>
                <w:p w14:paraId="21C2F2B8">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密闭空间、风机</w:t>
                  </w:r>
                </w:p>
              </w:tc>
              <w:tc>
                <w:tcPr>
                  <w:tcW w:w="259" w:type="pct"/>
                  <w:noWrap w:val="0"/>
                  <w:vAlign w:val="center"/>
                </w:tcPr>
                <w:p w14:paraId="36B0AAB1">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w:t>
                  </w:r>
                </w:p>
              </w:tc>
              <w:tc>
                <w:tcPr>
                  <w:tcW w:w="633" w:type="pct"/>
                  <w:noWrap w:val="0"/>
                  <w:vAlign w:val="center"/>
                </w:tcPr>
                <w:p w14:paraId="4C05CE96">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袋式除尘</w:t>
                  </w:r>
                </w:p>
              </w:tc>
              <w:tc>
                <w:tcPr>
                  <w:tcW w:w="289" w:type="pct"/>
                  <w:noWrap w:val="0"/>
                  <w:vAlign w:val="center"/>
                </w:tcPr>
                <w:p w14:paraId="186A9026">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9</w:t>
                  </w:r>
                  <w:r>
                    <w:rPr>
                      <w:rFonts w:hint="eastAsia"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w:t>
                  </w:r>
                </w:p>
              </w:tc>
              <w:tc>
                <w:tcPr>
                  <w:tcW w:w="414" w:type="pct"/>
                  <w:noWrap w:val="0"/>
                  <w:vAlign w:val="center"/>
                </w:tcPr>
                <w:p w14:paraId="0396C86E">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c>
                <w:tcPr>
                  <w:tcW w:w="441" w:type="pct"/>
                  <w:vMerge w:val="restart"/>
                  <w:noWrap w:val="0"/>
                  <w:vAlign w:val="center"/>
                </w:tcPr>
                <w:p w14:paraId="10DD8CB5">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13000</w:t>
                  </w:r>
                </w:p>
              </w:tc>
              <w:tc>
                <w:tcPr>
                  <w:tcW w:w="304" w:type="pct"/>
                  <w:vMerge w:val="restart"/>
                  <w:noWrap w:val="0"/>
                  <w:vAlign w:val="center"/>
                </w:tcPr>
                <w:p w14:paraId="77135223">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275" w:type="pct"/>
                  <w:vMerge w:val="restart"/>
                  <w:noWrap w:val="0"/>
                  <w:vAlign w:val="center"/>
                </w:tcPr>
                <w:p w14:paraId="32B81D02">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14:paraId="6EAC26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noWrap w:val="0"/>
                  <w:vAlign w:val="center"/>
                </w:tcPr>
                <w:p w14:paraId="691AAE0C">
                  <w:pPr>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eastAsia="zh-CN"/>
                    </w:rPr>
                    <w:t>抛光</w:t>
                  </w:r>
                </w:p>
              </w:tc>
              <w:tc>
                <w:tcPr>
                  <w:tcW w:w="364" w:type="pct"/>
                  <w:noWrap w:val="0"/>
                  <w:vAlign w:val="center"/>
                </w:tcPr>
                <w:p w14:paraId="5C08B6CA">
                  <w:pPr>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G3</w:t>
                  </w:r>
                </w:p>
              </w:tc>
              <w:tc>
                <w:tcPr>
                  <w:tcW w:w="598" w:type="pct"/>
                  <w:noWrap w:val="0"/>
                  <w:vAlign w:val="center"/>
                </w:tcPr>
                <w:p w14:paraId="36FE3083">
                  <w:pPr>
                    <w:pStyle w:val="22"/>
                    <w:snapToGrid w:val="0"/>
                    <w:spacing w:before="0" w:beforeAutospacing="0" w:after="0" w:afterAutospacing="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颗粒物</w:t>
                  </w:r>
                </w:p>
              </w:tc>
              <w:tc>
                <w:tcPr>
                  <w:tcW w:w="298" w:type="pct"/>
                  <w:noWrap w:val="0"/>
                  <w:vAlign w:val="center"/>
                </w:tcPr>
                <w:p w14:paraId="101DF9FF">
                  <w:pPr>
                    <w:widowControl/>
                    <w:jc w:val="center"/>
                    <w:rPr>
                      <w:rFonts w:hint="eastAsia" w:ascii="Times New Roman" w:hAnsi="Times New Roman" w:eastAsia="仿宋" w:cs="Times New Roman"/>
                      <w:color w:val="auto"/>
                      <w:sz w:val="21"/>
                      <w:szCs w:val="21"/>
                      <w:lang w:val="en-US" w:bidi="zh-CN"/>
                    </w:rPr>
                  </w:pPr>
                  <w:r>
                    <w:rPr>
                      <w:rFonts w:hint="eastAsia" w:eastAsia="仿宋" w:cs="Times New Roman"/>
                      <w:bCs/>
                      <w:color w:val="auto"/>
                      <w:kern w:val="2"/>
                      <w:sz w:val="21"/>
                      <w:szCs w:val="21"/>
                      <w:lang w:val="en-US" w:eastAsia="zh-CN" w:bidi="ar-SA"/>
                    </w:rPr>
                    <w:t>4.38</w:t>
                  </w:r>
                </w:p>
              </w:tc>
              <w:tc>
                <w:tcPr>
                  <w:tcW w:w="406" w:type="pct"/>
                  <w:noWrap w:val="0"/>
                  <w:vAlign w:val="center"/>
                </w:tcPr>
                <w:p w14:paraId="0E5A14B0">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产污系数法</w:t>
                  </w:r>
                </w:p>
              </w:tc>
              <w:tc>
                <w:tcPr>
                  <w:tcW w:w="356" w:type="pct"/>
                  <w:noWrap w:val="0"/>
                  <w:vAlign w:val="center"/>
                </w:tcPr>
                <w:p w14:paraId="1D2A9179">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密闭空间、风机</w:t>
                  </w:r>
                </w:p>
              </w:tc>
              <w:tc>
                <w:tcPr>
                  <w:tcW w:w="259" w:type="pct"/>
                  <w:noWrap w:val="0"/>
                  <w:vAlign w:val="center"/>
                </w:tcPr>
                <w:p w14:paraId="2CB2C4CE">
                  <w:pPr>
                    <w:adjustRightInd w:val="0"/>
                    <w:snapToGrid w:val="0"/>
                    <w:ind w:left="-105" w:leftChars="-50" w:right="-105" w:rightChars="-50"/>
                    <w:jc w:val="center"/>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w:t>
                  </w:r>
                </w:p>
              </w:tc>
              <w:tc>
                <w:tcPr>
                  <w:tcW w:w="633" w:type="pct"/>
                  <w:noWrap w:val="0"/>
                  <w:vAlign w:val="center"/>
                </w:tcPr>
                <w:p w14:paraId="0897F8E4">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袋式除尘</w:t>
                  </w:r>
                </w:p>
              </w:tc>
              <w:tc>
                <w:tcPr>
                  <w:tcW w:w="289" w:type="pct"/>
                  <w:noWrap w:val="0"/>
                  <w:vAlign w:val="center"/>
                </w:tcPr>
                <w:p w14:paraId="100079F8">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w:t>
                  </w:r>
                  <w:r>
                    <w:rPr>
                      <w:rFonts w:hint="eastAsia"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w:t>
                  </w:r>
                </w:p>
              </w:tc>
              <w:tc>
                <w:tcPr>
                  <w:tcW w:w="414" w:type="pct"/>
                  <w:noWrap w:val="0"/>
                  <w:vAlign w:val="center"/>
                </w:tcPr>
                <w:p w14:paraId="58676576">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c>
                <w:tcPr>
                  <w:tcW w:w="441" w:type="pct"/>
                  <w:vMerge w:val="continue"/>
                  <w:noWrap w:val="0"/>
                  <w:vAlign w:val="center"/>
                </w:tcPr>
                <w:p w14:paraId="2FFCCABF">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p>
              </w:tc>
              <w:tc>
                <w:tcPr>
                  <w:tcW w:w="304" w:type="pct"/>
                  <w:vMerge w:val="continue"/>
                  <w:noWrap w:val="0"/>
                  <w:vAlign w:val="center"/>
                </w:tcPr>
                <w:p w14:paraId="6DD5DC80">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75" w:type="pct"/>
                  <w:vMerge w:val="continue"/>
                  <w:noWrap w:val="0"/>
                  <w:vAlign w:val="center"/>
                </w:tcPr>
                <w:p w14:paraId="5F20F449">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14:paraId="4A2FDD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noWrap w:val="0"/>
                  <w:vAlign w:val="center"/>
                </w:tcPr>
                <w:p w14:paraId="3A09E8F6">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焊接</w:t>
                  </w:r>
                </w:p>
              </w:tc>
              <w:tc>
                <w:tcPr>
                  <w:tcW w:w="364" w:type="pct"/>
                  <w:noWrap w:val="0"/>
                  <w:vAlign w:val="center"/>
                </w:tcPr>
                <w:p w14:paraId="46F0F340">
                  <w:pPr>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G1</w:t>
                  </w:r>
                </w:p>
              </w:tc>
              <w:tc>
                <w:tcPr>
                  <w:tcW w:w="598" w:type="pct"/>
                  <w:noWrap w:val="0"/>
                  <w:vAlign w:val="center"/>
                </w:tcPr>
                <w:p w14:paraId="5CE1DE9F">
                  <w:pPr>
                    <w:pStyle w:val="22"/>
                    <w:snapToGrid w:val="0"/>
                    <w:spacing w:before="0" w:beforeAutospacing="0" w:after="0" w:afterAutospacing="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颗粒物</w:t>
                  </w:r>
                </w:p>
              </w:tc>
              <w:tc>
                <w:tcPr>
                  <w:tcW w:w="298" w:type="pct"/>
                  <w:noWrap w:val="0"/>
                  <w:vAlign w:val="center"/>
                </w:tcPr>
                <w:p w14:paraId="596F4C4E">
                  <w:pPr>
                    <w:widowControl/>
                    <w:jc w:val="center"/>
                    <w:rPr>
                      <w:rFonts w:hint="eastAsia" w:ascii="Times New Roman" w:hAnsi="Times New Roman" w:eastAsia="仿宋" w:cs="Times New Roman"/>
                      <w:bCs/>
                      <w:color w:val="auto"/>
                      <w:kern w:val="2"/>
                      <w:sz w:val="21"/>
                      <w:szCs w:val="21"/>
                      <w:lang w:val="en-US" w:eastAsia="zh-CN" w:bidi="ar-SA"/>
                    </w:rPr>
                  </w:pPr>
                  <w:r>
                    <w:rPr>
                      <w:rFonts w:hint="eastAsia" w:eastAsia="仿宋" w:cs="Times New Roman"/>
                      <w:color w:val="auto"/>
                      <w:sz w:val="21"/>
                      <w:szCs w:val="21"/>
                      <w:lang w:val="en-US" w:bidi="zh-CN"/>
                    </w:rPr>
                    <w:t>0.276</w:t>
                  </w:r>
                </w:p>
              </w:tc>
              <w:tc>
                <w:tcPr>
                  <w:tcW w:w="406" w:type="pct"/>
                  <w:noWrap w:val="0"/>
                  <w:vAlign w:val="center"/>
                </w:tcPr>
                <w:p w14:paraId="09D261E2">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产污系数法</w:t>
                  </w:r>
                </w:p>
              </w:tc>
              <w:tc>
                <w:tcPr>
                  <w:tcW w:w="356" w:type="pct"/>
                  <w:noWrap w:val="0"/>
                  <w:vAlign w:val="center"/>
                </w:tcPr>
                <w:p w14:paraId="5F6F8253">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集气罩</w:t>
                  </w:r>
                </w:p>
              </w:tc>
              <w:tc>
                <w:tcPr>
                  <w:tcW w:w="259" w:type="pct"/>
                  <w:noWrap w:val="0"/>
                  <w:vAlign w:val="center"/>
                </w:tcPr>
                <w:p w14:paraId="77A62864">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90</w:t>
                  </w:r>
                  <w:r>
                    <w:rPr>
                      <w:rFonts w:hint="default" w:ascii="Times New Roman" w:hAnsi="Times New Roman" w:eastAsia="仿宋" w:cs="Times New Roman"/>
                      <w:color w:val="auto"/>
                      <w:sz w:val="21"/>
                      <w:szCs w:val="21"/>
                    </w:rPr>
                    <w:t>%</w:t>
                  </w:r>
                </w:p>
              </w:tc>
              <w:tc>
                <w:tcPr>
                  <w:tcW w:w="633" w:type="pct"/>
                  <w:noWrap w:val="0"/>
                  <w:vAlign w:val="center"/>
                </w:tcPr>
                <w:p w14:paraId="3DDE8C73">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袋式除尘</w:t>
                  </w:r>
                </w:p>
              </w:tc>
              <w:tc>
                <w:tcPr>
                  <w:tcW w:w="289" w:type="pct"/>
                  <w:noWrap w:val="0"/>
                  <w:vAlign w:val="center"/>
                </w:tcPr>
                <w:p w14:paraId="0018FD30">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w:t>
                  </w:r>
                  <w:r>
                    <w:rPr>
                      <w:rFonts w:hint="eastAsia"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w:t>
                  </w:r>
                </w:p>
              </w:tc>
              <w:tc>
                <w:tcPr>
                  <w:tcW w:w="414" w:type="pct"/>
                  <w:noWrap w:val="0"/>
                  <w:vAlign w:val="center"/>
                </w:tcPr>
                <w:p w14:paraId="55A2ED6C">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c>
                <w:tcPr>
                  <w:tcW w:w="441" w:type="pct"/>
                  <w:vMerge w:val="restart"/>
                  <w:noWrap w:val="0"/>
                  <w:vAlign w:val="center"/>
                </w:tcPr>
                <w:p w14:paraId="34EA0116">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8000</w:t>
                  </w:r>
                </w:p>
              </w:tc>
              <w:tc>
                <w:tcPr>
                  <w:tcW w:w="304" w:type="pct"/>
                  <w:vMerge w:val="restart"/>
                  <w:noWrap w:val="0"/>
                  <w:vAlign w:val="center"/>
                </w:tcPr>
                <w:p w14:paraId="70457702">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275" w:type="pct"/>
                  <w:vMerge w:val="restart"/>
                  <w:noWrap w:val="0"/>
                  <w:vAlign w:val="center"/>
                </w:tcPr>
                <w:p w14:paraId="11196850">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14:paraId="5E1210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noWrap w:val="0"/>
                  <w:vAlign w:val="center"/>
                </w:tcPr>
                <w:p w14:paraId="26A4ACE7">
                  <w:pPr>
                    <w:jc w:val="cente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喷砂</w:t>
                  </w:r>
                </w:p>
              </w:tc>
              <w:tc>
                <w:tcPr>
                  <w:tcW w:w="364" w:type="pct"/>
                  <w:noWrap w:val="0"/>
                  <w:vAlign w:val="center"/>
                </w:tcPr>
                <w:p w14:paraId="64519E10">
                  <w:pPr>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G</w:t>
                  </w:r>
                  <w:r>
                    <w:rPr>
                      <w:rFonts w:hint="eastAsia" w:ascii="Times New Roman" w:hAnsi="Times New Roman" w:eastAsia="仿宋" w:cs="Times New Roman"/>
                      <w:bCs/>
                      <w:color w:val="auto"/>
                      <w:kern w:val="2"/>
                      <w:sz w:val="21"/>
                      <w:szCs w:val="21"/>
                      <w:lang w:val="en-US" w:eastAsia="zh-CN" w:bidi="ar-SA"/>
                    </w:rPr>
                    <w:t>4</w:t>
                  </w:r>
                </w:p>
              </w:tc>
              <w:tc>
                <w:tcPr>
                  <w:tcW w:w="598" w:type="pct"/>
                  <w:noWrap w:val="0"/>
                  <w:vAlign w:val="center"/>
                </w:tcPr>
                <w:p w14:paraId="79564CD5">
                  <w:pPr>
                    <w:pStyle w:val="22"/>
                    <w:snapToGrid w:val="0"/>
                    <w:spacing w:before="0" w:beforeAutospacing="0" w:after="0" w:afterAutospacing="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颗粒物</w:t>
                  </w:r>
                </w:p>
              </w:tc>
              <w:tc>
                <w:tcPr>
                  <w:tcW w:w="298" w:type="pct"/>
                  <w:noWrap w:val="0"/>
                  <w:vAlign w:val="center"/>
                </w:tcPr>
                <w:p w14:paraId="436F4F52">
                  <w:pPr>
                    <w:widowControl/>
                    <w:jc w:val="center"/>
                    <w:rPr>
                      <w:rFonts w:hint="default" w:ascii="Times New Roman" w:hAnsi="Times New Roman" w:eastAsia="仿宋" w:cs="Times New Roman"/>
                      <w:bCs/>
                      <w:color w:val="auto"/>
                      <w:kern w:val="2"/>
                      <w:sz w:val="21"/>
                      <w:szCs w:val="21"/>
                      <w:lang w:val="en-US" w:eastAsia="zh-CN" w:bidi="ar-SA"/>
                    </w:rPr>
                  </w:pPr>
                  <w:r>
                    <w:rPr>
                      <w:rFonts w:hint="eastAsia" w:eastAsia="仿宋" w:cs="Times New Roman"/>
                      <w:bCs/>
                      <w:color w:val="auto"/>
                      <w:kern w:val="2"/>
                      <w:sz w:val="21"/>
                      <w:szCs w:val="21"/>
                      <w:lang w:val="en-US" w:eastAsia="zh-CN" w:bidi="ar-SA"/>
                    </w:rPr>
                    <w:t>4.38</w:t>
                  </w:r>
                </w:p>
              </w:tc>
              <w:tc>
                <w:tcPr>
                  <w:tcW w:w="406" w:type="pct"/>
                  <w:noWrap w:val="0"/>
                  <w:vAlign w:val="center"/>
                </w:tcPr>
                <w:p w14:paraId="7D9F6C84">
                  <w:pPr>
                    <w:widowControl/>
                    <w:adjustRightInd w:val="0"/>
                    <w:snapToGrid w:val="0"/>
                    <w:ind w:left="-105" w:leftChars="-50" w:right="-105" w:rightChars="-5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产污系数法</w:t>
                  </w:r>
                </w:p>
              </w:tc>
              <w:tc>
                <w:tcPr>
                  <w:tcW w:w="356" w:type="pct"/>
                  <w:noWrap w:val="0"/>
                  <w:vAlign w:val="center"/>
                </w:tcPr>
                <w:p w14:paraId="6DEEF19D">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密闭空间、风机</w:t>
                  </w:r>
                </w:p>
              </w:tc>
              <w:tc>
                <w:tcPr>
                  <w:tcW w:w="259" w:type="pct"/>
                  <w:noWrap w:val="0"/>
                  <w:vAlign w:val="center"/>
                </w:tcPr>
                <w:p w14:paraId="70655CBB">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w:t>
                  </w:r>
                </w:p>
              </w:tc>
              <w:tc>
                <w:tcPr>
                  <w:tcW w:w="633" w:type="pct"/>
                  <w:noWrap w:val="0"/>
                  <w:vAlign w:val="center"/>
                </w:tcPr>
                <w:p w14:paraId="423A57D0">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袋式除尘</w:t>
                  </w:r>
                </w:p>
              </w:tc>
              <w:tc>
                <w:tcPr>
                  <w:tcW w:w="289" w:type="pct"/>
                  <w:noWrap w:val="0"/>
                  <w:vAlign w:val="center"/>
                </w:tcPr>
                <w:p w14:paraId="615042F7">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w:t>
                  </w:r>
                  <w:r>
                    <w:rPr>
                      <w:rFonts w:hint="eastAsia"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w:t>
                  </w:r>
                </w:p>
              </w:tc>
              <w:tc>
                <w:tcPr>
                  <w:tcW w:w="414" w:type="pct"/>
                  <w:noWrap w:val="0"/>
                  <w:vAlign w:val="center"/>
                </w:tcPr>
                <w:p w14:paraId="390056FA">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c>
                <w:tcPr>
                  <w:tcW w:w="441" w:type="pct"/>
                  <w:vMerge w:val="continue"/>
                  <w:noWrap w:val="0"/>
                  <w:vAlign w:val="center"/>
                </w:tcPr>
                <w:p w14:paraId="5E41228C">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p>
              </w:tc>
              <w:tc>
                <w:tcPr>
                  <w:tcW w:w="304" w:type="pct"/>
                  <w:vMerge w:val="continue"/>
                  <w:noWrap w:val="0"/>
                  <w:vAlign w:val="center"/>
                </w:tcPr>
                <w:p w14:paraId="62131740">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75" w:type="pct"/>
                  <w:vMerge w:val="continue"/>
                  <w:noWrap w:val="0"/>
                  <w:vAlign w:val="center"/>
                </w:tcPr>
                <w:p w14:paraId="7FBA7405">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14:paraId="601825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noWrap w:val="0"/>
                  <w:vAlign w:val="center"/>
                </w:tcPr>
                <w:p w14:paraId="063ADB89">
                  <w:pPr>
                    <w:jc w:val="center"/>
                    <w:rPr>
                      <w:rFonts w:hint="default" w:ascii="Times New Roman" w:hAnsi="Times New Roman" w:eastAsia="仿宋" w:cs="Times New Roman"/>
                      <w:color w:val="auto"/>
                      <w:sz w:val="21"/>
                      <w:szCs w:val="21"/>
                      <w:lang w:bidi="zh-CN"/>
                    </w:rPr>
                  </w:pPr>
                  <w:r>
                    <w:rPr>
                      <w:rFonts w:hint="default" w:ascii="Times New Roman" w:hAnsi="Times New Roman" w:eastAsia="仿宋" w:cs="Times New Roman"/>
                      <w:bCs/>
                      <w:color w:val="auto"/>
                      <w:kern w:val="2"/>
                      <w:sz w:val="21"/>
                      <w:szCs w:val="21"/>
                      <w:lang w:val="en-US" w:eastAsia="zh-CN" w:bidi="ar-SA"/>
                    </w:rPr>
                    <w:t>调漆</w:t>
                  </w:r>
                </w:p>
              </w:tc>
              <w:tc>
                <w:tcPr>
                  <w:tcW w:w="364" w:type="pct"/>
                  <w:noWrap w:val="0"/>
                  <w:vAlign w:val="center"/>
                </w:tcPr>
                <w:p w14:paraId="30C1379B">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kern w:val="2"/>
                      <w:sz w:val="21"/>
                      <w:szCs w:val="21"/>
                      <w:lang w:val="en-US" w:eastAsia="zh-CN" w:bidi="ar-SA"/>
                    </w:rPr>
                    <w:t>G</w:t>
                  </w:r>
                  <w:r>
                    <w:rPr>
                      <w:rFonts w:hint="eastAsia" w:ascii="Times New Roman" w:hAnsi="Times New Roman" w:eastAsia="仿宋" w:cs="Times New Roman"/>
                      <w:bCs/>
                      <w:color w:val="auto"/>
                      <w:kern w:val="2"/>
                      <w:sz w:val="21"/>
                      <w:szCs w:val="21"/>
                      <w:lang w:val="en-US" w:eastAsia="zh-CN" w:bidi="ar-SA"/>
                    </w:rPr>
                    <w:t>5</w:t>
                  </w:r>
                </w:p>
              </w:tc>
              <w:tc>
                <w:tcPr>
                  <w:tcW w:w="598" w:type="pct"/>
                  <w:noWrap w:val="0"/>
                  <w:vAlign w:val="center"/>
                </w:tcPr>
                <w:p w14:paraId="3129B4A3">
                  <w:pPr>
                    <w:pStyle w:val="22"/>
                    <w:snapToGrid w:val="0"/>
                    <w:spacing w:before="0" w:beforeAutospacing="0" w:after="0" w:afterAutospacing="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298" w:type="pct"/>
                  <w:noWrap w:val="0"/>
                  <w:vAlign w:val="center"/>
                </w:tcPr>
                <w:p w14:paraId="546AF678">
                  <w:pPr>
                    <w:widowControl/>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0.0</w:t>
                  </w:r>
                  <w:r>
                    <w:rPr>
                      <w:rFonts w:hint="eastAsia" w:ascii="Times New Roman" w:hAnsi="Times New Roman" w:eastAsia="仿宋" w:cs="Times New Roman"/>
                      <w:bCs/>
                      <w:color w:val="auto"/>
                      <w:sz w:val="21"/>
                      <w:szCs w:val="21"/>
                      <w:lang w:val="en-US" w:eastAsia="zh-CN"/>
                    </w:rPr>
                    <w:t>05</w:t>
                  </w:r>
                </w:p>
              </w:tc>
              <w:tc>
                <w:tcPr>
                  <w:tcW w:w="406" w:type="pct"/>
                  <w:noWrap w:val="0"/>
                  <w:vAlign w:val="center"/>
                </w:tcPr>
                <w:p w14:paraId="4D97AAC2">
                  <w:pPr>
                    <w:widowControl/>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物料平衡法</w:t>
                  </w:r>
                </w:p>
              </w:tc>
              <w:tc>
                <w:tcPr>
                  <w:tcW w:w="356" w:type="pct"/>
                  <w:noWrap w:val="0"/>
                  <w:vAlign w:val="center"/>
                </w:tcPr>
                <w:p w14:paraId="06BC4B35">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密闭空间、风机</w:t>
                  </w:r>
                </w:p>
              </w:tc>
              <w:tc>
                <w:tcPr>
                  <w:tcW w:w="259" w:type="pct"/>
                  <w:noWrap w:val="0"/>
                  <w:vAlign w:val="center"/>
                </w:tcPr>
                <w:p w14:paraId="756B51F4">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w:t>
                  </w:r>
                </w:p>
              </w:tc>
              <w:tc>
                <w:tcPr>
                  <w:tcW w:w="633" w:type="pct"/>
                  <w:vMerge w:val="restart"/>
                  <w:noWrap w:val="0"/>
                  <w:vAlign w:val="center"/>
                </w:tcPr>
                <w:p w14:paraId="4065A15B">
                  <w:pPr>
                    <w:adjustRightInd w:val="0"/>
                    <w:snapToGrid w:val="0"/>
                    <w:ind w:left="-105" w:leftChars="-50" w:right="-105" w:rightChars="-50"/>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eastAsia="zh-CN"/>
                    </w:rPr>
                    <w:t>干式过滤</w:t>
                  </w:r>
                  <w:r>
                    <w:rPr>
                      <w:rFonts w:hint="default" w:ascii="Times New Roman" w:hAnsi="Times New Roman" w:eastAsia="仿宋" w:cs="Times New Roman"/>
                      <w:color w:val="auto"/>
                      <w:sz w:val="21"/>
                      <w:szCs w:val="21"/>
                      <w:lang w:val="en-US" w:eastAsia="zh-CN"/>
                    </w:rPr>
                    <w:t>+二级活性炭</w:t>
                  </w:r>
                  <w:r>
                    <w:rPr>
                      <w:rFonts w:hint="eastAsia" w:eastAsia="仿宋" w:cs="Times New Roman"/>
                      <w:color w:val="auto"/>
                      <w:sz w:val="21"/>
                      <w:szCs w:val="21"/>
                      <w:lang w:val="en-US" w:eastAsia="zh-CN"/>
                    </w:rPr>
                    <w:t>吸附</w:t>
                  </w:r>
                </w:p>
              </w:tc>
              <w:tc>
                <w:tcPr>
                  <w:tcW w:w="289" w:type="pct"/>
                  <w:noWrap w:val="0"/>
                  <w:vAlign w:val="center"/>
                </w:tcPr>
                <w:p w14:paraId="0DE6F331">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90%</w:t>
                  </w:r>
                </w:p>
              </w:tc>
              <w:tc>
                <w:tcPr>
                  <w:tcW w:w="414" w:type="pct"/>
                  <w:noWrap w:val="0"/>
                  <w:vAlign w:val="center"/>
                </w:tcPr>
                <w:p w14:paraId="528DAEE3">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c>
                <w:tcPr>
                  <w:tcW w:w="441" w:type="pct"/>
                  <w:vMerge w:val="restart"/>
                  <w:noWrap w:val="0"/>
                  <w:vAlign w:val="center"/>
                </w:tcPr>
                <w:p w14:paraId="55D5BEB9">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18000</w:t>
                  </w:r>
                </w:p>
              </w:tc>
              <w:tc>
                <w:tcPr>
                  <w:tcW w:w="304" w:type="pct"/>
                  <w:vMerge w:val="restart"/>
                  <w:noWrap w:val="0"/>
                  <w:vAlign w:val="center"/>
                </w:tcPr>
                <w:p w14:paraId="76B56B5B">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275" w:type="pct"/>
                  <w:vMerge w:val="restart"/>
                  <w:noWrap w:val="0"/>
                  <w:vAlign w:val="center"/>
                </w:tcPr>
                <w:p w14:paraId="4628E8E2">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14:paraId="69BB29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vMerge w:val="restart"/>
                  <w:noWrap w:val="0"/>
                  <w:vAlign w:val="center"/>
                </w:tcPr>
                <w:p w14:paraId="4F6B4A3D">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喷漆</w:t>
                  </w:r>
                </w:p>
              </w:tc>
              <w:tc>
                <w:tcPr>
                  <w:tcW w:w="364" w:type="pct"/>
                  <w:vMerge w:val="restart"/>
                  <w:noWrap w:val="0"/>
                  <w:vAlign w:val="center"/>
                </w:tcPr>
                <w:p w14:paraId="52841CD1">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kern w:val="2"/>
                      <w:sz w:val="21"/>
                      <w:szCs w:val="21"/>
                      <w:lang w:val="en-US" w:eastAsia="zh-CN" w:bidi="ar-SA"/>
                    </w:rPr>
                    <w:t>G</w:t>
                  </w:r>
                  <w:r>
                    <w:rPr>
                      <w:rFonts w:hint="eastAsia" w:ascii="Times New Roman" w:hAnsi="Times New Roman" w:eastAsia="仿宋" w:cs="Times New Roman"/>
                      <w:bCs/>
                      <w:color w:val="auto"/>
                      <w:kern w:val="2"/>
                      <w:sz w:val="21"/>
                      <w:szCs w:val="21"/>
                      <w:lang w:val="en-US" w:eastAsia="zh-CN" w:bidi="ar-SA"/>
                    </w:rPr>
                    <w:t>6</w:t>
                  </w:r>
                </w:p>
              </w:tc>
              <w:tc>
                <w:tcPr>
                  <w:tcW w:w="598" w:type="pct"/>
                  <w:noWrap w:val="0"/>
                  <w:vAlign w:val="center"/>
                </w:tcPr>
                <w:p w14:paraId="7B43A833">
                  <w:pPr>
                    <w:pStyle w:val="22"/>
                    <w:snapToGrid w:val="0"/>
                    <w:spacing w:before="0" w:beforeAutospacing="0" w:after="0" w:afterAutospacing="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颗粒物</w:t>
                  </w:r>
                </w:p>
              </w:tc>
              <w:tc>
                <w:tcPr>
                  <w:tcW w:w="298" w:type="pct"/>
                  <w:noWrap w:val="0"/>
                  <w:vAlign w:val="center"/>
                </w:tcPr>
                <w:p w14:paraId="66319F60">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kern w:val="2"/>
                      <w:sz w:val="21"/>
                      <w:szCs w:val="21"/>
                      <w:lang w:val="en-US" w:eastAsia="zh-CN" w:bidi="ar-SA"/>
                    </w:rPr>
                    <w:t>1.</w:t>
                  </w:r>
                  <w:r>
                    <w:rPr>
                      <w:rFonts w:hint="eastAsia" w:ascii="Times New Roman" w:hAnsi="Times New Roman" w:eastAsia="仿宋" w:cs="Times New Roman"/>
                      <w:bCs/>
                      <w:color w:val="auto"/>
                      <w:kern w:val="2"/>
                      <w:sz w:val="21"/>
                      <w:szCs w:val="21"/>
                      <w:lang w:val="en-US" w:eastAsia="zh-CN" w:bidi="ar-SA"/>
                    </w:rPr>
                    <w:t>331</w:t>
                  </w:r>
                </w:p>
              </w:tc>
              <w:tc>
                <w:tcPr>
                  <w:tcW w:w="406" w:type="pct"/>
                  <w:vMerge w:val="restart"/>
                  <w:noWrap w:val="0"/>
                  <w:vAlign w:val="center"/>
                </w:tcPr>
                <w:p w14:paraId="653DFBC7">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物料衡算法</w:t>
                  </w:r>
                </w:p>
              </w:tc>
              <w:tc>
                <w:tcPr>
                  <w:tcW w:w="356" w:type="pct"/>
                  <w:vMerge w:val="restart"/>
                  <w:noWrap w:val="0"/>
                  <w:vAlign w:val="center"/>
                </w:tcPr>
                <w:p w14:paraId="1552479B">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密闭空间、风机</w:t>
                  </w:r>
                </w:p>
              </w:tc>
              <w:tc>
                <w:tcPr>
                  <w:tcW w:w="259" w:type="pct"/>
                  <w:vMerge w:val="restart"/>
                  <w:noWrap w:val="0"/>
                  <w:vAlign w:val="center"/>
                </w:tcPr>
                <w:p w14:paraId="317F690A">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633" w:type="pct"/>
                  <w:vMerge w:val="continue"/>
                  <w:noWrap w:val="0"/>
                  <w:vAlign w:val="center"/>
                </w:tcPr>
                <w:p w14:paraId="7CD46CCD">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89" w:type="pct"/>
                  <w:noWrap w:val="0"/>
                  <w:vAlign w:val="center"/>
                </w:tcPr>
                <w:p w14:paraId="253EB5BA">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w:t>
                  </w:r>
                </w:p>
              </w:tc>
              <w:tc>
                <w:tcPr>
                  <w:tcW w:w="414" w:type="pct"/>
                  <w:noWrap w:val="0"/>
                  <w:vAlign w:val="center"/>
                </w:tcPr>
                <w:p w14:paraId="4DDBB897">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c>
                <w:tcPr>
                  <w:tcW w:w="441" w:type="pct"/>
                  <w:vMerge w:val="continue"/>
                  <w:noWrap w:val="0"/>
                  <w:vAlign w:val="center"/>
                </w:tcPr>
                <w:p w14:paraId="64421EA3">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p>
              </w:tc>
              <w:tc>
                <w:tcPr>
                  <w:tcW w:w="304" w:type="pct"/>
                  <w:vMerge w:val="continue"/>
                  <w:noWrap w:val="0"/>
                  <w:vAlign w:val="center"/>
                </w:tcPr>
                <w:p w14:paraId="37ED7678">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75" w:type="pct"/>
                  <w:vMerge w:val="continue"/>
                  <w:noWrap w:val="0"/>
                  <w:vAlign w:val="center"/>
                </w:tcPr>
                <w:p w14:paraId="3963C996">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14:paraId="518EA8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vMerge w:val="continue"/>
                  <w:noWrap w:val="0"/>
                  <w:vAlign w:val="center"/>
                </w:tcPr>
                <w:p w14:paraId="061D4057">
                  <w:pPr>
                    <w:jc w:val="center"/>
                    <w:rPr>
                      <w:rFonts w:hint="default" w:ascii="Times New Roman" w:hAnsi="Times New Roman" w:eastAsia="仿宋" w:cs="Times New Roman"/>
                      <w:color w:val="auto"/>
                      <w:sz w:val="21"/>
                      <w:szCs w:val="21"/>
                      <w:lang w:eastAsia="zh-CN"/>
                    </w:rPr>
                  </w:pPr>
                </w:p>
              </w:tc>
              <w:tc>
                <w:tcPr>
                  <w:tcW w:w="364" w:type="pct"/>
                  <w:vMerge w:val="continue"/>
                  <w:noWrap w:val="0"/>
                  <w:vAlign w:val="center"/>
                </w:tcPr>
                <w:p w14:paraId="19ACA293">
                  <w:pPr>
                    <w:jc w:val="center"/>
                    <w:rPr>
                      <w:rFonts w:hint="default" w:ascii="Times New Roman" w:hAnsi="Times New Roman" w:eastAsia="仿宋" w:cs="Times New Roman"/>
                      <w:color w:val="auto"/>
                      <w:sz w:val="21"/>
                      <w:szCs w:val="21"/>
                    </w:rPr>
                  </w:pPr>
                </w:p>
              </w:tc>
              <w:tc>
                <w:tcPr>
                  <w:tcW w:w="598" w:type="pct"/>
                  <w:noWrap w:val="0"/>
                  <w:vAlign w:val="center"/>
                </w:tcPr>
                <w:p w14:paraId="105C7967">
                  <w:pPr>
                    <w:pStyle w:val="22"/>
                    <w:snapToGrid w:val="0"/>
                    <w:spacing w:before="0" w:beforeAutospacing="0" w:after="0" w:afterAutospacing="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非甲烷总烃</w:t>
                  </w:r>
                </w:p>
              </w:tc>
              <w:tc>
                <w:tcPr>
                  <w:tcW w:w="298" w:type="pct"/>
                  <w:noWrap w:val="0"/>
                  <w:vAlign w:val="center"/>
                </w:tcPr>
                <w:p w14:paraId="66BD5AF2">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r>
                    <w:rPr>
                      <w:rFonts w:hint="eastAsia" w:ascii="Times New Roman" w:hAnsi="Times New Roman" w:eastAsia="仿宋" w:cs="Times New Roman"/>
                      <w:color w:val="auto"/>
                      <w:sz w:val="21"/>
                      <w:szCs w:val="21"/>
                      <w:lang w:val="en-US" w:eastAsia="zh-CN"/>
                    </w:rPr>
                    <w:t>19</w:t>
                  </w:r>
                </w:p>
              </w:tc>
              <w:tc>
                <w:tcPr>
                  <w:tcW w:w="406" w:type="pct"/>
                  <w:vMerge w:val="continue"/>
                  <w:noWrap w:val="0"/>
                  <w:vAlign w:val="center"/>
                </w:tcPr>
                <w:p w14:paraId="7270A462">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356" w:type="pct"/>
                  <w:vMerge w:val="continue"/>
                  <w:noWrap w:val="0"/>
                  <w:vAlign w:val="center"/>
                </w:tcPr>
                <w:p w14:paraId="09CBFFAC">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59" w:type="pct"/>
                  <w:vMerge w:val="continue"/>
                  <w:noWrap w:val="0"/>
                  <w:vAlign w:val="center"/>
                </w:tcPr>
                <w:p w14:paraId="75926C74">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633" w:type="pct"/>
                  <w:vMerge w:val="continue"/>
                  <w:noWrap w:val="0"/>
                  <w:vAlign w:val="center"/>
                </w:tcPr>
                <w:p w14:paraId="4928F8A1">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p>
              </w:tc>
              <w:tc>
                <w:tcPr>
                  <w:tcW w:w="289" w:type="pct"/>
                  <w:noWrap w:val="0"/>
                  <w:vAlign w:val="center"/>
                </w:tcPr>
                <w:p w14:paraId="5192851D">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w:t>
                  </w:r>
                </w:p>
              </w:tc>
              <w:tc>
                <w:tcPr>
                  <w:tcW w:w="414" w:type="pct"/>
                  <w:noWrap w:val="0"/>
                  <w:vAlign w:val="center"/>
                </w:tcPr>
                <w:p w14:paraId="43C362B6">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c>
                <w:tcPr>
                  <w:tcW w:w="441" w:type="pct"/>
                  <w:vMerge w:val="continue"/>
                  <w:noWrap w:val="0"/>
                  <w:vAlign w:val="center"/>
                </w:tcPr>
                <w:p w14:paraId="5502C111">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p>
              </w:tc>
              <w:tc>
                <w:tcPr>
                  <w:tcW w:w="304" w:type="pct"/>
                  <w:vMerge w:val="continue"/>
                  <w:noWrap w:val="0"/>
                  <w:vAlign w:val="center"/>
                </w:tcPr>
                <w:p w14:paraId="4F1578E1">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75" w:type="pct"/>
                  <w:vMerge w:val="continue"/>
                  <w:noWrap w:val="0"/>
                  <w:vAlign w:val="center"/>
                </w:tcPr>
                <w:p w14:paraId="781D4711">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14:paraId="39ECDC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noWrap w:val="0"/>
                  <w:vAlign w:val="center"/>
                </w:tcPr>
                <w:p w14:paraId="3D29FDA0">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烘干</w:t>
                  </w:r>
                </w:p>
              </w:tc>
              <w:tc>
                <w:tcPr>
                  <w:tcW w:w="364" w:type="pct"/>
                  <w:noWrap w:val="0"/>
                  <w:vAlign w:val="center"/>
                </w:tcPr>
                <w:p w14:paraId="6902DD2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1"/>
                      <w:szCs w:val="21"/>
                      <w:lang w:val="en-US" w:eastAsia="zh-CN" w:bidi="ar-SA"/>
                    </w:rPr>
                    <w:t>G</w:t>
                  </w:r>
                  <w:r>
                    <w:rPr>
                      <w:rFonts w:hint="eastAsia" w:ascii="Times New Roman" w:hAnsi="Times New Roman" w:eastAsia="仿宋" w:cs="Times New Roman"/>
                      <w:bCs/>
                      <w:color w:val="auto"/>
                      <w:kern w:val="2"/>
                      <w:sz w:val="21"/>
                      <w:szCs w:val="21"/>
                      <w:lang w:val="en-US" w:eastAsia="zh-CN" w:bidi="ar-SA"/>
                    </w:rPr>
                    <w:t>7</w:t>
                  </w:r>
                </w:p>
              </w:tc>
              <w:tc>
                <w:tcPr>
                  <w:tcW w:w="598" w:type="pct"/>
                  <w:noWrap w:val="0"/>
                  <w:vAlign w:val="center"/>
                </w:tcPr>
                <w:p w14:paraId="75FAA7CA">
                  <w:pPr>
                    <w:pStyle w:val="22"/>
                    <w:snapToGrid w:val="0"/>
                    <w:spacing w:before="0" w:beforeAutospacing="0" w:after="0" w:afterAutospacing="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298" w:type="pct"/>
                  <w:noWrap w:val="0"/>
                  <w:vAlign w:val="center"/>
                </w:tcPr>
                <w:p w14:paraId="32062126">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kern w:val="2"/>
                      <w:sz w:val="21"/>
                      <w:szCs w:val="21"/>
                      <w:lang w:val="en-US" w:eastAsia="zh-CN" w:bidi="ar-SA"/>
                    </w:rPr>
                    <w:t>0.</w:t>
                  </w:r>
                  <w:r>
                    <w:rPr>
                      <w:rFonts w:hint="eastAsia" w:ascii="Times New Roman" w:hAnsi="Times New Roman" w:eastAsia="仿宋" w:cs="Times New Roman"/>
                      <w:bCs/>
                      <w:color w:val="auto"/>
                      <w:kern w:val="2"/>
                      <w:sz w:val="21"/>
                      <w:szCs w:val="21"/>
                      <w:lang w:val="en-US" w:eastAsia="zh-CN" w:bidi="ar-SA"/>
                    </w:rPr>
                    <w:t>285</w:t>
                  </w:r>
                </w:p>
              </w:tc>
              <w:tc>
                <w:tcPr>
                  <w:tcW w:w="406" w:type="pct"/>
                  <w:noWrap w:val="0"/>
                  <w:vAlign w:val="center"/>
                </w:tcPr>
                <w:p w14:paraId="214BC8E2">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物料衡算法</w:t>
                  </w:r>
                </w:p>
              </w:tc>
              <w:tc>
                <w:tcPr>
                  <w:tcW w:w="356" w:type="pct"/>
                  <w:noWrap w:val="0"/>
                  <w:vAlign w:val="center"/>
                </w:tcPr>
                <w:p w14:paraId="2AA84E88">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密闭空间、风机</w:t>
                  </w:r>
                </w:p>
              </w:tc>
              <w:tc>
                <w:tcPr>
                  <w:tcW w:w="259" w:type="pct"/>
                  <w:noWrap w:val="0"/>
                  <w:vAlign w:val="center"/>
                </w:tcPr>
                <w:p w14:paraId="11252ACC">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633" w:type="pct"/>
                  <w:noWrap w:val="0"/>
                  <w:vAlign w:val="center"/>
                </w:tcPr>
                <w:p w14:paraId="2D3B810A">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二级活性炭</w:t>
                  </w:r>
                </w:p>
              </w:tc>
              <w:tc>
                <w:tcPr>
                  <w:tcW w:w="289" w:type="pct"/>
                  <w:noWrap w:val="0"/>
                  <w:vAlign w:val="center"/>
                </w:tcPr>
                <w:p w14:paraId="20044251">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w:t>
                  </w:r>
                </w:p>
              </w:tc>
              <w:tc>
                <w:tcPr>
                  <w:tcW w:w="414" w:type="pct"/>
                  <w:noWrap w:val="0"/>
                  <w:vAlign w:val="center"/>
                </w:tcPr>
                <w:p w14:paraId="64CD8AEC">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c>
                <w:tcPr>
                  <w:tcW w:w="441" w:type="pct"/>
                  <w:vMerge w:val="continue"/>
                  <w:noWrap w:val="0"/>
                  <w:vAlign w:val="center"/>
                </w:tcPr>
                <w:p w14:paraId="57A1DBC7">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p>
              </w:tc>
              <w:tc>
                <w:tcPr>
                  <w:tcW w:w="304" w:type="pct"/>
                  <w:vMerge w:val="continue"/>
                  <w:noWrap w:val="0"/>
                  <w:vAlign w:val="center"/>
                </w:tcPr>
                <w:p w14:paraId="534B92E0">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75" w:type="pct"/>
                  <w:vMerge w:val="continue"/>
                  <w:noWrap w:val="0"/>
                  <w:vAlign w:val="center"/>
                </w:tcPr>
                <w:p w14:paraId="5B860DC6">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14:paraId="610EFE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0" w:type="pct"/>
                  <w:noWrap w:val="0"/>
                  <w:vAlign w:val="center"/>
                </w:tcPr>
                <w:p w14:paraId="0D5BB32D">
                  <w:pPr>
                    <w:jc w:val="center"/>
                    <w:rPr>
                      <w:rFonts w:hint="default" w:ascii="Times New Roman" w:hAnsi="Times New Roman" w:eastAsia="仿宋" w:cs="Times New Roman"/>
                      <w:color w:val="auto"/>
                      <w:sz w:val="21"/>
                      <w:szCs w:val="21"/>
                      <w:lang w:val="en-US" w:bidi="zh-CN"/>
                    </w:rPr>
                  </w:pPr>
                  <w:r>
                    <w:rPr>
                      <w:rFonts w:hint="eastAsia" w:ascii="Times New Roman" w:hAnsi="Times New Roman" w:eastAsia="仿宋" w:cs="Times New Roman"/>
                      <w:bCs/>
                      <w:color w:val="auto"/>
                      <w:kern w:val="2"/>
                      <w:sz w:val="21"/>
                      <w:szCs w:val="21"/>
                      <w:lang w:val="en-US" w:eastAsia="zh-CN" w:bidi="ar-SA"/>
                    </w:rPr>
                    <w:t>危废库房</w:t>
                  </w:r>
                </w:p>
              </w:tc>
              <w:tc>
                <w:tcPr>
                  <w:tcW w:w="364" w:type="pct"/>
                  <w:noWrap w:val="0"/>
                  <w:vAlign w:val="center"/>
                </w:tcPr>
                <w:p w14:paraId="192C3C13">
                  <w:pPr>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kern w:val="2"/>
                      <w:sz w:val="21"/>
                      <w:szCs w:val="21"/>
                      <w:lang w:val="en-US" w:eastAsia="zh-CN" w:bidi="ar-SA"/>
                    </w:rPr>
                    <w:t>G</w:t>
                  </w:r>
                  <w:r>
                    <w:rPr>
                      <w:rFonts w:hint="eastAsia" w:ascii="Times New Roman" w:hAnsi="Times New Roman" w:eastAsia="仿宋" w:cs="Times New Roman"/>
                      <w:bCs/>
                      <w:color w:val="auto"/>
                      <w:kern w:val="2"/>
                      <w:sz w:val="21"/>
                      <w:szCs w:val="21"/>
                      <w:lang w:val="en-US" w:eastAsia="zh-CN" w:bidi="ar-SA"/>
                    </w:rPr>
                    <w:t>8</w:t>
                  </w:r>
                </w:p>
              </w:tc>
              <w:tc>
                <w:tcPr>
                  <w:tcW w:w="598" w:type="pct"/>
                  <w:noWrap w:val="0"/>
                  <w:vAlign w:val="center"/>
                </w:tcPr>
                <w:p w14:paraId="681A303F">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非甲烷总烃</w:t>
                  </w:r>
                </w:p>
              </w:tc>
              <w:tc>
                <w:tcPr>
                  <w:tcW w:w="298" w:type="pct"/>
                  <w:noWrap w:val="0"/>
                  <w:vAlign w:val="center"/>
                </w:tcPr>
                <w:p w14:paraId="37AAB192">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bCs/>
                      <w:color w:val="auto"/>
                      <w:kern w:val="2"/>
                      <w:sz w:val="21"/>
                      <w:szCs w:val="21"/>
                      <w:lang w:val="en-US" w:eastAsia="zh-CN" w:bidi="ar-SA"/>
                    </w:rPr>
                    <w:t>/</w:t>
                  </w:r>
                </w:p>
              </w:tc>
              <w:tc>
                <w:tcPr>
                  <w:tcW w:w="406" w:type="pct"/>
                  <w:noWrap w:val="0"/>
                  <w:vAlign w:val="center"/>
                </w:tcPr>
                <w:p w14:paraId="20250672">
                  <w:pPr>
                    <w:widowControl/>
                    <w:adjustRightInd w:val="0"/>
                    <w:snapToGrid w:val="0"/>
                    <w:ind w:left="-105" w:leftChars="-50" w:right="-105" w:rightChars="-5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356" w:type="pct"/>
                  <w:noWrap w:val="0"/>
                  <w:vAlign w:val="center"/>
                </w:tcPr>
                <w:p w14:paraId="6EA1140D">
                  <w:pPr>
                    <w:widowControl/>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密闭空间、风机</w:t>
                  </w:r>
                </w:p>
              </w:tc>
              <w:tc>
                <w:tcPr>
                  <w:tcW w:w="259" w:type="pct"/>
                  <w:noWrap w:val="0"/>
                  <w:vAlign w:val="center"/>
                </w:tcPr>
                <w:p w14:paraId="02A646D8">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w:t>
                  </w:r>
                </w:p>
              </w:tc>
              <w:tc>
                <w:tcPr>
                  <w:tcW w:w="633" w:type="pct"/>
                  <w:noWrap w:val="0"/>
                  <w:vAlign w:val="center"/>
                </w:tcPr>
                <w:p w14:paraId="46456FE9">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二级活性炭</w:t>
                  </w:r>
                </w:p>
              </w:tc>
              <w:tc>
                <w:tcPr>
                  <w:tcW w:w="289" w:type="pct"/>
                  <w:noWrap w:val="0"/>
                  <w:vAlign w:val="center"/>
                </w:tcPr>
                <w:p w14:paraId="1FF95D98">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w:t>
                  </w:r>
                </w:p>
              </w:tc>
              <w:tc>
                <w:tcPr>
                  <w:tcW w:w="414" w:type="pct"/>
                  <w:noWrap w:val="0"/>
                  <w:vAlign w:val="center"/>
                </w:tcPr>
                <w:p w14:paraId="4C576E59">
                  <w:pPr>
                    <w:adjustRightInd w:val="0"/>
                    <w:snapToGrid w:val="0"/>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是</w:t>
                  </w:r>
                </w:p>
              </w:tc>
              <w:tc>
                <w:tcPr>
                  <w:tcW w:w="441" w:type="pct"/>
                  <w:noWrap w:val="0"/>
                  <w:vAlign w:val="center"/>
                </w:tcPr>
                <w:p w14:paraId="28BC0674">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highlight w:val="none"/>
                      <w:lang w:val="en-US" w:eastAsia="zh-CN"/>
                    </w:rPr>
                    <w:t>1000</w:t>
                  </w:r>
                </w:p>
              </w:tc>
              <w:tc>
                <w:tcPr>
                  <w:tcW w:w="304" w:type="pct"/>
                  <w:noWrap w:val="0"/>
                  <w:vAlign w:val="center"/>
                </w:tcPr>
                <w:p w14:paraId="6D45C6B0">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275" w:type="pct"/>
                  <w:noWrap w:val="0"/>
                  <w:vAlign w:val="center"/>
                </w:tcPr>
                <w:p w14:paraId="253BE730">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bl>
          <w:p w14:paraId="40E2AE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rPr>
              <w:t>表4-</w:t>
            </w:r>
            <w:r>
              <w:rPr>
                <w:rFonts w:hint="eastAsia" w:ascii="Times New Roman" w:hAnsi="Times New Roman" w:eastAsia="仿宋" w:cs="Times New Roman"/>
                <w:b/>
                <w:bCs/>
                <w:color w:val="auto"/>
                <w:szCs w:val="21"/>
                <w:lang w:val="en-US" w:eastAsia="zh-CN"/>
              </w:rPr>
              <w:t>4</w:t>
            </w:r>
            <w:r>
              <w:rPr>
                <w:rFonts w:hint="default" w:ascii="Times New Roman" w:hAnsi="Times New Roman" w:eastAsia="仿宋" w:cs="Times New Roman"/>
                <w:b/>
                <w:bCs/>
                <w:color w:val="auto"/>
                <w:szCs w:val="21"/>
                <w:lang w:val="en-US" w:eastAsia="zh-CN"/>
              </w:rPr>
              <w:t xml:space="preserve">  </w:t>
            </w:r>
            <w:r>
              <w:rPr>
                <w:rFonts w:hint="default" w:ascii="Times New Roman" w:hAnsi="Times New Roman" w:eastAsia="仿宋" w:cs="Times New Roman"/>
                <w:b/>
                <w:bCs/>
                <w:color w:val="auto"/>
                <w:szCs w:val="21"/>
              </w:rPr>
              <w:t>本项目</w:t>
            </w:r>
            <w:r>
              <w:rPr>
                <w:rFonts w:hint="default" w:ascii="Times New Roman" w:hAnsi="Times New Roman" w:eastAsia="仿宋" w:cs="Times New Roman"/>
                <w:b/>
                <w:bCs/>
                <w:color w:val="auto"/>
                <w:szCs w:val="21"/>
                <w:lang w:eastAsia="zh-CN"/>
              </w:rPr>
              <w:t>正常工况</w:t>
            </w:r>
            <w:r>
              <w:rPr>
                <w:rFonts w:hint="default" w:ascii="Times New Roman" w:hAnsi="Times New Roman" w:eastAsia="仿宋" w:cs="Times New Roman"/>
                <w:b/>
                <w:bCs/>
                <w:color w:val="auto"/>
                <w:szCs w:val="21"/>
                <w:lang w:val="en-US" w:eastAsia="zh-CN"/>
              </w:rPr>
              <w:t>大气污染物</w:t>
            </w:r>
            <w:r>
              <w:rPr>
                <w:rFonts w:hint="default" w:ascii="Times New Roman" w:hAnsi="Times New Roman" w:eastAsia="仿宋" w:cs="Times New Roman"/>
                <w:b/>
                <w:bCs/>
                <w:color w:val="auto"/>
                <w:szCs w:val="21"/>
              </w:rPr>
              <w:t>有组织排放</w:t>
            </w:r>
            <w:r>
              <w:rPr>
                <w:rFonts w:hint="default" w:ascii="Times New Roman" w:hAnsi="Times New Roman" w:eastAsia="仿宋" w:cs="Times New Roman"/>
                <w:b/>
                <w:bCs/>
                <w:color w:val="auto"/>
                <w:szCs w:val="21"/>
                <w:lang w:val="en-US" w:eastAsia="zh-CN"/>
              </w:rPr>
              <w:t>状况表</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30"/>
              <w:gridCol w:w="1123"/>
              <w:gridCol w:w="1496"/>
              <w:gridCol w:w="926"/>
              <w:gridCol w:w="926"/>
              <w:gridCol w:w="928"/>
              <w:gridCol w:w="1423"/>
              <w:gridCol w:w="977"/>
              <w:gridCol w:w="809"/>
              <w:gridCol w:w="853"/>
              <w:gridCol w:w="853"/>
              <w:gridCol w:w="858"/>
              <w:gridCol w:w="949"/>
            </w:tblGrid>
            <w:tr w14:paraId="376F20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20" w:type="pct"/>
                  <w:vMerge w:val="restart"/>
                  <w:vAlign w:val="center"/>
                </w:tcPr>
                <w:p w14:paraId="2F4D2978">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排气筒编号</w:t>
                  </w:r>
                </w:p>
              </w:tc>
              <w:tc>
                <w:tcPr>
                  <w:tcW w:w="433" w:type="pct"/>
                  <w:vMerge w:val="restart"/>
                  <w:vAlign w:val="center"/>
                </w:tcPr>
                <w:p w14:paraId="0C4F9FD3">
                  <w:pPr>
                    <w:pStyle w:val="21"/>
                    <w:spacing w:after="0" w:line="240" w:lineRule="auto"/>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产污</w:t>
                  </w:r>
                </w:p>
                <w:p w14:paraId="7DAC819F">
                  <w:pPr>
                    <w:pStyle w:val="21"/>
                    <w:spacing w:after="0" w:line="240" w:lineRule="auto"/>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val="en-US" w:eastAsia="zh-CN"/>
                    </w:rPr>
                    <w:t>环节</w:t>
                  </w:r>
                </w:p>
              </w:tc>
              <w:tc>
                <w:tcPr>
                  <w:tcW w:w="577" w:type="pct"/>
                  <w:vMerge w:val="restart"/>
                  <w:vAlign w:val="center"/>
                </w:tcPr>
                <w:p w14:paraId="3BF4006C">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污染物名称</w:t>
                  </w:r>
                </w:p>
              </w:tc>
              <w:tc>
                <w:tcPr>
                  <w:tcW w:w="1072" w:type="pct"/>
                  <w:gridSpan w:val="3"/>
                  <w:vAlign w:val="center"/>
                </w:tcPr>
                <w:p w14:paraId="79C4F13E">
                  <w:pPr>
                    <w:pStyle w:val="21"/>
                    <w:spacing w:after="0" w:line="240" w:lineRule="auto"/>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产生</w:t>
                  </w:r>
                  <w:r>
                    <w:rPr>
                      <w:rFonts w:hint="default" w:ascii="Times New Roman" w:hAnsi="Times New Roman" w:eastAsia="仿宋" w:cs="Times New Roman"/>
                      <w:b/>
                      <w:bCs/>
                      <w:color w:val="auto"/>
                      <w:szCs w:val="21"/>
                      <w:lang w:eastAsia="zh-CN"/>
                    </w:rPr>
                    <w:t>情况</w:t>
                  </w:r>
                </w:p>
              </w:tc>
              <w:tc>
                <w:tcPr>
                  <w:tcW w:w="549" w:type="pct"/>
                  <w:vMerge w:val="restart"/>
                  <w:vAlign w:val="center"/>
                </w:tcPr>
                <w:p w14:paraId="7D03533F">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污染治理设施</w:t>
                  </w:r>
                </w:p>
              </w:tc>
              <w:tc>
                <w:tcPr>
                  <w:tcW w:w="377" w:type="pct"/>
                  <w:vMerge w:val="restart"/>
                  <w:vAlign w:val="center"/>
                </w:tcPr>
                <w:p w14:paraId="443CF294">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kern w:val="0"/>
                      <w:sz w:val="21"/>
                      <w:szCs w:val="21"/>
                      <w:highlight w:val="none"/>
                    </w:rPr>
                    <w:t>去除率%</w:t>
                  </w:r>
                </w:p>
              </w:tc>
              <w:tc>
                <w:tcPr>
                  <w:tcW w:w="312" w:type="pct"/>
                  <w:vMerge w:val="restart"/>
                  <w:vAlign w:val="center"/>
                </w:tcPr>
                <w:p w14:paraId="58CAA03F">
                  <w:pPr>
                    <w:adjustRightInd w:val="0"/>
                    <w:snapToGrid w:val="0"/>
                    <w:ind w:left="-105" w:leftChars="-50" w:right="-105" w:rightChars="-5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排风量</w:t>
                  </w:r>
                </w:p>
                <w:p w14:paraId="6F108BEB">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m</w:t>
                  </w:r>
                  <w:r>
                    <w:rPr>
                      <w:rFonts w:hint="default" w:ascii="Times New Roman" w:hAnsi="Times New Roman" w:eastAsia="仿宋" w:cs="Times New Roman"/>
                      <w:b/>
                      <w:bCs/>
                      <w:color w:val="auto"/>
                      <w:szCs w:val="21"/>
                      <w:vertAlign w:val="superscript"/>
                    </w:rPr>
                    <w:t>3</w:t>
                  </w:r>
                  <w:r>
                    <w:rPr>
                      <w:rFonts w:hint="default" w:ascii="Times New Roman" w:hAnsi="Times New Roman" w:eastAsia="仿宋" w:cs="Times New Roman"/>
                      <w:b/>
                      <w:bCs/>
                      <w:color w:val="auto"/>
                      <w:szCs w:val="21"/>
                    </w:rPr>
                    <w:t>/h</w:t>
                  </w:r>
                </w:p>
              </w:tc>
              <w:tc>
                <w:tcPr>
                  <w:tcW w:w="989" w:type="pct"/>
                  <w:gridSpan w:val="3"/>
                  <w:vAlign w:val="center"/>
                </w:tcPr>
                <w:p w14:paraId="55E4D5D2">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排放</w:t>
                  </w:r>
                  <w:r>
                    <w:rPr>
                      <w:rFonts w:hint="default" w:ascii="Times New Roman" w:hAnsi="Times New Roman" w:eastAsia="仿宋" w:cs="Times New Roman"/>
                      <w:b/>
                      <w:bCs/>
                      <w:color w:val="auto"/>
                      <w:szCs w:val="21"/>
                      <w:lang w:eastAsia="zh-CN"/>
                    </w:rPr>
                    <w:t>情况</w:t>
                  </w:r>
                </w:p>
              </w:tc>
              <w:tc>
                <w:tcPr>
                  <w:tcW w:w="366" w:type="pct"/>
                  <w:vMerge w:val="restart"/>
                  <w:vAlign w:val="center"/>
                </w:tcPr>
                <w:p w14:paraId="50E360E2">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排放</w:t>
                  </w:r>
                </w:p>
                <w:p w14:paraId="04E1BBC5">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方式</w:t>
                  </w:r>
                </w:p>
              </w:tc>
            </w:tr>
            <w:tr w14:paraId="6FDF93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320" w:type="pct"/>
                  <w:vMerge w:val="continue"/>
                  <w:tcBorders>
                    <w:bottom w:val="single" w:color="auto" w:sz="4" w:space="0"/>
                  </w:tcBorders>
                  <w:vAlign w:val="center"/>
                </w:tcPr>
                <w:p w14:paraId="4C73E9FD">
                  <w:pPr>
                    <w:pStyle w:val="21"/>
                    <w:spacing w:after="0" w:line="240" w:lineRule="auto"/>
                    <w:jc w:val="center"/>
                    <w:rPr>
                      <w:rFonts w:hint="default" w:ascii="Times New Roman" w:hAnsi="Times New Roman" w:eastAsia="仿宋" w:cs="Times New Roman"/>
                      <w:color w:val="auto"/>
                      <w:szCs w:val="21"/>
                    </w:rPr>
                  </w:pPr>
                </w:p>
              </w:tc>
              <w:tc>
                <w:tcPr>
                  <w:tcW w:w="433" w:type="pct"/>
                  <w:vMerge w:val="continue"/>
                  <w:tcBorders>
                    <w:bottom w:val="single" w:color="auto" w:sz="4" w:space="0"/>
                  </w:tcBorders>
                  <w:vAlign w:val="center"/>
                </w:tcPr>
                <w:p w14:paraId="5E80B06A">
                  <w:pPr>
                    <w:pStyle w:val="21"/>
                    <w:spacing w:after="0" w:line="240" w:lineRule="auto"/>
                    <w:jc w:val="center"/>
                    <w:rPr>
                      <w:rFonts w:hint="default" w:ascii="Times New Roman" w:hAnsi="Times New Roman" w:eastAsia="仿宋" w:cs="Times New Roman"/>
                      <w:color w:val="auto"/>
                      <w:szCs w:val="21"/>
                    </w:rPr>
                  </w:pPr>
                </w:p>
              </w:tc>
              <w:tc>
                <w:tcPr>
                  <w:tcW w:w="577" w:type="pct"/>
                  <w:vMerge w:val="continue"/>
                  <w:tcBorders>
                    <w:bottom w:val="single" w:color="auto" w:sz="4" w:space="0"/>
                  </w:tcBorders>
                  <w:vAlign w:val="center"/>
                </w:tcPr>
                <w:p w14:paraId="42D969A3">
                  <w:pPr>
                    <w:pStyle w:val="21"/>
                    <w:spacing w:after="0" w:line="240" w:lineRule="auto"/>
                    <w:jc w:val="center"/>
                    <w:rPr>
                      <w:rFonts w:hint="default" w:ascii="Times New Roman" w:hAnsi="Times New Roman" w:eastAsia="仿宋" w:cs="Times New Roman"/>
                      <w:color w:val="auto"/>
                      <w:szCs w:val="21"/>
                    </w:rPr>
                  </w:pPr>
                </w:p>
              </w:tc>
              <w:tc>
                <w:tcPr>
                  <w:tcW w:w="357" w:type="pct"/>
                  <w:tcBorders>
                    <w:bottom w:val="single" w:color="auto" w:sz="4" w:space="0"/>
                  </w:tcBorders>
                  <w:vAlign w:val="center"/>
                </w:tcPr>
                <w:p w14:paraId="5F936477">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浓度</w:t>
                  </w:r>
                </w:p>
                <w:p w14:paraId="36C8F388">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mg/m</w:t>
                  </w:r>
                  <w:r>
                    <w:rPr>
                      <w:rFonts w:hint="default" w:ascii="Times New Roman" w:hAnsi="Times New Roman" w:eastAsia="仿宋" w:cs="Times New Roman"/>
                      <w:b/>
                      <w:bCs/>
                      <w:color w:val="auto"/>
                      <w:szCs w:val="21"/>
                      <w:vertAlign w:val="superscript"/>
                    </w:rPr>
                    <w:t>3</w:t>
                  </w:r>
                </w:p>
              </w:tc>
              <w:tc>
                <w:tcPr>
                  <w:tcW w:w="357" w:type="pct"/>
                  <w:tcBorders>
                    <w:bottom w:val="single" w:color="auto" w:sz="4" w:space="0"/>
                  </w:tcBorders>
                  <w:vAlign w:val="center"/>
                </w:tcPr>
                <w:p w14:paraId="70AA0016">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速率</w:t>
                  </w:r>
                </w:p>
                <w:p w14:paraId="24C88B1E">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kg/h</w:t>
                  </w:r>
                </w:p>
              </w:tc>
              <w:tc>
                <w:tcPr>
                  <w:tcW w:w="357" w:type="pct"/>
                  <w:tcBorders>
                    <w:bottom w:val="single" w:color="auto" w:sz="4" w:space="0"/>
                  </w:tcBorders>
                  <w:vAlign w:val="center"/>
                </w:tcPr>
                <w:p w14:paraId="0C511ACB">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lang w:val="en-US" w:eastAsia="zh-CN"/>
                    </w:rPr>
                    <w:t>产生</w:t>
                  </w:r>
                  <w:r>
                    <w:rPr>
                      <w:rFonts w:hint="default" w:ascii="Times New Roman" w:hAnsi="Times New Roman" w:eastAsia="仿宋" w:cs="Times New Roman"/>
                      <w:b/>
                      <w:bCs/>
                      <w:color w:val="auto"/>
                      <w:szCs w:val="21"/>
                    </w:rPr>
                    <w:t>量</w:t>
                  </w:r>
                </w:p>
                <w:p w14:paraId="454F569D">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t/a</w:t>
                  </w:r>
                </w:p>
              </w:tc>
              <w:tc>
                <w:tcPr>
                  <w:tcW w:w="549" w:type="pct"/>
                  <w:vMerge w:val="continue"/>
                  <w:tcBorders>
                    <w:bottom w:val="single" w:color="auto" w:sz="4" w:space="0"/>
                  </w:tcBorders>
                  <w:vAlign w:val="center"/>
                </w:tcPr>
                <w:p w14:paraId="74A51036">
                  <w:pPr>
                    <w:jc w:val="center"/>
                    <w:rPr>
                      <w:rFonts w:hint="default" w:ascii="Times New Roman" w:hAnsi="Times New Roman" w:eastAsia="仿宋" w:cs="Times New Roman"/>
                      <w:b/>
                      <w:bCs/>
                      <w:color w:val="auto"/>
                      <w:szCs w:val="21"/>
                    </w:rPr>
                  </w:pPr>
                </w:p>
              </w:tc>
              <w:tc>
                <w:tcPr>
                  <w:tcW w:w="377" w:type="pct"/>
                  <w:vMerge w:val="continue"/>
                  <w:tcBorders>
                    <w:bottom w:val="single" w:color="auto" w:sz="4" w:space="0"/>
                  </w:tcBorders>
                  <w:vAlign w:val="center"/>
                </w:tcPr>
                <w:p w14:paraId="0260A687">
                  <w:pPr>
                    <w:jc w:val="center"/>
                    <w:rPr>
                      <w:rFonts w:hint="default" w:ascii="Times New Roman" w:hAnsi="Times New Roman" w:eastAsia="仿宋" w:cs="Times New Roman"/>
                      <w:b/>
                      <w:bCs/>
                      <w:color w:val="auto"/>
                      <w:szCs w:val="21"/>
                    </w:rPr>
                  </w:pPr>
                </w:p>
              </w:tc>
              <w:tc>
                <w:tcPr>
                  <w:tcW w:w="312" w:type="pct"/>
                  <w:vMerge w:val="continue"/>
                  <w:tcBorders>
                    <w:bottom w:val="single" w:color="auto" w:sz="4" w:space="0"/>
                  </w:tcBorders>
                  <w:vAlign w:val="center"/>
                </w:tcPr>
                <w:p w14:paraId="5C5BC61C">
                  <w:pPr>
                    <w:jc w:val="center"/>
                    <w:rPr>
                      <w:rFonts w:hint="default" w:ascii="Times New Roman" w:hAnsi="Times New Roman" w:eastAsia="仿宋" w:cs="Times New Roman"/>
                      <w:b/>
                      <w:bCs/>
                      <w:color w:val="auto"/>
                      <w:szCs w:val="21"/>
                    </w:rPr>
                  </w:pPr>
                </w:p>
              </w:tc>
              <w:tc>
                <w:tcPr>
                  <w:tcW w:w="329" w:type="pct"/>
                  <w:tcBorders>
                    <w:bottom w:val="single" w:color="auto" w:sz="4" w:space="0"/>
                  </w:tcBorders>
                  <w:vAlign w:val="center"/>
                </w:tcPr>
                <w:p w14:paraId="7879B9B4">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浓度</w:t>
                  </w:r>
                </w:p>
                <w:p w14:paraId="680C4CAC">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mg/m</w:t>
                  </w:r>
                  <w:r>
                    <w:rPr>
                      <w:rFonts w:hint="default" w:ascii="Times New Roman" w:hAnsi="Times New Roman" w:eastAsia="仿宋" w:cs="Times New Roman"/>
                      <w:b/>
                      <w:bCs/>
                      <w:color w:val="auto"/>
                      <w:szCs w:val="21"/>
                      <w:vertAlign w:val="superscript"/>
                    </w:rPr>
                    <w:t>3</w:t>
                  </w:r>
                </w:p>
              </w:tc>
              <w:tc>
                <w:tcPr>
                  <w:tcW w:w="329" w:type="pct"/>
                  <w:tcBorders>
                    <w:bottom w:val="single" w:color="auto" w:sz="4" w:space="0"/>
                  </w:tcBorders>
                  <w:vAlign w:val="center"/>
                </w:tcPr>
                <w:p w14:paraId="52812802">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速率</w:t>
                  </w:r>
                </w:p>
                <w:p w14:paraId="171277C1">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kg/h</w:t>
                  </w:r>
                </w:p>
              </w:tc>
              <w:tc>
                <w:tcPr>
                  <w:tcW w:w="329" w:type="pct"/>
                  <w:tcBorders>
                    <w:bottom w:val="single" w:color="auto" w:sz="4" w:space="0"/>
                  </w:tcBorders>
                  <w:vAlign w:val="center"/>
                </w:tcPr>
                <w:p w14:paraId="0D5FE7AF">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lang w:eastAsia="zh-CN"/>
                    </w:rPr>
                    <w:t>排放</w:t>
                  </w:r>
                  <w:r>
                    <w:rPr>
                      <w:rFonts w:hint="default" w:ascii="Times New Roman" w:hAnsi="Times New Roman" w:eastAsia="仿宋" w:cs="Times New Roman"/>
                      <w:b/>
                      <w:bCs/>
                      <w:color w:val="auto"/>
                      <w:szCs w:val="21"/>
                    </w:rPr>
                    <w:t>量</w:t>
                  </w:r>
                </w:p>
                <w:p w14:paraId="3592559B">
                  <w:pPr>
                    <w:pStyle w:val="21"/>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t/a</w:t>
                  </w:r>
                </w:p>
              </w:tc>
              <w:tc>
                <w:tcPr>
                  <w:tcW w:w="366" w:type="pct"/>
                  <w:vMerge w:val="continue"/>
                  <w:tcBorders>
                    <w:bottom w:val="single" w:color="auto" w:sz="4" w:space="0"/>
                  </w:tcBorders>
                  <w:vAlign w:val="center"/>
                </w:tcPr>
                <w:p w14:paraId="38E86D29">
                  <w:pPr>
                    <w:pStyle w:val="21"/>
                    <w:spacing w:after="0" w:line="240" w:lineRule="auto"/>
                    <w:jc w:val="center"/>
                    <w:rPr>
                      <w:rFonts w:hint="default" w:ascii="Times New Roman" w:hAnsi="Times New Roman" w:eastAsia="仿宋" w:cs="Times New Roman"/>
                      <w:color w:val="auto"/>
                      <w:szCs w:val="21"/>
                    </w:rPr>
                  </w:pPr>
                </w:p>
              </w:tc>
            </w:tr>
            <w:tr w14:paraId="3EE1A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20" w:type="pct"/>
                  <w:vAlign w:val="center"/>
                </w:tcPr>
                <w:p w14:paraId="2EA2B725">
                  <w:pPr>
                    <w:pStyle w:val="21"/>
                    <w:spacing w:after="0" w:line="240" w:lineRule="auto"/>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bCs/>
                      <w:color w:val="auto"/>
                      <w:szCs w:val="22"/>
                      <w:lang w:val="en-US" w:eastAsia="zh-CN"/>
                    </w:rPr>
                    <w:t>DA001</w:t>
                  </w:r>
                </w:p>
              </w:tc>
              <w:tc>
                <w:tcPr>
                  <w:tcW w:w="433" w:type="pct"/>
                  <w:vAlign w:val="center"/>
                </w:tcPr>
                <w:p w14:paraId="5C846F49">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打磨、</w:t>
                  </w:r>
                  <w:r>
                    <w:rPr>
                      <w:rFonts w:hint="eastAsia" w:ascii="Times New Roman" w:hAnsi="Times New Roman" w:eastAsia="仿宋" w:cs="Times New Roman"/>
                      <w:color w:val="auto"/>
                      <w:kern w:val="0"/>
                      <w:sz w:val="21"/>
                      <w:szCs w:val="21"/>
                      <w:lang w:val="en-US" w:eastAsia="zh-CN" w:bidi="ar"/>
                    </w:rPr>
                    <w:t>抛光</w:t>
                  </w:r>
                </w:p>
              </w:tc>
              <w:tc>
                <w:tcPr>
                  <w:tcW w:w="577" w:type="pct"/>
                  <w:vAlign w:val="center"/>
                </w:tcPr>
                <w:p w14:paraId="0F2BCC3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颗粒物</w:t>
                  </w:r>
                </w:p>
              </w:tc>
              <w:tc>
                <w:tcPr>
                  <w:tcW w:w="357" w:type="pct"/>
                  <w:vAlign w:val="center"/>
                </w:tcPr>
                <w:p w14:paraId="2CC7E8D2">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266.73</w:t>
                  </w:r>
                </w:p>
              </w:tc>
              <w:tc>
                <w:tcPr>
                  <w:tcW w:w="357" w:type="pct"/>
                  <w:vAlign w:val="center"/>
                </w:tcPr>
                <w:p w14:paraId="4E11D237">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3.468</w:t>
                  </w:r>
                </w:p>
              </w:tc>
              <w:tc>
                <w:tcPr>
                  <w:tcW w:w="357" w:type="pct"/>
                  <w:vAlign w:val="center"/>
                </w:tcPr>
                <w:p w14:paraId="484FFBB0">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8.322</w:t>
                  </w:r>
                </w:p>
              </w:tc>
              <w:tc>
                <w:tcPr>
                  <w:tcW w:w="549" w:type="pct"/>
                  <w:vAlign w:val="center"/>
                </w:tcPr>
                <w:p w14:paraId="3B8FADE9">
                  <w:pPr>
                    <w:adjustRightInd w:val="0"/>
                    <w:snapToGrid w:val="0"/>
                    <w:ind w:left="-105" w:leftChars="-50" w:right="-105" w:rightChars="-50"/>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color w:val="auto"/>
                      <w:sz w:val="21"/>
                      <w:szCs w:val="21"/>
                      <w:lang w:val="en-US" w:eastAsia="zh-CN"/>
                    </w:rPr>
                    <w:t>袋式除尘</w:t>
                  </w:r>
                </w:p>
              </w:tc>
              <w:tc>
                <w:tcPr>
                  <w:tcW w:w="377" w:type="pct"/>
                  <w:vAlign w:val="center"/>
                </w:tcPr>
                <w:p w14:paraId="66CB0007">
                  <w:pPr>
                    <w:adjustRightInd w:val="0"/>
                    <w:snapToGrid w:val="0"/>
                    <w:ind w:left="-105" w:leftChars="-50" w:right="-105" w:rightChars="-50"/>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color w:val="auto"/>
                      <w:sz w:val="21"/>
                      <w:szCs w:val="21"/>
                      <w:lang w:val="en-US" w:eastAsia="zh-CN"/>
                    </w:rPr>
                    <w:t>9</w:t>
                  </w:r>
                  <w:r>
                    <w:rPr>
                      <w:rFonts w:hint="eastAsia"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w:t>
                  </w:r>
                </w:p>
              </w:tc>
              <w:tc>
                <w:tcPr>
                  <w:tcW w:w="312" w:type="pct"/>
                  <w:vAlign w:val="center"/>
                </w:tcPr>
                <w:p w14:paraId="00D0845C">
                  <w:pPr>
                    <w:adjustRightInd w:val="0"/>
                    <w:snapToGrid w:val="0"/>
                    <w:ind w:left="-105" w:leftChars="-50" w:right="-105" w:rightChars="-50"/>
                    <w:jc w:val="center"/>
                    <w:rPr>
                      <w:rFonts w:hint="default" w:ascii="Times New Roman" w:hAnsi="Times New Roman" w:eastAsia="仿宋" w:cs="Times New Roman"/>
                      <w:bCs/>
                      <w:color w:val="auto"/>
                      <w:szCs w:val="22"/>
                      <w:lang w:val="en-US" w:eastAsia="zh-CN"/>
                    </w:rPr>
                  </w:pPr>
                  <w:r>
                    <w:rPr>
                      <w:rFonts w:hint="eastAsia" w:eastAsia="仿宋" w:cs="Times New Roman"/>
                      <w:color w:val="auto"/>
                      <w:sz w:val="21"/>
                      <w:szCs w:val="21"/>
                      <w:lang w:val="en-US" w:eastAsia="zh-CN"/>
                    </w:rPr>
                    <w:t>13000</w:t>
                  </w:r>
                </w:p>
              </w:tc>
              <w:tc>
                <w:tcPr>
                  <w:tcW w:w="329" w:type="pct"/>
                  <w:vAlign w:val="center"/>
                </w:tcPr>
                <w:p w14:paraId="7A0B9A4D">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2.67</w:t>
                  </w:r>
                </w:p>
              </w:tc>
              <w:tc>
                <w:tcPr>
                  <w:tcW w:w="329" w:type="pct"/>
                  <w:vAlign w:val="center"/>
                </w:tcPr>
                <w:p w14:paraId="64915177">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0.035</w:t>
                  </w:r>
                </w:p>
              </w:tc>
              <w:tc>
                <w:tcPr>
                  <w:tcW w:w="329" w:type="pct"/>
                  <w:vAlign w:val="center"/>
                </w:tcPr>
                <w:p w14:paraId="3F23601B">
                  <w:pPr>
                    <w:pStyle w:val="21"/>
                    <w:spacing w:after="0" w:line="240" w:lineRule="auto"/>
                    <w:jc w:val="center"/>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0.083</w:t>
                  </w:r>
                </w:p>
              </w:tc>
              <w:tc>
                <w:tcPr>
                  <w:tcW w:w="366" w:type="pct"/>
                  <w:vAlign w:val="center"/>
                </w:tcPr>
                <w:p w14:paraId="63361646">
                  <w:pPr>
                    <w:pStyle w:val="21"/>
                    <w:spacing w:after="0" w:line="240" w:lineRule="auto"/>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bCs/>
                      <w:color w:val="auto"/>
                      <w:szCs w:val="22"/>
                      <w:lang w:val="en-US" w:eastAsia="zh-CN"/>
                    </w:rPr>
                    <w:t>间歇2400h</w:t>
                  </w:r>
                </w:p>
              </w:tc>
            </w:tr>
            <w:tr w14:paraId="600B55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20" w:type="pct"/>
                  <w:vAlign w:val="center"/>
                </w:tcPr>
                <w:p w14:paraId="26A0DDE7">
                  <w:pPr>
                    <w:pStyle w:val="21"/>
                    <w:spacing w:after="0" w:line="240" w:lineRule="auto"/>
                    <w:jc w:val="center"/>
                    <w:rPr>
                      <w:rFonts w:hint="default" w:ascii="Times New Roman" w:hAnsi="Times New Roman" w:eastAsia="仿宋" w:cs="Times New Roman"/>
                      <w:bCs/>
                      <w:color w:val="auto"/>
                      <w:szCs w:val="22"/>
                      <w:lang w:val="en-US"/>
                    </w:rPr>
                  </w:pPr>
                  <w:r>
                    <w:rPr>
                      <w:rFonts w:hint="default" w:ascii="Times New Roman" w:hAnsi="Times New Roman" w:eastAsia="仿宋" w:cs="Times New Roman"/>
                      <w:bCs/>
                      <w:color w:val="auto"/>
                      <w:szCs w:val="22"/>
                      <w:lang w:val="en-US" w:eastAsia="zh-CN"/>
                    </w:rPr>
                    <w:t>DA002</w:t>
                  </w:r>
                </w:p>
              </w:tc>
              <w:tc>
                <w:tcPr>
                  <w:tcW w:w="433" w:type="pct"/>
                  <w:vAlign w:val="center"/>
                </w:tcPr>
                <w:p w14:paraId="74A446D2">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color w:val="auto"/>
                      <w:sz w:val="21"/>
                      <w:szCs w:val="21"/>
                    </w:rPr>
                    <w:t>焊接</w:t>
                  </w:r>
                  <w:r>
                    <w:rPr>
                      <w:rFonts w:hint="default" w:ascii="Times New Roman" w:hAnsi="Times New Roman" w:eastAsia="仿宋" w:cs="Times New Roman"/>
                      <w:color w:val="auto"/>
                      <w:kern w:val="0"/>
                      <w:sz w:val="21"/>
                      <w:szCs w:val="21"/>
                      <w:lang w:val="en-US" w:eastAsia="zh-CN" w:bidi="ar"/>
                    </w:rPr>
                    <w:t>、喷砂</w:t>
                  </w:r>
                </w:p>
              </w:tc>
              <w:tc>
                <w:tcPr>
                  <w:tcW w:w="577" w:type="pct"/>
                  <w:vAlign w:val="center"/>
                </w:tcPr>
                <w:p w14:paraId="0013773D">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color w:val="auto"/>
                      <w:sz w:val="21"/>
                      <w:szCs w:val="21"/>
                      <w:lang w:eastAsia="zh-CN"/>
                    </w:rPr>
                    <w:t>颗粒物</w:t>
                  </w:r>
                </w:p>
              </w:tc>
              <w:tc>
                <w:tcPr>
                  <w:tcW w:w="357" w:type="pct"/>
                  <w:vAlign w:val="center"/>
                </w:tcPr>
                <w:p w14:paraId="7E10733A">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229.64</w:t>
                  </w:r>
                </w:p>
              </w:tc>
              <w:tc>
                <w:tcPr>
                  <w:tcW w:w="357" w:type="pct"/>
                  <w:vAlign w:val="center"/>
                </w:tcPr>
                <w:p w14:paraId="0A11FA78">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1.837</w:t>
                  </w:r>
                </w:p>
              </w:tc>
              <w:tc>
                <w:tcPr>
                  <w:tcW w:w="357" w:type="pct"/>
                  <w:vAlign w:val="center"/>
                </w:tcPr>
                <w:p w14:paraId="0F32F966">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4.409</w:t>
                  </w:r>
                </w:p>
              </w:tc>
              <w:tc>
                <w:tcPr>
                  <w:tcW w:w="549" w:type="pct"/>
                  <w:vAlign w:val="center"/>
                </w:tcPr>
                <w:p w14:paraId="731A4959">
                  <w:pPr>
                    <w:adjustRightInd w:val="0"/>
                    <w:snapToGrid w:val="0"/>
                    <w:ind w:left="-105" w:leftChars="-50" w:right="-105" w:rightChars="-50"/>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color w:val="auto"/>
                      <w:sz w:val="21"/>
                      <w:szCs w:val="21"/>
                      <w:lang w:val="en-US" w:eastAsia="zh-CN"/>
                    </w:rPr>
                    <w:t>袋式除尘</w:t>
                  </w:r>
                </w:p>
              </w:tc>
              <w:tc>
                <w:tcPr>
                  <w:tcW w:w="377" w:type="pct"/>
                  <w:vAlign w:val="center"/>
                </w:tcPr>
                <w:p w14:paraId="27FB5EBE">
                  <w:pPr>
                    <w:adjustRightInd w:val="0"/>
                    <w:snapToGrid w:val="0"/>
                    <w:ind w:left="-105" w:leftChars="-50" w:right="-105" w:rightChars="-50"/>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color w:val="auto"/>
                      <w:sz w:val="21"/>
                      <w:szCs w:val="21"/>
                      <w:lang w:val="en-US" w:eastAsia="zh-CN"/>
                    </w:rPr>
                    <w:t>9</w:t>
                  </w:r>
                  <w:r>
                    <w:rPr>
                      <w:rFonts w:hint="eastAsia"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w:t>
                  </w:r>
                </w:p>
              </w:tc>
              <w:tc>
                <w:tcPr>
                  <w:tcW w:w="312" w:type="pct"/>
                  <w:vAlign w:val="center"/>
                </w:tcPr>
                <w:p w14:paraId="33FD07F5">
                  <w:pPr>
                    <w:adjustRightInd w:val="0"/>
                    <w:snapToGrid w:val="0"/>
                    <w:ind w:left="-105" w:leftChars="-50" w:right="-105" w:rightChars="-50"/>
                    <w:jc w:val="center"/>
                    <w:rPr>
                      <w:rFonts w:hint="default" w:ascii="Times New Roman" w:hAnsi="Times New Roman" w:eastAsia="仿宋" w:cs="Times New Roman"/>
                      <w:bCs/>
                      <w:color w:val="auto"/>
                      <w:szCs w:val="22"/>
                      <w:lang w:val="en-US" w:eastAsia="zh-CN"/>
                    </w:rPr>
                  </w:pPr>
                  <w:r>
                    <w:rPr>
                      <w:rFonts w:hint="eastAsia" w:eastAsia="仿宋" w:cs="Times New Roman"/>
                      <w:color w:val="auto"/>
                      <w:sz w:val="21"/>
                      <w:szCs w:val="21"/>
                      <w:lang w:val="en-US" w:eastAsia="zh-CN"/>
                    </w:rPr>
                    <w:t>8000</w:t>
                  </w:r>
                </w:p>
              </w:tc>
              <w:tc>
                <w:tcPr>
                  <w:tcW w:w="329" w:type="pct"/>
                  <w:vAlign w:val="center"/>
                </w:tcPr>
                <w:p w14:paraId="58656317">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2.30</w:t>
                  </w:r>
                </w:p>
              </w:tc>
              <w:tc>
                <w:tcPr>
                  <w:tcW w:w="329" w:type="pct"/>
                  <w:vAlign w:val="center"/>
                </w:tcPr>
                <w:p w14:paraId="36C38F50">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0.018</w:t>
                  </w:r>
                </w:p>
              </w:tc>
              <w:tc>
                <w:tcPr>
                  <w:tcW w:w="329" w:type="pct"/>
                  <w:vAlign w:val="center"/>
                </w:tcPr>
                <w:p w14:paraId="755B45EB">
                  <w:pPr>
                    <w:pStyle w:val="21"/>
                    <w:spacing w:after="0" w:line="240" w:lineRule="auto"/>
                    <w:jc w:val="center"/>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0.044</w:t>
                  </w:r>
                </w:p>
              </w:tc>
              <w:tc>
                <w:tcPr>
                  <w:tcW w:w="366" w:type="pct"/>
                  <w:vAlign w:val="center"/>
                </w:tcPr>
                <w:p w14:paraId="7D1C7E17">
                  <w:pPr>
                    <w:pStyle w:val="21"/>
                    <w:spacing w:after="0" w:line="240" w:lineRule="auto"/>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bCs/>
                      <w:color w:val="auto"/>
                      <w:szCs w:val="22"/>
                      <w:lang w:val="en-US" w:eastAsia="zh-CN"/>
                    </w:rPr>
                    <w:t>间歇2400h</w:t>
                  </w:r>
                </w:p>
              </w:tc>
            </w:tr>
            <w:tr w14:paraId="39FD3D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20" w:type="pct"/>
                  <w:vMerge w:val="restart"/>
                  <w:vAlign w:val="center"/>
                </w:tcPr>
                <w:p w14:paraId="0C25194D">
                  <w:pPr>
                    <w:pStyle w:val="21"/>
                    <w:spacing w:after="0" w:line="240" w:lineRule="auto"/>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bCs/>
                      <w:color w:val="auto"/>
                      <w:szCs w:val="22"/>
                      <w:lang w:val="en-US" w:eastAsia="zh-CN"/>
                    </w:rPr>
                    <w:t>DA003</w:t>
                  </w:r>
                </w:p>
              </w:tc>
              <w:tc>
                <w:tcPr>
                  <w:tcW w:w="433" w:type="pct"/>
                  <w:vMerge w:val="restart"/>
                  <w:vAlign w:val="center"/>
                </w:tcPr>
                <w:p w14:paraId="627988E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bCs/>
                      <w:color w:val="auto"/>
                      <w:szCs w:val="22"/>
                      <w:lang w:val="en-US" w:eastAsia="zh-CN"/>
                    </w:rPr>
                    <w:t>调漆、喷漆、烘干</w:t>
                  </w:r>
                </w:p>
              </w:tc>
              <w:tc>
                <w:tcPr>
                  <w:tcW w:w="577" w:type="pct"/>
                  <w:vAlign w:val="center"/>
                </w:tcPr>
                <w:p w14:paraId="777281A6">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sz w:val="21"/>
                      <w:szCs w:val="21"/>
                      <w:lang w:eastAsia="zh-CN"/>
                    </w:rPr>
                    <w:t>颗粒物</w:t>
                  </w:r>
                </w:p>
              </w:tc>
              <w:tc>
                <w:tcPr>
                  <w:tcW w:w="357" w:type="pct"/>
                  <w:vAlign w:val="center"/>
                </w:tcPr>
                <w:p w14:paraId="3DD75564">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29.28</w:t>
                  </w:r>
                </w:p>
              </w:tc>
              <w:tc>
                <w:tcPr>
                  <w:tcW w:w="357" w:type="pct"/>
                  <w:vAlign w:val="center"/>
                </w:tcPr>
                <w:p w14:paraId="15A88B9C">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0.527</w:t>
                  </w:r>
                </w:p>
              </w:tc>
              <w:tc>
                <w:tcPr>
                  <w:tcW w:w="357" w:type="pct"/>
                  <w:vAlign w:val="center"/>
                </w:tcPr>
                <w:p w14:paraId="166D6DAD">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1.264</w:t>
                  </w:r>
                </w:p>
              </w:tc>
              <w:tc>
                <w:tcPr>
                  <w:tcW w:w="549" w:type="pct"/>
                  <w:vMerge w:val="restart"/>
                  <w:vAlign w:val="center"/>
                </w:tcPr>
                <w:p w14:paraId="37E182C2">
                  <w:pPr>
                    <w:pStyle w:val="21"/>
                    <w:spacing w:after="0" w:line="240" w:lineRule="auto"/>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bCs/>
                      <w:color w:val="auto"/>
                      <w:szCs w:val="22"/>
                      <w:lang w:val="en-US" w:eastAsia="zh-CN"/>
                    </w:rPr>
                    <w:t>干式过滤+二级活性炭吸附</w:t>
                  </w:r>
                </w:p>
              </w:tc>
              <w:tc>
                <w:tcPr>
                  <w:tcW w:w="377" w:type="pct"/>
                  <w:vAlign w:val="center"/>
                </w:tcPr>
                <w:p w14:paraId="5F6EDDA6">
                  <w:pPr>
                    <w:adjustRightInd w:val="0"/>
                    <w:snapToGrid w:val="0"/>
                    <w:ind w:left="-105" w:leftChars="-50" w:right="-105" w:rightChars="-50"/>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color w:val="auto"/>
                      <w:sz w:val="21"/>
                      <w:szCs w:val="21"/>
                      <w:lang w:val="en-US" w:eastAsia="zh-CN"/>
                    </w:rPr>
                    <w:t>90</w:t>
                  </w:r>
                  <w:r>
                    <w:rPr>
                      <w:rFonts w:hint="default" w:ascii="Times New Roman" w:hAnsi="Times New Roman" w:eastAsia="仿宋" w:cs="Times New Roman"/>
                      <w:color w:val="auto"/>
                      <w:sz w:val="21"/>
                      <w:szCs w:val="21"/>
                      <w:lang w:val="en-US" w:eastAsia="zh-CN"/>
                    </w:rPr>
                    <w:t>%</w:t>
                  </w:r>
                </w:p>
              </w:tc>
              <w:tc>
                <w:tcPr>
                  <w:tcW w:w="312" w:type="pct"/>
                  <w:vMerge w:val="restart"/>
                  <w:vAlign w:val="center"/>
                </w:tcPr>
                <w:p w14:paraId="298B9712">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color w:val="auto"/>
                      <w:sz w:val="21"/>
                      <w:szCs w:val="21"/>
                      <w:lang w:val="en-US" w:eastAsia="zh-CN"/>
                    </w:rPr>
                    <w:t>18000</w:t>
                  </w:r>
                </w:p>
              </w:tc>
              <w:tc>
                <w:tcPr>
                  <w:tcW w:w="329" w:type="pct"/>
                  <w:vAlign w:val="center"/>
                </w:tcPr>
                <w:p w14:paraId="681C82CC">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2.93</w:t>
                  </w:r>
                </w:p>
              </w:tc>
              <w:tc>
                <w:tcPr>
                  <w:tcW w:w="329" w:type="pct"/>
                  <w:vAlign w:val="center"/>
                </w:tcPr>
                <w:p w14:paraId="0CDC38C1">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0.053</w:t>
                  </w:r>
                </w:p>
              </w:tc>
              <w:tc>
                <w:tcPr>
                  <w:tcW w:w="329" w:type="pct"/>
                  <w:vAlign w:val="center"/>
                </w:tcPr>
                <w:p w14:paraId="0B142908">
                  <w:pPr>
                    <w:pStyle w:val="21"/>
                    <w:spacing w:after="0" w:line="240" w:lineRule="auto"/>
                    <w:jc w:val="center"/>
                    <w:rPr>
                      <w:rFonts w:hint="default" w:ascii="Times New Roman" w:hAnsi="Times New Roman" w:eastAsia="仿宋" w:cs="Times New Roman"/>
                      <w:bCs/>
                      <w:color w:val="auto"/>
                      <w:sz w:val="21"/>
                      <w:szCs w:val="21"/>
                      <w:lang w:val="en-US" w:eastAsia="zh-CN"/>
                    </w:rPr>
                  </w:pPr>
                  <w:r>
                    <w:rPr>
                      <w:rFonts w:hint="eastAsia" w:ascii="Times New Roman" w:hAnsi="Times New Roman" w:eastAsia="仿宋" w:cs="Times New Roman"/>
                      <w:bCs/>
                      <w:color w:val="auto"/>
                      <w:sz w:val="21"/>
                      <w:szCs w:val="21"/>
                      <w:lang w:val="en-US" w:eastAsia="zh-CN"/>
                    </w:rPr>
                    <w:t>0.126</w:t>
                  </w:r>
                </w:p>
              </w:tc>
              <w:tc>
                <w:tcPr>
                  <w:tcW w:w="366" w:type="pct"/>
                  <w:vMerge w:val="restart"/>
                  <w:vAlign w:val="center"/>
                </w:tcPr>
                <w:p w14:paraId="5294000D">
                  <w:pPr>
                    <w:pStyle w:val="21"/>
                    <w:spacing w:after="0" w:line="240" w:lineRule="auto"/>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bCs/>
                      <w:color w:val="auto"/>
                      <w:szCs w:val="22"/>
                      <w:lang w:val="en-US" w:eastAsia="zh-CN"/>
                    </w:rPr>
                    <w:t>间歇2400h</w:t>
                  </w:r>
                </w:p>
              </w:tc>
            </w:tr>
            <w:tr w14:paraId="03CE3F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20" w:type="pct"/>
                  <w:vMerge w:val="continue"/>
                  <w:vAlign w:val="center"/>
                </w:tcPr>
                <w:p w14:paraId="24E7CE6B">
                  <w:pPr>
                    <w:pStyle w:val="21"/>
                    <w:spacing w:after="0" w:line="240" w:lineRule="auto"/>
                    <w:jc w:val="center"/>
                    <w:rPr>
                      <w:rFonts w:hint="default" w:ascii="Times New Roman" w:hAnsi="Times New Roman" w:eastAsia="仿宋" w:cs="Times New Roman"/>
                      <w:bCs/>
                      <w:color w:val="auto"/>
                      <w:szCs w:val="22"/>
                      <w:lang w:val="en-US" w:eastAsia="zh-CN"/>
                    </w:rPr>
                  </w:pPr>
                </w:p>
              </w:tc>
              <w:tc>
                <w:tcPr>
                  <w:tcW w:w="433" w:type="pct"/>
                  <w:vMerge w:val="continue"/>
                  <w:vAlign w:val="center"/>
                </w:tcPr>
                <w:p w14:paraId="04BB10A3">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bCs/>
                      <w:color w:val="auto"/>
                      <w:szCs w:val="22"/>
                      <w:lang w:val="en-US" w:eastAsia="zh-CN"/>
                    </w:rPr>
                  </w:pPr>
                </w:p>
              </w:tc>
              <w:tc>
                <w:tcPr>
                  <w:tcW w:w="577" w:type="pct"/>
                  <w:vAlign w:val="center"/>
                </w:tcPr>
                <w:p w14:paraId="7A94713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color w:val="auto"/>
                      <w:kern w:val="0"/>
                      <w:sz w:val="21"/>
                      <w:szCs w:val="21"/>
                      <w:lang w:val="en-US" w:eastAsia="zh-CN" w:bidi="ar"/>
                    </w:rPr>
                    <w:t>非甲烷总烃</w:t>
                  </w:r>
                </w:p>
              </w:tc>
              <w:tc>
                <w:tcPr>
                  <w:tcW w:w="357" w:type="pct"/>
                  <w:vAlign w:val="center"/>
                </w:tcPr>
                <w:p w14:paraId="3A6AC57D">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10.56</w:t>
                  </w:r>
                </w:p>
              </w:tc>
              <w:tc>
                <w:tcPr>
                  <w:tcW w:w="357" w:type="pct"/>
                  <w:vAlign w:val="center"/>
                </w:tcPr>
                <w:p w14:paraId="1AB17768">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0.19</w:t>
                  </w:r>
                </w:p>
              </w:tc>
              <w:tc>
                <w:tcPr>
                  <w:tcW w:w="357" w:type="pct"/>
                  <w:vAlign w:val="center"/>
                </w:tcPr>
                <w:p w14:paraId="443C017D">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0.456</w:t>
                  </w:r>
                </w:p>
              </w:tc>
              <w:tc>
                <w:tcPr>
                  <w:tcW w:w="549" w:type="pct"/>
                  <w:vMerge w:val="continue"/>
                  <w:vAlign w:val="center"/>
                </w:tcPr>
                <w:p w14:paraId="4B81872B">
                  <w:pPr>
                    <w:pStyle w:val="21"/>
                    <w:spacing w:after="0" w:line="240" w:lineRule="auto"/>
                    <w:jc w:val="center"/>
                    <w:rPr>
                      <w:rFonts w:hint="default" w:ascii="Times New Roman" w:hAnsi="Times New Roman" w:eastAsia="仿宋" w:cs="Times New Roman"/>
                      <w:bCs/>
                      <w:color w:val="auto"/>
                      <w:szCs w:val="22"/>
                      <w:lang w:val="en-US" w:eastAsia="zh-CN"/>
                    </w:rPr>
                  </w:pPr>
                </w:p>
              </w:tc>
              <w:tc>
                <w:tcPr>
                  <w:tcW w:w="377" w:type="pct"/>
                  <w:vAlign w:val="center"/>
                </w:tcPr>
                <w:p w14:paraId="7039681F">
                  <w:pPr>
                    <w:pStyle w:val="21"/>
                    <w:spacing w:after="0" w:line="240" w:lineRule="auto"/>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bCs/>
                      <w:color w:val="auto"/>
                      <w:szCs w:val="22"/>
                      <w:lang w:val="en-US" w:eastAsia="zh-CN"/>
                    </w:rPr>
                    <w:t>90%</w:t>
                  </w:r>
                </w:p>
              </w:tc>
              <w:tc>
                <w:tcPr>
                  <w:tcW w:w="312" w:type="pct"/>
                  <w:vMerge w:val="continue"/>
                  <w:vAlign w:val="center"/>
                </w:tcPr>
                <w:p w14:paraId="6FA5DF17">
                  <w:pPr>
                    <w:pStyle w:val="21"/>
                    <w:spacing w:after="0" w:line="240" w:lineRule="auto"/>
                    <w:jc w:val="center"/>
                    <w:rPr>
                      <w:rFonts w:hint="default" w:ascii="Times New Roman" w:hAnsi="Times New Roman" w:eastAsia="仿宋" w:cs="Times New Roman"/>
                      <w:bCs/>
                      <w:color w:val="auto"/>
                      <w:szCs w:val="22"/>
                      <w:lang w:val="en-US" w:eastAsia="zh-CN"/>
                    </w:rPr>
                  </w:pPr>
                </w:p>
              </w:tc>
              <w:tc>
                <w:tcPr>
                  <w:tcW w:w="329" w:type="pct"/>
                  <w:vAlign w:val="center"/>
                </w:tcPr>
                <w:p w14:paraId="18CFA63B">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1.</w:t>
                  </w:r>
                  <w:r>
                    <w:rPr>
                      <w:rFonts w:hint="eastAsia" w:eastAsia="仿宋" w:cs="Times New Roman"/>
                      <w:bCs/>
                      <w:color w:val="auto"/>
                      <w:szCs w:val="22"/>
                      <w:lang w:val="en-US" w:eastAsia="zh-CN"/>
                    </w:rPr>
                    <w:t>06</w:t>
                  </w:r>
                </w:p>
              </w:tc>
              <w:tc>
                <w:tcPr>
                  <w:tcW w:w="329" w:type="pct"/>
                  <w:vAlign w:val="center"/>
                </w:tcPr>
                <w:p w14:paraId="30372DD6">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0.019</w:t>
                  </w:r>
                </w:p>
              </w:tc>
              <w:tc>
                <w:tcPr>
                  <w:tcW w:w="329" w:type="pct"/>
                  <w:vAlign w:val="center"/>
                </w:tcPr>
                <w:p w14:paraId="57C80CDB">
                  <w:pPr>
                    <w:pStyle w:val="21"/>
                    <w:spacing w:after="0" w:line="240" w:lineRule="auto"/>
                    <w:jc w:val="center"/>
                    <w:rPr>
                      <w:rFonts w:hint="default" w:ascii="Times New Roman" w:hAnsi="Times New Roman" w:eastAsia="仿宋" w:cs="Times New Roman"/>
                      <w:bCs/>
                      <w:color w:val="auto"/>
                      <w:sz w:val="21"/>
                      <w:szCs w:val="21"/>
                      <w:lang w:val="en-US" w:eastAsia="zh-CN"/>
                    </w:rPr>
                  </w:pPr>
                  <w:r>
                    <w:rPr>
                      <w:rFonts w:hint="eastAsia" w:ascii="Times New Roman" w:hAnsi="Times New Roman" w:eastAsia="仿宋" w:cs="Times New Roman"/>
                      <w:bCs/>
                      <w:color w:val="auto"/>
                      <w:sz w:val="21"/>
                      <w:szCs w:val="21"/>
                      <w:lang w:val="en-US" w:eastAsia="zh-CN"/>
                    </w:rPr>
                    <w:t>0.046</w:t>
                  </w:r>
                </w:p>
              </w:tc>
              <w:tc>
                <w:tcPr>
                  <w:tcW w:w="366" w:type="pct"/>
                  <w:vMerge w:val="continue"/>
                  <w:vAlign w:val="center"/>
                </w:tcPr>
                <w:p w14:paraId="4098FA36">
                  <w:pPr>
                    <w:pStyle w:val="21"/>
                    <w:spacing w:after="0" w:line="240" w:lineRule="auto"/>
                    <w:jc w:val="center"/>
                    <w:rPr>
                      <w:rFonts w:hint="default" w:ascii="Times New Roman" w:hAnsi="Times New Roman" w:eastAsia="仿宋" w:cs="Times New Roman"/>
                      <w:bCs/>
                      <w:color w:val="auto"/>
                      <w:szCs w:val="22"/>
                      <w:lang w:val="en-US" w:eastAsia="zh-CN"/>
                    </w:rPr>
                  </w:pPr>
                </w:p>
              </w:tc>
            </w:tr>
            <w:tr w14:paraId="38F8DB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20" w:type="pct"/>
                  <w:vAlign w:val="center"/>
                </w:tcPr>
                <w:p w14:paraId="4525A7D7">
                  <w:pPr>
                    <w:pStyle w:val="21"/>
                    <w:spacing w:after="0" w:line="240" w:lineRule="auto"/>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bCs/>
                      <w:color w:val="auto"/>
                      <w:szCs w:val="22"/>
                      <w:lang w:val="en-US" w:eastAsia="zh-CN"/>
                    </w:rPr>
                    <w:t>DA004</w:t>
                  </w:r>
                </w:p>
              </w:tc>
              <w:tc>
                <w:tcPr>
                  <w:tcW w:w="433" w:type="pct"/>
                  <w:vAlign w:val="center"/>
                </w:tcPr>
                <w:p w14:paraId="38D47FA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危废库房</w:t>
                  </w:r>
                </w:p>
              </w:tc>
              <w:tc>
                <w:tcPr>
                  <w:tcW w:w="577" w:type="pct"/>
                  <w:vAlign w:val="center"/>
                </w:tcPr>
                <w:p w14:paraId="3F1E2645">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color w:val="auto"/>
                      <w:kern w:val="0"/>
                      <w:sz w:val="21"/>
                      <w:szCs w:val="21"/>
                      <w:lang w:val="en-US" w:eastAsia="zh-CN" w:bidi="ar"/>
                    </w:rPr>
                    <w:t>非甲烷总烃</w:t>
                  </w:r>
                </w:p>
              </w:tc>
              <w:tc>
                <w:tcPr>
                  <w:tcW w:w="357" w:type="pct"/>
                  <w:vAlign w:val="center"/>
                </w:tcPr>
                <w:p w14:paraId="00EB4C43">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w:t>
                  </w:r>
                </w:p>
              </w:tc>
              <w:tc>
                <w:tcPr>
                  <w:tcW w:w="357" w:type="pct"/>
                  <w:vAlign w:val="center"/>
                </w:tcPr>
                <w:p w14:paraId="03525747">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w:t>
                  </w:r>
                </w:p>
              </w:tc>
              <w:tc>
                <w:tcPr>
                  <w:tcW w:w="357" w:type="pct"/>
                  <w:vAlign w:val="center"/>
                </w:tcPr>
                <w:p w14:paraId="36A84119">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w:t>
                  </w:r>
                </w:p>
              </w:tc>
              <w:tc>
                <w:tcPr>
                  <w:tcW w:w="549" w:type="pct"/>
                  <w:vAlign w:val="center"/>
                </w:tcPr>
                <w:p w14:paraId="30131B27">
                  <w:pPr>
                    <w:pStyle w:val="21"/>
                    <w:spacing w:after="0" w:line="240" w:lineRule="auto"/>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bCs/>
                      <w:color w:val="auto"/>
                      <w:szCs w:val="22"/>
                      <w:lang w:val="en-US" w:eastAsia="zh-CN"/>
                    </w:rPr>
                    <w:t>二级活性炭吸附</w:t>
                  </w:r>
                </w:p>
              </w:tc>
              <w:tc>
                <w:tcPr>
                  <w:tcW w:w="377" w:type="pct"/>
                  <w:vAlign w:val="center"/>
                </w:tcPr>
                <w:p w14:paraId="5ABCE46C">
                  <w:pPr>
                    <w:pStyle w:val="21"/>
                    <w:spacing w:after="0" w:line="240" w:lineRule="auto"/>
                    <w:jc w:val="center"/>
                    <w:rPr>
                      <w:rFonts w:hint="default" w:ascii="Times New Roman" w:hAnsi="Times New Roman" w:eastAsia="仿宋" w:cs="Times New Roman"/>
                      <w:bCs/>
                      <w:color w:val="auto"/>
                      <w:szCs w:val="22"/>
                      <w:lang w:val="en-US" w:eastAsia="zh-CN"/>
                    </w:rPr>
                  </w:pPr>
                  <w:r>
                    <w:rPr>
                      <w:rFonts w:hint="default" w:ascii="Times New Roman" w:hAnsi="Times New Roman" w:eastAsia="仿宋" w:cs="Times New Roman"/>
                      <w:bCs/>
                      <w:color w:val="auto"/>
                      <w:szCs w:val="22"/>
                      <w:lang w:val="en-US" w:eastAsia="zh-CN"/>
                    </w:rPr>
                    <w:t>90%</w:t>
                  </w:r>
                </w:p>
              </w:tc>
              <w:tc>
                <w:tcPr>
                  <w:tcW w:w="312" w:type="pct"/>
                  <w:vAlign w:val="center"/>
                </w:tcPr>
                <w:p w14:paraId="2E006510">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1</w:t>
                  </w:r>
                  <w:r>
                    <w:rPr>
                      <w:rFonts w:hint="default" w:ascii="Times New Roman" w:hAnsi="Times New Roman" w:eastAsia="仿宋" w:cs="Times New Roman"/>
                      <w:bCs/>
                      <w:color w:val="auto"/>
                      <w:szCs w:val="22"/>
                      <w:lang w:val="en-US" w:eastAsia="zh-CN"/>
                    </w:rPr>
                    <w:t>000</w:t>
                  </w:r>
                </w:p>
              </w:tc>
              <w:tc>
                <w:tcPr>
                  <w:tcW w:w="329" w:type="pct"/>
                  <w:vAlign w:val="center"/>
                </w:tcPr>
                <w:p w14:paraId="0F0F0EB8">
                  <w:pPr>
                    <w:spacing w:after="0" w:line="240" w:lineRule="auto"/>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w:t>
                  </w:r>
                </w:p>
              </w:tc>
              <w:tc>
                <w:tcPr>
                  <w:tcW w:w="329" w:type="pct"/>
                  <w:vAlign w:val="center"/>
                </w:tcPr>
                <w:p w14:paraId="1DF36EBF">
                  <w:pPr>
                    <w:spacing w:after="0" w:line="240" w:lineRule="auto"/>
                    <w:jc w:val="center"/>
                    <w:rPr>
                      <w:rFonts w:hint="default" w:ascii="Times New Roman" w:hAnsi="Times New Roman" w:eastAsia="仿宋" w:cs="Times New Roman"/>
                      <w:bCs/>
                      <w:color w:val="auto"/>
                      <w:szCs w:val="22"/>
                      <w:lang w:val="en-US" w:eastAsia="zh-CN"/>
                    </w:rPr>
                  </w:pPr>
                  <w:r>
                    <w:rPr>
                      <w:rFonts w:hint="eastAsia" w:ascii="Times New Roman" w:hAnsi="Times New Roman" w:eastAsia="仿宋" w:cs="Times New Roman"/>
                      <w:bCs/>
                      <w:color w:val="auto"/>
                      <w:szCs w:val="22"/>
                      <w:lang w:val="en-US" w:eastAsia="zh-CN"/>
                    </w:rPr>
                    <w:t>/</w:t>
                  </w:r>
                </w:p>
              </w:tc>
              <w:tc>
                <w:tcPr>
                  <w:tcW w:w="329" w:type="pct"/>
                  <w:vAlign w:val="center"/>
                </w:tcPr>
                <w:p w14:paraId="68C33DDB">
                  <w:pPr>
                    <w:spacing w:after="0" w:line="240" w:lineRule="auto"/>
                    <w:jc w:val="center"/>
                    <w:rPr>
                      <w:rFonts w:hint="default" w:ascii="Times New Roman" w:hAnsi="Times New Roman" w:eastAsia="仿宋" w:cs="Times New Roman"/>
                      <w:bCs/>
                      <w:color w:val="auto"/>
                      <w:sz w:val="21"/>
                      <w:szCs w:val="21"/>
                      <w:lang w:val="en-US" w:eastAsia="zh-CN"/>
                    </w:rPr>
                  </w:pPr>
                  <w:r>
                    <w:rPr>
                      <w:rFonts w:hint="eastAsia" w:ascii="Times New Roman" w:hAnsi="Times New Roman" w:eastAsia="仿宋" w:cs="Times New Roman"/>
                      <w:bCs/>
                      <w:color w:val="auto"/>
                      <w:szCs w:val="22"/>
                      <w:lang w:val="en-US" w:eastAsia="zh-CN"/>
                    </w:rPr>
                    <w:t>/</w:t>
                  </w:r>
                </w:p>
              </w:tc>
              <w:tc>
                <w:tcPr>
                  <w:tcW w:w="366" w:type="pct"/>
                  <w:vAlign w:val="center"/>
                </w:tcPr>
                <w:p w14:paraId="617F5B4B">
                  <w:pPr>
                    <w:pStyle w:val="21"/>
                    <w:spacing w:after="0" w:line="240" w:lineRule="auto"/>
                    <w:jc w:val="center"/>
                    <w:rPr>
                      <w:rFonts w:hint="default" w:ascii="Times New Roman" w:hAnsi="Times New Roman" w:eastAsia="仿宋" w:cs="Times New Roman"/>
                      <w:bCs/>
                      <w:color w:val="auto"/>
                      <w:szCs w:val="22"/>
                      <w:lang w:val="en-US" w:eastAsia="zh-CN"/>
                    </w:rPr>
                  </w:pPr>
                  <w:r>
                    <w:rPr>
                      <w:rFonts w:hint="eastAsia" w:eastAsia="仿宋" w:cs="Times New Roman"/>
                      <w:bCs/>
                      <w:color w:val="auto"/>
                      <w:szCs w:val="22"/>
                      <w:lang w:val="en-US" w:eastAsia="zh-CN"/>
                    </w:rPr>
                    <w:t>连续72</w:t>
                  </w:r>
                  <w:r>
                    <w:rPr>
                      <w:rFonts w:hint="default" w:ascii="Times New Roman" w:hAnsi="Times New Roman" w:eastAsia="仿宋" w:cs="Times New Roman"/>
                      <w:bCs/>
                      <w:color w:val="auto"/>
                      <w:szCs w:val="22"/>
                      <w:lang w:val="en-US" w:eastAsia="zh-CN"/>
                    </w:rPr>
                    <w:t>00h</w:t>
                  </w:r>
                </w:p>
              </w:tc>
            </w:tr>
          </w:tbl>
          <w:p w14:paraId="51966837">
            <w:pPr>
              <w:keepNext w:val="0"/>
              <w:keepLines w:val="0"/>
              <w:pageBreakBefore w:val="0"/>
              <w:widowControl/>
              <w:tabs>
                <w:tab w:val="left" w:pos="58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本项目DA001排气筒、DA002排气筒废气(</w:t>
            </w:r>
            <w:r>
              <w:rPr>
                <w:rFonts w:hint="default" w:ascii="Times New Roman" w:hAnsi="Times New Roman" w:eastAsia="仿宋" w:cs="Times New Roman"/>
                <w:color w:val="auto"/>
                <w:sz w:val="24"/>
                <w:szCs w:val="24"/>
                <w:lang w:val="en-US" w:eastAsia="zh-CN"/>
              </w:rPr>
              <w:t>颗粒物</w:t>
            </w:r>
            <w:r>
              <w:rPr>
                <w:rFonts w:hint="default" w:ascii="Times New Roman" w:hAnsi="Times New Roman" w:eastAsia="仿宋" w:cs="Times New Roman"/>
                <w:bCs/>
                <w:color w:val="auto"/>
                <w:sz w:val="24"/>
                <w:szCs w:val="24"/>
                <w:lang w:val="en-US" w:eastAsia="zh-CN"/>
              </w:rPr>
              <w:t>)、DA004排气筒废气(</w:t>
            </w:r>
            <w:r>
              <w:rPr>
                <w:rFonts w:hint="default" w:ascii="Times New Roman" w:hAnsi="Times New Roman" w:eastAsia="仿宋" w:cs="Times New Roman"/>
                <w:color w:val="auto"/>
                <w:sz w:val="24"/>
                <w:szCs w:val="24"/>
                <w:lang w:val="en-US" w:eastAsia="zh-CN"/>
              </w:rPr>
              <w:t>非甲烷总烃</w:t>
            </w:r>
            <w:r>
              <w:rPr>
                <w:rFonts w:hint="default" w:ascii="Times New Roman" w:hAnsi="Times New Roman" w:eastAsia="仿宋" w:cs="Times New Roman"/>
                <w:bCs/>
                <w:color w:val="auto"/>
                <w:sz w:val="24"/>
                <w:szCs w:val="24"/>
                <w:lang w:val="en-US" w:eastAsia="zh-CN"/>
              </w:rPr>
              <w:t>)排放浓度和速率均能够达到《大气污染物综合排放标准》（DB 32/4041-2021）表1中的相应标准限值要求，DA003排气筒废气(</w:t>
            </w:r>
            <w:r>
              <w:rPr>
                <w:rFonts w:hint="default" w:ascii="Times New Roman" w:hAnsi="Times New Roman" w:eastAsia="仿宋" w:cs="Times New Roman"/>
                <w:color w:val="auto"/>
                <w:sz w:val="24"/>
                <w:szCs w:val="24"/>
                <w:lang w:val="en-US" w:eastAsia="zh-CN"/>
              </w:rPr>
              <w:t>非甲烷总烃、颗粒物</w:t>
            </w:r>
            <w:r>
              <w:rPr>
                <w:rFonts w:hint="default" w:ascii="Times New Roman" w:hAnsi="Times New Roman" w:eastAsia="仿宋" w:cs="Times New Roman"/>
                <w:bCs/>
                <w:color w:val="auto"/>
                <w:sz w:val="24"/>
                <w:szCs w:val="24"/>
                <w:lang w:val="en-US" w:eastAsia="zh-CN"/>
              </w:rPr>
              <w:t>)排放浓度及速率均能够达到</w:t>
            </w:r>
            <w:r>
              <w:rPr>
                <w:rFonts w:hint="default" w:ascii="Times New Roman" w:hAnsi="Times New Roman" w:eastAsia="仿宋" w:cs="Times New Roman"/>
                <w:color w:val="auto"/>
                <w:sz w:val="24"/>
                <w:szCs w:val="24"/>
                <w:lang w:val="en-US" w:eastAsia="zh-CN"/>
              </w:rPr>
              <w:t>《工业涂装工序大气污染物排放标准》（DB32/4439-2022）</w:t>
            </w:r>
            <w:r>
              <w:rPr>
                <w:rFonts w:hint="default" w:ascii="Times New Roman" w:hAnsi="Times New Roman" w:eastAsia="仿宋" w:cs="Times New Roman"/>
                <w:bCs/>
                <w:color w:val="auto"/>
                <w:sz w:val="24"/>
                <w:szCs w:val="24"/>
                <w:lang w:val="en-US" w:eastAsia="zh-CN"/>
              </w:rPr>
              <w:t>表1中的相应标准限值要求。</w:t>
            </w:r>
          </w:p>
          <w:p w14:paraId="66140B74">
            <w:pPr>
              <w:adjustRightInd w:val="0"/>
              <w:snapToGrid w:val="0"/>
              <w:spacing w:line="500" w:lineRule="exact"/>
              <w:ind w:firstLine="480" w:firstLineChars="200"/>
              <w:jc w:val="both"/>
              <w:rPr>
                <w:rFonts w:hint="default" w:ascii="Times New Roman" w:hAnsi="Times New Roman" w:eastAsia="仿宋" w:cs="Times New Roman"/>
                <w:bCs/>
                <w:color w:val="auto"/>
                <w:sz w:val="24"/>
                <w:szCs w:val="24"/>
              </w:rPr>
            </w:pPr>
          </w:p>
          <w:p w14:paraId="5C4DE998">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仿宋" w:cs="Times New Roman"/>
                <w:color w:val="auto"/>
              </w:rPr>
            </w:pPr>
          </w:p>
        </w:tc>
      </w:tr>
    </w:tbl>
    <w:p w14:paraId="447E5855">
      <w:pPr>
        <w:pStyle w:val="22"/>
        <w:spacing w:before="0" w:beforeAutospacing="0" w:after="0" w:afterAutospacing="0"/>
        <w:jc w:val="center"/>
        <w:outlineLvl w:val="0"/>
        <w:rPr>
          <w:rFonts w:hint="default" w:ascii="Times New Roman" w:hAnsi="Times New Roman" w:eastAsia="仿宋" w:cs="Times New Roman"/>
          <w:snapToGrid w:val="0"/>
          <w:color w:val="auto"/>
          <w:sz w:val="30"/>
          <w:szCs w:val="30"/>
        </w:rPr>
        <w:sectPr>
          <w:headerReference r:id="rId6"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27"/>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425"/>
      </w:tblGrid>
      <w:tr w14:paraId="1360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1" w:hRule="atLeast"/>
        </w:trPr>
        <w:tc>
          <w:tcPr>
            <w:tcW w:w="724" w:type="dxa"/>
            <w:tcMar>
              <w:left w:w="28" w:type="dxa"/>
              <w:right w:w="28" w:type="dxa"/>
            </w:tcMar>
            <w:vAlign w:val="center"/>
          </w:tcPr>
          <w:p w14:paraId="44848EA7">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运营</w:t>
            </w:r>
          </w:p>
          <w:p w14:paraId="34116A84">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期环</w:t>
            </w:r>
          </w:p>
          <w:p w14:paraId="5976957F">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境影</w:t>
            </w:r>
          </w:p>
          <w:p w14:paraId="1B127CA3">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响和</w:t>
            </w:r>
          </w:p>
          <w:p w14:paraId="5B6C2BC1">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保护</w:t>
            </w:r>
          </w:p>
          <w:p w14:paraId="188266A7">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措施</w:t>
            </w:r>
          </w:p>
        </w:tc>
        <w:tc>
          <w:tcPr>
            <w:tcW w:w="8425" w:type="dxa"/>
            <w:vAlign w:val="center"/>
          </w:tcPr>
          <w:p w14:paraId="526AC9E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表4-</w:t>
            </w:r>
            <w:r>
              <w:rPr>
                <w:rFonts w:hint="eastAsia" w:ascii="Times New Roman" w:hAnsi="Times New Roman" w:eastAsia="仿宋" w:cs="Times New Roman"/>
                <w:b/>
                <w:bCs/>
                <w:color w:val="auto"/>
                <w:szCs w:val="21"/>
                <w:lang w:val="en-US" w:eastAsia="zh-CN"/>
              </w:rPr>
              <w:t>5</w:t>
            </w:r>
            <w:r>
              <w:rPr>
                <w:rFonts w:hint="default" w:ascii="Times New Roman" w:hAnsi="Times New Roman" w:eastAsia="仿宋" w:cs="Times New Roman"/>
                <w:b/>
                <w:bCs/>
                <w:color w:val="auto"/>
                <w:szCs w:val="21"/>
                <w:lang w:val="en-US" w:eastAsia="zh-CN"/>
              </w:rPr>
              <w:t xml:space="preserve">  本项目无组织废气产生及排放源强表</w:t>
            </w:r>
          </w:p>
          <w:tbl>
            <w:tblPr>
              <w:tblStyle w:val="27"/>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889"/>
              <w:gridCol w:w="1324"/>
              <w:gridCol w:w="1114"/>
              <w:gridCol w:w="761"/>
              <w:gridCol w:w="986"/>
              <w:gridCol w:w="1188"/>
              <w:gridCol w:w="1028"/>
              <w:gridCol w:w="908"/>
            </w:tblGrid>
            <w:tr w14:paraId="1A496F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2" w:type="pct"/>
                  <w:vAlign w:val="center"/>
                </w:tcPr>
                <w:p w14:paraId="4769D281">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工作车间</w:t>
                  </w:r>
                </w:p>
              </w:tc>
              <w:tc>
                <w:tcPr>
                  <w:tcW w:w="807" w:type="pct"/>
                  <w:vAlign w:val="center"/>
                </w:tcPr>
                <w:p w14:paraId="4D524A7E">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rPr>
                    <w:t>产生环节</w:t>
                  </w:r>
                </w:p>
              </w:tc>
              <w:tc>
                <w:tcPr>
                  <w:tcW w:w="679" w:type="pct"/>
                  <w:vAlign w:val="center"/>
                </w:tcPr>
                <w:p w14:paraId="3F9A51CE">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污染物名称</w:t>
                  </w:r>
                </w:p>
              </w:tc>
              <w:tc>
                <w:tcPr>
                  <w:tcW w:w="464" w:type="pct"/>
                  <w:vAlign w:val="center"/>
                </w:tcPr>
                <w:p w14:paraId="25E3E3A6">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eastAsia="zh-CN"/>
                    </w:rPr>
                    <w:t>产生</w:t>
                  </w:r>
                  <w:r>
                    <w:rPr>
                      <w:rFonts w:hint="default" w:ascii="Times New Roman" w:hAnsi="Times New Roman" w:eastAsia="仿宋" w:cs="Times New Roman"/>
                      <w:b/>
                      <w:bCs/>
                      <w:color w:val="auto"/>
                      <w:sz w:val="21"/>
                      <w:szCs w:val="21"/>
                    </w:rPr>
                    <w:t>量t/a</w:t>
                  </w:r>
                </w:p>
              </w:tc>
              <w:tc>
                <w:tcPr>
                  <w:tcW w:w="601" w:type="pct"/>
                  <w:vAlign w:val="center"/>
                </w:tcPr>
                <w:p w14:paraId="1C0067DB">
                  <w:pPr>
                    <w:adjustRightInd w:val="0"/>
                    <w:snapToGrid w:val="0"/>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处理措施</w:t>
                  </w:r>
                </w:p>
              </w:tc>
              <w:tc>
                <w:tcPr>
                  <w:tcW w:w="724" w:type="pct"/>
                  <w:vAlign w:val="center"/>
                </w:tcPr>
                <w:p w14:paraId="7DBEFC1E">
                  <w:pPr>
                    <w:adjustRightInd w:val="0"/>
                    <w:snapToGrid w:val="0"/>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排放量</w:t>
                  </w:r>
                  <w:r>
                    <w:rPr>
                      <w:rFonts w:hint="default" w:ascii="Times New Roman" w:hAnsi="Times New Roman" w:eastAsia="仿宋" w:cs="Times New Roman"/>
                      <w:b/>
                      <w:bCs/>
                      <w:color w:val="auto"/>
                      <w:sz w:val="21"/>
                      <w:szCs w:val="21"/>
                    </w:rPr>
                    <w:t>t/a</w:t>
                  </w:r>
                </w:p>
              </w:tc>
              <w:tc>
                <w:tcPr>
                  <w:tcW w:w="626" w:type="pct"/>
                  <w:vAlign w:val="center"/>
                </w:tcPr>
                <w:p w14:paraId="1CEFC157">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面源面积m</w:t>
                  </w:r>
                  <w:r>
                    <w:rPr>
                      <w:rFonts w:hint="default" w:ascii="Times New Roman" w:hAnsi="Times New Roman" w:eastAsia="仿宋" w:cs="Times New Roman"/>
                      <w:b/>
                      <w:bCs/>
                      <w:color w:val="auto"/>
                      <w:sz w:val="21"/>
                      <w:szCs w:val="21"/>
                      <w:vertAlign w:val="superscript"/>
                    </w:rPr>
                    <w:t>2</w:t>
                  </w:r>
                </w:p>
              </w:tc>
              <w:tc>
                <w:tcPr>
                  <w:tcW w:w="553" w:type="pct"/>
                  <w:vAlign w:val="center"/>
                </w:tcPr>
                <w:p w14:paraId="79C23322">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面源高度m</w:t>
                  </w:r>
                </w:p>
              </w:tc>
            </w:tr>
            <w:tr w14:paraId="168DE8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2" w:type="pct"/>
                  <w:vMerge w:val="restart"/>
                  <w:vAlign w:val="center"/>
                </w:tcPr>
                <w:p w14:paraId="320E2F47">
                  <w:pPr>
                    <w:adjustRightInd w:val="0"/>
                    <w:snapToGrid w:val="0"/>
                    <w:jc w:val="center"/>
                    <w:rPr>
                      <w:rFonts w:hint="default" w:ascii="Times New Roman" w:hAnsi="Times New Roman" w:eastAsia="仿宋" w:cs="Times New Roman"/>
                      <w:color w:val="auto"/>
                      <w:kern w:val="44"/>
                      <w:sz w:val="21"/>
                      <w:szCs w:val="21"/>
                      <w:lang w:val="en-US" w:eastAsia="zh-CN"/>
                    </w:rPr>
                  </w:pPr>
                  <w:r>
                    <w:rPr>
                      <w:rFonts w:hint="default" w:ascii="Times New Roman" w:hAnsi="Times New Roman" w:eastAsia="仿宋" w:cs="Times New Roman"/>
                      <w:color w:val="auto"/>
                      <w:kern w:val="44"/>
                      <w:sz w:val="21"/>
                      <w:szCs w:val="21"/>
                      <w:lang w:val="en-US" w:eastAsia="zh-CN"/>
                    </w:rPr>
                    <w:t>车间</w:t>
                  </w:r>
                </w:p>
              </w:tc>
              <w:tc>
                <w:tcPr>
                  <w:tcW w:w="807" w:type="pct"/>
                  <w:vAlign w:val="center"/>
                </w:tcPr>
                <w:p w14:paraId="76325FED">
                  <w:pPr>
                    <w:jc w:val="center"/>
                    <w:rPr>
                      <w:rFonts w:hint="default" w:ascii="Times New Roman" w:hAnsi="Times New Roman" w:eastAsia="仿宋" w:cs="Times New Roman"/>
                      <w:color w:val="auto"/>
                      <w:kern w:val="44"/>
                      <w:sz w:val="21"/>
                      <w:szCs w:val="21"/>
                    </w:rPr>
                  </w:pPr>
                  <w:r>
                    <w:rPr>
                      <w:rFonts w:hint="default" w:ascii="Times New Roman" w:hAnsi="Times New Roman" w:eastAsia="仿宋" w:cs="Times New Roman"/>
                      <w:color w:val="auto"/>
                      <w:kern w:val="0"/>
                      <w:sz w:val="21"/>
                      <w:szCs w:val="21"/>
                      <w:lang w:val="en-US" w:eastAsia="zh-CN" w:bidi="ar"/>
                    </w:rPr>
                    <w:t>焊接、</w:t>
                  </w:r>
                  <w:r>
                    <w:rPr>
                      <w:rFonts w:hint="eastAsia" w:eastAsia="仿宋" w:cs="Times New Roman"/>
                      <w:color w:val="auto"/>
                      <w:kern w:val="0"/>
                      <w:sz w:val="21"/>
                      <w:szCs w:val="21"/>
                      <w:lang w:val="en-US" w:eastAsia="zh-CN" w:bidi="ar"/>
                    </w:rPr>
                    <w:t>打磨、</w:t>
                  </w:r>
                  <w:r>
                    <w:rPr>
                      <w:rFonts w:hint="eastAsia" w:ascii="Times New Roman" w:hAnsi="Times New Roman" w:eastAsia="仿宋" w:cs="Times New Roman"/>
                      <w:color w:val="auto"/>
                      <w:kern w:val="0"/>
                      <w:sz w:val="21"/>
                      <w:szCs w:val="21"/>
                      <w:lang w:val="en-US" w:eastAsia="zh-CN" w:bidi="ar"/>
                    </w:rPr>
                    <w:t>抛光</w:t>
                  </w:r>
                  <w:r>
                    <w:rPr>
                      <w:rFonts w:hint="default" w:ascii="Times New Roman" w:hAnsi="Times New Roman" w:eastAsia="仿宋" w:cs="Times New Roman"/>
                      <w:color w:val="auto"/>
                      <w:kern w:val="0"/>
                      <w:sz w:val="21"/>
                      <w:szCs w:val="21"/>
                      <w:lang w:val="en-US" w:eastAsia="zh-CN" w:bidi="ar"/>
                    </w:rPr>
                    <w:t>、喷砂</w:t>
                  </w:r>
                  <w:r>
                    <w:rPr>
                      <w:rFonts w:hint="default" w:ascii="Times New Roman" w:hAnsi="Times New Roman" w:eastAsia="仿宋" w:cs="Times New Roman"/>
                      <w:bCs/>
                      <w:color w:val="auto"/>
                      <w:sz w:val="21"/>
                      <w:szCs w:val="21"/>
                      <w:lang w:val="en-US" w:eastAsia="zh-CN"/>
                    </w:rPr>
                    <w:t>、喷漆</w:t>
                  </w:r>
                </w:p>
              </w:tc>
              <w:tc>
                <w:tcPr>
                  <w:tcW w:w="679" w:type="pct"/>
                  <w:vAlign w:val="center"/>
                </w:tcPr>
                <w:p w14:paraId="772D83AE">
                  <w:pPr>
                    <w:adjustRightInd w:val="0"/>
                    <w:snapToGrid w:val="0"/>
                    <w:jc w:val="center"/>
                    <w:rPr>
                      <w:rFonts w:hint="default" w:ascii="Times New Roman" w:hAnsi="Times New Roman" w:eastAsia="仿宋" w:cs="Times New Roman"/>
                      <w:color w:val="auto"/>
                      <w:kern w:val="44"/>
                      <w:sz w:val="21"/>
                      <w:szCs w:val="21"/>
                      <w:lang w:eastAsia="zh-CN"/>
                    </w:rPr>
                  </w:pPr>
                  <w:r>
                    <w:rPr>
                      <w:rFonts w:hint="default" w:ascii="Times New Roman" w:hAnsi="Times New Roman" w:eastAsia="仿宋" w:cs="Times New Roman"/>
                      <w:color w:val="auto"/>
                      <w:kern w:val="44"/>
                      <w:sz w:val="21"/>
                      <w:szCs w:val="21"/>
                      <w:lang w:val="en-US" w:eastAsia="zh-CN"/>
                    </w:rPr>
                    <w:t>颗粒物</w:t>
                  </w:r>
                </w:p>
              </w:tc>
              <w:tc>
                <w:tcPr>
                  <w:tcW w:w="464" w:type="pct"/>
                  <w:vAlign w:val="center"/>
                </w:tcPr>
                <w:p w14:paraId="3B38A5FB">
                  <w:pPr>
                    <w:adjustRightInd w:val="0"/>
                    <w:snapToGrid w:val="0"/>
                    <w:jc w:val="center"/>
                    <w:rPr>
                      <w:rFonts w:hint="default" w:ascii="Times New Roman" w:hAnsi="Times New Roman" w:eastAsia="仿宋" w:cs="Times New Roman"/>
                      <w:color w:val="auto"/>
                      <w:kern w:val="44"/>
                      <w:sz w:val="21"/>
                      <w:szCs w:val="21"/>
                      <w:lang w:val="en-US" w:eastAsia="zh-CN"/>
                    </w:rPr>
                  </w:pPr>
                  <w:r>
                    <w:rPr>
                      <w:rFonts w:hint="eastAsia" w:eastAsia="仿宋" w:cs="Times New Roman"/>
                      <w:color w:val="auto"/>
                      <w:kern w:val="44"/>
                      <w:sz w:val="21"/>
                      <w:szCs w:val="21"/>
                      <w:lang w:val="en-US" w:eastAsia="zh-CN"/>
                    </w:rPr>
                    <w:t>0.752</w:t>
                  </w:r>
                </w:p>
              </w:tc>
              <w:tc>
                <w:tcPr>
                  <w:tcW w:w="601" w:type="pct"/>
                  <w:vAlign w:val="center"/>
                </w:tcPr>
                <w:p w14:paraId="512A14F6">
                  <w:pPr>
                    <w:adjustRightInd w:val="0"/>
                    <w:snapToGrid w:val="0"/>
                    <w:jc w:val="center"/>
                    <w:rPr>
                      <w:rFonts w:hint="default" w:ascii="Times New Roman" w:hAnsi="Times New Roman" w:eastAsia="仿宋" w:cs="Times New Roman"/>
                      <w:color w:val="auto"/>
                      <w:kern w:val="44"/>
                      <w:sz w:val="21"/>
                      <w:szCs w:val="21"/>
                      <w:lang w:val="en-US" w:eastAsia="zh-CN"/>
                    </w:rPr>
                  </w:pPr>
                  <w:r>
                    <w:rPr>
                      <w:rFonts w:hint="eastAsia" w:ascii="Times New Roman" w:hAnsi="Times New Roman" w:eastAsia="仿宋" w:cs="Times New Roman"/>
                      <w:color w:val="auto"/>
                      <w:kern w:val="0"/>
                      <w:sz w:val="21"/>
                      <w:szCs w:val="21"/>
                      <w:lang w:val="en-US" w:eastAsia="zh-CN" w:bidi="ar"/>
                    </w:rPr>
                    <w:t>重力沉降</w:t>
                  </w:r>
                </w:p>
              </w:tc>
              <w:tc>
                <w:tcPr>
                  <w:tcW w:w="724" w:type="pct"/>
                  <w:vAlign w:val="center"/>
                </w:tcPr>
                <w:p w14:paraId="27CD136F">
                  <w:pPr>
                    <w:adjustRightInd w:val="0"/>
                    <w:snapToGrid w:val="0"/>
                    <w:jc w:val="center"/>
                    <w:rPr>
                      <w:rFonts w:hint="default" w:ascii="Times New Roman" w:hAnsi="Times New Roman" w:eastAsia="仿宋" w:cs="Times New Roman"/>
                      <w:color w:val="auto"/>
                      <w:kern w:val="44"/>
                      <w:sz w:val="21"/>
                      <w:szCs w:val="21"/>
                      <w:lang w:val="en-US" w:eastAsia="zh-CN"/>
                    </w:rPr>
                  </w:pPr>
                  <w:r>
                    <w:rPr>
                      <w:rFonts w:hint="eastAsia" w:eastAsia="仿宋" w:cs="Times New Roman"/>
                      <w:color w:val="auto"/>
                      <w:kern w:val="44"/>
                      <w:sz w:val="21"/>
                      <w:szCs w:val="21"/>
                      <w:lang w:val="en-US" w:eastAsia="zh-CN"/>
                    </w:rPr>
                    <w:t>0.226</w:t>
                  </w:r>
                </w:p>
              </w:tc>
              <w:tc>
                <w:tcPr>
                  <w:tcW w:w="626" w:type="pct"/>
                  <w:vMerge w:val="restart"/>
                  <w:vAlign w:val="center"/>
                </w:tcPr>
                <w:p w14:paraId="08D2C311">
                  <w:pPr>
                    <w:adjustRightInd w:val="0"/>
                    <w:snapToGrid w:val="0"/>
                    <w:jc w:val="center"/>
                    <w:rPr>
                      <w:rFonts w:hint="default" w:ascii="Times New Roman" w:hAnsi="Times New Roman" w:eastAsia="仿宋" w:cs="Times New Roman"/>
                      <w:color w:val="auto"/>
                      <w:kern w:val="44"/>
                      <w:sz w:val="21"/>
                      <w:szCs w:val="21"/>
                      <w:lang w:val="en-US" w:eastAsia="zh-CN" w:bidi="ar-SA"/>
                    </w:rPr>
                  </w:pPr>
                  <w:r>
                    <w:rPr>
                      <w:rFonts w:hint="eastAsia" w:ascii="Times New Roman" w:hAnsi="Times New Roman" w:eastAsia="仿宋" w:cs="Times New Roman"/>
                      <w:color w:val="auto"/>
                      <w:sz w:val="21"/>
                      <w:szCs w:val="21"/>
                      <w:lang w:val="en-US" w:eastAsia="zh-CN"/>
                    </w:rPr>
                    <w:t>9502</w:t>
                  </w:r>
                </w:p>
              </w:tc>
              <w:tc>
                <w:tcPr>
                  <w:tcW w:w="553" w:type="pct"/>
                  <w:vMerge w:val="restart"/>
                  <w:vAlign w:val="center"/>
                </w:tcPr>
                <w:p w14:paraId="0F7F4794">
                  <w:pPr>
                    <w:adjustRightInd w:val="0"/>
                    <w:snapToGrid w:val="0"/>
                    <w:jc w:val="center"/>
                    <w:rPr>
                      <w:rFonts w:hint="default" w:ascii="Times New Roman" w:hAnsi="Times New Roman" w:eastAsia="仿宋" w:cs="Times New Roman"/>
                      <w:color w:val="auto"/>
                      <w:kern w:val="44"/>
                      <w:sz w:val="21"/>
                      <w:szCs w:val="21"/>
                      <w:lang w:val="en-US" w:eastAsia="zh-CN"/>
                    </w:rPr>
                  </w:pPr>
                  <w:r>
                    <w:rPr>
                      <w:rFonts w:hint="eastAsia" w:ascii="Times New Roman" w:hAnsi="Times New Roman" w:eastAsia="仿宋" w:cs="Times New Roman"/>
                      <w:color w:val="auto"/>
                      <w:kern w:val="44"/>
                      <w:sz w:val="21"/>
                      <w:szCs w:val="21"/>
                      <w:lang w:val="en-US" w:eastAsia="zh-CN"/>
                    </w:rPr>
                    <w:t>10</w:t>
                  </w:r>
                </w:p>
              </w:tc>
            </w:tr>
            <w:tr w14:paraId="3D626D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2" w:type="pct"/>
                  <w:vMerge w:val="continue"/>
                  <w:vAlign w:val="center"/>
                </w:tcPr>
                <w:p w14:paraId="14A9627F">
                  <w:pPr>
                    <w:adjustRightInd w:val="0"/>
                    <w:snapToGrid w:val="0"/>
                    <w:jc w:val="center"/>
                    <w:rPr>
                      <w:rFonts w:hint="default" w:ascii="Times New Roman" w:hAnsi="Times New Roman" w:eastAsia="仿宋" w:cs="Times New Roman"/>
                      <w:color w:val="auto"/>
                      <w:kern w:val="44"/>
                      <w:sz w:val="21"/>
                      <w:szCs w:val="21"/>
                      <w:lang w:val="en-US" w:eastAsia="zh-CN"/>
                    </w:rPr>
                  </w:pPr>
                </w:p>
              </w:tc>
              <w:tc>
                <w:tcPr>
                  <w:tcW w:w="807" w:type="pct"/>
                  <w:vAlign w:val="center"/>
                </w:tcPr>
                <w:p w14:paraId="7F7BA56F">
                  <w:pPr>
                    <w:adjustRightInd w:val="0"/>
                    <w:snapToGrid w:val="0"/>
                    <w:jc w:val="center"/>
                    <w:rPr>
                      <w:rFonts w:hint="default" w:ascii="Times New Roman" w:hAnsi="Times New Roman" w:eastAsia="仿宋" w:cs="Times New Roman"/>
                      <w:color w:val="auto"/>
                      <w:kern w:val="44"/>
                      <w:sz w:val="21"/>
                      <w:szCs w:val="21"/>
                      <w:lang w:val="en-US" w:eastAsia="zh-CN"/>
                    </w:rPr>
                  </w:pPr>
                  <w:r>
                    <w:rPr>
                      <w:rFonts w:hint="default" w:ascii="Times New Roman" w:hAnsi="Times New Roman" w:eastAsia="仿宋" w:cs="Times New Roman"/>
                      <w:bCs/>
                      <w:color w:val="auto"/>
                      <w:sz w:val="21"/>
                      <w:szCs w:val="21"/>
                      <w:lang w:val="en-US" w:eastAsia="zh-CN"/>
                    </w:rPr>
                    <w:t>喷漆、烘干</w:t>
                  </w:r>
                </w:p>
              </w:tc>
              <w:tc>
                <w:tcPr>
                  <w:tcW w:w="679" w:type="pct"/>
                  <w:vAlign w:val="center"/>
                </w:tcPr>
                <w:p w14:paraId="232C516F">
                  <w:pPr>
                    <w:adjustRightInd w:val="0"/>
                    <w:snapToGrid w:val="0"/>
                    <w:jc w:val="center"/>
                    <w:rPr>
                      <w:rFonts w:hint="default" w:ascii="Times New Roman" w:hAnsi="Times New Roman" w:eastAsia="仿宋" w:cs="Times New Roman"/>
                      <w:color w:val="auto"/>
                      <w:kern w:val="44"/>
                      <w:sz w:val="21"/>
                      <w:szCs w:val="21"/>
                      <w:lang w:val="en-US" w:eastAsia="zh-CN"/>
                    </w:rPr>
                  </w:pPr>
                  <w:r>
                    <w:rPr>
                      <w:rFonts w:hint="default" w:ascii="Times New Roman" w:hAnsi="Times New Roman" w:eastAsia="仿宋" w:cs="Times New Roman"/>
                      <w:color w:val="auto"/>
                      <w:kern w:val="44"/>
                      <w:sz w:val="21"/>
                      <w:szCs w:val="21"/>
                      <w:lang w:val="en-US" w:eastAsia="zh-CN"/>
                    </w:rPr>
                    <w:t>非甲烷总烃</w:t>
                  </w:r>
                </w:p>
              </w:tc>
              <w:tc>
                <w:tcPr>
                  <w:tcW w:w="464" w:type="pct"/>
                  <w:vAlign w:val="center"/>
                </w:tcPr>
                <w:p w14:paraId="46A8B8D3">
                  <w:pPr>
                    <w:adjustRightInd w:val="0"/>
                    <w:snapToGrid w:val="0"/>
                    <w:jc w:val="center"/>
                    <w:rPr>
                      <w:rFonts w:hint="default" w:ascii="Times New Roman" w:hAnsi="Times New Roman" w:eastAsia="仿宋" w:cs="Times New Roman"/>
                      <w:color w:val="auto"/>
                      <w:kern w:val="44"/>
                      <w:sz w:val="21"/>
                      <w:szCs w:val="21"/>
                      <w:lang w:val="en-US" w:eastAsia="zh-CN"/>
                    </w:rPr>
                  </w:pPr>
                  <w:r>
                    <w:rPr>
                      <w:rFonts w:hint="default" w:ascii="Times New Roman" w:hAnsi="Times New Roman" w:eastAsia="仿宋" w:cs="Times New Roman"/>
                      <w:color w:val="auto"/>
                      <w:kern w:val="44"/>
                      <w:sz w:val="21"/>
                      <w:szCs w:val="21"/>
                      <w:lang w:val="en-US" w:eastAsia="zh-CN"/>
                    </w:rPr>
                    <w:t>0</w:t>
                  </w:r>
                  <w:r>
                    <w:rPr>
                      <w:rFonts w:hint="eastAsia" w:ascii="Times New Roman" w:hAnsi="Times New Roman" w:eastAsia="仿宋" w:cs="Times New Roman"/>
                      <w:color w:val="auto"/>
                      <w:kern w:val="44"/>
                      <w:sz w:val="21"/>
                      <w:szCs w:val="21"/>
                      <w:lang w:val="en-US" w:eastAsia="zh-CN"/>
                    </w:rPr>
                    <w:t>.024</w:t>
                  </w:r>
                </w:p>
              </w:tc>
              <w:tc>
                <w:tcPr>
                  <w:tcW w:w="601" w:type="pct"/>
                  <w:vAlign w:val="center"/>
                </w:tcPr>
                <w:p w14:paraId="392CF50F">
                  <w:pPr>
                    <w:adjustRightInd w:val="0"/>
                    <w:snapToGrid w:val="0"/>
                    <w:jc w:val="center"/>
                    <w:rPr>
                      <w:rFonts w:hint="default" w:ascii="Times New Roman" w:hAnsi="Times New Roman" w:eastAsia="仿宋" w:cs="Times New Roman"/>
                      <w:color w:val="auto"/>
                      <w:kern w:val="44"/>
                      <w:sz w:val="21"/>
                      <w:szCs w:val="21"/>
                      <w:lang w:val="en-US" w:eastAsia="zh-CN"/>
                    </w:rPr>
                  </w:pPr>
                  <w:r>
                    <w:rPr>
                      <w:rFonts w:hint="default" w:ascii="Times New Roman" w:hAnsi="Times New Roman" w:eastAsia="仿宋" w:cs="Times New Roman"/>
                      <w:color w:val="auto"/>
                      <w:kern w:val="44"/>
                      <w:sz w:val="21"/>
                      <w:szCs w:val="21"/>
                      <w:lang w:val="en-US" w:eastAsia="zh-CN"/>
                    </w:rPr>
                    <w:t>/</w:t>
                  </w:r>
                </w:p>
              </w:tc>
              <w:tc>
                <w:tcPr>
                  <w:tcW w:w="724" w:type="pct"/>
                  <w:vAlign w:val="center"/>
                </w:tcPr>
                <w:p w14:paraId="47962F4B">
                  <w:pPr>
                    <w:adjustRightInd w:val="0"/>
                    <w:snapToGrid w:val="0"/>
                    <w:jc w:val="center"/>
                    <w:rPr>
                      <w:rFonts w:hint="default" w:ascii="Times New Roman" w:hAnsi="Times New Roman" w:eastAsia="仿宋" w:cs="Times New Roman"/>
                      <w:color w:val="auto"/>
                      <w:kern w:val="44"/>
                      <w:sz w:val="21"/>
                      <w:szCs w:val="21"/>
                      <w:lang w:val="en-US" w:eastAsia="zh-CN"/>
                    </w:rPr>
                  </w:pPr>
                  <w:r>
                    <w:rPr>
                      <w:rFonts w:hint="default" w:ascii="Times New Roman" w:hAnsi="Times New Roman" w:eastAsia="仿宋" w:cs="Times New Roman"/>
                      <w:color w:val="auto"/>
                      <w:kern w:val="44"/>
                      <w:sz w:val="21"/>
                      <w:szCs w:val="21"/>
                      <w:lang w:val="en-US" w:eastAsia="zh-CN"/>
                    </w:rPr>
                    <w:t>0.</w:t>
                  </w:r>
                  <w:r>
                    <w:rPr>
                      <w:rFonts w:hint="eastAsia" w:ascii="Times New Roman" w:hAnsi="Times New Roman" w:eastAsia="仿宋" w:cs="Times New Roman"/>
                      <w:color w:val="auto"/>
                      <w:kern w:val="44"/>
                      <w:sz w:val="21"/>
                      <w:szCs w:val="21"/>
                      <w:lang w:val="en-US" w:eastAsia="zh-CN"/>
                    </w:rPr>
                    <w:t>024</w:t>
                  </w:r>
                </w:p>
              </w:tc>
              <w:tc>
                <w:tcPr>
                  <w:tcW w:w="626" w:type="pct"/>
                  <w:vMerge w:val="continue"/>
                  <w:vAlign w:val="center"/>
                </w:tcPr>
                <w:p w14:paraId="40A2207F">
                  <w:pPr>
                    <w:adjustRightInd w:val="0"/>
                    <w:snapToGrid w:val="0"/>
                    <w:jc w:val="center"/>
                    <w:rPr>
                      <w:rFonts w:hint="default" w:ascii="Times New Roman" w:hAnsi="Times New Roman" w:eastAsia="仿宋" w:cs="Times New Roman"/>
                      <w:color w:val="auto"/>
                      <w:kern w:val="44"/>
                      <w:sz w:val="21"/>
                      <w:szCs w:val="21"/>
                      <w:lang w:val="en-US" w:eastAsia="zh-CN" w:bidi="ar-SA"/>
                    </w:rPr>
                  </w:pPr>
                </w:p>
              </w:tc>
              <w:tc>
                <w:tcPr>
                  <w:tcW w:w="553" w:type="pct"/>
                  <w:vMerge w:val="continue"/>
                  <w:vAlign w:val="center"/>
                </w:tcPr>
                <w:p w14:paraId="7C01F157">
                  <w:pPr>
                    <w:adjustRightInd w:val="0"/>
                    <w:snapToGrid w:val="0"/>
                    <w:jc w:val="center"/>
                    <w:rPr>
                      <w:rFonts w:hint="default" w:ascii="Times New Roman" w:hAnsi="Times New Roman" w:eastAsia="仿宋" w:cs="Times New Roman"/>
                      <w:color w:val="auto"/>
                      <w:kern w:val="44"/>
                      <w:sz w:val="21"/>
                      <w:szCs w:val="21"/>
                      <w:lang w:val="en-US" w:eastAsia="zh-CN"/>
                    </w:rPr>
                  </w:pPr>
                </w:p>
              </w:tc>
            </w:tr>
          </w:tbl>
          <w:p w14:paraId="30350E25">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val="en-US" w:eastAsia="zh-CN"/>
              </w:rPr>
              <w:t>4、</w:t>
            </w:r>
            <w:r>
              <w:rPr>
                <w:rFonts w:hint="default" w:ascii="Times New Roman" w:hAnsi="Times New Roman" w:eastAsia="仿宋" w:cs="Times New Roman"/>
                <w:b/>
                <w:bCs/>
                <w:color w:val="auto"/>
                <w:sz w:val="24"/>
              </w:rPr>
              <w:t>非正常工况</w:t>
            </w:r>
          </w:p>
          <w:p w14:paraId="38B5B40D">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建设项目非正常工况是指生产运行阶段的开、停工及维修或环保设施达不到设计规定指标等工况。</w:t>
            </w:r>
          </w:p>
          <w:p w14:paraId="70C6F374">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本项目设定有开停工管理制度，每班作业开始或结束时严格按照操作规程，基本无废气产生。不正常操作及设备故障的具体原因有意外负荷跳闸，仪表失灵导致操作失控、误操作等，也可因突然断电等引起。发生不正常操作及设备故障时，将视情况及时停产。</w:t>
            </w:r>
          </w:p>
          <w:p w14:paraId="30908E13">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本项目</w:t>
            </w:r>
            <w:r>
              <w:rPr>
                <w:rFonts w:hint="eastAsia" w:ascii="Times New Roman" w:hAnsi="Times New Roman" w:eastAsia="仿宋" w:cs="Times New Roman"/>
                <w:color w:val="FF0000"/>
                <w:sz w:val="24"/>
                <w:lang w:val="en-US" w:eastAsia="zh-CN"/>
              </w:rPr>
              <w:t>打磨、抛光、</w:t>
            </w:r>
            <w:r>
              <w:rPr>
                <w:rFonts w:hint="default" w:ascii="Times New Roman" w:hAnsi="Times New Roman" w:eastAsia="仿宋" w:cs="Times New Roman"/>
                <w:color w:val="FF0000"/>
                <w:sz w:val="24"/>
                <w:lang w:val="en-US" w:eastAsia="zh-CN"/>
              </w:rPr>
              <w:t>焊接、喷砂</w:t>
            </w:r>
            <w:r>
              <w:rPr>
                <w:rFonts w:hint="eastAsia" w:ascii="Times New Roman" w:hAnsi="Times New Roman" w:eastAsia="仿宋" w:cs="Times New Roman"/>
                <w:color w:val="FF0000"/>
                <w:sz w:val="24"/>
                <w:lang w:val="en-US" w:eastAsia="zh-CN"/>
              </w:rPr>
              <w:t>废气采用袋式除尘处理，喷漆颗粒物采用干式过滤装置处理，</w:t>
            </w:r>
            <w:r>
              <w:rPr>
                <w:rFonts w:hint="default" w:ascii="Times New Roman" w:hAnsi="Times New Roman" w:eastAsia="仿宋" w:cs="Times New Roman"/>
                <w:color w:val="FF0000"/>
                <w:sz w:val="24"/>
                <w:lang w:val="en-US" w:eastAsia="zh-CN"/>
              </w:rPr>
              <w:t>若</w:t>
            </w:r>
            <w:r>
              <w:rPr>
                <w:rFonts w:hint="eastAsia" w:ascii="Times New Roman" w:hAnsi="Times New Roman" w:eastAsia="仿宋" w:cs="Times New Roman"/>
                <w:color w:val="FF0000"/>
                <w:sz w:val="24"/>
                <w:lang w:val="en-US" w:eastAsia="zh-CN"/>
              </w:rPr>
              <w:t>袋式除尘</w:t>
            </w:r>
            <w:r>
              <w:rPr>
                <w:rFonts w:hint="default" w:ascii="Times New Roman" w:hAnsi="Times New Roman" w:eastAsia="仿宋" w:cs="Times New Roman"/>
                <w:color w:val="FF0000"/>
                <w:sz w:val="24"/>
                <w:lang w:val="en-US" w:eastAsia="zh-CN"/>
              </w:rPr>
              <w:t>装置</w:t>
            </w:r>
            <w:r>
              <w:rPr>
                <w:rFonts w:hint="eastAsia" w:ascii="Times New Roman" w:hAnsi="Times New Roman" w:eastAsia="仿宋" w:cs="Times New Roman"/>
                <w:color w:val="FF0000"/>
                <w:sz w:val="24"/>
                <w:lang w:val="en-US" w:eastAsia="zh-CN"/>
              </w:rPr>
              <w:t>、干式过滤装置</w:t>
            </w:r>
            <w:r>
              <w:rPr>
                <w:rFonts w:hint="default" w:ascii="Times New Roman" w:hAnsi="Times New Roman" w:eastAsia="仿宋" w:cs="Times New Roman"/>
                <w:color w:val="FF0000"/>
                <w:sz w:val="24"/>
                <w:lang w:val="en-US" w:eastAsia="zh-CN"/>
              </w:rPr>
              <w:t>故障</w:t>
            </w:r>
            <w:r>
              <w:rPr>
                <w:rFonts w:hint="default" w:ascii="Times New Roman" w:hAnsi="Times New Roman" w:eastAsia="仿宋" w:cs="Times New Roman"/>
                <w:color w:val="auto"/>
                <w:sz w:val="24"/>
                <w:lang w:val="en-US" w:eastAsia="zh-CN"/>
              </w:rPr>
              <w:t>，则颗粒物处理效率将达不到规定指标；有机废气采用“二级活性炭吸附”装置处理，若活性炭吸附饱和未及时更换，则有机废气处理效率将达不到规定指标。</w:t>
            </w:r>
          </w:p>
          <w:p w14:paraId="2E57391E">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本项目考虑最大风险情况下，废气治理设备出现故障导致有组织废气未经有效处理直接排放</w:t>
            </w:r>
            <w:r>
              <w:rPr>
                <w:rFonts w:hint="default" w:ascii="Times New Roman" w:hAnsi="Times New Roman" w:eastAsia="仿宋" w:cs="Times New Roman"/>
                <w:color w:val="auto"/>
                <w:sz w:val="24"/>
                <w:lang w:val="en-US" w:eastAsia="zh-CN"/>
              </w:rPr>
              <w:t>的</w:t>
            </w:r>
            <w:r>
              <w:rPr>
                <w:rFonts w:hint="default" w:ascii="Times New Roman" w:hAnsi="Times New Roman" w:eastAsia="仿宋" w:cs="Times New Roman"/>
                <w:color w:val="auto"/>
                <w:sz w:val="24"/>
              </w:rPr>
              <w:t>情况进行分析</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本项目非正常工况时废气源强</w:t>
            </w:r>
            <w:r>
              <w:rPr>
                <w:rFonts w:hint="default" w:ascii="Times New Roman" w:hAnsi="Times New Roman" w:eastAsia="仿宋" w:cs="Times New Roman"/>
                <w:color w:val="auto"/>
                <w:sz w:val="24"/>
                <w:lang w:val="en-US" w:eastAsia="zh-CN"/>
              </w:rPr>
              <w:t>如下表</w:t>
            </w:r>
            <w:r>
              <w:rPr>
                <w:rFonts w:hint="default" w:ascii="Times New Roman" w:hAnsi="Times New Roman" w:eastAsia="仿宋" w:cs="Times New Roman"/>
                <w:color w:val="auto"/>
                <w:sz w:val="24"/>
              </w:rPr>
              <w:t>所示。</w:t>
            </w:r>
          </w:p>
          <w:p w14:paraId="72776A1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表4-</w:t>
            </w:r>
            <w:r>
              <w:rPr>
                <w:rFonts w:hint="eastAsia" w:ascii="Times New Roman" w:hAnsi="Times New Roman" w:eastAsia="仿宋" w:cs="Times New Roman"/>
                <w:b/>
                <w:bCs/>
                <w:color w:val="auto"/>
                <w:szCs w:val="21"/>
                <w:lang w:val="en-US" w:eastAsia="zh-CN"/>
              </w:rPr>
              <w:t>6</w:t>
            </w:r>
            <w:r>
              <w:rPr>
                <w:rFonts w:hint="default" w:ascii="Times New Roman" w:hAnsi="Times New Roman" w:eastAsia="仿宋" w:cs="Times New Roman"/>
                <w:b/>
                <w:bCs/>
                <w:color w:val="auto"/>
                <w:szCs w:val="21"/>
                <w:lang w:val="en-US" w:eastAsia="zh-CN"/>
              </w:rPr>
              <w:t xml:space="preserve">  非正常工况时废气排放情况表</w:t>
            </w:r>
          </w:p>
          <w:tbl>
            <w:tblPr>
              <w:tblStyle w:val="28"/>
              <w:tblW w:w="499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804"/>
              <w:gridCol w:w="1110"/>
              <w:gridCol w:w="655"/>
              <w:gridCol w:w="634"/>
              <w:gridCol w:w="926"/>
              <w:gridCol w:w="778"/>
              <w:gridCol w:w="657"/>
              <w:gridCol w:w="747"/>
              <w:gridCol w:w="671"/>
              <w:gridCol w:w="1217"/>
            </w:tblGrid>
            <w:tr w14:paraId="458870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90" w:type="pct"/>
                  <w:vMerge w:val="restart"/>
                  <w:vAlign w:val="center"/>
                </w:tcPr>
                <w:p w14:paraId="3DC48AAF">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排气筒编号</w:t>
                  </w:r>
                </w:p>
              </w:tc>
              <w:tc>
                <w:tcPr>
                  <w:tcW w:w="676" w:type="pct"/>
                  <w:vMerge w:val="restart"/>
                  <w:vAlign w:val="center"/>
                </w:tcPr>
                <w:p w14:paraId="6AB81B02">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排放工序</w:t>
                  </w:r>
                </w:p>
              </w:tc>
              <w:tc>
                <w:tcPr>
                  <w:tcW w:w="399" w:type="pct"/>
                  <w:vMerge w:val="restart"/>
                  <w:vAlign w:val="center"/>
                </w:tcPr>
                <w:p w14:paraId="0FB3D419">
                  <w:pPr>
                    <w:widowControl/>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bCs/>
                      <w:color w:val="auto"/>
                      <w:kern w:val="0"/>
                      <w:sz w:val="21"/>
                      <w:szCs w:val="21"/>
                      <w:lang w:bidi="ar"/>
                    </w:rPr>
                    <w:t>非正常排放原因</w:t>
                  </w:r>
                </w:p>
              </w:tc>
              <w:tc>
                <w:tcPr>
                  <w:tcW w:w="386" w:type="pct"/>
                  <w:vMerge w:val="restart"/>
                  <w:vAlign w:val="center"/>
                </w:tcPr>
                <w:p w14:paraId="72E85D4B">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排气量m</w:t>
                  </w:r>
                  <w:r>
                    <w:rPr>
                      <w:rFonts w:hint="default" w:ascii="Times New Roman" w:hAnsi="Times New Roman" w:eastAsia="仿宋" w:cs="Times New Roman"/>
                      <w:b/>
                      <w:color w:val="auto"/>
                      <w:sz w:val="21"/>
                      <w:szCs w:val="21"/>
                      <w:vertAlign w:val="superscript"/>
                    </w:rPr>
                    <w:t>3</w:t>
                  </w:r>
                  <w:r>
                    <w:rPr>
                      <w:rFonts w:hint="default" w:ascii="Times New Roman" w:hAnsi="Times New Roman" w:eastAsia="仿宋" w:cs="Times New Roman"/>
                      <w:b/>
                      <w:color w:val="auto"/>
                      <w:sz w:val="21"/>
                      <w:szCs w:val="21"/>
                    </w:rPr>
                    <w:t>/h</w:t>
                  </w:r>
                </w:p>
              </w:tc>
              <w:tc>
                <w:tcPr>
                  <w:tcW w:w="564" w:type="pct"/>
                  <w:vMerge w:val="restart"/>
                  <w:vAlign w:val="center"/>
                </w:tcPr>
                <w:p w14:paraId="5DBE1637">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污染物名称</w:t>
                  </w:r>
                </w:p>
              </w:tc>
              <w:tc>
                <w:tcPr>
                  <w:tcW w:w="874" w:type="pct"/>
                  <w:gridSpan w:val="2"/>
                  <w:vAlign w:val="center"/>
                </w:tcPr>
                <w:p w14:paraId="128F521B">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排放情况</w:t>
                  </w:r>
                </w:p>
              </w:tc>
              <w:tc>
                <w:tcPr>
                  <w:tcW w:w="455" w:type="pct"/>
                  <w:vMerge w:val="restart"/>
                  <w:vAlign w:val="center"/>
                </w:tcPr>
                <w:p w14:paraId="7052AEF1">
                  <w:pPr>
                    <w:widowControl/>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bCs/>
                      <w:color w:val="auto"/>
                      <w:kern w:val="0"/>
                      <w:sz w:val="21"/>
                      <w:szCs w:val="21"/>
                      <w:lang w:bidi="ar"/>
                    </w:rPr>
                    <w:t>单次持续时间/h</w:t>
                  </w:r>
                </w:p>
              </w:tc>
              <w:tc>
                <w:tcPr>
                  <w:tcW w:w="409" w:type="pct"/>
                  <w:vMerge w:val="restart"/>
                  <w:vAlign w:val="center"/>
                </w:tcPr>
                <w:p w14:paraId="5CEF83EC">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kern w:val="0"/>
                      <w:sz w:val="21"/>
                      <w:szCs w:val="21"/>
                      <w:lang w:bidi="ar"/>
                    </w:rPr>
                    <w:t>年发生频</w:t>
                  </w:r>
                </w:p>
                <w:p w14:paraId="66DD6489">
                  <w:pPr>
                    <w:widowControl/>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bCs/>
                      <w:color w:val="auto"/>
                      <w:kern w:val="0"/>
                      <w:sz w:val="21"/>
                      <w:szCs w:val="21"/>
                      <w:lang w:bidi="ar"/>
                    </w:rPr>
                    <w:t>次/次</w:t>
                  </w:r>
                </w:p>
              </w:tc>
              <w:tc>
                <w:tcPr>
                  <w:tcW w:w="741" w:type="pct"/>
                  <w:vMerge w:val="restart"/>
                  <w:vAlign w:val="center"/>
                </w:tcPr>
                <w:p w14:paraId="61CD7E12">
                  <w:pPr>
                    <w:widowControl/>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bCs/>
                      <w:color w:val="auto"/>
                      <w:kern w:val="0"/>
                      <w:sz w:val="21"/>
                      <w:szCs w:val="21"/>
                      <w:lang w:bidi="ar"/>
                    </w:rPr>
                    <w:t>应对措施</w:t>
                  </w:r>
                </w:p>
              </w:tc>
            </w:tr>
            <w:tr w14:paraId="3C7AB7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90" w:type="pct"/>
                  <w:vMerge w:val="continue"/>
                  <w:vAlign w:val="center"/>
                </w:tcPr>
                <w:p w14:paraId="23B159A9">
                  <w:pPr>
                    <w:adjustRightInd w:val="0"/>
                    <w:snapToGrid w:val="0"/>
                    <w:jc w:val="center"/>
                    <w:rPr>
                      <w:rFonts w:hint="default" w:ascii="Times New Roman" w:hAnsi="Times New Roman" w:eastAsia="仿宋" w:cs="Times New Roman"/>
                      <w:b/>
                      <w:color w:val="auto"/>
                      <w:sz w:val="21"/>
                      <w:szCs w:val="21"/>
                    </w:rPr>
                  </w:pPr>
                </w:p>
              </w:tc>
              <w:tc>
                <w:tcPr>
                  <w:tcW w:w="676" w:type="pct"/>
                  <w:vMerge w:val="continue"/>
                  <w:vAlign w:val="center"/>
                </w:tcPr>
                <w:p w14:paraId="21EA3770">
                  <w:pPr>
                    <w:adjustRightInd w:val="0"/>
                    <w:snapToGrid w:val="0"/>
                    <w:jc w:val="center"/>
                    <w:rPr>
                      <w:rFonts w:hint="default" w:ascii="Times New Roman" w:hAnsi="Times New Roman" w:eastAsia="仿宋" w:cs="Times New Roman"/>
                      <w:b/>
                      <w:color w:val="auto"/>
                      <w:sz w:val="21"/>
                      <w:szCs w:val="21"/>
                    </w:rPr>
                  </w:pPr>
                </w:p>
              </w:tc>
              <w:tc>
                <w:tcPr>
                  <w:tcW w:w="399" w:type="pct"/>
                  <w:vMerge w:val="continue"/>
                  <w:vAlign w:val="center"/>
                </w:tcPr>
                <w:p w14:paraId="34A16B5D">
                  <w:pPr>
                    <w:widowControl/>
                    <w:jc w:val="center"/>
                    <w:rPr>
                      <w:rFonts w:hint="default" w:ascii="Times New Roman" w:hAnsi="Times New Roman" w:eastAsia="仿宋" w:cs="Times New Roman"/>
                      <w:b/>
                      <w:bCs/>
                      <w:color w:val="auto"/>
                      <w:kern w:val="0"/>
                      <w:sz w:val="21"/>
                      <w:szCs w:val="21"/>
                      <w:lang w:bidi="ar"/>
                    </w:rPr>
                  </w:pPr>
                </w:p>
              </w:tc>
              <w:tc>
                <w:tcPr>
                  <w:tcW w:w="386" w:type="pct"/>
                  <w:vMerge w:val="continue"/>
                  <w:vAlign w:val="center"/>
                </w:tcPr>
                <w:p w14:paraId="7FF12A77">
                  <w:pPr>
                    <w:adjustRightInd w:val="0"/>
                    <w:snapToGrid w:val="0"/>
                    <w:jc w:val="center"/>
                    <w:rPr>
                      <w:rFonts w:hint="default" w:ascii="Times New Roman" w:hAnsi="Times New Roman" w:eastAsia="仿宋" w:cs="Times New Roman"/>
                      <w:b/>
                      <w:color w:val="auto"/>
                      <w:sz w:val="21"/>
                      <w:szCs w:val="21"/>
                    </w:rPr>
                  </w:pPr>
                </w:p>
              </w:tc>
              <w:tc>
                <w:tcPr>
                  <w:tcW w:w="564" w:type="pct"/>
                  <w:vMerge w:val="continue"/>
                  <w:vAlign w:val="center"/>
                </w:tcPr>
                <w:p w14:paraId="0A1E957D">
                  <w:pPr>
                    <w:adjustRightInd w:val="0"/>
                    <w:snapToGrid w:val="0"/>
                    <w:jc w:val="center"/>
                    <w:rPr>
                      <w:rFonts w:hint="default" w:ascii="Times New Roman" w:hAnsi="Times New Roman" w:eastAsia="仿宋" w:cs="Times New Roman"/>
                      <w:b/>
                      <w:color w:val="auto"/>
                      <w:sz w:val="21"/>
                      <w:szCs w:val="21"/>
                    </w:rPr>
                  </w:pPr>
                </w:p>
              </w:tc>
              <w:tc>
                <w:tcPr>
                  <w:tcW w:w="474" w:type="pct"/>
                  <w:vAlign w:val="center"/>
                </w:tcPr>
                <w:p w14:paraId="0EC104C5">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浓度mg/m</w:t>
                  </w:r>
                  <w:r>
                    <w:rPr>
                      <w:rFonts w:hint="default" w:ascii="Times New Roman" w:hAnsi="Times New Roman" w:eastAsia="仿宋" w:cs="Times New Roman"/>
                      <w:b/>
                      <w:color w:val="auto"/>
                      <w:sz w:val="21"/>
                      <w:szCs w:val="21"/>
                      <w:vertAlign w:val="superscript"/>
                    </w:rPr>
                    <w:t>3</w:t>
                  </w:r>
                </w:p>
              </w:tc>
              <w:tc>
                <w:tcPr>
                  <w:tcW w:w="400" w:type="pct"/>
                  <w:vAlign w:val="center"/>
                </w:tcPr>
                <w:p w14:paraId="52E7A179">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速率kg/h</w:t>
                  </w:r>
                </w:p>
              </w:tc>
              <w:tc>
                <w:tcPr>
                  <w:tcW w:w="455" w:type="pct"/>
                  <w:vMerge w:val="continue"/>
                  <w:vAlign w:val="center"/>
                </w:tcPr>
                <w:p w14:paraId="672C32D7">
                  <w:pPr>
                    <w:adjustRightInd w:val="0"/>
                    <w:snapToGrid w:val="0"/>
                    <w:jc w:val="center"/>
                    <w:rPr>
                      <w:rFonts w:hint="default" w:ascii="Times New Roman" w:hAnsi="Times New Roman" w:eastAsia="仿宋" w:cs="Times New Roman"/>
                      <w:b/>
                      <w:color w:val="auto"/>
                      <w:sz w:val="21"/>
                      <w:szCs w:val="21"/>
                    </w:rPr>
                  </w:pPr>
                </w:p>
              </w:tc>
              <w:tc>
                <w:tcPr>
                  <w:tcW w:w="409" w:type="pct"/>
                  <w:vMerge w:val="continue"/>
                  <w:vAlign w:val="center"/>
                </w:tcPr>
                <w:p w14:paraId="78CFC454">
                  <w:pPr>
                    <w:adjustRightInd w:val="0"/>
                    <w:snapToGrid w:val="0"/>
                    <w:jc w:val="center"/>
                    <w:rPr>
                      <w:rFonts w:hint="default" w:ascii="Times New Roman" w:hAnsi="Times New Roman" w:eastAsia="仿宋" w:cs="Times New Roman"/>
                      <w:b/>
                      <w:color w:val="auto"/>
                      <w:sz w:val="21"/>
                      <w:szCs w:val="21"/>
                    </w:rPr>
                  </w:pPr>
                </w:p>
              </w:tc>
              <w:tc>
                <w:tcPr>
                  <w:tcW w:w="741" w:type="pct"/>
                  <w:vMerge w:val="continue"/>
                  <w:vAlign w:val="center"/>
                </w:tcPr>
                <w:p w14:paraId="01FDF43B">
                  <w:pPr>
                    <w:adjustRightInd w:val="0"/>
                    <w:snapToGrid w:val="0"/>
                    <w:jc w:val="center"/>
                    <w:rPr>
                      <w:rFonts w:hint="default" w:ascii="Times New Roman" w:hAnsi="Times New Roman" w:eastAsia="仿宋" w:cs="Times New Roman"/>
                      <w:b/>
                      <w:color w:val="auto"/>
                      <w:sz w:val="21"/>
                      <w:szCs w:val="21"/>
                    </w:rPr>
                  </w:pPr>
                </w:p>
              </w:tc>
            </w:tr>
            <w:tr w14:paraId="541F9E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90" w:type="pct"/>
                  <w:vAlign w:val="center"/>
                </w:tcPr>
                <w:p w14:paraId="31555501">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DA001</w:t>
                  </w:r>
                </w:p>
              </w:tc>
              <w:tc>
                <w:tcPr>
                  <w:tcW w:w="676" w:type="pct"/>
                  <w:vAlign w:val="center"/>
                </w:tcPr>
                <w:p w14:paraId="75A6FC0D">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kern w:val="0"/>
                      <w:sz w:val="21"/>
                      <w:szCs w:val="21"/>
                      <w:lang w:val="en-US" w:eastAsia="zh-CN" w:bidi="ar"/>
                    </w:rPr>
                    <w:t>打磨、</w:t>
                  </w:r>
                  <w:r>
                    <w:rPr>
                      <w:rFonts w:hint="eastAsia" w:ascii="Times New Roman" w:hAnsi="Times New Roman" w:eastAsia="仿宋" w:cs="Times New Roman"/>
                      <w:color w:val="auto"/>
                      <w:kern w:val="0"/>
                      <w:sz w:val="21"/>
                      <w:szCs w:val="21"/>
                      <w:lang w:val="en-US" w:eastAsia="zh-CN" w:bidi="ar"/>
                    </w:rPr>
                    <w:t>抛光</w:t>
                  </w:r>
                </w:p>
              </w:tc>
              <w:tc>
                <w:tcPr>
                  <w:tcW w:w="399" w:type="pct"/>
                  <w:vMerge w:val="restart"/>
                  <w:vAlign w:val="center"/>
                </w:tcPr>
                <w:p w14:paraId="43BF73BD">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废气处理设施故障</w:t>
                  </w:r>
                </w:p>
              </w:tc>
              <w:tc>
                <w:tcPr>
                  <w:tcW w:w="386" w:type="pct"/>
                  <w:vAlign w:val="center"/>
                </w:tcPr>
                <w:p w14:paraId="13478E42">
                  <w:pPr>
                    <w:pStyle w:val="21"/>
                    <w:spacing w:after="0" w:line="240" w:lineRule="auto"/>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13000</w:t>
                  </w:r>
                </w:p>
              </w:tc>
              <w:tc>
                <w:tcPr>
                  <w:tcW w:w="564" w:type="pct"/>
                  <w:vAlign w:val="center"/>
                </w:tcPr>
                <w:p w14:paraId="2956EDAF">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颗粒物</w:t>
                  </w:r>
                </w:p>
              </w:tc>
              <w:tc>
                <w:tcPr>
                  <w:tcW w:w="785" w:type="dxa"/>
                  <w:vAlign w:val="center"/>
                </w:tcPr>
                <w:p w14:paraId="1D807F52">
                  <w:pPr>
                    <w:pStyle w:val="21"/>
                    <w:spacing w:after="0" w:line="240" w:lineRule="auto"/>
                    <w:jc w:val="center"/>
                    <w:rPr>
                      <w:rFonts w:hint="default" w:ascii="Times New Roman" w:hAnsi="Times New Roman" w:eastAsia="仿宋" w:cs="Times New Roman"/>
                      <w:bCs/>
                      <w:color w:val="auto"/>
                      <w:kern w:val="2"/>
                      <w:sz w:val="21"/>
                      <w:szCs w:val="21"/>
                      <w:lang w:val="en-US" w:eastAsia="zh-CN" w:bidi="ar-SA"/>
                    </w:rPr>
                  </w:pPr>
                  <w:r>
                    <w:rPr>
                      <w:rFonts w:hint="eastAsia" w:eastAsia="仿宋" w:cs="Times New Roman"/>
                      <w:bCs/>
                      <w:color w:val="auto"/>
                      <w:szCs w:val="22"/>
                      <w:lang w:val="en-US" w:eastAsia="zh-CN"/>
                    </w:rPr>
                    <w:t>266.73</w:t>
                  </w:r>
                </w:p>
              </w:tc>
              <w:tc>
                <w:tcPr>
                  <w:tcW w:w="662" w:type="dxa"/>
                  <w:vAlign w:val="center"/>
                </w:tcPr>
                <w:p w14:paraId="1530E495">
                  <w:pPr>
                    <w:pStyle w:val="21"/>
                    <w:spacing w:after="0" w:line="240" w:lineRule="auto"/>
                    <w:jc w:val="center"/>
                    <w:rPr>
                      <w:rFonts w:hint="default" w:ascii="Times New Roman" w:hAnsi="Times New Roman" w:eastAsia="仿宋" w:cs="Times New Roman"/>
                      <w:bCs/>
                      <w:color w:val="auto"/>
                      <w:kern w:val="2"/>
                      <w:sz w:val="21"/>
                      <w:szCs w:val="21"/>
                      <w:lang w:val="en-US" w:eastAsia="zh-CN" w:bidi="ar-SA"/>
                    </w:rPr>
                  </w:pPr>
                  <w:r>
                    <w:rPr>
                      <w:rFonts w:hint="eastAsia" w:eastAsia="仿宋" w:cs="Times New Roman"/>
                      <w:bCs/>
                      <w:color w:val="auto"/>
                      <w:szCs w:val="22"/>
                      <w:lang w:val="en-US" w:eastAsia="zh-CN"/>
                    </w:rPr>
                    <w:t>3.468</w:t>
                  </w:r>
                </w:p>
              </w:tc>
              <w:tc>
                <w:tcPr>
                  <w:tcW w:w="455" w:type="pct"/>
                  <w:vAlign w:val="center"/>
                </w:tcPr>
                <w:p w14:paraId="62842721">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≤1</w:t>
                  </w:r>
                </w:p>
              </w:tc>
              <w:tc>
                <w:tcPr>
                  <w:tcW w:w="409" w:type="pct"/>
                  <w:vAlign w:val="center"/>
                </w:tcPr>
                <w:p w14:paraId="79FC9A19">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≤1</w:t>
                  </w:r>
                </w:p>
              </w:tc>
              <w:tc>
                <w:tcPr>
                  <w:tcW w:w="741" w:type="pct"/>
                  <w:vMerge w:val="restart"/>
                  <w:vAlign w:val="center"/>
                </w:tcPr>
                <w:p w14:paraId="40432311">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加强维护、选用可靠设备、废气日常监测与记录，加强管理</w:t>
                  </w:r>
                </w:p>
              </w:tc>
            </w:tr>
            <w:tr w14:paraId="6ABE73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90" w:type="pct"/>
                  <w:vAlign w:val="center"/>
                </w:tcPr>
                <w:p w14:paraId="4BDD47F9">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DA002</w:t>
                  </w:r>
                </w:p>
              </w:tc>
              <w:tc>
                <w:tcPr>
                  <w:tcW w:w="676" w:type="pct"/>
                  <w:vAlign w:val="center"/>
                </w:tcPr>
                <w:p w14:paraId="5004D023">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焊接</w:t>
                  </w:r>
                  <w:r>
                    <w:rPr>
                      <w:rFonts w:hint="default" w:ascii="Times New Roman" w:hAnsi="Times New Roman" w:eastAsia="仿宋" w:cs="Times New Roman"/>
                      <w:color w:val="auto"/>
                      <w:kern w:val="0"/>
                      <w:sz w:val="21"/>
                      <w:szCs w:val="21"/>
                      <w:lang w:val="en-US" w:eastAsia="zh-CN" w:bidi="ar"/>
                    </w:rPr>
                    <w:t>、喷砂</w:t>
                  </w:r>
                </w:p>
              </w:tc>
              <w:tc>
                <w:tcPr>
                  <w:tcW w:w="399" w:type="pct"/>
                  <w:vMerge w:val="continue"/>
                  <w:vAlign w:val="center"/>
                </w:tcPr>
                <w:p w14:paraId="2F2E6444">
                  <w:pPr>
                    <w:widowControl/>
                    <w:jc w:val="center"/>
                    <w:rPr>
                      <w:rFonts w:hint="default" w:ascii="Times New Roman" w:hAnsi="Times New Roman" w:eastAsia="仿宋" w:cs="Times New Roman"/>
                      <w:color w:val="auto"/>
                      <w:kern w:val="0"/>
                      <w:sz w:val="21"/>
                      <w:szCs w:val="21"/>
                      <w:lang w:bidi="ar"/>
                    </w:rPr>
                  </w:pPr>
                </w:p>
              </w:tc>
              <w:tc>
                <w:tcPr>
                  <w:tcW w:w="386" w:type="pct"/>
                  <w:vAlign w:val="center"/>
                </w:tcPr>
                <w:p w14:paraId="0C765DE2">
                  <w:pPr>
                    <w:pStyle w:val="21"/>
                    <w:spacing w:after="0" w:line="240" w:lineRule="auto"/>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80</w:t>
                  </w:r>
                  <w:r>
                    <w:rPr>
                      <w:rFonts w:hint="default" w:ascii="Times New Roman" w:hAnsi="Times New Roman" w:eastAsia="仿宋" w:cs="Times New Roman"/>
                      <w:color w:val="auto"/>
                      <w:sz w:val="21"/>
                      <w:szCs w:val="21"/>
                      <w:lang w:val="en-US" w:eastAsia="zh-CN"/>
                    </w:rPr>
                    <w:t>00</w:t>
                  </w:r>
                </w:p>
              </w:tc>
              <w:tc>
                <w:tcPr>
                  <w:tcW w:w="564" w:type="pct"/>
                  <w:vAlign w:val="center"/>
                </w:tcPr>
                <w:p w14:paraId="6AA8DEB6">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颗粒物</w:t>
                  </w:r>
                </w:p>
              </w:tc>
              <w:tc>
                <w:tcPr>
                  <w:tcW w:w="785" w:type="dxa"/>
                  <w:vAlign w:val="center"/>
                </w:tcPr>
                <w:p w14:paraId="6847A5CE">
                  <w:pPr>
                    <w:pStyle w:val="21"/>
                    <w:spacing w:after="0" w:line="240" w:lineRule="auto"/>
                    <w:jc w:val="center"/>
                    <w:rPr>
                      <w:rFonts w:hint="default" w:ascii="Times New Roman" w:hAnsi="Times New Roman" w:eastAsia="仿宋" w:cs="Times New Roman"/>
                      <w:bCs/>
                      <w:color w:val="auto"/>
                      <w:kern w:val="2"/>
                      <w:sz w:val="21"/>
                      <w:szCs w:val="21"/>
                      <w:lang w:val="en-US" w:eastAsia="zh-CN" w:bidi="ar-SA"/>
                    </w:rPr>
                  </w:pPr>
                  <w:r>
                    <w:rPr>
                      <w:rFonts w:hint="eastAsia" w:eastAsia="仿宋" w:cs="Times New Roman"/>
                      <w:bCs/>
                      <w:color w:val="auto"/>
                      <w:szCs w:val="22"/>
                      <w:lang w:val="en-US" w:eastAsia="zh-CN"/>
                    </w:rPr>
                    <w:t>229.64</w:t>
                  </w:r>
                </w:p>
              </w:tc>
              <w:tc>
                <w:tcPr>
                  <w:tcW w:w="662" w:type="dxa"/>
                  <w:vAlign w:val="center"/>
                </w:tcPr>
                <w:p w14:paraId="0F4FE3EB">
                  <w:pPr>
                    <w:pStyle w:val="21"/>
                    <w:spacing w:after="0" w:line="240" w:lineRule="auto"/>
                    <w:jc w:val="center"/>
                    <w:rPr>
                      <w:rFonts w:hint="default" w:ascii="Times New Roman" w:hAnsi="Times New Roman" w:eastAsia="仿宋" w:cs="Times New Roman"/>
                      <w:bCs/>
                      <w:color w:val="auto"/>
                      <w:kern w:val="2"/>
                      <w:sz w:val="21"/>
                      <w:szCs w:val="21"/>
                      <w:lang w:val="en-US" w:eastAsia="zh-CN" w:bidi="ar-SA"/>
                    </w:rPr>
                  </w:pPr>
                  <w:r>
                    <w:rPr>
                      <w:rFonts w:hint="eastAsia" w:eastAsia="仿宋" w:cs="Times New Roman"/>
                      <w:bCs/>
                      <w:color w:val="auto"/>
                      <w:szCs w:val="22"/>
                      <w:lang w:val="en-US" w:eastAsia="zh-CN"/>
                    </w:rPr>
                    <w:t>1.837</w:t>
                  </w:r>
                </w:p>
              </w:tc>
              <w:tc>
                <w:tcPr>
                  <w:tcW w:w="455" w:type="pct"/>
                  <w:vAlign w:val="center"/>
                </w:tcPr>
                <w:p w14:paraId="53D4E449">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 w:val="21"/>
                      <w:szCs w:val="21"/>
                      <w:lang w:bidi="ar"/>
                    </w:rPr>
                    <w:t>≤1</w:t>
                  </w:r>
                </w:p>
              </w:tc>
              <w:tc>
                <w:tcPr>
                  <w:tcW w:w="409" w:type="pct"/>
                  <w:vAlign w:val="center"/>
                </w:tcPr>
                <w:p w14:paraId="1BF9CB2A">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 w:val="21"/>
                      <w:szCs w:val="21"/>
                      <w:lang w:bidi="ar"/>
                    </w:rPr>
                    <w:t>≤1</w:t>
                  </w:r>
                </w:p>
              </w:tc>
              <w:tc>
                <w:tcPr>
                  <w:tcW w:w="741" w:type="pct"/>
                  <w:vMerge w:val="continue"/>
                  <w:vAlign w:val="center"/>
                </w:tcPr>
                <w:p w14:paraId="59E60FD1">
                  <w:pPr>
                    <w:widowControl/>
                    <w:jc w:val="center"/>
                    <w:rPr>
                      <w:rFonts w:hint="default" w:ascii="Times New Roman" w:hAnsi="Times New Roman" w:eastAsia="仿宋" w:cs="Times New Roman"/>
                      <w:color w:val="auto"/>
                      <w:kern w:val="0"/>
                      <w:sz w:val="21"/>
                      <w:szCs w:val="21"/>
                      <w:lang w:bidi="ar"/>
                    </w:rPr>
                  </w:pPr>
                </w:p>
              </w:tc>
            </w:tr>
            <w:tr w14:paraId="6C3903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90" w:type="pct"/>
                  <w:vMerge w:val="restart"/>
                  <w:vAlign w:val="center"/>
                </w:tcPr>
                <w:p w14:paraId="0722CB5E">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DA003</w:t>
                  </w:r>
                </w:p>
              </w:tc>
              <w:tc>
                <w:tcPr>
                  <w:tcW w:w="676" w:type="pct"/>
                  <w:vMerge w:val="restart"/>
                  <w:vAlign w:val="center"/>
                </w:tcPr>
                <w:p w14:paraId="0D72ABB1">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Cs w:val="22"/>
                      <w:lang w:val="en-US" w:eastAsia="zh-CN"/>
                    </w:rPr>
                    <w:t>调漆、喷漆、烘干</w:t>
                  </w:r>
                </w:p>
              </w:tc>
              <w:tc>
                <w:tcPr>
                  <w:tcW w:w="399" w:type="pct"/>
                  <w:vMerge w:val="continue"/>
                  <w:vAlign w:val="center"/>
                </w:tcPr>
                <w:p w14:paraId="02C1F44A">
                  <w:pPr>
                    <w:widowControl/>
                    <w:jc w:val="center"/>
                    <w:rPr>
                      <w:rFonts w:hint="default" w:ascii="Times New Roman" w:hAnsi="Times New Roman" w:eastAsia="仿宋" w:cs="Times New Roman"/>
                      <w:color w:val="auto"/>
                      <w:kern w:val="0"/>
                      <w:sz w:val="21"/>
                      <w:szCs w:val="21"/>
                      <w:lang w:bidi="ar"/>
                    </w:rPr>
                  </w:pPr>
                </w:p>
              </w:tc>
              <w:tc>
                <w:tcPr>
                  <w:tcW w:w="386" w:type="pct"/>
                  <w:vMerge w:val="restart"/>
                  <w:vAlign w:val="center"/>
                </w:tcPr>
                <w:p w14:paraId="6DD9B778">
                  <w:pPr>
                    <w:pStyle w:val="21"/>
                    <w:spacing w:after="0" w:line="240" w:lineRule="auto"/>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18000</w:t>
                  </w:r>
                </w:p>
              </w:tc>
              <w:tc>
                <w:tcPr>
                  <w:tcW w:w="564" w:type="pct"/>
                  <w:vAlign w:val="center"/>
                </w:tcPr>
                <w:p w14:paraId="531013C2">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颗粒物</w:t>
                  </w:r>
                </w:p>
              </w:tc>
              <w:tc>
                <w:tcPr>
                  <w:tcW w:w="785" w:type="dxa"/>
                  <w:vAlign w:val="center"/>
                </w:tcPr>
                <w:p w14:paraId="2B822468">
                  <w:pPr>
                    <w:pStyle w:val="21"/>
                    <w:spacing w:after="0" w:line="240" w:lineRule="auto"/>
                    <w:jc w:val="center"/>
                    <w:rPr>
                      <w:rFonts w:hint="default" w:ascii="Times New Roman" w:hAnsi="Times New Roman" w:eastAsia="仿宋" w:cs="Times New Roman"/>
                      <w:bCs/>
                      <w:color w:val="auto"/>
                      <w:kern w:val="2"/>
                      <w:sz w:val="21"/>
                      <w:szCs w:val="21"/>
                      <w:lang w:val="en-US" w:eastAsia="zh-CN" w:bidi="ar-SA"/>
                    </w:rPr>
                  </w:pPr>
                  <w:r>
                    <w:rPr>
                      <w:rFonts w:hint="eastAsia" w:eastAsia="仿宋" w:cs="Times New Roman"/>
                      <w:bCs/>
                      <w:color w:val="auto"/>
                      <w:szCs w:val="22"/>
                      <w:lang w:val="en-US" w:eastAsia="zh-CN"/>
                    </w:rPr>
                    <w:t>29.28</w:t>
                  </w:r>
                </w:p>
              </w:tc>
              <w:tc>
                <w:tcPr>
                  <w:tcW w:w="662" w:type="dxa"/>
                  <w:vAlign w:val="center"/>
                </w:tcPr>
                <w:p w14:paraId="0F60C5D3">
                  <w:pPr>
                    <w:pStyle w:val="21"/>
                    <w:spacing w:after="0" w:line="240" w:lineRule="auto"/>
                    <w:jc w:val="center"/>
                    <w:rPr>
                      <w:rFonts w:hint="default" w:ascii="Times New Roman" w:hAnsi="Times New Roman" w:eastAsia="仿宋" w:cs="Times New Roman"/>
                      <w:bCs/>
                      <w:color w:val="auto"/>
                      <w:kern w:val="2"/>
                      <w:sz w:val="21"/>
                      <w:szCs w:val="21"/>
                      <w:lang w:val="en-US" w:eastAsia="zh-CN" w:bidi="ar-SA"/>
                    </w:rPr>
                  </w:pPr>
                  <w:r>
                    <w:rPr>
                      <w:rFonts w:hint="eastAsia" w:ascii="Times New Roman" w:hAnsi="Times New Roman" w:eastAsia="仿宋" w:cs="Times New Roman"/>
                      <w:bCs/>
                      <w:color w:val="auto"/>
                      <w:szCs w:val="22"/>
                      <w:lang w:val="en-US" w:eastAsia="zh-CN"/>
                    </w:rPr>
                    <w:t>0.527</w:t>
                  </w:r>
                </w:p>
              </w:tc>
              <w:tc>
                <w:tcPr>
                  <w:tcW w:w="455" w:type="pct"/>
                  <w:vMerge w:val="restart"/>
                  <w:vAlign w:val="center"/>
                </w:tcPr>
                <w:p w14:paraId="77CEE2D2">
                  <w:pPr>
                    <w:widowControl/>
                    <w:jc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≤1</w:t>
                  </w:r>
                </w:p>
              </w:tc>
              <w:tc>
                <w:tcPr>
                  <w:tcW w:w="409" w:type="pct"/>
                  <w:vMerge w:val="restart"/>
                  <w:vAlign w:val="center"/>
                </w:tcPr>
                <w:p w14:paraId="7BF3BF14">
                  <w:pPr>
                    <w:widowControl/>
                    <w:jc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≤1</w:t>
                  </w:r>
                </w:p>
              </w:tc>
              <w:tc>
                <w:tcPr>
                  <w:tcW w:w="741" w:type="pct"/>
                  <w:vMerge w:val="continue"/>
                  <w:vAlign w:val="center"/>
                </w:tcPr>
                <w:p w14:paraId="499EC5C0">
                  <w:pPr>
                    <w:widowControl/>
                    <w:jc w:val="center"/>
                    <w:rPr>
                      <w:rFonts w:hint="default" w:ascii="Times New Roman" w:hAnsi="Times New Roman" w:eastAsia="仿宋" w:cs="Times New Roman"/>
                      <w:color w:val="auto"/>
                      <w:kern w:val="0"/>
                      <w:sz w:val="21"/>
                      <w:szCs w:val="21"/>
                      <w:lang w:bidi="ar"/>
                    </w:rPr>
                  </w:pPr>
                </w:p>
              </w:tc>
            </w:tr>
            <w:tr w14:paraId="7C93A1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90" w:type="pct"/>
                  <w:vMerge w:val="continue"/>
                  <w:vAlign w:val="center"/>
                </w:tcPr>
                <w:p w14:paraId="4D817CC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rPr>
                  </w:pPr>
                </w:p>
              </w:tc>
              <w:tc>
                <w:tcPr>
                  <w:tcW w:w="676" w:type="pct"/>
                  <w:vMerge w:val="continue"/>
                  <w:vAlign w:val="center"/>
                </w:tcPr>
                <w:p w14:paraId="7C3BC5A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rPr>
                  </w:pPr>
                </w:p>
              </w:tc>
              <w:tc>
                <w:tcPr>
                  <w:tcW w:w="399" w:type="pct"/>
                  <w:vMerge w:val="continue"/>
                  <w:vAlign w:val="center"/>
                </w:tcPr>
                <w:p w14:paraId="310523CB">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rPr>
                  </w:pPr>
                </w:p>
              </w:tc>
              <w:tc>
                <w:tcPr>
                  <w:tcW w:w="386" w:type="pct"/>
                  <w:vMerge w:val="continue"/>
                  <w:vAlign w:val="center"/>
                </w:tcPr>
                <w:p w14:paraId="5AEAA97F">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rPr>
                  </w:pPr>
                </w:p>
              </w:tc>
              <w:tc>
                <w:tcPr>
                  <w:tcW w:w="564" w:type="pct"/>
                  <w:vAlign w:val="center"/>
                </w:tcPr>
                <w:p w14:paraId="115FBCC9">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NMHC</w:t>
                  </w:r>
                </w:p>
              </w:tc>
              <w:tc>
                <w:tcPr>
                  <w:tcW w:w="785" w:type="dxa"/>
                  <w:vAlign w:val="center"/>
                </w:tcPr>
                <w:p w14:paraId="70213FC7">
                  <w:pPr>
                    <w:pStyle w:val="21"/>
                    <w:spacing w:after="0" w:line="240" w:lineRule="auto"/>
                    <w:jc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bCs/>
                      <w:color w:val="auto"/>
                      <w:szCs w:val="22"/>
                      <w:lang w:val="en-US" w:eastAsia="zh-CN"/>
                    </w:rPr>
                    <w:t>10.56</w:t>
                  </w:r>
                </w:p>
              </w:tc>
              <w:tc>
                <w:tcPr>
                  <w:tcW w:w="662" w:type="dxa"/>
                  <w:vAlign w:val="center"/>
                </w:tcPr>
                <w:p w14:paraId="382A58E7">
                  <w:pPr>
                    <w:pStyle w:val="21"/>
                    <w:spacing w:after="0" w:line="240" w:lineRule="auto"/>
                    <w:jc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bCs/>
                      <w:color w:val="auto"/>
                      <w:szCs w:val="22"/>
                      <w:lang w:val="en-US" w:eastAsia="zh-CN"/>
                    </w:rPr>
                    <w:t>0.19</w:t>
                  </w:r>
                </w:p>
              </w:tc>
              <w:tc>
                <w:tcPr>
                  <w:tcW w:w="455" w:type="pct"/>
                  <w:vMerge w:val="continue"/>
                  <w:vAlign w:val="center"/>
                </w:tcPr>
                <w:p w14:paraId="51107769">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kern w:val="0"/>
                      <w:sz w:val="21"/>
                      <w:szCs w:val="21"/>
                      <w:lang w:val="en-US" w:eastAsia="zh-CN" w:bidi="ar"/>
                    </w:rPr>
                  </w:pPr>
                </w:p>
              </w:tc>
              <w:tc>
                <w:tcPr>
                  <w:tcW w:w="409" w:type="pct"/>
                  <w:vMerge w:val="continue"/>
                  <w:vAlign w:val="center"/>
                </w:tcPr>
                <w:p w14:paraId="205A627D">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kern w:val="0"/>
                      <w:sz w:val="21"/>
                      <w:szCs w:val="21"/>
                      <w:lang w:val="en-US" w:eastAsia="zh-CN" w:bidi="ar"/>
                    </w:rPr>
                  </w:pPr>
                </w:p>
              </w:tc>
              <w:tc>
                <w:tcPr>
                  <w:tcW w:w="741" w:type="pct"/>
                  <w:vMerge w:val="continue"/>
                  <w:vAlign w:val="center"/>
                </w:tcPr>
                <w:p w14:paraId="6A4EE2DC">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kern w:val="0"/>
                      <w:sz w:val="21"/>
                      <w:szCs w:val="21"/>
                      <w:lang w:val="en-US" w:eastAsia="zh-CN" w:bidi="ar"/>
                    </w:rPr>
                  </w:pPr>
                </w:p>
              </w:tc>
            </w:tr>
          </w:tbl>
          <w:p w14:paraId="00C0C4A9">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val="en-US" w:eastAsia="zh-CN"/>
              </w:rPr>
              <w:t>5、废气</w:t>
            </w:r>
            <w:r>
              <w:rPr>
                <w:rFonts w:hint="default" w:ascii="Times New Roman" w:hAnsi="Times New Roman" w:eastAsia="仿宋" w:cs="Times New Roman"/>
                <w:b/>
                <w:bCs/>
                <w:color w:val="auto"/>
                <w:sz w:val="24"/>
              </w:rPr>
              <w:t>排放口基本情况</w:t>
            </w:r>
            <w:r>
              <w:rPr>
                <w:rFonts w:hint="default" w:ascii="Times New Roman" w:hAnsi="Times New Roman" w:eastAsia="仿宋" w:cs="Times New Roman"/>
                <w:b/>
                <w:bCs/>
                <w:color w:val="auto"/>
                <w:sz w:val="24"/>
                <w:lang w:val="en-US" w:eastAsia="zh-CN"/>
              </w:rPr>
              <w:t>及监测方案</w:t>
            </w:r>
          </w:p>
          <w:p w14:paraId="35D38E86">
            <w:pPr>
              <w:adjustRightInd w:val="0"/>
              <w:snapToGrid w:val="0"/>
              <w:spacing w:line="500" w:lineRule="exact"/>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本项目废气排放口基本情况见表4-</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lang w:val="en-US" w:eastAsia="zh-CN"/>
              </w:rPr>
              <w:t>，监测方案见表4-</w:t>
            </w:r>
            <w:r>
              <w:rPr>
                <w:rFonts w:hint="eastAsia" w:ascii="Times New Roman" w:hAnsi="Times New Roman" w:eastAsia="仿宋" w:cs="Times New Roman"/>
                <w:color w:val="auto"/>
                <w:sz w:val="24"/>
                <w:lang w:val="en-US" w:eastAsia="zh-CN"/>
              </w:rPr>
              <w:t>8</w:t>
            </w:r>
            <w:r>
              <w:rPr>
                <w:rFonts w:hint="default" w:ascii="Times New Roman" w:hAnsi="Times New Roman" w:eastAsia="仿宋" w:cs="Times New Roman"/>
                <w:color w:val="auto"/>
                <w:sz w:val="24"/>
                <w:lang w:val="en-US" w:eastAsia="zh-CN"/>
              </w:rPr>
              <w:t>。</w:t>
            </w:r>
          </w:p>
          <w:p w14:paraId="0A6E25B4">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eastAsia="仿宋" w:cs="Times New Roman"/>
                <w:b/>
                <w:color w:val="auto"/>
                <w:szCs w:val="21"/>
              </w:rPr>
            </w:pPr>
          </w:p>
          <w:p w14:paraId="2C4D66AE">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Cs w:val="21"/>
              </w:rPr>
              <w:t>表4-</w:t>
            </w:r>
            <w:r>
              <w:rPr>
                <w:rFonts w:hint="eastAsia" w:ascii="Times New Roman" w:hAnsi="Times New Roman" w:eastAsia="仿宋" w:cs="Times New Roman"/>
                <w:b/>
                <w:color w:val="auto"/>
                <w:szCs w:val="21"/>
                <w:lang w:val="en-US" w:eastAsia="zh-CN"/>
              </w:rPr>
              <w:t>7</w:t>
            </w:r>
            <w:r>
              <w:rPr>
                <w:rFonts w:hint="default" w:ascii="Times New Roman" w:hAnsi="Times New Roman" w:eastAsia="仿宋" w:cs="Times New Roman"/>
                <w:b/>
                <w:color w:val="auto"/>
                <w:szCs w:val="21"/>
              </w:rPr>
              <w:t xml:space="preserve"> </w:t>
            </w:r>
            <w:r>
              <w:rPr>
                <w:rFonts w:hint="default" w:ascii="Times New Roman" w:hAnsi="Times New Roman" w:eastAsia="仿宋" w:cs="Times New Roman"/>
                <w:b/>
                <w:color w:val="auto"/>
                <w:szCs w:val="21"/>
                <w:lang w:val="en-US" w:eastAsia="zh-CN"/>
              </w:rPr>
              <w:t xml:space="preserve"> </w:t>
            </w:r>
            <w:r>
              <w:rPr>
                <w:rFonts w:hint="default" w:ascii="Times New Roman" w:hAnsi="Times New Roman" w:eastAsia="仿宋" w:cs="Times New Roman"/>
                <w:b/>
                <w:color w:val="auto"/>
                <w:szCs w:val="21"/>
              </w:rPr>
              <w:t>排放口基本情况表</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75"/>
              <w:gridCol w:w="267"/>
              <w:gridCol w:w="1046"/>
              <w:gridCol w:w="949"/>
              <w:gridCol w:w="428"/>
              <w:gridCol w:w="561"/>
              <w:gridCol w:w="596"/>
              <w:gridCol w:w="792"/>
              <w:gridCol w:w="1556"/>
              <w:gridCol w:w="828"/>
              <w:gridCol w:w="511"/>
            </w:tblGrid>
            <w:tr w14:paraId="16DF55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89" w:type="pct"/>
                  <w:vMerge w:val="restart"/>
                  <w:vAlign w:val="center"/>
                </w:tcPr>
                <w:p w14:paraId="1F09BADE">
                  <w:pPr>
                    <w:pStyle w:val="45"/>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排气筒编号</w:t>
                  </w:r>
                </w:p>
              </w:tc>
              <w:tc>
                <w:tcPr>
                  <w:tcW w:w="153" w:type="pct"/>
                  <w:vMerge w:val="restart"/>
                  <w:vAlign w:val="center"/>
                </w:tcPr>
                <w:p w14:paraId="2563627C">
                  <w:pPr>
                    <w:pStyle w:val="45"/>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类型</w:t>
                  </w:r>
                </w:p>
              </w:tc>
              <w:tc>
                <w:tcPr>
                  <w:tcW w:w="1154" w:type="pct"/>
                  <w:gridSpan w:val="2"/>
                  <w:vAlign w:val="center"/>
                </w:tcPr>
                <w:p w14:paraId="4655EC4C">
                  <w:pPr>
                    <w:pStyle w:val="45"/>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地理坐标</w:t>
                  </w:r>
                </w:p>
              </w:tc>
              <w:tc>
                <w:tcPr>
                  <w:tcW w:w="274" w:type="pct"/>
                  <w:vMerge w:val="restart"/>
                  <w:vAlign w:val="center"/>
                </w:tcPr>
                <w:p w14:paraId="1DEB06A9">
                  <w:pPr>
                    <w:pStyle w:val="45"/>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排气筒高度m</w:t>
                  </w:r>
                </w:p>
              </w:tc>
              <w:tc>
                <w:tcPr>
                  <w:tcW w:w="355" w:type="pct"/>
                  <w:vMerge w:val="restart"/>
                  <w:vAlign w:val="center"/>
                </w:tcPr>
                <w:p w14:paraId="21F19D38">
                  <w:pPr>
                    <w:pStyle w:val="45"/>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出口内径m</w:t>
                  </w:r>
                </w:p>
              </w:tc>
              <w:tc>
                <w:tcPr>
                  <w:tcW w:w="376" w:type="pct"/>
                  <w:vMerge w:val="restart"/>
                  <w:vAlign w:val="center"/>
                </w:tcPr>
                <w:p w14:paraId="466DA55A">
                  <w:pPr>
                    <w:pStyle w:val="45"/>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排气温度℃</w:t>
                  </w:r>
                </w:p>
              </w:tc>
              <w:tc>
                <w:tcPr>
                  <w:tcW w:w="495" w:type="pct"/>
                  <w:vMerge w:val="restart"/>
                  <w:vAlign w:val="center"/>
                </w:tcPr>
                <w:p w14:paraId="5479E70C">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bCs/>
                      <w:color w:val="auto"/>
                      <w:szCs w:val="21"/>
                    </w:rPr>
                    <w:t>污染物类型</w:t>
                  </w:r>
                </w:p>
              </w:tc>
              <w:tc>
                <w:tcPr>
                  <w:tcW w:w="1801" w:type="pct"/>
                  <w:gridSpan w:val="3"/>
                  <w:vAlign w:val="center"/>
                </w:tcPr>
                <w:p w14:paraId="5FF9192C">
                  <w:pPr>
                    <w:pStyle w:val="45"/>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排放标准</w:t>
                  </w:r>
                </w:p>
              </w:tc>
            </w:tr>
            <w:tr w14:paraId="1C0C07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89" w:type="pct"/>
                  <w:vMerge w:val="continue"/>
                  <w:vAlign w:val="center"/>
                </w:tcPr>
                <w:p w14:paraId="5A18313C">
                  <w:pPr>
                    <w:pStyle w:val="45"/>
                    <w:rPr>
                      <w:rFonts w:hint="default" w:ascii="Times New Roman" w:hAnsi="Times New Roman" w:eastAsia="仿宋" w:cs="Times New Roman"/>
                      <w:b/>
                      <w:color w:val="auto"/>
                      <w:sz w:val="21"/>
                      <w:szCs w:val="21"/>
                    </w:rPr>
                  </w:pPr>
                </w:p>
              </w:tc>
              <w:tc>
                <w:tcPr>
                  <w:tcW w:w="153" w:type="pct"/>
                  <w:vMerge w:val="continue"/>
                  <w:vAlign w:val="center"/>
                </w:tcPr>
                <w:p w14:paraId="297E334B">
                  <w:pPr>
                    <w:pStyle w:val="45"/>
                    <w:rPr>
                      <w:rFonts w:hint="default" w:ascii="Times New Roman" w:hAnsi="Times New Roman" w:eastAsia="仿宋" w:cs="Times New Roman"/>
                      <w:b/>
                      <w:color w:val="auto"/>
                      <w:sz w:val="21"/>
                      <w:szCs w:val="21"/>
                    </w:rPr>
                  </w:pPr>
                </w:p>
              </w:tc>
              <w:tc>
                <w:tcPr>
                  <w:tcW w:w="606" w:type="pct"/>
                  <w:vAlign w:val="center"/>
                </w:tcPr>
                <w:p w14:paraId="0250B959">
                  <w:pPr>
                    <w:pStyle w:val="45"/>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经度</w:t>
                  </w:r>
                </w:p>
              </w:tc>
              <w:tc>
                <w:tcPr>
                  <w:tcW w:w="547" w:type="pct"/>
                  <w:vAlign w:val="center"/>
                </w:tcPr>
                <w:p w14:paraId="65D5D1E8">
                  <w:pPr>
                    <w:pStyle w:val="45"/>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纬度</w:t>
                  </w:r>
                </w:p>
              </w:tc>
              <w:tc>
                <w:tcPr>
                  <w:tcW w:w="274" w:type="pct"/>
                  <w:vMerge w:val="continue"/>
                  <w:vAlign w:val="center"/>
                </w:tcPr>
                <w:p w14:paraId="56968347">
                  <w:pPr>
                    <w:pStyle w:val="45"/>
                    <w:rPr>
                      <w:rFonts w:hint="default" w:ascii="Times New Roman" w:hAnsi="Times New Roman" w:eastAsia="仿宋" w:cs="Times New Roman"/>
                      <w:b/>
                      <w:color w:val="auto"/>
                      <w:sz w:val="21"/>
                      <w:szCs w:val="21"/>
                    </w:rPr>
                  </w:pPr>
                </w:p>
              </w:tc>
              <w:tc>
                <w:tcPr>
                  <w:tcW w:w="355" w:type="pct"/>
                  <w:vMerge w:val="continue"/>
                  <w:vAlign w:val="center"/>
                </w:tcPr>
                <w:p w14:paraId="64865BE4">
                  <w:pPr>
                    <w:pStyle w:val="45"/>
                    <w:rPr>
                      <w:rFonts w:hint="default" w:ascii="Times New Roman" w:hAnsi="Times New Roman" w:eastAsia="仿宋" w:cs="Times New Roman"/>
                      <w:b/>
                      <w:color w:val="auto"/>
                      <w:sz w:val="21"/>
                      <w:szCs w:val="21"/>
                    </w:rPr>
                  </w:pPr>
                </w:p>
              </w:tc>
              <w:tc>
                <w:tcPr>
                  <w:tcW w:w="376" w:type="pct"/>
                  <w:vMerge w:val="continue"/>
                  <w:vAlign w:val="center"/>
                </w:tcPr>
                <w:p w14:paraId="5910E308">
                  <w:pPr>
                    <w:pStyle w:val="45"/>
                    <w:rPr>
                      <w:rFonts w:hint="default" w:ascii="Times New Roman" w:hAnsi="Times New Roman" w:eastAsia="仿宋" w:cs="Times New Roman"/>
                      <w:b/>
                      <w:color w:val="auto"/>
                      <w:sz w:val="21"/>
                      <w:szCs w:val="21"/>
                    </w:rPr>
                  </w:pPr>
                </w:p>
              </w:tc>
              <w:tc>
                <w:tcPr>
                  <w:tcW w:w="495" w:type="pct"/>
                  <w:vMerge w:val="continue"/>
                  <w:vAlign w:val="center"/>
                </w:tcPr>
                <w:p w14:paraId="6D4676FB">
                  <w:pPr>
                    <w:pStyle w:val="45"/>
                    <w:rPr>
                      <w:rFonts w:hint="default" w:ascii="Times New Roman" w:hAnsi="Times New Roman" w:eastAsia="仿宋" w:cs="Times New Roman"/>
                      <w:b/>
                      <w:color w:val="auto"/>
                      <w:szCs w:val="21"/>
                    </w:rPr>
                  </w:pPr>
                </w:p>
              </w:tc>
              <w:tc>
                <w:tcPr>
                  <w:tcW w:w="960" w:type="pct"/>
                  <w:vAlign w:val="center"/>
                </w:tcPr>
                <w:p w14:paraId="3468D713">
                  <w:pPr>
                    <w:tabs>
                      <w:tab w:val="left" w:pos="1418"/>
                    </w:tabs>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标准名称</w:t>
                  </w:r>
                </w:p>
              </w:tc>
              <w:tc>
                <w:tcPr>
                  <w:tcW w:w="517" w:type="pct"/>
                  <w:vAlign w:val="center"/>
                </w:tcPr>
                <w:p w14:paraId="7D3926E1">
                  <w:pPr>
                    <w:tabs>
                      <w:tab w:val="left" w:pos="1418"/>
                    </w:tabs>
                    <w:jc w:val="center"/>
                    <w:rPr>
                      <w:rFonts w:hint="default" w:ascii="Times New Roman" w:hAnsi="Times New Roman" w:eastAsia="仿宋" w:cs="Times New Roman"/>
                      <w:b/>
                      <w:color w:val="auto"/>
                      <w:lang w:eastAsia="zh-CN"/>
                    </w:rPr>
                  </w:pPr>
                  <w:r>
                    <w:rPr>
                      <w:rFonts w:hint="default" w:ascii="Times New Roman" w:hAnsi="Times New Roman" w:eastAsia="仿宋" w:cs="Times New Roman"/>
                      <w:b/>
                      <w:color w:val="auto"/>
                    </w:rPr>
                    <w:t>浓度限值mg/m</w:t>
                  </w:r>
                  <w:r>
                    <w:rPr>
                      <w:rFonts w:hint="default" w:ascii="Times New Roman" w:hAnsi="Times New Roman" w:eastAsia="仿宋" w:cs="Times New Roman"/>
                      <w:b/>
                      <w:color w:val="auto"/>
                      <w:vertAlign w:val="superscript"/>
                    </w:rPr>
                    <w:t>3</w:t>
                  </w:r>
                </w:p>
              </w:tc>
              <w:tc>
                <w:tcPr>
                  <w:tcW w:w="323" w:type="pct"/>
                  <w:vAlign w:val="center"/>
                </w:tcPr>
                <w:p w14:paraId="6219838E">
                  <w:pPr>
                    <w:tabs>
                      <w:tab w:val="left" w:pos="1418"/>
                    </w:tabs>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速率限值kg/h</w:t>
                  </w:r>
                </w:p>
              </w:tc>
            </w:tr>
            <w:tr w14:paraId="09CE64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89" w:type="pct"/>
                  <w:vAlign w:val="center"/>
                </w:tcPr>
                <w:p w14:paraId="39799DFB">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DA001</w:t>
                  </w:r>
                </w:p>
              </w:tc>
              <w:tc>
                <w:tcPr>
                  <w:tcW w:w="153" w:type="pct"/>
                  <w:vMerge w:val="restart"/>
                  <w:vAlign w:val="center"/>
                </w:tcPr>
                <w:p w14:paraId="1412BB16">
                  <w:pPr>
                    <w:pStyle w:val="45"/>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一般排放口</w:t>
                  </w:r>
                </w:p>
              </w:tc>
              <w:tc>
                <w:tcPr>
                  <w:tcW w:w="606" w:type="pct"/>
                  <w:vAlign w:val="center"/>
                </w:tcPr>
                <w:p w14:paraId="10C55B73">
                  <w:pPr>
                    <w:pStyle w:val="5"/>
                    <w:adjustRightInd w:val="0"/>
                    <w:snapToGrid w:val="0"/>
                    <w:ind w:firstLine="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119.388395</w:t>
                  </w:r>
                </w:p>
              </w:tc>
              <w:tc>
                <w:tcPr>
                  <w:tcW w:w="547" w:type="pct"/>
                  <w:vAlign w:val="center"/>
                </w:tcPr>
                <w:p w14:paraId="3D009BA6">
                  <w:pPr>
                    <w:pStyle w:val="45"/>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31.708686</w:t>
                  </w:r>
                </w:p>
              </w:tc>
              <w:tc>
                <w:tcPr>
                  <w:tcW w:w="274" w:type="pct"/>
                  <w:vAlign w:val="center"/>
                </w:tcPr>
                <w:p w14:paraId="1FBD56DB">
                  <w:pPr>
                    <w:pStyle w:val="45"/>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355" w:type="pct"/>
                  <w:vAlign w:val="center"/>
                </w:tcPr>
                <w:p w14:paraId="791BA49F">
                  <w:pPr>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0.8</w:t>
                  </w:r>
                </w:p>
              </w:tc>
              <w:tc>
                <w:tcPr>
                  <w:tcW w:w="376" w:type="pct"/>
                  <w:vAlign w:val="center"/>
                </w:tcPr>
                <w:p w14:paraId="190B63DC">
                  <w:pPr>
                    <w:pStyle w:val="45"/>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w:t>
                  </w:r>
                </w:p>
              </w:tc>
              <w:tc>
                <w:tcPr>
                  <w:tcW w:w="495" w:type="pct"/>
                  <w:vAlign w:val="center"/>
                </w:tcPr>
                <w:p w14:paraId="096A08A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 w:val="21"/>
                      <w:szCs w:val="21"/>
                      <w:lang w:eastAsia="zh-CN"/>
                    </w:rPr>
                    <w:t>颗粒物</w:t>
                  </w:r>
                </w:p>
              </w:tc>
              <w:tc>
                <w:tcPr>
                  <w:tcW w:w="960" w:type="pct"/>
                  <w:vMerge w:val="restart"/>
                  <w:vAlign w:val="center"/>
                </w:tcPr>
                <w:p w14:paraId="6928075C">
                  <w:pPr>
                    <w:pStyle w:val="5"/>
                    <w:adjustRightInd w:val="0"/>
                    <w:snapToGrid w:val="0"/>
                    <w:ind w:firstLine="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DB32/4041-2021</w:t>
                  </w:r>
                </w:p>
              </w:tc>
              <w:tc>
                <w:tcPr>
                  <w:tcW w:w="517" w:type="pct"/>
                  <w:vAlign w:val="center"/>
                </w:tcPr>
                <w:p w14:paraId="06C727EB">
                  <w:pPr>
                    <w:pStyle w:val="5"/>
                    <w:adjustRightInd w:val="0"/>
                    <w:snapToGrid w:val="0"/>
                    <w:ind w:firstLine="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w:t>
                  </w:r>
                </w:p>
              </w:tc>
              <w:tc>
                <w:tcPr>
                  <w:tcW w:w="323" w:type="pct"/>
                  <w:vAlign w:val="center"/>
                </w:tcPr>
                <w:p w14:paraId="1581032C">
                  <w:pPr>
                    <w:pStyle w:val="5"/>
                    <w:adjustRightInd w:val="0"/>
                    <w:snapToGrid w:val="0"/>
                    <w:ind w:firstLine="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1</w:t>
                  </w:r>
                </w:p>
              </w:tc>
            </w:tr>
            <w:tr w14:paraId="48482C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89" w:type="pct"/>
                  <w:vAlign w:val="center"/>
                </w:tcPr>
                <w:p w14:paraId="7EABF82C">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DA002</w:t>
                  </w:r>
                </w:p>
              </w:tc>
              <w:tc>
                <w:tcPr>
                  <w:tcW w:w="153" w:type="pct"/>
                  <w:vMerge w:val="continue"/>
                  <w:vAlign w:val="center"/>
                </w:tcPr>
                <w:p w14:paraId="7EE7F87D">
                  <w:pPr>
                    <w:pStyle w:val="45"/>
                    <w:rPr>
                      <w:rFonts w:hint="default" w:ascii="Times New Roman" w:hAnsi="Times New Roman" w:eastAsia="仿宋" w:cs="Times New Roman"/>
                      <w:color w:val="auto"/>
                      <w:sz w:val="21"/>
                      <w:szCs w:val="21"/>
                    </w:rPr>
                  </w:pPr>
                </w:p>
              </w:tc>
              <w:tc>
                <w:tcPr>
                  <w:tcW w:w="606" w:type="pct"/>
                  <w:vAlign w:val="center"/>
                </w:tcPr>
                <w:p w14:paraId="525F3722">
                  <w:pPr>
                    <w:pStyle w:val="5"/>
                    <w:adjustRightInd w:val="0"/>
                    <w:snapToGrid w:val="0"/>
                    <w:ind w:firstLine="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119.389221</w:t>
                  </w:r>
                </w:p>
              </w:tc>
              <w:tc>
                <w:tcPr>
                  <w:tcW w:w="547" w:type="pct"/>
                  <w:vAlign w:val="center"/>
                </w:tcPr>
                <w:p w14:paraId="4EB93091">
                  <w:pPr>
                    <w:pStyle w:val="45"/>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31.707961</w:t>
                  </w:r>
                </w:p>
              </w:tc>
              <w:tc>
                <w:tcPr>
                  <w:tcW w:w="274" w:type="pct"/>
                  <w:vAlign w:val="center"/>
                </w:tcPr>
                <w:p w14:paraId="31160835">
                  <w:pPr>
                    <w:pStyle w:val="45"/>
                    <w:rPr>
                      <w:rFonts w:hint="default" w:ascii="Times New Roman" w:hAnsi="Times New Roman" w:eastAsia="仿宋" w:cs="Times New Roman"/>
                      <w:color w:val="auto"/>
                      <w:kern w:val="44"/>
                      <w:sz w:val="21"/>
                      <w:szCs w:val="21"/>
                      <w:lang w:val="en-US" w:eastAsia="zh-CN" w:bidi="ar-SA"/>
                    </w:rPr>
                  </w:pPr>
                  <w:r>
                    <w:rPr>
                      <w:rFonts w:hint="default" w:ascii="Times New Roman" w:hAnsi="Times New Roman" w:eastAsia="仿宋" w:cs="Times New Roman"/>
                      <w:color w:val="auto"/>
                      <w:sz w:val="21"/>
                      <w:szCs w:val="21"/>
                    </w:rPr>
                    <w:t>15</w:t>
                  </w:r>
                </w:p>
              </w:tc>
              <w:tc>
                <w:tcPr>
                  <w:tcW w:w="355" w:type="pct"/>
                  <w:vAlign w:val="center"/>
                </w:tcPr>
                <w:p w14:paraId="0FB775B8">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0.6</w:t>
                  </w:r>
                </w:p>
              </w:tc>
              <w:tc>
                <w:tcPr>
                  <w:tcW w:w="376" w:type="pct"/>
                  <w:vAlign w:val="center"/>
                </w:tcPr>
                <w:p w14:paraId="3D9DCBE3">
                  <w:pPr>
                    <w:pStyle w:val="45"/>
                    <w:rPr>
                      <w:rFonts w:hint="default" w:ascii="Times New Roman" w:hAnsi="Times New Roman" w:eastAsia="仿宋" w:cs="Times New Roman"/>
                      <w:color w:val="auto"/>
                      <w:kern w:val="44"/>
                      <w:sz w:val="21"/>
                      <w:szCs w:val="21"/>
                      <w:lang w:val="en-US" w:eastAsia="zh-CN" w:bidi="ar-SA"/>
                    </w:rPr>
                  </w:pPr>
                  <w:r>
                    <w:rPr>
                      <w:rFonts w:hint="default" w:ascii="Times New Roman" w:hAnsi="Times New Roman" w:eastAsia="仿宋" w:cs="Times New Roman"/>
                      <w:color w:val="auto"/>
                      <w:sz w:val="21"/>
                      <w:szCs w:val="21"/>
                    </w:rPr>
                    <w:t>25</w:t>
                  </w:r>
                </w:p>
              </w:tc>
              <w:tc>
                <w:tcPr>
                  <w:tcW w:w="495" w:type="pct"/>
                  <w:vAlign w:val="center"/>
                </w:tcPr>
                <w:p w14:paraId="435ED635">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kern w:val="44"/>
                      <w:sz w:val="21"/>
                      <w:szCs w:val="21"/>
                      <w:lang w:val="en-US" w:eastAsia="zh-CN" w:bidi="ar-SA"/>
                    </w:rPr>
                  </w:pPr>
                  <w:r>
                    <w:rPr>
                      <w:rFonts w:hint="default" w:ascii="Times New Roman" w:hAnsi="Times New Roman" w:eastAsia="仿宋" w:cs="Times New Roman"/>
                      <w:color w:val="auto"/>
                      <w:sz w:val="21"/>
                      <w:szCs w:val="21"/>
                      <w:lang w:eastAsia="zh-CN"/>
                    </w:rPr>
                    <w:t>颗粒物</w:t>
                  </w:r>
                </w:p>
              </w:tc>
              <w:tc>
                <w:tcPr>
                  <w:tcW w:w="960" w:type="pct"/>
                  <w:vMerge w:val="continue"/>
                  <w:vAlign w:val="center"/>
                </w:tcPr>
                <w:p w14:paraId="27913703">
                  <w:pPr>
                    <w:pStyle w:val="5"/>
                    <w:adjustRightInd w:val="0"/>
                    <w:snapToGrid w:val="0"/>
                    <w:ind w:firstLine="0"/>
                    <w:jc w:val="center"/>
                    <w:rPr>
                      <w:rFonts w:hint="default" w:ascii="Times New Roman" w:hAnsi="Times New Roman" w:eastAsia="仿宋" w:cs="Times New Roman"/>
                      <w:color w:val="auto"/>
                      <w:szCs w:val="21"/>
                    </w:rPr>
                  </w:pPr>
                </w:p>
              </w:tc>
              <w:tc>
                <w:tcPr>
                  <w:tcW w:w="517" w:type="pct"/>
                  <w:vAlign w:val="center"/>
                </w:tcPr>
                <w:p w14:paraId="6708E2F4">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w:t>
                  </w:r>
                </w:p>
              </w:tc>
              <w:tc>
                <w:tcPr>
                  <w:tcW w:w="323" w:type="pct"/>
                  <w:vAlign w:val="center"/>
                </w:tcPr>
                <w:p w14:paraId="1326F72A">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w:t>
                  </w:r>
                </w:p>
              </w:tc>
            </w:tr>
            <w:tr w14:paraId="05FF4C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89" w:type="pct"/>
                  <w:vMerge w:val="restart"/>
                  <w:vAlign w:val="center"/>
                </w:tcPr>
                <w:p w14:paraId="2085005A">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DA003</w:t>
                  </w:r>
                </w:p>
              </w:tc>
              <w:tc>
                <w:tcPr>
                  <w:tcW w:w="153" w:type="pct"/>
                  <w:vMerge w:val="continue"/>
                  <w:vAlign w:val="center"/>
                </w:tcPr>
                <w:p w14:paraId="6388C042">
                  <w:pPr>
                    <w:pStyle w:val="45"/>
                    <w:rPr>
                      <w:rFonts w:hint="default" w:ascii="Times New Roman" w:hAnsi="Times New Roman" w:eastAsia="仿宋" w:cs="Times New Roman"/>
                      <w:color w:val="auto"/>
                      <w:sz w:val="21"/>
                      <w:szCs w:val="21"/>
                    </w:rPr>
                  </w:pPr>
                </w:p>
              </w:tc>
              <w:tc>
                <w:tcPr>
                  <w:tcW w:w="606" w:type="pct"/>
                  <w:vMerge w:val="restart"/>
                  <w:vAlign w:val="center"/>
                </w:tcPr>
                <w:p w14:paraId="7589D9CF">
                  <w:pPr>
                    <w:pStyle w:val="5"/>
                    <w:adjustRightInd w:val="0"/>
                    <w:snapToGrid w:val="0"/>
                    <w:ind w:firstLine="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119.389350</w:t>
                  </w:r>
                </w:p>
              </w:tc>
              <w:tc>
                <w:tcPr>
                  <w:tcW w:w="547" w:type="pct"/>
                  <w:vMerge w:val="restart"/>
                  <w:vAlign w:val="center"/>
                </w:tcPr>
                <w:p w14:paraId="355AE3C6">
                  <w:pPr>
                    <w:pStyle w:val="45"/>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31.708225</w:t>
                  </w:r>
                </w:p>
              </w:tc>
              <w:tc>
                <w:tcPr>
                  <w:tcW w:w="274" w:type="pct"/>
                  <w:vMerge w:val="restart"/>
                  <w:vAlign w:val="center"/>
                </w:tcPr>
                <w:p w14:paraId="172E5DB4">
                  <w:pPr>
                    <w:pStyle w:val="45"/>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355" w:type="pct"/>
                  <w:vMerge w:val="restart"/>
                  <w:vAlign w:val="center"/>
                </w:tcPr>
                <w:p w14:paraId="4865C5CB">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0.8</w:t>
                  </w:r>
                </w:p>
              </w:tc>
              <w:tc>
                <w:tcPr>
                  <w:tcW w:w="376" w:type="pct"/>
                  <w:vMerge w:val="restart"/>
                  <w:vAlign w:val="center"/>
                </w:tcPr>
                <w:p w14:paraId="2CA51ED4">
                  <w:pPr>
                    <w:pStyle w:val="45"/>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w:t>
                  </w:r>
                </w:p>
              </w:tc>
              <w:tc>
                <w:tcPr>
                  <w:tcW w:w="495" w:type="pct"/>
                  <w:vAlign w:val="center"/>
                </w:tcPr>
                <w:p w14:paraId="1EB56A1F">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颗粒物</w:t>
                  </w:r>
                </w:p>
              </w:tc>
              <w:tc>
                <w:tcPr>
                  <w:tcW w:w="960" w:type="pct"/>
                  <w:vMerge w:val="restart"/>
                  <w:vAlign w:val="center"/>
                </w:tcPr>
                <w:p w14:paraId="5C257681">
                  <w:pPr>
                    <w:pStyle w:val="5"/>
                    <w:adjustRightInd w:val="0"/>
                    <w:snapToGrid w:val="0"/>
                    <w:ind w:firstLine="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DB32/4439-2022</w:t>
                  </w:r>
                </w:p>
              </w:tc>
              <w:tc>
                <w:tcPr>
                  <w:tcW w:w="517" w:type="pct"/>
                  <w:vAlign w:val="center"/>
                </w:tcPr>
                <w:p w14:paraId="01E1D553">
                  <w:pPr>
                    <w:pStyle w:val="5"/>
                    <w:adjustRightInd w:val="0"/>
                    <w:snapToGrid w:val="0"/>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w:t>
                  </w:r>
                </w:p>
              </w:tc>
              <w:tc>
                <w:tcPr>
                  <w:tcW w:w="323" w:type="pct"/>
                  <w:vAlign w:val="center"/>
                </w:tcPr>
                <w:p w14:paraId="14B471EF">
                  <w:pPr>
                    <w:pStyle w:val="5"/>
                    <w:adjustRightInd w:val="0"/>
                    <w:snapToGrid w:val="0"/>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0.4</w:t>
                  </w:r>
                </w:p>
              </w:tc>
            </w:tr>
            <w:tr w14:paraId="0769E4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89" w:type="pct"/>
                  <w:vMerge w:val="continue"/>
                  <w:vAlign w:val="center"/>
                </w:tcPr>
                <w:p w14:paraId="2138FDAF">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rPr>
                  </w:pPr>
                </w:p>
              </w:tc>
              <w:tc>
                <w:tcPr>
                  <w:tcW w:w="153" w:type="pct"/>
                  <w:vMerge w:val="continue"/>
                  <w:vAlign w:val="center"/>
                </w:tcPr>
                <w:p w14:paraId="4B808D6D">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rPr>
                  </w:pPr>
                </w:p>
              </w:tc>
              <w:tc>
                <w:tcPr>
                  <w:tcW w:w="606" w:type="pct"/>
                  <w:vMerge w:val="continue"/>
                  <w:vAlign w:val="center"/>
                </w:tcPr>
                <w:p w14:paraId="3ACEDF0B">
                  <w:pPr>
                    <w:pStyle w:val="5"/>
                    <w:adjustRightInd w:val="0"/>
                    <w:snapToGrid w:val="0"/>
                    <w:ind w:firstLine="0"/>
                    <w:jc w:val="center"/>
                    <w:rPr>
                      <w:rFonts w:hint="default" w:ascii="Times New Roman" w:hAnsi="Times New Roman" w:eastAsia="仿宋" w:cs="Times New Roman"/>
                      <w:color w:val="auto"/>
                      <w:sz w:val="21"/>
                      <w:szCs w:val="21"/>
                      <w:lang w:val="en-US" w:eastAsia="zh-CN"/>
                    </w:rPr>
                  </w:pPr>
                </w:p>
              </w:tc>
              <w:tc>
                <w:tcPr>
                  <w:tcW w:w="547" w:type="pct"/>
                  <w:vMerge w:val="continue"/>
                  <w:vAlign w:val="center"/>
                </w:tcPr>
                <w:p w14:paraId="3FA6F959">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rPr>
                  </w:pPr>
                </w:p>
              </w:tc>
              <w:tc>
                <w:tcPr>
                  <w:tcW w:w="274" w:type="pct"/>
                  <w:vMerge w:val="continue"/>
                  <w:vAlign w:val="center"/>
                </w:tcPr>
                <w:p w14:paraId="494A6C73">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rPr>
                  </w:pPr>
                </w:p>
              </w:tc>
              <w:tc>
                <w:tcPr>
                  <w:tcW w:w="355" w:type="pct"/>
                  <w:vMerge w:val="continue"/>
                  <w:vAlign w:val="center"/>
                </w:tcPr>
                <w:p w14:paraId="5A53F8B9">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rPr>
                  </w:pPr>
                </w:p>
              </w:tc>
              <w:tc>
                <w:tcPr>
                  <w:tcW w:w="376" w:type="pct"/>
                  <w:vMerge w:val="continue"/>
                  <w:vAlign w:val="center"/>
                </w:tcPr>
                <w:p w14:paraId="68043A19">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rPr>
                  </w:pPr>
                </w:p>
              </w:tc>
              <w:tc>
                <w:tcPr>
                  <w:tcW w:w="495" w:type="pct"/>
                  <w:vAlign w:val="center"/>
                </w:tcPr>
                <w:p w14:paraId="42175912">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NMHC</w:t>
                  </w:r>
                </w:p>
              </w:tc>
              <w:tc>
                <w:tcPr>
                  <w:tcW w:w="960" w:type="pct"/>
                  <w:vMerge w:val="continue"/>
                  <w:vAlign w:val="center"/>
                </w:tcPr>
                <w:p w14:paraId="237787E7">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kern w:val="0"/>
                      <w:sz w:val="21"/>
                      <w:szCs w:val="21"/>
                      <w:lang w:val="en-US" w:eastAsia="zh-CN" w:bidi="ar"/>
                    </w:rPr>
                  </w:pPr>
                </w:p>
              </w:tc>
              <w:tc>
                <w:tcPr>
                  <w:tcW w:w="517" w:type="pct"/>
                  <w:vAlign w:val="center"/>
                </w:tcPr>
                <w:p w14:paraId="3E5045BE">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50</w:t>
                  </w:r>
                </w:p>
              </w:tc>
              <w:tc>
                <w:tcPr>
                  <w:tcW w:w="323" w:type="pct"/>
                  <w:vAlign w:val="center"/>
                </w:tcPr>
                <w:p w14:paraId="4DF1FBD6">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2.0</w:t>
                  </w:r>
                </w:p>
              </w:tc>
            </w:tr>
            <w:tr w14:paraId="2345E9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89" w:type="pct"/>
                  <w:vAlign w:val="center"/>
                </w:tcPr>
                <w:p w14:paraId="47B417D9">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DA004</w:t>
                  </w:r>
                </w:p>
              </w:tc>
              <w:tc>
                <w:tcPr>
                  <w:tcW w:w="153" w:type="pct"/>
                  <w:vMerge w:val="continue"/>
                  <w:vAlign w:val="center"/>
                </w:tcPr>
                <w:p w14:paraId="32A0CA38">
                  <w:pPr>
                    <w:pStyle w:val="45"/>
                    <w:rPr>
                      <w:rFonts w:hint="default" w:ascii="Times New Roman" w:hAnsi="Times New Roman" w:eastAsia="仿宋" w:cs="Times New Roman"/>
                      <w:color w:val="auto"/>
                      <w:sz w:val="21"/>
                      <w:szCs w:val="21"/>
                    </w:rPr>
                  </w:pPr>
                </w:p>
              </w:tc>
              <w:tc>
                <w:tcPr>
                  <w:tcW w:w="606" w:type="pct"/>
                  <w:vAlign w:val="center"/>
                </w:tcPr>
                <w:p w14:paraId="47675DEA">
                  <w:pPr>
                    <w:pStyle w:val="5"/>
                    <w:adjustRightInd w:val="0"/>
                    <w:snapToGrid w:val="0"/>
                    <w:ind w:firstLine="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119.389194</w:t>
                  </w:r>
                </w:p>
              </w:tc>
              <w:tc>
                <w:tcPr>
                  <w:tcW w:w="547" w:type="pct"/>
                  <w:vAlign w:val="center"/>
                </w:tcPr>
                <w:p w14:paraId="37A4CC79">
                  <w:pPr>
                    <w:pStyle w:val="45"/>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31.707819</w:t>
                  </w:r>
                </w:p>
              </w:tc>
              <w:tc>
                <w:tcPr>
                  <w:tcW w:w="274" w:type="pct"/>
                  <w:vAlign w:val="center"/>
                </w:tcPr>
                <w:p w14:paraId="0E0B12B6">
                  <w:pPr>
                    <w:pStyle w:val="45"/>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355" w:type="pct"/>
                  <w:vAlign w:val="center"/>
                </w:tcPr>
                <w:p w14:paraId="7F5F0F74">
                  <w:pPr>
                    <w:snapToGrid w:val="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0.2</w:t>
                  </w:r>
                </w:p>
              </w:tc>
              <w:tc>
                <w:tcPr>
                  <w:tcW w:w="376" w:type="pct"/>
                  <w:vAlign w:val="center"/>
                </w:tcPr>
                <w:p w14:paraId="110DED42">
                  <w:pPr>
                    <w:pStyle w:val="45"/>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w:t>
                  </w:r>
                </w:p>
              </w:tc>
              <w:tc>
                <w:tcPr>
                  <w:tcW w:w="495" w:type="pct"/>
                  <w:vAlign w:val="center"/>
                </w:tcPr>
                <w:p w14:paraId="39373F88">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bidi="ar"/>
                    </w:rPr>
                    <w:t>NMHC</w:t>
                  </w:r>
                </w:p>
              </w:tc>
              <w:tc>
                <w:tcPr>
                  <w:tcW w:w="960" w:type="pct"/>
                  <w:vAlign w:val="center"/>
                </w:tcPr>
                <w:p w14:paraId="74802A43">
                  <w:pPr>
                    <w:pStyle w:val="5"/>
                    <w:adjustRightInd w:val="0"/>
                    <w:snapToGrid w:val="0"/>
                    <w:ind w:firstLine="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DB32/4041-2021</w:t>
                  </w:r>
                </w:p>
              </w:tc>
              <w:tc>
                <w:tcPr>
                  <w:tcW w:w="517" w:type="pct"/>
                  <w:vAlign w:val="center"/>
                </w:tcPr>
                <w:p w14:paraId="389EAF10">
                  <w:pPr>
                    <w:pStyle w:val="5"/>
                    <w:adjustRightInd w:val="0"/>
                    <w:snapToGrid w:val="0"/>
                    <w:ind w:firstLine="0" w:firstLineChars="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60</w:t>
                  </w:r>
                </w:p>
              </w:tc>
              <w:tc>
                <w:tcPr>
                  <w:tcW w:w="323" w:type="pct"/>
                  <w:vAlign w:val="center"/>
                </w:tcPr>
                <w:p w14:paraId="4718844D">
                  <w:pPr>
                    <w:pStyle w:val="5"/>
                    <w:adjustRightInd w:val="0"/>
                    <w:snapToGrid w:val="0"/>
                    <w:ind w:firstLine="0" w:firstLineChars="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3</w:t>
                  </w:r>
                </w:p>
              </w:tc>
            </w:tr>
          </w:tbl>
          <w:p w14:paraId="204C1FDE">
            <w:pPr>
              <w:adjustRightInd w:val="0"/>
              <w:snapToGrid w:val="0"/>
              <w:spacing w:line="500" w:lineRule="exact"/>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参照《排污单位自行监测技术指南 涂装》（HJ1086-2020）及《排污单位自行监测技术指南 总则》（HJ 819-2017）中相关要求。</w:t>
            </w:r>
          </w:p>
          <w:p w14:paraId="412FFC9A">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rPr>
              <w:t>表4-</w:t>
            </w:r>
            <w:r>
              <w:rPr>
                <w:rFonts w:hint="eastAsia" w:ascii="Times New Roman" w:hAnsi="Times New Roman" w:eastAsia="仿宋" w:cs="Times New Roman"/>
                <w:b/>
                <w:color w:val="auto"/>
                <w:sz w:val="21"/>
                <w:szCs w:val="21"/>
                <w:highlight w:val="none"/>
                <w:lang w:val="en-US" w:eastAsia="zh-CN"/>
              </w:rPr>
              <w:t>8</w:t>
            </w:r>
            <w:r>
              <w:rPr>
                <w:rFonts w:hint="default" w:ascii="Times New Roman" w:hAnsi="Times New Roman" w:eastAsia="仿宋" w:cs="Times New Roman"/>
                <w:b/>
                <w:color w:val="auto"/>
                <w:sz w:val="21"/>
                <w:szCs w:val="21"/>
                <w:highlight w:val="none"/>
                <w:lang w:val="en-US" w:eastAsia="zh-CN"/>
              </w:rPr>
              <w:t xml:space="preserve"> 本项目</w:t>
            </w:r>
            <w:r>
              <w:rPr>
                <w:rFonts w:hint="default" w:ascii="Times New Roman" w:hAnsi="Times New Roman" w:eastAsia="仿宋" w:cs="Times New Roman"/>
                <w:b/>
                <w:color w:val="auto"/>
                <w:sz w:val="21"/>
                <w:szCs w:val="21"/>
                <w:highlight w:val="none"/>
              </w:rPr>
              <w:t>废气</w:t>
            </w:r>
            <w:r>
              <w:rPr>
                <w:rFonts w:hint="default" w:ascii="Times New Roman" w:hAnsi="Times New Roman" w:eastAsia="仿宋" w:cs="Times New Roman"/>
                <w:b/>
                <w:color w:val="auto"/>
                <w:sz w:val="21"/>
                <w:szCs w:val="21"/>
                <w:highlight w:val="none"/>
                <w:lang w:val="en-US" w:eastAsia="zh-CN"/>
              </w:rPr>
              <w:t>自行</w:t>
            </w:r>
            <w:r>
              <w:rPr>
                <w:rFonts w:hint="default" w:ascii="Times New Roman" w:hAnsi="Times New Roman" w:eastAsia="仿宋" w:cs="Times New Roman"/>
                <w:b/>
                <w:color w:val="auto"/>
                <w:sz w:val="21"/>
                <w:szCs w:val="21"/>
                <w:highlight w:val="none"/>
              </w:rPr>
              <w:t>监测</w:t>
            </w:r>
            <w:r>
              <w:rPr>
                <w:rFonts w:hint="default" w:ascii="Times New Roman" w:hAnsi="Times New Roman" w:eastAsia="仿宋" w:cs="Times New Roman"/>
                <w:b/>
                <w:color w:val="auto"/>
                <w:sz w:val="21"/>
                <w:szCs w:val="21"/>
                <w:highlight w:val="none"/>
                <w:lang w:val="en-US" w:eastAsia="zh-CN"/>
              </w:rPr>
              <w:t>方案</w:t>
            </w:r>
          </w:p>
          <w:tbl>
            <w:tblPr>
              <w:tblStyle w:val="27"/>
              <w:tblW w:w="484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79" w:type="dxa"/>
                <w:bottom w:w="28" w:type="dxa"/>
                <w:right w:w="79" w:type="dxa"/>
              </w:tblCellMar>
            </w:tblPr>
            <w:tblGrid>
              <w:gridCol w:w="1023"/>
              <w:gridCol w:w="2644"/>
              <w:gridCol w:w="3030"/>
              <w:gridCol w:w="1253"/>
            </w:tblGrid>
            <w:tr w14:paraId="57EC10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3" w:type="pct"/>
                  <w:vAlign w:val="center"/>
                </w:tcPr>
                <w:p w14:paraId="4AA4E4D3">
                  <w:pPr>
                    <w:adjustRightInd w:val="0"/>
                    <w:snapToGrid w:val="0"/>
                    <w:jc w:val="center"/>
                    <w:rPr>
                      <w:rFonts w:hint="default" w:ascii="Times New Roman" w:hAnsi="Times New Roman" w:eastAsia="仿宋" w:cs="Times New Roman"/>
                      <w:b/>
                      <w:color w:val="auto"/>
                      <w:szCs w:val="21"/>
                      <w:lang w:eastAsia="zh-CN"/>
                    </w:rPr>
                  </w:pPr>
                  <w:r>
                    <w:rPr>
                      <w:rFonts w:hint="default" w:ascii="Times New Roman" w:hAnsi="Times New Roman" w:eastAsia="仿宋" w:cs="Times New Roman"/>
                      <w:b/>
                      <w:color w:val="auto"/>
                      <w:szCs w:val="21"/>
                      <w:lang w:val="en-US" w:eastAsia="zh-CN"/>
                    </w:rPr>
                    <w:t>类别</w:t>
                  </w:r>
                </w:p>
              </w:tc>
              <w:tc>
                <w:tcPr>
                  <w:tcW w:w="1662" w:type="pct"/>
                  <w:vAlign w:val="center"/>
                </w:tcPr>
                <w:p w14:paraId="2BDC3B95">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监测点位</w:t>
                  </w:r>
                </w:p>
              </w:tc>
              <w:tc>
                <w:tcPr>
                  <w:tcW w:w="1905" w:type="pct"/>
                  <w:vAlign w:val="center"/>
                </w:tcPr>
                <w:p w14:paraId="4EAC5BE2">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监测项目</w:t>
                  </w:r>
                </w:p>
              </w:tc>
              <w:tc>
                <w:tcPr>
                  <w:tcW w:w="788" w:type="pct"/>
                  <w:vAlign w:val="center"/>
                </w:tcPr>
                <w:p w14:paraId="43DD58B6">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监测频率</w:t>
                  </w:r>
                </w:p>
              </w:tc>
            </w:tr>
            <w:tr w14:paraId="44744F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3" w:type="pct"/>
                  <w:vMerge w:val="restart"/>
                  <w:vAlign w:val="center"/>
                </w:tcPr>
                <w:p w14:paraId="4432C7CC">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有组织</w:t>
                  </w:r>
                </w:p>
              </w:tc>
              <w:tc>
                <w:tcPr>
                  <w:tcW w:w="1662" w:type="pct"/>
                  <w:vAlign w:val="center"/>
                </w:tcPr>
                <w:p w14:paraId="29FB9E45">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DA001</w:t>
                  </w:r>
                </w:p>
              </w:tc>
              <w:tc>
                <w:tcPr>
                  <w:tcW w:w="1905" w:type="pct"/>
                  <w:vAlign w:val="center"/>
                </w:tcPr>
                <w:p w14:paraId="3C8A9DE3">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eastAsia="zh-CN"/>
                    </w:rPr>
                    <w:t>颗粒物</w:t>
                  </w:r>
                </w:p>
              </w:tc>
              <w:tc>
                <w:tcPr>
                  <w:tcW w:w="788" w:type="pct"/>
                  <w:vAlign w:val="center"/>
                </w:tcPr>
                <w:p w14:paraId="6306EB39">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1次</w:t>
                  </w:r>
                  <w:r>
                    <w:rPr>
                      <w:rFonts w:hint="default" w:ascii="Times New Roman" w:hAnsi="Times New Roman" w:eastAsia="仿宋" w:cs="Times New Roman"/>
                      <w:color w:val="auto"/>
                      <w:szCs w:val="21"/>
                      <w:lang w:val="en-US" w:eastAsia="zh-CN"/>
                    </w:rPr>
                    <w:t>/年</w:t>
                  </w:r>
                </w:p>
              </w:tc>
            </w:tr>
            <w:tr w14:paraId="01C204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3" w:type="pct"/>
                  <w:vMerge w:val="continue"/>
                  <w:vAlign w:val="center"/>
                </w:tcPr>
                <w:p w14:paraId="35A4F85C">
                  <w:pPr>
                    <w:adjustRightInd w:val="0"/>
                    <w:snapToGrid w:val="0"/>
                    <w:jc w:val="center"/>
                    <w:rPr>
                      <w:rFonts w:hint="default" w:ascii="Times New Roman" w:hAnsi="Times New Roman" w:eastAsia="仿宋" w:cs="Times New Roman"/>
                      <w:color w:val="auto"/>
                      <w:szCs w:val="21"/>
                    </w:rPr>
                  </w:pPr>
                </w:p>
              </w:tc>
              <w:tc>
                <w:tcPr>
                  <w:tcW w:w="1662" w:type="pct"/>
                  <w:vAlign w:val="center"/>
                </w:tcPr>
                <w:p w14:paraId="28349075">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DA002</w:t>
                  </w:r>
                </w:p>
              </w:tc>
              <w:tc>
                <w:tcPr>
                  <w:tcW w:w="1905" w:type="pct"/>
                  <w:vAlign w:val="center"/>
                </w:tcPr>
                <w:p w14:paraId="702B59E7">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eastAsia="zh-CN"/>
                    </w:rPr>
                    <w:t>颗粒物</w:t>
                  </w:r>
                </w:p>
              </w:tc>
              <w:tc>
                <w:tcPr>
                  <w:tcW w:w="788" w:type="pct"/>
                  <w:vAlign w:val="center"/>
                </w:tcPr>
                <w:p w14:paraId="026FC25E">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1次</w:t>
                  </w:r>
                  <w:r>
                    <w:rPr>
                      <w:rFonts w:hint="default" w:ascii="Times New Roman" w:hAnsi="Times New Roman" w:eastAsia="仿宋" w:cs="Times New Roman"/>
                      <w:color w:val="auto"/>
                      <w:szCs w:val="21"/>
                      <w:lang w:val="en-US" w:eastAsia="zh-CN"/>
                    </w:rPr>
                    <w:t>/年</w:t>
                  </w:r>
                </w:p>
              </w:tc>
            </w:tr>
            <w:tr w14:paraId="4426EF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3" w:type="pct"/>
                  <w:vMerge w:val="continue"/>
                  <w:vAlign w:val="center"/>
                </w:tcPr>
                <w:p w14:paraId="17ABCB0D">
                  <w:pPr>
                    <w:adjustRightInd w:val="0"/>
                    <w:snapToGrid w:val="0"/>
                    <w:jc w:val="center"/>
                    <w:rPr>
                      <w:rFonts w:hint="default" w:ascii="Times New Roman" w:hAnsi="Times New Roman" w:eastAsia="仿宋" w:cs="Times New Roman"/>
                      <w:color w:val="auto"/>
                      <w:szCs w:val="21"/>
                    </w:rPr>
                  </w:pPr>
                </w:p>
              </w:tc>
              <w:tc>
                <w:tcPr>
                  <w:tcW w:w="1662" w:type="pct"/>
                  <w:vAlign w:val="center"/>
                </w:tcPr>
                <w:p w14:paraId="756249B9">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DA003</w:t>
                  </w:r>
                </w:p>
              </w:tc>
              <w:tc>
                <w:tcPr>
                  <w:tcW w:w="1905" w:type="pct"/>
                  <w:vAlign w:val="center"/>
                </w:tcPr>
                <w:p w14:paraId="622C270C">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eastAsia="zh-CN"/>
                    </w:rPr>
                    <w:t>颗粒物、</w:t>
                  </w:r>
                  <w:r>
                    <w:rPr>
                      <w:rFonts w:hint="default" w:ascii="Times New Roman" w:hAnsi="Times New Roman" w:eastAsia="仿宋" w:cs="Times New Roman"/>
                      <w:color w:val="auto"/>
                      <w:kern w:val="0"/>
                      <w:sz w:val="21"/>
                      <w:szCs w:val="21"/>
                      <w:lang w:val="en-US" w:eastAsia="zh-CN" w:bidi="ar"/>
                    </w:rPr>
                    <w:t>非甲烷总烃</w:t>
                  </w:r>
                </w:p>
              </w:tc>
              <w:tc>
                <w:tcPr>
                  <w:tcW w:w="788" w:type="pct"/>
                  <w:vAlign w:val="center"/>
                </w:tcPr>
                <w:p w14:paraId="3441E10D">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1次</w:t>
                  </w:r>
                  <w:r>
                    <w:rPr>
                      <w:rFonts w:hint="default" w:ascii="Times New Roman" w:hAnsi="Times New Roman" w:eastAsia="仿宋" w:cs="Times New Roman"/>
                      <w:color w:val="auto"/>
                      <w:szCs w:val="21"/>
                      <w:lang w:val="en-US" w:eastAsia="zh-CN"/>
                    </w:rPr>
                    <w:t>/年</w:t>
                  </w:r>
                </w:p>
              </w:tc>
            </w:tr>
            <w:tr w14:paraId="335925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3" w:type="pct"/>
                  <w:vMerge w:val="continue"/>
                  <w:vAlign w:val="center"/>
                </w:tcPr>
                <w:p w14:paraId="779E15C7">
                  <w:pPr>
                    <w:adjustRightInd w:val="0"/>
                    <w:snapToGrid w:val="0"/>
                    <w:jc w:val="center"/>
                    <w:rPr>
                      <w:rFonts w:hint="default" w:ascii="Times New Roman" w:hAnsi="Times New Roman" w:eastAsia="仿宋" w:cs="Times New Roman"/>
                      <w:color w:val="auto"/>
                      <w:szCs w:val="21"/>
                    </w:rPr>
                  </w:pPr>
                </w:p>
              </w:tc>
              <w:tc>
                <w:tcPr>
                  <w:tcW w:w="1662" w:type="pct"/>
                  <w:vAlign w:val="center"/>
                </w:tcPr>
                <w:p w14:paraId="45C5D2E6">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DA004</w:t>
                  </w:r>
                </w:p>
              </w:tc>
              <w:tc>
                <w:tcPr>
                  <w:tcW w:w="1905" w:type="pct"/>
                  <w:vAlign w:val="center"/>
                </w:tcPr>
                <w:p w14:paraId="15789C9F">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kern w:val="0"/>
                      <w:sz w:val="21"/>
                      <w:szCs w:val="21"/>
                      <w:lang w:val="en-US" w:eastAsia="zh-CN" w:bidi="ar"/>
                    </w:rPr>
                    <w:t>非甲烷总烃</w:t>
                  </w:r>
                </w:p>
              </w:tc>
              <w:tc>
                <w:tcPr>
                  <w:tcW w:w="788" w:type="pct"/>
                  <w:vAlign w:val="center"/>
                </w:tcPr>
                <w:p w14:paraId="61752E4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1次</w:t>
                  </w:r>
                  <w:r>
                    <w:rPr>
                      <w:rFonts w:hint="default" w:ascii="Times New Roman" w:hAnsi="Times New Roman" w:eastAsia="仿宋" w:cs="Times New Roman"/>
                      <w:color w:val="auto"/>
                      <w:szCs w:val="21"/>
                      <w:lang w:val="en-US" w:eastAsia="zh-CN"/>
                    </w:rPr>
                    <w:t>/年</w:t>
                  </w:r>
                </w:p>
              </w:tc>
            </w:tr>
            <w:tr w14:paraId="4D722A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3" w:type="pct"/>
                  <w:vMerge w:val="restart"/>
                  <w:vAlign w:val="center"/>
                </w:tcPr>
                <w:p w14:paraId="57DCE715">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无组织</w:t>
                  </w:r>
                </w:p>
              </w:tc>
              <w:tc>
                <w:tcPr>
                  <w:tcW w:w="1662" w:type="pct"/>
                  <w:vAlign w:val="center"/>
                </w:tcPr>
                <w:p w14:paraId="2185F2C2">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厂界外</w:t>
                  </w:r>
                </w:p>
              </w:tc>
              <w:tc>
                <w:tcPr>
                  <w:tcW w:w="1905" w:type="pct"/>
                  <w:vAlign w:val="center"/>
                </w:tcPr>
                <w:p w14:paraId="022F0512">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颗粒物、非甲烷总烃</w:t>
                  </w:r>
                </w:p>
              </w:tc>
              <w:tc>
                <w:tcPr>
                  <w:tcW w:w="788" w:type="pct"/>
                  <w:vAlign w:val="center"/>
                </w:tcPr>
                <w:p w14:paraId="19C29974">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1次</w:t>
                  </w:r>
                  <w:r>
                    <w:rPr>
                      <w:rFonts w:hint="default" w:ascii="Times New Roman" w:hAnsi="Times New Roman" w:eastAsia="仿宋" w:cs="Times New Roman"/>
                      <w:color w:val="auto"/>
                      <w:szCs w:val="21"/>
                      <w:lang w:val="en-US" w:eastAsia="zh-CN"/>
                    </w:rPr>
                    <w:t>/半年</w:t>
                  </w:r>
                </w:p>
              </w:tc>
            </w:tr>
            <w:tr w14:paraId="576F6A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3" w:type="pct"/>
                  <w:vMerge w:val="continue"/>
                  <w:vAlign w:val="center"/>
                </w:tcPr>
                <w:p w14:paraId="388FDE8A">
                  <w:pPr>
                    <w:adjustRightInd w:val="0"/>
                    <w:snapToGrid w:val="0"/>
                    <w:jc w:val="center"/>
                    <w:rPr>
                      <w:rFonts w:hint="default" w:ascii="Times New Roman" w:hAnsi="Times New Roman" w:eastAsia="仿宋" w:cs="Times New Roman"/>
                      <w:color w:val="auto"/>
                      <w:szCs w:val="21"/>
                      <w:lang w:val="en-US" w:eastAsia="zh-CN"/>
                    </w:rPr>
                  </w:pPr>
                </w:p>
              </w:tc>
              <w:tc>
                <w:tcPr>
                  <w:tcW w:w="1662" w:type="pct"/>
                  <w:vAlign w:val="center"/>
                </w:tcPr>
                <w:p w14:paraId="35380F29">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厂区内</w:t>
                  </w:r>
                </w:p>
              </w:tc>
              <w:tc>
                <w:tcPr>
                  <w:tcW w:w="1905" w:type="pct"/>
                  <w:vAlign w:val="center"/>
                </w:tcPr>
                <w:p w14:paraId="2FB7EB4D">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非甲烷总烃</w:t>
                  </w:r>
                </w:p>
              </w:tc>
              <w:tc>
                <w:tcPr>
                  <w:tcW w:w="788" w:type="pct"/>
                  <w:vAlign w:val="center"/>
                </w:tcPr>
                <w:p w14:paraId="6404079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1次</w:t>
                  </w:r>
                  <w:r>
                    <w:rPr>
                      <w:rFonts w:hint="default" w:ascii="Times New Roman" w:hAnsi="Times New Roman" w:eastAsia="仿宋" w:cs="Times New Roman"/>
                      <w:color w:val="auto"/>
                      <w:szCs w:val="21"/>
                      <w:lang w:val="en-US" w:eastAsia="zh-CN"/>
                    </w:rPr>
                    <w:t>/半年</w:t>
                  </w:r>
                </w:p>
              </w:tc>
            </w:tr>
          </w:tbl>
          <w:p w14:paraId="2145EC02">
            <w:pPr>
              <w:adjustRightInd w:val="0"/>
              <w:snapToGrid w:val="0"/>
              <w:spacing w:line="500" w:lineRule="exact"/>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val="en-US" w:eastAsia="zh-CN"/>
              </w:rPr>
              <w:t>6、</w:t>
            </w:r>
            <w:r>
              <w:rPr>
                <w:rFonts w:hint="default" w:ascii="Times New Roman" w:hAnsi="Times New Roman" w:eastAsia="仿宋" w:cs="Times New Roman"/>
                <w:b/>
                <w:color w:val="auto"/>
                <w:sz w:val="24"/>
              </w:rPr>
              <w:t>大气环境影响分析</w:t>
            </w:r>
          </w:p>
          <w:p w14:paraId="0A2FFF8F">
            <w:pPr>
              <w:adjustRightInd w:val="0"/>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1）大气环境防护距离</w:t>
            </w:r>
          </w:p>
          <w:p w14:paraId="24192815">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根据分析，本项目未捕集</w:t>
            </w:r>
            <w:r>
              <w:rPr>
                <w:rFonts w:hint="default" w:ascii="Times New Roman" w:hAnsi="Times New Roman" w:eastAsia="仿宋" w:cs="Times New Roman"/>
                <w:color w:val="auto"/>
                <w:sz w:val="24"/>
                <w:lang w:eastAsia="zh-CN"/>
              </w:rPr>
              <w:t>的工艺</w:t>
            </w:r>
            <w:r>
              <w:rPr>
                <w:rFonts w:hint="default" w:ascii="Times New Roman" w:hAnsi="Times New Roman" w:eastAsia="仿宋" w:cs="Times New Roman"/>
                <w:color w:val="auto"/>
                <w:sz w:val="24"/>
                <w:lang w:val="en-US" w:eastAsia="zh-CN"/>
              </w:rPr>
              <w:t>废气</w:t>
            </w:r>
            <w:r>
              <w:rPr>
                <w:rFonts w:hint="default" w:ascii="Times New Roman" w:hAnsi="Times New Roman" w:eastAsia="仿宋" w:cs="Times New Roman"/>
                <w:color w:val="auto"/>
                <w:sz w:val="24"/>
              </w:rPr>
              <w:t>无组织排放，大气环境防护距离计算模式采用环境保护部环境工程评估中心环境质量模拟重点实验室软件，经计算，本项目无组织排放废气计算结果无超标点。本项目不需设定大气环境防护距离。</w:t>
            </w:r>
          </w:p>
          <w:p w14:paraId="52C6BC3A">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2）卫生防护距离</w:t>
            </w:r>
          </w:p>
          <w:p w14:paraId="07981E9A">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根据《大气有害物质无组织排放卫生防护距离推导技术导则》(GB/T39499-2020)，各类工业企业卫生防护距离按下式计算：</w:t>
            </w:r>
          </w:p>
          <w:p w14:paraId="317B0208">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position w:val="-30"/>
                <w:sz w:val="24"/>
              </w:rPr>
              <w:object>
                <v:shape id="_x0000_i1025" o:spt="75" type="#_x0000_t75" style="height:38.15pt;width:153.15pt;" o:ole="t" filled="f" coordsize="21600,21600">
                  <v:path/>
                  <v:fill on="f" focussize="0,0"/>
                  <v:stroke/>
                  <v:imagedata r:id="rId23" o:title=""/>
                  <o:lock v:ext="edit" aspectratio="t"/>
                  <w10:wrap type="none"/>
                  <w10:anchorlock/>
                </v:shape>
                <o:OLEObject Type="Embed" ProgID="Equation.3" ShapeID="_x0000_i1025" DrawAspect="Content" ObjectID="_1468075725" r:id="rId22">
                  <o:LockedField>false</o:LockedField>
                </o:OLEObject>
              </w:object>
            </w:r>
          </w:p>
          <w:p w14:paraId="0430A876">
            <w:pPr>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式中：</w:t>
            </w:r>
          </w:p>
          <w:p w14:paraId="4B2D7709">
            <w:pPr>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C</w:t>
            </w:r>
            <w:r>
              <w:rPr>
                <w:rFonts w:hint="default" w:ascii="Times New Roman" w:hAnsi="Times New Roman" w:eastAsia="仿宋" w:cs="Times New Roman"/>
                <w:color w:val="auto"/>
                <w:sz w:val="24"/>
                <w:vertAlign w:val="subscript"/>
              </w:rPr>
              <w:t>m</w:t>
            </w:r>
            <w:r>
              <w:rPr>
                <w:rFonts w:hint="default" w:ascii="Times New Roman" w:hAnsi="Times New Roman" w:eastAsia="仿宋" w:cs="Times New Roman"/>
                <w:color w:val="auto"/>
                <w:sz w:val="24"/>
              </w:rPr>
              <w:t>—大气有害物质环境空气质量的标准限值，单位为毫克每立方米(mg/m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w:t>
            </w:r>
          </w:p>
          <w:p w14:paraId="134B187F">
            <w:pPr>
              <w:snapToGrid w:val="0"/>
              <w:spacing w:line="500" w:lineRule="exact"/>
              <w:ind w:firstLine="480" w:firstLineChars="20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rPr>
              <w:t>L—大气有害物质卫生防护距离初值，单位为米(m)</w:t>
            </w:r>
            <w:r>
              <w:rPr>
                <w:rFonts w:hint="default" w:ascii="Times New Roman" w:hAnsi="Times New Roman" w:eastAsia="仿宋" w:cs="Times New Roman"/>
                <w:color w:val="auto"/>
                <w:sz w:val="24"/>
                <w:lang w:eastAsia="zh-CN"/>
              </w:rPr>
              <w:t>；</w:t>
            </w:r>
          </w:p>
          <w:p w14:paraId="2B9A15DB">
            <w:pPr>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r—大气有害物质无组织排放源所在生产单元的等效半径，单位为米(m)；</w:t>
            </w:r>
          </w:p>
          <w:p w14:paraId="0146E331">
            <w:pPr>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A、B、C、D—卫生防护距离初值计算系数，该地区的平均</w:t>
            </w:r>
            <w:r>
              <w:rPr>
                <w:rFonts w:hint="default" w:ascii="Times New Roman" w:hAnsi="Times New Roman" w:eastAsia="仿宋" w:cs="Times New Roman"/>
                <w:color w:val="auto"/>
                <w:sz w:val="24"/>
                <w:szCs w:val="22"/>
              </w:rPr>
              <w:t>风速</w:t>
            </w:r>
            <w:r>
              <w:rPr>
                <w:rFonts w:hint="default" w:ascii="Times New Roman" w:hAnsi="Times New Roman" w:eastAsia="仿宋" w:cs="Times New Roman"/>
                <w:color w:val="auto"/>
                <w:sz w:val="24"/>
              </w:rPr>
              <w:t>为2.9m/s，</w:t>
            </w:r>
            <w:r>
              <w:rPr>
                <w:rFonts w:hint="default" w:ascii="Times New Roman" w:hAnsi="Times New Roman" w:eastAsia="仿宋" w:cs="Times New Roman"/>
                <w:color w:val="auto"/>
                <w:sz w:val="24"/>
                <w:lang w:val="en-US" w:eastAsia="zh-CN"/>
              </w:rPr>
              <w:t>参数</w:t>
            </w:r>
            <w:r>
              <w:rPr>
                <w:rFonts w:hint="default" w:ascii="Times New Roman" w:hAnsi="Times New Roman" w:eastAsia="仿宋" w:cs="Times New Roman"/>
                <w:color w:val="auto"/>
                <w:sz w:val="24"/>
              </w:rPr>
              <w:t>的选取见下表。</w:t>
            </w:r>
          </w:p>
          <w:p w14:paraId="60864168">
            <w:pPr>
              <w:adjustRightInd w:val="0"/>
              <w:snapToGrid w:val="0"/>
              <w:spacing w:line="500" w:lineRule="exact"/>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表4-</w:t>
            </w:r>
            <w:r>
              <w:rPr>
                <w:rFonts w:hint="eastAsia" w:ascii="Times New Roman" w:hAnsi="Times New Roman" w:eastAsia="仿宋" w:cs="Times New Roman"/>
                <w:b/>
                <w:color w:val="auto"/>
                <w:szCs w:val="21"/>
                <w:lang w:val="en-US" w:eastAsia="zh-CN"/>
              </w:rPr>
              <w:t>9</w:t>
            </w:r>
            <w:r>
              <w:rPr>
                <w:rFonts w:hint="default" w:ascii="Times New Roman" w:hAnsi="Times New Roman" w:eastAsia="仿宋" w:cs="Times New Roman"/>
                <w:b/>
                <w:color w:val="auto"/>
                <w:szCs w:val="21"/>
                <w:lang w:val="en-US" w:eastAsia="zh-CN"/>
              </w:rPr>
              <w:t xml:space="preserve"> </w:t>
            </w:r>
            <w:r>
              <w:rPr>
                <w:rFonts w:hint="default" w:ascii="Times New Roman" w:hAnsi="Times New Roman" w:eastAsia="仿宋" w:cs="Times New Roman"/>
                <w:b/>
                <w:color w:val="auto"/>
                <w:szCs w:val="21"/>
              </w:rPr>
              <w:t>卫生防护距离计算系数</w:t>
            </w:r>
          </w:p>
          <w:tbl>
            <w:tblPr>
              <w:tblStyle w:val="28"/>
              <w:tblW w:w="488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746"/>
              <w:gridCol w:w="745"/>
              <w:gridCol w:w="746"/>
              <w:gridCol w:w="749"/>
              <w:gridCol w:w="746"/>
              <w:gridCol w:w="746"/>
              <w:gridCol w:w="749"/>
              <w:gridCol w:w="746"/>
              <w:gridCol w:w="746"/>
              <w:gridCol w:w="744"/>
            </w:tblGrid>
            <w:tr w14:paraId="6C1BAF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17D013E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计</w:t>
                  </w:r>
                </w:p>
                <w:p w14:paraId="7BCD9D9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算</w:t>
                  </w:r>
                </w:p>
                <w:p w14:paraId="3DBEC2B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系</w:t>
                  </w:r>
                </w:p>
                <w:p w14:paraId="75F1389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数</w:t>
                  </w:r>
                </w:p>
              </w:tc>
              <w:tc>
                <w:tcPr>
                  <w:tcW w:w="466" w:type="pct"/>
                  <w:vMerge w:val="restart"/>
                  <w:vAlign w:val="center"/>
                </w:tcPr>
                <w:p w14:paraId="4DDDC9F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5年平均风速</w:t>
                  </w:r>
                </w:p>
                <w:p w14:paraId="23BF25A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m/s</w:t>
                  </w:r>
                </w:p>
              </w:tc>
              <w:tc>
                <w:tcPr>
                  <w:tcW w:w="4187" w:type="pct"/>
                  <w:gridSpan w:val="9"/>
                  <w:vAlign w:val="center"/>
                </w:tcPr>
                <w:p w14:paraId="3DEB948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卫生防护距离L，m</w:t>
                  </w:r>
                </w:p>
              </w:tc>
            </w:tr>
            <w:tr w14:paraId="2F8EE0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09C6C570">
                  <w:pPr>
                    <w:jc w:val="center"/>
                    <w:rPr>
                      <w:rFonts w:hint="default" w:ascii="Times New Roman" w:hAnsi="Times New Roman" w:eastAsia="仿宋" w:cs="Times New Roman"/>
                      <w:color w:val="auto"/>
                      <w:sz w:val="24"/>
                    </w:rPr>
                  </w:pPr>
                </w:p>
              </w:tc>
              <w:tc>
                <w:tcPr>
                  <w:tcW w:w="466" w:type="pct"/>
                  <w:vMerge w:val="continue"/>
                  <w:vAlign w:val="center"/>
                </w:tcPr>
                <w:p w14:paraId="0E87E2C7">
                  <w:pPr>
                    <w:jc w:val="center"/>
                    <w:rPr>
                      <w:rFonts w:hint="default" w:ascii="Times New Roman" w:hAnsi="Times New Roman" w:eastAsia="仿宋" w:cs="Times New Roman"/>
                      <w:color w:val="auto"/>
                      <w:sz w:val="24"/>
                    </w:rPr>
                  </w:pPr>
                </w:p>
              </w:tc>
              <w:tc>
                <w:tcPr>
                  <w:tcW w:w="1397" w:type="pct"/>
                  <w:gridSpan w:val="3"/>
                  <w:vAlign w:val="center"/>
                </w:tcPr>
                <w:p w14:paraId="5E414E3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L≤1000</w:t>
                  </w:r>
                </w:p>
              </w:tc>
              <w:tc>
                <w:tcPr>
                  <w:tcW w:w="1397" w:type="pct"/>
                  <w:gridSpan w:val="3"/>
                  <w:vAlign w:val="center"/>
                </w:tcPr>
                <w:p w14:paraId="0E2DCF2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L≤1000</w:t>
                  </w:r>
                </w:p>
              </w:tc>
              <w:tc>
                <w:tcPr>
                  <w:tcW w:w="1392" w:type="pct"/>
                  <w:gridSpan w:val="3"/>
                  <w:vAlign w:val="center"/>
                </w:tcPr>
                <w:p w14:paraId="1F0CC92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L≤1000</w:t>
                  </w:r>
                </w:p>
              </w:tc>
            </w:tr>
            <w:tr w14:paraId="20BE1A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1E6F313">
                  <w:pPr>
                    <w:jc w:val="center"/>
                    <w:rPr>
                      <w:rFonts w:hint="default" w:ascii="Times New Roman" w:hAnsi="Times New Roman" w:eastAsia="仿宋" w:cs="Times New Roman"/>
                      <w:color w:val="auto"/>
                      <w:sz w:val="24"/>
                    </w:rPr>
                  </w:pPr>
                </w:p>
              </w:tc>
              <w:tc>
                <w:tcPr>
                  <w:tcW w:w="466" w:type="pct"/>
                  <w:vMerge w:val="continue"/>
                  <w:vAlign w:val="center"/>
                </w:tcPr>
                <w:p w14:paraId="3C525B86">
                  <w:pPr>
                    <w:jc w:val="center"/>
                    <w:rPr>
                      <w:rFonts w:hint="default" w:ascii="Times New Roman" w:hAnsi="Times New Roman" w:eastAsia="仿宋" w:cs="Times New Roman"/>
                      <w:color w:val="auto"/>
                      <w:sz w:val="24"/>
                    </w:rPr>
                  </w:pPr>
                </w:p>
              </w:tc>
              <w:tc>
                <w:tcPr>
                  <w:tcW w:w="4187" w:type="pct"/>
                  <w:gridSpan w:val="9"/>
                  <w:vAlign w:val="center"/>
                </w:tcPr>
                <w:p w14:paraId="7B960A0C">
                  <w:pPr>
                    <w:pStyle w:val="73"/>
                    <w:spacing w:line="240" w:lineRule="auto"/>
                    <w:ind w:firstLine="422"/>
                    <w:jc w:val="center"/>
                    <w:rPr>
                      <w:rFonts w:hint="default" w:ascii="Times New Roman" w:hAnsi="Times New Roman" w:eastAsia="仿宋" w:cs="Times New Roman"/>
                      <w:b w:val="0"/>
                      <w:color w:val="auto"/>
                      <w:sz w:val="21"/>
                      <w:szCs w:val="21"/>
                    </w:rPr>
                  </w:pPr>
                  <w:r>
                    <w:rPr>
                      <w:rFonts w:hint="default" w:ascii="Times New Roman" w:hAnsi="Times New Roman" w:eastAsia="仿宋" w:cs="Times New Roman"/>
                      <w:b w:val="0"/>
                      <w:color w:val="auto"/>
                      <w:sz w:val="21"/>
                      <w:szCs w:val="21"/>
                    </w:rPr>
                    <w:t>工业大气污染源构成类别</w:t>
                  </w:r>
                </w:p>
              </w:tc>
            </w:tr>
            <w:tr w14:paraId="2D25F5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27B59111">
                  <w:pPr>
                    <w:jc w:val="center"/>
                    <w:rPr>
                      <w:rFonts w:hint="default" w:ascii="Times New Roman" w:hAnsi="Times New Roman" w:eastAsia="仿宋" w:cs="Times New Roman"/>
                      <w:color w:val="auto"/>
                      <w:sz w:val="24"/>
                    </w:rPr>
                  </w:pPr>
                </w:p>
              </w:tc>
              <w:tc>
                <w:tcPr>
                  <w:tcW w:w="466" w:type="pct"/>
                  <w:vMerge w:val="continue"/>
                  <w:vAlign w:val="center"/>
                </w:tcPr>
                <w:p w14:paraId="6E15F22D">
                  <w:pPr>
                    <w:jc w:val="center"/>
                    <w:rPr>
                      <w:rFonts w:hint="default" w:ascii="Times New Roman" w:hAnsi="Times New Roman" w:eastAsia="仿宋" w:cs="Times New Roman"/>
                      <w:color w:val="auto"/>
                      <w:sz w:val="24"/>
                    </w:rPr>
                  </w:pPr>
                </w:p>
              </w:tc>
              <w:tc>
                <w:tcPr>
                  <w:tcW w:w="465" w:type="pct"/>
                  <w:vAlign w:val="center"/>
                </w:tcPr>
                <w:p w14:paraId="66D9401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Ⅰ</w:t>
                  </w:r>
                </w:p>
              </w:tc>
              <w:tc>
                <w:tcPr>
                  <w:tcW w:w="465" w:type="pct"/>
                  <w:vAlign w:val="center"/>
                </w:tcPr>
                <w:p w14:paraId="437B184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Ⅱ</w:t>
                  </w:r>
                </w:p>
              </w:tc>
              <w:tc>
                <w:tcPr>
                  <w:tcW w:w="465" w:type="pct"/>
                  <w:vAlign w:val="center"/>
                </w:tcPr>
                <w:p w14:paraId="064879A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Ⅲ</w:t>
                  </w:r>
                </w:p>
              </w:tc>
              <w:tc>
                <w:tcPr>
                  <w:tcW w:w="465" w:type="pct"/>
                  <w:vAlign w:val="center"/>
                </w:tcPr>
                <w:p w14:paraId="663B0E8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Ⅰ</w:t>
                  </w:r>
                </w:p>
              </w:tc>
              <w:tc>
                <w:tcPr>
                  <w:tcW w:w="465" w:type="pct"/>
                  <w:vAlign w:val="center"/>
                </w:tcPr>
                <w:p w14:paraId="6DE1013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Ⅱ</w:t>
                  </w:r>
                </w:p>
              </w:tc>
              <w:tc>
                <w:tcPr>
                  <w:tcW w:w="465" w:type="pct"/>
                  <w:vAlign w:val="center"/>
                </w:tcPr>
                <w:p w14:paraId="2690B1A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Ⅲ</w:t>
                  </w:r>
                </w:p>
              </w:tc>
              <w:tc>
                <w:tcPr>
                  <w:tcW w:w="465" w:type="pct"/>
                  <w:vAlign w:val="center"/>
                </w:tcPr>
                <w:p w14:paraId="0E8DB65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Ⅰ</w:t>
                  </w:r>
                </w:p>
              </w:tc>
              <w:tc>
                <w:tcPr>
                  <w:tcW w:w="465" w:type="pct"/>
                  <w:vAlign w:val="center"/>
                </w:tcPr>
                <w:p w14:paraId="747F5B8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Ⅱ</w:t>
                  </w:r>
                </w:p>
              </w:tc>
              <w:tc>
                <w:tcPr>
                  <w:tcW w:w="460" w:type="pct"/>
                  <w:vAlign w:val="center"/>
                </w:tcPr>
                <w:p w14:paraId="6872CD5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Ⅲ</w:t>
                  </w:r>
                </w:p>
              </w:tc>
            </w:tr>
            <w:tr w14:paraId="5ECD2A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51284A5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A</w:t>
                  </w:r>
                </w:p>
              </w:tc>
              <w:tc>
                <w:tcPr>
                  <w:tcW w:w="466" w:type="pct"/>
                  <w:vAlign w:val="center"/>
                </w:tcPr>
                <w:p w14:paraId="466E570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465" w:type="pct"/>
                  <w:vAlign w:val="center"/>
                </w:tcPr>
                <w:p w14:paraId="0340B15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465" w:type="pct"/>
                  <w:vAlign w:val="center"/>
                </w:tcPr>
                <w:p w14:paraId="4846005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465" w:type="pct"/>
                  <w:vAlign w:val="center"/>
                </w:tcPr>
                <w:p w14:paraId="113EA52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465" w:type="pct"/>
                  <w:vAlign w:val="center"/>
                </w:tcPr>
                <w:p w14:paraId="5576895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465" w:type="pct"/>
                  <w:vAlign w:val="center"/>
                </w:tcPr>
                <w:p w14:paraId="03CB9BE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465" w:type="pct"/>
                  <w:vAlign w:val="center"/>
                </w:tcPr>
                <w:p w14:paraId="2734CD7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465" w:type="pct"/>
                  <w:vAlign w:val="center"/>
                </w:tcPr>
                <w:p w14:paraId="0E485BC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w:t>
                  </w:r>
                </w:p>
              </w:tc>
              <w:tc>
                <w:tcPr>
                  <w:tcW w:w="465" w:type="pct"/>
                  <w:vAlign w:val="center"/>
                </w:tcPr>
                <w:p w14:paraId="0229A65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w:t>
                  </w:r>
                </w:p>
              </w:tc>
              <w:tc>
                <w:tcPr>
                  <w:tcW w:w="460" w:type="pct"/>
                  <w:vAlign w:val="center"/>
                </w:tcPr>
                <w:p w14:paraId="4C4198D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w:t>
                  </w:r>
                </w:p>
              </w:tc>
            </w:tr>
            <w:tr w14:paraId="5CB740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7EF6664F">
                  <w:pPr>
                    <w:jc w:val="center"/>
                    <w:rPr>
                      <w:rFonts w:hint="default" w:ascii="Times New Roman" w:hAnsi="Times New Roman" w:eastAsia="仿宋" w:cs="Times New Roman"/>
                      <w:color w:val="auto"/>
                      <w:sz w:val="24"/>
                    </w:rPr>
                  </w:pPr>
                </w:p>
              </w:tc>
              <w:tc>
                <w:tcPr>
                  <w:tcW w:w="466" w:type="pct"/>
                  <w:vAlign w:val="center"/>
                </w:tcPr>
                <w:p w14:paraId="5A644987">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Cs w:val="21"/>
                    </w:rPr>
                    <w:t>2～4</w:t>
                  </w:r>
                </w:p>
              </w:tc>
              <w:tc>
                <w:tcPr>
                  <w:tcW w:w="465" w:type="pct"/>
                  <w:vAlign w:val="center"/>
                </w:tcPr>
                <w:p w14:paraId="304FAC8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700</w:t>
                  </w:r>
                </w:p>
              </w:tc>
              <w:tc>
                <w:tcPr>
                  <w:tcW w:w="465" w:type="pct"/>
                  <w:shd w:val="clear" w:color="auto" w:fill="F1F1F1" w:themeFill="background1" w:themeFillShade="F2"/>
                  <w:vAlign w:val="center"/>
                </w:tcPr>
                <w:p w14:paraId="3FD8A9D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470</w:t>
                  </w:r>
                </w:p>
              </w:tc>
              <w:tc>
                <w:tcPr>
                  <w:tcW w:w="465" w:type="pct"/>
                  <w:vAlign w:val="center"/>
                </w:tcPr>
                <w:p w14:paraId="5890765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350</w:t>
                  </w:r>
                </w:p>
              </w:tc>
              <w:tc>
                <w:tcPr>
                  <w:tcW w:w="465" w:type="pct"/>
                  <w:vAlign w:val="center"/>
                </w:tcPr>
                <w:p w14:paraId="3CCF2B8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700</w:t>
                  </w:r>
                </w:p>
              </w:tc>
              <w:tc>
                <w:tcPr>
                  <w:tcW w:w="465" w:type="pct"/>
                  <w:vAlign w:val="center"/>
                </w:tcPr>
                <w:p w14:paraId="1408612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470</w:t>
                  </w:r>
                </w:p>
              </w:tc>
              <w:tc>
                <w:tcPr>
                  <w:tcW w:w="465" w:type="pct"/>
                  <w:vAlign w:val="center"/>
                </w:tcPr>
                <w:p w14:paraId="4910E77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350</w:t>
                  </w:r>
                </w:p>
              </w:tc>
              <w:tc>
                <w:tcPr>
                  <w:tcW w:w="465" w:type="pct"/>
                  <w:vAlign w:val="center"/>
                </w:tcPr>
                <w:p w14:paraId="0AABAAF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380</w:t>
                  </w:r>
                </w:p>
              </w:tc>
              <w:tc>
                <w:tcPr>
                  <w:tcW w:w="465" w:type="pct"/>
                  <w:vAlign w:val="center"/>
                </w:tcPr>
                <w:p w14:paraId="33A5B90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250</w:t>
                  </w:r>
                </w:p>
              </w:tc>
              <w:tc>
                <w:tcPr>
                  <w:tcW w:w="460" w:type="pct"/>
                  <w:vAlign w:val="center"/>
                </w:tcPr>
                <w:p w14:paraId="5E4AE6B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190</w:t>
                  </w:r>
                </w:p>
              </w:tc>
            </w:tr>
            <w:tr w14:paraId="2B7B42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32AC5B0B">
                  <w:pPr>
                    <w:jc w:val="center"/>
                    <w:rPr>
                      <w:rFonts w:hint="default" w:ascii="Times New Roman" w:hAnsi="Times New Roman" w:eastAsia="仿宋" w:cs="Times New Roman"/>
                      <w:color w:val="auto"/>
                      <w:sz w:val="24"/>
                    </w:rPr>
                  </w:pPr>
                </w:p>
              </w:tc>
              <w:tc>
                <w:tcPr>
                  <w:tcW w:w="466" w:type="pct"/>
                  <w:vAlign w:val="center"/>
                </w:tcPr>
                <w:p w14:paraId="575807C0">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Cs w:val="21"/>
                    </w:rPr>
                    <w:t>＞4</w:t>
                  </w:r>
                </w:p>
              </w:tc>
              <w:tc>
                <w:tcPr>
                  <w:tcW w:w="465" w:type="pct"/>
                  <w:vAlign w:val="center"/>
                </w:tcPr>
                <w:p w14:paraId="398E66C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530</w:t>
                  </w:r>
                </w:p>
              </w:tc>
              <w:tc>
                <w:tcPr>
                  <w:tcW w:w="465" w:type="pct"/>
                  <w:vAlign w:val="center"/>
                </w:tcPr>
                <w:p w14:paraId="4770136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350</w:t>
                  </w:r>
                </w:p>
              </w:tc>
              <w:tc>
                <w:tcPr>
                  <w:tcW w:w="465" w:type="pct"/>
                  <w:vAlign w:val="center"/>
                </w:tcPr>
                <w:p w14:paraId="3B09E51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260</w:t>
                  </w:r>
                </w:p>
              </w:tc>
              <w:tc>
                <w:tcPr>
                  <w:tcW w:w="465" w:type="pct"/>
                  <w:vAlign w:val="center"/>
                </w:tcPr>
                <w:p w14:paraId="79AC6D3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530</w:t>
                  </w:r>
                </w:p>
              </w:tc>
              <w:tc>
                <w:tcPr>
                  <w:tcW w:w="465" w:type="pct"/>
                  <w:vAlign w:val="center"/>
                </w:tcPr>
                <w:p w14:paraId="7FA116E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350</w:t>
                  </w:r>
                </w:p>
              </w:tc>
              <w:tc>
                <w:tcPr>
                  <w:tcW w:w="465" w:type="pct"/>
                  <w:vAlign w:val="center"/>
                </w:tcPr>
                <w:p w14:paraId="70F1AA0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260</w:t>
                  </w:r>
                </w:p>
              </w:tc>
              <w:tc>
                <w:tcPr>
                  <w:tcW w:w="465" w:type="pct"/>
                  <w:vAlign w:val="center"/>
                </w:tcPr>
                <w:p w14:paraId="6D0C188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290</w:t>
                  </w:r>
                </w:p>
              </w:tc>
              <w:tc>
                <w:tcPr>
                  <w:tcW w:w="465" w:type="pct"/>
                  <w:vAlign w:val="center"/>
                </w:tcPr>
                <w:p w14:paraId="0C63401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190</w:t>
                  </w:r>
                </w:p>
              </w:tc>
              <w:tc>
                <w:tcPr>
                  <w:tcW w:w="460" w:type="pct"/>
                  <w:vAlign w:val="center"/>
                </w:tcPr>
                <w:p w14:paraId="74E230C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140</w:t>
                  </w:r>
                </w:p>
              </w:tc>
            </w:tr>
            <w:tr w14:paraId="293978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0B9066C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B</w:t>
                  </w:r>
                </w:p>
              </w:tc>
              <w:tc>
                <w:tcPr>
                  <w:tcW w:w="466" w:type="pct"/>
                  <w:vAlign w:val="center"/>
                </w:tcPr>
                <w:p w14:paraId="4E622F5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1397" w:type="pct"/>
                  <w:gridSpan w:val="3"/>
                  <w:vAlign w:val="center"/>
                </w:tcPr>
                <w:p w14:paraId="4579B2A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0.01</w:t>
                  </w:r>
                </w:p>
              </w:tc>
              <w:tc>
                <w:tcPr>
                  <w:tcW w:w="1397" w:type="pct"/>
                  <w:gridSpan w:val="3"/>
                  <w:vAlign w:val="center"/>
                </w:tcPr>
                <w:p w14:paraId="419C8DE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0.015</w:t>
                  </w:r>
                </w:p>
              </w:tc>
              <w:tc>
                <w:tcPr>
                  <w:tcW w:w="1392" w:type="pct"/>
                  <w:gridSpan w:val="3"/>
                  <w:vAlign w:val="center"/>
                </w:tcPr>
                <w:p w14:paraId="311348A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0.015</w:t>
                  </w:r>
                </w:p>
              </w:tc>
            </w:tr>
            <w:tr w14:paraId="327155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7495BC22">
                  <w:pPr>
                    <w:jc w:val="center"/>
                    <w:rPr>
                      <w:rFonts w:hint="default" w:ascii="Times New Roman" w:hAnsi="Times New Roman" w:eastAsia="仿宋" w:cs="Times New Roman"/>
                      <w:color w:val="auto"/>
                      <w:sz w:val="24"/>
                    </w:rPr>
                  </w:pPr>
                </w:p>
              </w:tc>
              <w:tc>
                <w:tcPr>
                  <w:tcW w:w="466" w:type="pct"/>
                  <w:vAlign w:val="center"/>
                </w:tcPr>
                <w:p w14:paraId="6E6C4A36">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Cs w:val="21"/>
                    </w:rPr>
                    <w:t>＞2</w:t>
                  </w:r>
                </w:p>
              </w:tc>
              <w:tc>
                <w:tcPr>
                  <w:tcW w:w="1397" w:type="pct"/>
                  <w:gridSpan w:val="3"/>
                  <w:shd w:val="clear" w:color="auto" w:fill="F1F1F1" w:themeFill="background1" w:themeFillShade="F2"/>
                  <w:vAlign w:val="center"/>
                </w:tcPr>
                <w:p w14:paraId="0172D65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0.021</w:t>
                  </w:r>
                </w:p>
              </w:tc>
              <w:tc>
                <w:tcPr>
                  <w:tcW w:w="1397" w:type="pct"/>
                  <w:gridSpan w:val="3"/>
                  <w:vAlign w:val="center"/>
                </w:tcPr>
                <w:p w14:paraId="36BBF50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0.036</w:t>
                  </w:r>
                </w:p>
              </w:tc>
              <w:tc>
                <w:tcPr>
                  <w:tcW w:w="1392" w:type="pct"/>
                  <w:gridSpan w:val="3"/>
                  <w:vAlign w:val="center"/>
                </w:tcPr>
                <w:p w14:paraId="2AC2FDB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0.036</w:t>
                  </w:r>
                </w:p>
              </w:tc>
            </w:tr>
            <w:tr w14:paraId="6C2E57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55EB78B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w:t>
                  </w:r>
                </w:p>
              </w:tc>
              <w:tc>
                <w:tcPr>
                  <w:tcW w:w="466" w:type="pct"/>
                  <w:vAlign w:val="center"/>
                </w:tcPr>
                <w:p w14:paraId="0226A06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1397" w:type="pct"/>
                  <w:gridSpan w:val="3"/>
                  <w:vAlign w:val="center"/>
                </w:tcPr>
                <w:p w14:paraId="4594EEB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1.85</w:t>
                  </w:r>
                </w:p>
              </w:tc>
              <w:tc>
                <w:tcPr>
                  <w:tcW w:w="1397" w:type="pct"/>
                  <w:gridSpan w:val="3"/>
                  <w:vAlign w:val="center"/>
                </w:tcPr>
                <w:p w14:paraId="3E04381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1.79</w:t>
                  </w:r>
                </w:p>
              </w:tc>
              <w:tc>
                <w:tcPr>
                  <w:tcW w:w="1392" w:type="pct"/>
                  <w:gridSpan w:val="3"/>
                  <w:vAlign w:val="center"/>
                </w:tcPr>
                <w:p w14:paraId="5E86120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1.79</w:t>
                  </w:r>
                </w:p>
              </w:tc>
            </w:tr>
            <w:tr w14:paraId="15DBA6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35B2EF6E">
                  <w:pPr>
                    <w:jc w:val="center"/>
                    <w:rPr>
                      <w:rFonts w:hint="default" w:ascii="Times New Roman" w:hAnsi="Times New Roman" w:eastAsia="仿宋" w:cs="Times New Roman"/>
                      <w:color w:val="auto"/>
                      <w:sz w:val="24"/>
                    </w:rPr>
                  </w:pPr>
                </w:p>
              </w:tc>
              <w:tc>
                <w:tcPr>
                  <w:tcW w:w="466" w:type="pct"/>
                  <w:vAlign w:val="center"/>
                </w:tcPr>
                <w:p w14:paraId="70A7D227">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Cs w:val="21"/>
                    </w:rPr>
                    <w:t>＞2</w:t>
                  </w:r>
                </w:p>
              </w:tc>
              <w:tc>
                <w:tcPr>
                  <w:tcW w:w="1397" w:type="pct"/>
                  <w:gridSpan w:val="3"/>
                  <w:shd w:val="clear" w:color="auto" w:fill="F1F1F1" w:themeFill="background1" w:themeFillShade="F2"/>
                  <w:vAlign w:val="center"/>
                </w:tcPr>
                <w:p w14:paraId="666CE03E">
                  <w:pPr>
                    <w:shd w:val="clear" w:fill="F1F1F1" w:themeFill="background1" w:themeFillShade="F2"/>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1.85</w:t>
                  </w:r>
                </w:p>
              </w:tc>
              <w:tc>
                <w:tcPr>
                  <w:tcW w:w="1397" w:type="pct"/>
                  <w:gridSpan w:val="3"/>
                  <w:vAlign w:val="center"/>
                </w:tcPr>
                <w:p w14:paraId="7ECE435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1.77</w:t>
                  </w:r>
                </w:p>
              </w:tc>
              <w:tc>
                <w:tcPr>
                  <w:tcW w:w="1392" w:type="pct"/>
                  <w:gridSpan w:val="3"/>
                  <w:vAlign w:val="center"/>
                </w:tcPr>
                <w:p w14:paraId="2FD3AAA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1.77</w:t>
                  </w:r>
                </w:p>
              </w:tc>
            </w:tr>
            <w:tr w14:paraId="3179B1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21F4CA6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D</w:t>
                  </w:r>
                </w:p>
              </w:tc>
              <w:tc>
                <w:tcPr>
                  <w:tcW w:w="466" w:type="pct"/>
                  <w:vAlign w:val="center"/>
                </w:tcPr>
                <w:p w14:paraId="21F3FF1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1397" w:type="pct"/>
                  <w:gridSpan w:val="3"/>
                  <w:vAlign w:val="center"/>
                </w:tcPr>
                <w:p w14:paraId="375BEB6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0.78</w:t>
                  </w:r>
                </w:p>
              </w:tc>
              <w:tc>
                <w:tcPr>
                  <w:tcW w:w="1397" w:type="pct"/>
                  <w:gridSpan w:val="3"/>
                  <w:vAlign w:val="center"/>
                </w:tcPr>
                <w:p w14:paraId="0DBCCFB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0.78</w:t>
                  </w:r>
                </w:p>
              </w:tc>
              <w:tc>
                <w:tcPr>
                  <w:tcW w:w="1392" w:type="pct"/>
                  <w:gridSpan w:val="3"/>
                  <w:vAlign w:val="center"/>
                </w:tcPr>
                <w:p w14:paraId="4C75CE1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0.57</w:t>
                  </w:r>
                </w:p>
              </w:tc>
            </w:tr>
            <w:tr w14:paraId="7A5745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120C4611">
                  <w:pPr>
                    <w:jc w:val="center"/>
                    <w:rPr>
                      <w:rFonts w:hint="default" w:ascii="Times New Roman" w:hAnsi="Times New Roman" w:eastAsia="仿宋" w:cs="Times New Roman"/>
                      <w:color w:val="auto"/>
                      <w:sz w:val="24"/>
                    </w:rPr>
                  </w:pPr>
                </w:p>
              </w:tc>
              <w:tc>
                <w:tcPr>
                  <w:tcW w:w="466" w:type="pct"/>
                  <w:vAlign w:val="center"/>
                </w:tcPr>
                <w:p w14:paraId="16611443">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Cs w:val="21"/>
                    </w:rPr>
                    <w:t>＞2</w:t>
                  </w:r>
                </w:p>
              </w:tc>
              <w:tc>
                <w:tcPr>
                  <w:tcW w:w="1397" w:type="pct"/>
                  <w:gridSpan w:val="3"/>
                  <w:shd w:val="clear" w:color="auto" w:fill="F1F1F1" w:themeFill="background1" w:themeFillShade="F2"/>
                  <w:vAlign w:val="center"/>
                </w:tcPr>
                <w:p w14:paraId="6A60079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0.84</w:t>
                  </w:r>
                </w:p>
              </w:tc>
              <w:tc>
                <w:tcPr>
                  <w:tcW w:w="1397" w:type="pct"/>
                  <w:gridSpan w:val="3"/>
                  <w:vAlign w:val="center"/>
                </w:tcPr>
                <w:p w14:paraId="0313AC9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0.84</w:t>
                  </w:r>
                </w:p>
              </w:tc>
              <w:tc>
                <w:tcPr>
                  <w:tcW w:w="1392" w:type="pct"/>
                  <w:gridSpan w:val="3"/>
                  <w:vAlign w:val="center"/>
                </w:tcPr>
                <w:p w14:paraId="6125AE3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0.76</w:t>
                  </w:r>
                </w:p>
              </w:tc>
            </w:tr>
          </w:tbl>
          <w:p w14:paraId="2F2CD31B">
            <w:pPr>
              <w:adjustRightInd w:val="0"/>
              <w:snapToGrid w:val="0"/>
              <w:spacing w:line="500" w:lineRule="exact"/>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根据《制定地方大气污染物排放标准的技术方法》（GB/T39449-2020），卫生防护距离在100m以内时，级差为50m；超过100m，但小于或等于1000m时，级差为100m；超过1000m时，级差为200m。当按两种或两种以上的有害气体的 Q/Cm值计算的卫生防护距离在同一级别时，该类工业企业的卫生防护距离级别应提高一级。经计算，</w:t>
            </w:r>
            <w:r>
              <w:rPr>
                <w:rFonts w:hint="default" w:ascii="Times New Roman" w:hAnsi="Times New Roman" w:eastAsia="仿宋" w:cs="Times New Roman"/>
                <w:color w:val="auto"/>
                <w:sz w:val="24"/>
              </w:rPr>
              <w:t>本项目卫生防护距离计算结果见下表。</w:t>
            </w:r>
          </w:p>
          <w:p w14:paraId="40251463">
            <w:pPr>
              <w:adjustRightInd w:val="0"/>
              <w:snapToGrid w:val="0"/>
              <w:spacing w:line="500" w:lineRule="exact"/>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表4-</w:t>
            </w:r>
            <w:r>
              <w:rPr>
                <w:rFonts w:hint="default" w:ascii="Times New Roman" w:hAnsi="Times New Roman" w:eastAsia="仿宋" w:cs="Times New Roman"/>
                <w:b/>
                <w:color w:val="auto"/>
                <w:szCs w:val="21"/>
                <w:lang w:val="en-US" w:eastAsia="zh-CN"/>
              </w:rPr>
              <w:t>1</w:t>
            </w:r>
            <w:r>
              <w:rPr>
                <w:rFonts w:hint="eastAsia" w:ascii="Times New Roman" w:hAnsi="Times New Roman" w:eastAsia="仿宋" w:cs="Times New Roman"/>
                <w:b/>
                <w:color w:val="auto"/>
                <w:szCs w:val="21"/>
                <w:lang w:val="en-US" w:eastAsia="zh-CN"/>
              </w:rPr>
              <w:t>0</w:t>
            </w:r>
            <w:r>
              <w:rPr>
                <w:rFonts w:hint="default" w:ascii="Times New Roman" w:hAnsi="Times New Roman" w:eastAsia="仿宋" w:cs="Times New Roman"/>
                <w:b/>
                <w:color w:val="auto"/>
                <w:szCs w:val="21"/>
                <w:lang w:val="en-US" w:eastAsia="zh-CN"/>
              </w:rPr>
              <w:t xml:space="preserve"> 本项目</w:t>
            </w:r>
            <w:r>
              <w:rPr>
                <w:rFonts w:hint="default" w:ascii="Times New Roman" w:hAnsi="Times New Roman" w:eastAsia="仿宋" w:cs="Times New Roman"/>
                <w:b/>
                <w:color w:val="auto"/>
                <w:szCs w:val="21"/>
              </w:rPr>
              <w:t>污染物卫生防护距离计算表</w:t>
            </w:r>
          </w:p>
          <w:tbl>
            <w:tblPr>
              <w:tblStyle w:val="28"/>
              <w:tblW w:w="499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959"/>
              <w:gridCol w:w="1425"/>
              <w:gridCol w:w="1177"/>
              <w:gridCol w:w="955"/>
              <w:gridCol w:w="1541"/>
              <w:gridCol w:w="1093"/>
              <w:gridCol w:w="1049"/>
            </w:tblGrid>
            <w:tr w14:paraId="086FD0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84" w:type="pct"/>
                  <w:vAlign w:val="center"/>
                </w:tcPr>
                <w:p w14:paraId="5692ACD3">
                  <w:pPr>
                    <w:adjustRightInd w:val="0"/>
                    <w:snapToGrid w:val="0"/>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val="en-US" w:eastAsia="zh-CN"/>
                    </w:rPr>
                    <w:t>污染源</w:t>
                  </w:r>
                </w:p>
              </w:tc>
              <w:tc>
                <w:tcPr>
                  <w:tcW w:w="868" w:type="pct"/>
                  <w:vAlign w:val="center"/>
                </w:tcPr>
                <w:p w14:paraId="59B0EB11">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影响因子</w:t>
                  </w:r>
                </w:p>
              </w:tc>
              <w:tc>
                <w:tcPr>
                  <w:tcW w:w="717" w:type="pct"/>
                  <w:vAlign w:val="center"/>
                </w:tcPr>
                <w:p w14:paraId="259EF441">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Qc</w:t>
                  </w:r>
                </w:p>
                <w:p w14:paraId="7CE1D23A">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（kg/h）</w:t>
                  </w:r>
                </w:p>
              </w:tc>
              <w:tc>
                <w:tcPr>
                  <w:tcW w:w="582" w:type="pct"/>
                  <w:vAlign w:val="center"/>
                </w:tcPr>
                <w:p w14:paraId="294ADCDD">
                  <w:pPr>
                    <w:jc w:val="center"/>
                    <w:rPr>
                      <w:rFonts w:hint="default" w:ascii="Times New Roman" w:hAnsi="Times New Roman" w:eastAsia="仿宋" w:cs="Times New Roman"/>
                      <w:b/>
                      <w:color w:val="auto"/>
                      <w:lang w:eastAsia="zh-CN"/>
                    </w:rPr>
                  </w:pPr>
                  <w:r>
                    <w:rPr>
                      <w:rFonts w:hint="default" w:ascii="Times New Roman" w:hAnsi="Times New Roman" w:eastAsia="仿宋" w:cs="Times New Roman"/>
                      <w:b/>
                      <w:color w:val="auto"/>
                      <w:lang w:eastAsia="zh-CN"/>
                    </w:rPr>
                    <w:t>占地面积</w:t>
                  </w:r>
                  <w:r>
                    <w:rPr>
                      <w:rFonts w:hint="default" w:ascii="Times New Roman" w:hAnsi="Times New Roman" w:eastAsia="仿宋" w:cs="Times New Roman"/>
                      <w:b/>
                      <w:color w:val="auto"/>
                    </w:rPr>
                    <w:t>（m</w:t>
                  </w:r>
                  <w:r>
                    <w:rPr>
                      <w:rFonts w:hint="default" w:ascii="Times New Roman" w:hAnsi="Times New Roman" w:eastAsia="仿宋" w:cs="Times New Roman"/>
                      <w:b/>
                      <w:color w:val="auto"/>
                      <w:vertAlign w:val="superscript"/>
                      <w:lang w:val="en-US" w:eastAsia="zh-CN"/>
                    </w:rPr>
                    <w:t>2</w:t>
                  </w:r>
                  <w:r>
                    <w:rPr>
                      <w:rFonts w:hint="default" w:ascii="Times New Roman" w:hAnsi="Times New Roman" w:eastAsia="仿宋" w:cs="Times New Roman"/>
                      <w:b/>
                      <w:color w:val="auto"/>
                    </w:rPr>
                    <w:t>）</w:t>
                  </w:r>
                </w:p>
              </w:tc>
              <w:tc>
                <w:tcPr>
                  <w:tcW w:w="939" w:type="pct"/>
                  <w:vAlign w:val="center"/>
                </w:tcPr>
                <w:p w14:paraId="16DEFE76">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Cm</w:t>
                  </w:r>
                </w:p>
                <w:p w14:paraId="3669A510">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（mg/m</w:t>
                  </w:r>
                  <w:r>
                    <w:rPr>
                      <w:rFonts w:hint="default" w:ascii="Times New Roman" w:hAnsi="Times New Roman" w:eastAsia="仿宋" w:cs="Times New Roman"/>
                      <w:b/>
                      <w:color w:val="auto"/>
                      <w:vertAlign w:val="superscript"/>
                    </w:rPr>
                    <w:t>3</w:t>
                  </w:r>
                  <w:r>
                    <w:rPr>
                      <w:rFonts w:hint="default" w:ascii="Times New Roman" w:hAnsi="Times New Roman" w:eastAsia="仿宋" w:cs="Times New Roman"/>
                      <w:b/>
                      <w:color w:val="auto"/>
                    </w:rPr>
                    <w:t>）</w:t>
                  </w:r>
                </w:p>
              </w:tc>
              <w:tc>
                <w:tcPr>
                  <w:tcW w:w="666" w:type="pct"/>
                  <w:vAlign w:val="center"/>
                </w:tcPr>
                <w:p w14:paraId="4F318020">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L计算</w:t>
                  </w:r>
                </w:p>
                <w:p w14:paraId="5A1C49BE">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（m）</w:t>
                  </w:r>
                </w:p>
              </w:tc>
              <w:tc>
                <w:tcPr>
                  <w:tcW w:w="639" w:type="pct"/>
                  <w:vAlign w:val="center"/>
                </w:tcPr>
                <w:p w14:paraId="3ACACA24">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L</w:t>
                  </w:r>
                </w:p>
                <w:p w14:paraId="5E0FA2EE">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（m）</w:t>
                  </w:r>
                </w:p>
              </w:tc>
            </w:tr>
            <w:tr w14:paraId="483BD9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84" w:type="pct"/>
                  <w:vMerge w:val="restart"/>
                  <w:vAlign w:val="center"/>
                </w:tcPr>
                <w:p w14:paraId="2AFBDA2F">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44"/>
                      <w:szCs w:val="21"/>
                      <w:lang w:val="en-US" w:eastAsia="zh-CN"/>
                    </w:rPr>
                    <w:t>车间</w:t>
                  </w:r>
                </w:p>
              </w:tc>
              <w:tc>
                <w:tcPr>
                  <w:tcW w:w="868" w:type="pct"/>
                  <w:vAlign w:val="center"/>
                </w:tcPr>
                <w:p w14:paraId="331C94E4">
                  <w:pPr>
                    <w:pStyle w:val="17"/>
                    <w:tabs>
                      <w:tab w:val="clear" w:pos="4153"/>
                      <w:tab w:val="clear" w:pos="8306"/>
                    </w:tabs>
                    <w:adjustRightInd w:val="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颗粒物</w:t>
                  </w:r>
                </w:p>
              </w:tc>
              <w:tc>
                <w:tcPr>
                  <w:tcW w:w="717" w:type="pct"/>
                  <w:vAlign w:val="center"/>
                </w:tcPr>
                <w:p w14:paraId="7B925641">
                  <w:pPr>
                    <w:pStyle w:val="5"/>
                    <w:adjustRightInd w:val="0"/>
                    <w:snapToGrid w:val="0"/>
                    <w:ind w:firstLine="0"/>
                    <w:jc w:val="center"/>
                    <w:rPr>
                      <w:rFonts w:hint="default" w:ascii="Times New Roman" w:hAnsi="Times New Roman" w:eastAsia="仿宋" w:cs="Times New Roman"/>
                      <w:bCs/>
                      <w:color w:val="auto"/>
                      <w:szCs w:val="21"/>
                      <w:lang w:val="en-US" w:eastAsia="zh-CN"/>
                    </w:rPr>
                  </w:pPr>
                  <w:r>
                    <w:rPr>
                      <w:rFonts w:hint="eastAsia" w:ascii="Times New Roman" w:hAnsi="Times New Roman" w:eastAsia="仿宋" w:cs="Times New Roman"/>
                      <w:bCs/>
                      <w:color w:val="auto"/>
                      <w:szCs w:val="21"/>
                      <w:lang w:val="en-US" w:eastAsia="zh-CN"/>
                    </w:rPr>
                    <w:t>0.113</w:t>
                  </w:r>
                </w:p>
              </w:tc>
              <w:tc>
                <w:tcPr>
                  <w:tcW w:w="582" w:type="pct"/>
                  <w:vMerge w:val="restart"/>
                  <w:vAlign w:val="center"/>
                </w:tcPr>
                <w:p w14:paraId="6310129A">
                  <w:pPr>
                    <w:adjustRightInd w:val="0"/>
                    <w:snapToGrid w:val="0"/>
                    <w:jc w:val="center"/>
                    <w:rPr>
                      <w:rFonts w:hint="default" w:ascii="Times New Roman" w:hAnsi="Times New Roman" w:eastAsia="仿宋" w:cs="Times New Roman"/>
                      <w:bCs/>
                      <w:color w:val="auto"/>
                      <w:szCs w:val="21"/>
                      <w:lang w:val="en-US" w:eastAsia="zh-CN"/>
                    </w:rPr>
                  </w:pPr>
                  <w:r>
                    <w:rPr>
                      <w:rFonts w:hint="eastAsia" w:ascii="Times New Roman" w:hAnsi="Times New Roman" w:eastAsia="仿宋" w:cs="Times New Roman"/>
                      <w:color w:val="auto"/>
                      <w:sz w:val="21"/>
                      <w:szCs w:val="21"/>
                      <w:lang w:val="en-US" w:eastAsia="zh-CN"/>
                    </w:rPr>
                    <w:t>9502</w:t>
                  </w:r>
                </w:p>
              </w:tc>
              <w:tc>
                <w:tcPr>
                  <w:tcW w:w="939" w:type="pct"/>
                  <w:vAlign w:val="center"/>
                </w:tcPr>
                <w:p w14:paraId="5E5A1B16">
                  <w:pPr>
                    <w:pStyle w:val="5"/>
                    <w:adjustRightInd w:val="0"/>
                    <w:snapToGrid w:val="0"/>
                    <w:ind w:firstLine="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0.9</w:t>
                  </w:r>
                </w:p>
              </w:tc>
              <w:tc>
                <w:tcPr>
                  <w:tcW w:w="666" w:type="pct"/>
                  <w:vAlign w:val="center"/>
                </w:tcPr>
                <w:p w14:paraId="155171BA">
                  <w:pPr>
                    <w:adjustRightInd w:val="0"/>
                    <w:snapToGrid w:val="0"/>
                    <w:ind w:firstLine="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&lt;50</w:t>
                  </w:r>
                </w:p>
              </w:tc>
              <w:tc>
                <w:tcPr>
                  <w:tcW w:w="639" w:type="pct"/>
                  <w:vMerge w:val="restart"/>
                  <w:vAlign w:val="center"/>
                </w:tcPr>
                <w:p w14:paraId="25DCD08F">
                  <w:pPr>
                    <w:tabs>
                      <w:tab w:val="left" w:pos="1418"/>
                    </w:tabs>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r>
            <w:tr w14:paraId="1E8BA8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78" w:hRule="atLeast"/>
                <w:jc w:val="center"/>
              </w:trPr>
              <w:tc>
                <w:tcPr>
                  <w:tcW w:w="584" w:type="pct"/>
                  <w:vMerge w:val="continue"/>
                  <w:vAlign w:val="center"/>
                </w:tcPr>
                <w:p w14:paraId="0760FF88">
                  <w:pPr>
                    <w:adjustRightInd w:val="0"/>
                    <w:snapToGrid w:val="0"/>
                    <w:jc w:val="center"/>
                    <w:rPr>
                      <w:rFonts w:hint="default" w:ascii="Times New Roman" w:hAnsi="Times New Roman" w:eastAsia="仿宋" w:cs="Times New Roman"/>
                      <w:color w:val="auto"/>
                      <w:kern w:val="44"/>
                      <w:szCs w:val="21"/>
                      <w:lang w:val="en-US" w:eastAsia="zh-CN"/>
                    </w:rPr>
                  </w:pPr>
                </w:p>
              </w:tc>
              <w:tc>
                <w:tcPr>
                  <w:tcW w:w="868" w:type="pct"/>
                  <w:vAlign w:val="center"/>
                </w:tcPr>
                <w:p w14:paraId="788403DE">
                  <w:pPr>
                    <w:pStyle w:val="17"/>
                    <w:tabs>
                      <w:tab w:val="clear" w:pos="4153"/>
                      <w:tab w:val="clear" w:pos="8306"/>
                    </w:tabs>
                    <w:adjustRightInd w:val="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非甲烷总烃</w:t>
                  </w:r>
                </w:p>
              </w:tc>
              <w:tc>
                <w:tcPr>
                  <w:tcW w:w="717" w:type="pct"/>
                  <w:vAlign w:val="center"/>
                </w:tcPr>
                <w:p w14:paraId="7D38F450">
                  <w:pPr>
                    <w:pStyle w:val="5"/>
                    <w:adjustRightInd w:val="0"/>
                    <w:snapToGrid w:val="0"/>
                    <w:ind w:firstLine="0"/>
                    <w:jc w:val="center"/>
                    <w:rPr>
                      <w:rFonts w:hint="default" w:ascii="Times New Roman" w:hAnsi="Times New Roman" w:eastAsia="仿宋" w:cs="Times New Roman"/>
                      <w:bCs/>
                      <w:color w:val="auto"/>
                      <w:szCs w:val="21"/>
                      <w:lang w:val="en-US" w:eastAsia="zh-CN"/>
                    </w:rPr>
                  </w:pPr>
                  <w:r>
                    <w:rPr>
                      <w:rFonts w:hint="eastAsia" w:ascii="Times New Roman" w:hAnsi="Times New Roman" w:eastAsia="仿宋" w:cs="Times New Roman"/>
                      <w:bCs/>
                      <w:color w:val="auto"/>
                      <w:szCs w:val="21"/>
                      <w:lang w:val="en-US" w:eastAsia="zh-CN"/>
                    </w:rPr>
                    <w:t>0.01</w:t>
                  </w:r>
                </w:p>
              </w:tc>
              <w:tc>
                <w:tcPr>
                  <w:tcW w:w="582" w:type="pct"/>
                  <w:vMerge w:val="continue"/>
                  <w:vAlign w:val="center"/>
                </w:tcPr>
                <w:p w14:paraId="461E390D">
                  <w:pPr>
                    <w:pStyle w:val="5"/>
                    <w:adjustRightInd w:val="0"/>
                    <w:snapToGrid w:val="0"/>
                    <w:ind w:firstLine="0"/>
                    <w:jc w:val="center"/>
                    <w:rPr>
                      <w:rFonts w:hint="default" w:ascii="Times New Roman" w:hAnsi="Times New Roman" w:eastAsia="仿宋" w:cs="Times New Roman"/>
                      <w:bCs/>
                      <w:color w:val="auto"/>
                      <w:szCs w:val="21"/>
                    </w:rPr>
                  </w:pPr>
                </w:p>
              </w:tc>
              <w:tc>
                <w:tcPr>
                  <w:tcW w:w="939" w:type="pct"/>
                  <w:vAlign w:val="center"/>
                </w:tcPr>
                <w:p w14:paraId="52A0F155">
                  <w:pPr>
                    <w:pStyle w:val="5"/>
                    <w:adjustRightInd w:val="0"/>
                    <w:snapToGrid w:val="0"/>
                    <w:ind w:firstLine="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2.0</w:t>
                  </w:r>
                </w:p>
              </w:tc>
              <w:tc>
                <w:tcPr>
                  <w:tcW w:w="666" w:type="pct"/>
                  <w:vAlign w:val="center"/>
                </w:tcPr>
                <w:p w14:paraId="1A2DC68A">
                  <w:pPr>
                    <w:adjustRightInd w:val="0"/>
                    <w:snapToGrid w:val="0"/>
                    <w:ind w:firstLine="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&lt;50</w:t>
                  </w:r>
                </w:p>
              </w:tc>
              <w:tc>
                <w:tcPr>
                  <w:tcW w:w="639" w:type="pct"/>
                  <w:vMerge w:val="continue"/>
                  <w:vAlign w:val="center"/>
                </w:tcPr>
                <w:p w14:paraId="0250A491">
                  <w:pPr>
                    <w:tabs>
                      <w:tab w:val="left" w:pos="1418"/>
                    </w:tabs>
                    <w:adjustRightInd w:val="0"/>
                    <w:snapToGrid w:val="0"/>
                    <w:jc w:val="center"/>
                    <w:rPr>
                      <w:rFonts w:hint="default" w:ascii="Times New Roman" w:hAnsi="Times New Roman" w:eastAsia="仿宋" w:cs="Times New Roman"/>
                      <w:color w:val="auto"/>
                      <w:szCs w:val="21"/>
                    </w:rPr>
                  </w:pPr>
                </w:p>
              </w:tc>
            </w:tr>
          </w:tbl>
          <w:p w14:paraId="3A33D7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color w:val="auto"/>
                <w:sz w:val="24"/>
              </w:rPr>
              <w:t>由上表可知，</w:t>
            </w:r>
            <w:r>
              <w:rPr>
                <w:rFonts w:hint="default" w:ascii="Times New Roman" w:hAnsi="Times New Roman" w:eastAsia="仿宋" w:cs="Times New Roman"/>
                <w:color w:val="auto"/>
                <w:sz w:val="24"/>
                <w:highlight w:val="none"/>
              </w:rPr>
              <w:t>本项目建成后，全厂卫生防护距离为</w:t>
            </w:r>
            <w:r>
              <w:rPr>
                <w:rFonts w:hint="default" w:ascii="Times New Roman" w:hAnsi="Times New Roman" w:eastAsia="仿宋" w:cs="Times New Roman"/>
                <w:color w:val="auto"/>
                <w:sz w:val="24"/>
                <w:highlight w:val="none"/>
                <w:lang w:val="en-US" w:eastAsia="zh-CN"/>
              </w:rPr>
              <w:t>车间</w:t>
            </w:r>
            <w:r>
              <w:rPr>
                <w:rFonts w:hint="default" w:ascii="Times New Roman" w:hAnsi="Times New Roman" w:eastAsia="仿宋" w:cs="Times New Roman"/>
                <w:color w:val="auto"/>
                <w:sz w:val="24"/>
                <w:highlight w:val="none"/>
              </w:rPr>
              <w:t>外扩</w:t>
            </w:r>
            <w:r>
              <w:rPr>
                <w:rFonts w:hint="default" w:ascii="Times New Roman" w:hAnsi="Times New Roman" w:eastAsia="仿宋" w:cs="Times New Roman"/>
                <w:color w:val="auto"/>
                <w:sz w:val="24"/>
                <w:highlight w:val="none"/>
                <w:lang w:val="en-US" w:eastAsia="zh-CN"/>
              </w:rPr>
              <w:t>10</w:t>
            </w:r>
            <w:r>
              <w:rPr>
                <w:rFonts w:hint="default" w:ascii="Times New Roman" w:hAnsi="Times New Roman" w:eastAsia="仿宋" w:cs="Times New Roman"/>
                <w:color w:val="auto"/>
                <w:sz w:val="24"/>
                <w:highlight w:val="none"/>
              </w:rPr>
              <w:t>0m形成的区域，经实地勘察，项目卫生防护距离内目前无居住、医院、学校等环境敏感点，将来也不得建设环境敏感点，以避免环境纠纷。</w:t>
            </w:r>
          </w:p>
          <w:p w14:paraId="49E3E64F">
            <w:pPr>
              <w:pStyle w:val="103"/>
              <w:bidi w:val="0"/>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3</w:t>
            </w:r>
            <w:r>
              <w:rPr>
                <w:rFonts w:hint="default" w:ascii="Times New Roman" w:hAnsi="Times New Roman" w:eastAsia="仿宋" w:cs="Times New Roman"/>
                <w:color w:val="auto"/>
                <w:kern w:val="2"/>
                <w:sz w:val="24"/>
                <w:szCs w:val="24"/>
                <w:highlight w:val="none"/>
                <w:lang w:val="en-US" w:eastAsia="zh-CN" w:bidi="ar-SA"/>
              </w:rPr>
              <w:t>）</w:t>
            </w:r>
            <w:r>
              <w:rPr>
                <w:rFonts w:hint="eastAsia" w:ascii="Times New Roman" w:hAnsi="Times New Roman" w:eastAsia="仿宋" w:cs="Times New Roman"/>
                <w:color w:val="auto"/>
                <w:kern w:val="2"/>
                <w:sz w:val="24"/>
                <w:szCs w:val="24"/>
                <w:highlight w:val="none"/>
                <w:lang w:val="en-US" w:eastAsia="zh-CN" w:bidi="ar-SA"/>
              </w:rPr>
              <w:t>异味影响分析</w:t>
            </w:r>
          </w:p>
          <w:p w14:paraId="6781E8BF">
            <w:pPr>
              <w:pStyle w:val="103"/>
              <w:bidi w:val="0"/>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本评价采用日本的恶臭强度6级分级法对项目臭气影响进行分析，臭气强度分级表见下表。</w:t>
            </w:r>
          </w:p>
          <w:p w14:paraId="1B1AF382">
            <w:pPr>
              <w:pStyle w:val="100"/>
              <w:bidi w:val="0"/>
              <w:rPr>
                <w:rFonts w:hint="default" w:ascii="Times New Roman" w:hAnsi="Times New Roman" w:eastAsia="仿宋" w:cs="Times New Roman"/>
                <w:color w:val="auto"/>
              </w:rPr>
            </w:pPr>
            <w:r>
              <w:rPr>
                <w:rFonts w:hint="default" w:ascii="Times New Roman" w:hAnsi="Times New Roman" w:eastAsia="仿宋" w:cs="Times New Roman"/>
                <w:color w:val="auto"/>
              </w:rPr>
              <w:t>表4-</w:t>
            </w:r>
            <w:r>
              <w:rPr>
                <w:rFonts w:hint="default" w:ascii="Times New Roman" w:hAnsi="Times New Roman" w:eastAsia="仿宋" w:cs="Times New Roman"/>
                <w:color w:val="auto"/>
                <w:lang w:val="en-US" w:eastAsia="zh-CN"/>
              </w:rPr>
              <w:t>11</w:t>
            </w:r>
            <w:r>
              <w:rPr>
                <w:rFonts w:hint="default" w:ascii="Times New Roman" w:hAnsi="Times New Roman" w:eastAsia="仿宋" w:cs="Times New Roman"/>
                <w:color w:val="auto"/>
              </w:rPr>
              <w:t xml:space="preserve"> 臭气强度分级表</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76"/>
              <w:gridCol w:w="5633"/>
            </w:tblGrid>
            <w:tr w14:paraId="35521B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43CBC651">
                  <w:pPr>
                    <w:pStyle w:val="101"/>
                    <w:bidi w:val="0"/>
                    <w:rPr>
                      <w:rFonts w:hint="default" w:ascii="Times New Roman" w:hAnsi="Times New Roman" w:eastAsia="仿宋" w:cs="Times New Roman"/>
                      <w:b/>
                      <w:bCs/>
                      <w:color w:val="auto"/>
                    </w:rPr>
                  </w:pPr>
                  <w:r>
                    <w:rPr>
                      <w:rFonts w:hint="default" w:ascii="Times New Roman" w:hAnsi="Times New Roman" w:eastAsia="仿宋" w:cs="Times New Roman"/>
                      <w:b/>
                      <w:bCs/>
                      <w:color w:val="auto"/>
                    </w:rPr>
                    <w:t>强度等级</w:t>
                  </w:r>
                </w:p>
              </w:tc>
              <w:tc>
                <w:tcPr>
                  <w:tcW w:w="3431" w:type="pct"/>
                  <w:noWrap w:val="0"/>
                  <w:vAlign w:val="center"/>
                </w:tcPr>
                <w:p w14:paraId="1C59AD74">
                  <w:pPr>
                    <w:pStyle w:val="101"/>
                    <w:bidi w:val="0"/>
                    <w:rPr>
                      <w:rFonts w:hint="default" w:ascii="Times New Roman" w:hAnsi="Times New Roman" w:eastAsia="仿宋" w:cs="Times New Roman"/>
                      <w:b/>
                      <w:bCs/>
                      <w:color w:val="auto"/>
                    </w:rPr>
                  </w:pPr>
                  <w:r>
                    <w:rPr>
                      <w:rFonts w:hint="default" w:ascii="Times New Roman" w:hAnsi="Times New Roman" w:eastAsia="仿宋" w:cs="Times New Roman"/>
                      <w:b/>
                      <w:bCs/>
                      <w:color w:val="auto"/>
                    </w:rPr>
                    <w:t>嗅觉判别标准</w:t>
                  </w:r>
                </w:p>
              </w:tc>
            </w:tr>
            <w:tr w14:paraId="209FAA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16B3D680">
                  <w:pPr>
                    <w:pStyle w:val="101"/>
                    <w:bidi w:val="0"/>
                    <w:rPr>
                      <w:rFonts w:hint="default" w:ascii="Times New Roman" w:hAnsi="Times New Roman" w:eastAsia="仿宋" w:cs="Times New Roman"/>
                      <w:color w:val="auto"/>
                    </w:rPr>
                  </w:pPr>
                  <w:r>
                    <w:rPr>
                      <w:rFonts w:hint="default" w:ascii="Times New Roman" w:hAnsi="Times New Roman" w:eastAsia="仿宋" w:cs="Times New Roman"/>
                      <w:color w:val="auto"/>
                    </w:rPr>
                    <w:t>0</w:t>
                  </w:r>
                </w:p>
              </w:tc>
              <w:tc>
                <w:tcPr>
                  <w:tcW w:w="3431" w:type="pct"/>
                  <w:noWrap w:val="0"/>
                  <w:vAlign w:val="center"/>
                </w:tcPr>
                <w:p w14:paraId="338618EC">
                  <w:pPr>
                    <w:pStyle w:val="101"/>
                    <w:bidi w:val="0"/>
                    <w:rPr>
                      <w:rFonts w:hint="default" w:ascii="Times New Roman" w:hAnsi="Times New Roman" w:eastAsia="仿宋" w:cs="Times New Roman"/>
                      <w:color w:val="auto"/>
                    </w:rPr>
                  </w:pPr>
                  <w:r>
                    <w:rPr>
                      <w:rFonts w:hint="default" w:ascii="Times New Roman" w:hAnsi="Times New Roman" w:eastAsia="仿宋" w:cs="Times New Roman"/>
                      <w:color w:val="auto"/>
                    </w:rPr>
                    <w:t>无臭</w:t>
                  </w:r>
                </w:p>
              </w:tc>
            </w:tr>
            <w:tr w14:paraId="00D510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18601894">
                  <w:pPr>
                    <w:pStyle w:val="101"/>
                    <w:bidi w:val="0"/>
                    <w:rPr>
                      <w:rFonts w:hint="default" w:ascii="Times New Roman" w:hAnsi="Times New Roman" w:eastAsia="仿宋" w:cs="Times New Roman"/>
                      <w:color w:val="auto"/>
                    </w:rPr>
                  </w:pPr>
                  <w:r>
                    <w:rPr>
                      <w:rFonts w:hint="default" w:ascii="Times New Roman" w:hAnsi="Times New Roman" w:eastAsia="仿宋" w:cs="Times New Roman"/>
                      <w:color w:val="auto"/>
                    </w:rPr>
                    <w:t>1</w:t>
                  </w:r>
                </w:p>
              </w:tc>
              <w:tc>
                <w:tcPr>
                  <w:tcW w:w="3431" w:type="pct"/>
                  <w:noWrap w:val="0"/>
                  <w:vAlign w:val="center"/>
                </w:tcPr>
                <w:p w14:paraId="7A42A647">
                  <w:pPr>
                    <w:pStyle w:val="101"/>
                    <w:bidi w:val="0"/>
                    <w:rPr>
                      <w:rFonts w:hint="default" w:ascii="Times New Roman" w:hAnsi="Times New Roman" w:eastAsia="仿宋" w:cs="Times New Roman"/>
                      <w:color w:val="auto"/>
                    </w:rPr>
                  </w:pPr>
                  <w:r>
                    <w:rPr>
                      <w:rFonts w:hint="default" w:ascii="Times New Roman" w:hAnsi="Times New Roman" w:eastAsia="仿宋" w:cs="Times New Roman"/>
                      <w:color w:val="auto"/>
                    </w:rPr>
                    <w:t>勉强可以感到轻微臭味（检知阈值浓度）</w:t>
                  </w:r>
                </w:p>
              </w:tc>
            </w:tr>
            <w:tr w14:paraId="399BA4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12FCB2FF">
                  <w:pPr>
                    <w:pStyle w:val="101"/>
                    <w:bidi w:val="0"/>
                    <w:rPr>
                      <w:rFonts w:hint="default" w:ascii="Times New Roman" w:hAnsi="Times New Roman" w:eastAsia="仿宋" w:cs="Times New Roman"/>
                      <w:color w:val="auto"/>
                    </w:rPr>
                  </w:pPr>
                  <w:r>
                    <w:rPr>
                      <w:rFonts w:hint="default" w:ascii="Times New Roman" w:hAnsi="Times New Roman" w:eastAsia="仿宋" w:cs="Times New Roman"/>
                      <w:color w:val="auto"/>
                    </w:rPr>
                    <w:t>2</w:t>
                  </w:r>
                </w:p>
              </w:tc>
              <w:tc>
                <w:tcPr>
                  <w:tcW w:w="3431" w:type="pct"/>
                  <w:noWrap w:val="0"/>
                  <w:vAlign w:val="center"/>
                </w:tcPr>
                <w:p w14:paraId="38D3F031">
                  <w:pPr>
                    <w:pStyle w:val="101"/>
                    <w:bidi w:val="0"/>
                    <w:rPr>
                      <w:rFonts w:hint="default" w:ascii="Times New Roman" w:hAnsi="Times New Roman" w:eastAsia="仿宋" w:cs="Times New Roman"/>
                      <w:color w:val="auto"/>
                    </w:rPr>
                  </w:pPr>
                  <w:r>
                    <w:rPr>
                      <w:rFonts w:hint="default" w:ascii="Times New Roman" w:hAnsi="Times New Roman" w:eastAsia="仿宋" w:cs="Times New Roman"/>
                      <w:color w:val="auto"/>
                    </w:rPr>
                    <w:t>容易感到轻微臭味（认知阈值浓度）</w:t>
                  </w:r>
                </w:p>
              </w:tc>
            </w:tr>
            <w:tr w14:paraId="4FD747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3562191C">
                  <w:pPr>
                    <w:pStyle w:val="101"/>
                    <w:bidi w:val="0"/>
                    <w:rPr>
                      <w:rFonts w:hint="default" w:ascii="Times New Roman" w:hAnsi="Times New Roman" w:eastAsia="仿宋" w:cs="Times New Roman"/>
                      <w:color w:val="auto"/>
                    </w:rPr>
                  </w:pPr>
                  <w:r>
                    <w:rPr>
                      <w:rFonts w:hint="default" w:ascii="Times New Roman" w:hAnsi="Times New Roman" w:eastAsia="仿宋" w:cs="Times New Roman"/>
                      <w:color w:val="auto"/>
                    </w:rPr>
                    <w:t>3</w:t>
                  </w:r>
                </w:p>
              </w:tc>
              <w:tc>
                <w:tcPr>
                  <w:tcW w:w="3431" w:type="pct"/>
                  <w:noWrap w:val="0"/>
                  <w:vAlign w:val="center"/>
                </w:tcPr>
                <w:p w14:paraId="19A69F97">
                  <w:pPr>
                    <w:pStyle w:val="101"/>
                    <w:bidi w:val="0"/>
                    <w:rPr>
                      <w:rFonts w:hint="default" w:ascii="Times New Roman" w:hAnsi="Times New Roman" w:eastAsia="仿宋" w:cs="Times New Roman"/>
                      <w:color w:val="auto"/>
                    </w:rPr>
                  </w:pPr>
                  <w:r>
                    <w:rPr>
                      <w:rFonts w:hint="default" w:ascii="Times New Roman" w:hAnsi="Times New Roman" w:eastAsia="仿宋" w:cs="Times New Roman"/>
                      <w:color w:val="auto"/>
                    </w:rPr>
                    <w:t>明显感到臭味（可嗅出臭气种类）</w:t>
                  </w:r>
                </w:p>
              </w:tc>
            </w:tr>
            <w:tr w14:paraId="6C2507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4CDB3E19">
                  <w:pPr>
                    <w:pStyle w:val="101"/>
                    <w:bidi w:val="0"/>
                    <w:rPr>
                      <w:rFonts w:hint="default" w:ascii="Times New Roman" w:hAnsi="Times New Roman" w:eastAsia="仿宋" w:cs="Times New Roman"/>
                      <w:color w:val="auto"/>
                    </w:rPr>
                  </w:pPr>
                  <w:r>
                    <w:rPr>
                      <w:rFonts w:hint="default" w:ascii="Times New Roman" w:hAnsi="Times New Roman" w:eastAsia="仿宋" w:cs="Times New Roman"/>
                      <w:color w:val="auto"/>
                    </w:rPr>
                    <w:t>4</w:t>
                  </w:r>
                </w:p>
              </w:tc>
              <w:tc>
                <w:tcPr>
                  <w:tcW w:w="3431" w:type="pct"/>
                  <w:noWrap w:val="0"/>
                  <w:vAlign w:val="center"/>
                </w:tcPr>
                <w:p w14:paraId="24296C04">
                  <w:pPr>
                    <w:pStyle w:val="101"/>
                    <w:bidi w:val="0"/>
                    <w:rPr>
                      <w:rFonts w:hint="default" w:ascii="Times New Roman" w:hAnsi="Times New Roman" w:eastAsia="仿宋" w:cs="Times New Roman"/>
                      <w:color w:val="auto"/>
                    </w:rPr>
                  </w:pPr>
                  <w:r>
                    <w:rPr>
                      <w:rFonts w:hint="default" w:ascii="Times New Roman" w:hAnsi="Times New Roman" w:eastAsia="仿宋" w:cs="Times New Roman"/>
                      <w:color w:val="auto"/>
                    </w:rPr>
                    <w:t>强烈臭味</w:t>
                  </w:r>
                </w:p>
              </w:tc>
            </w:tr>
            <w:tr w14:paraId="2592E9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1827813A">
                  <w:pPr>
                    <w:pStyle w:val="101"/>
                    <w:bidi w:val="0"/>
                    <w:rPr>
                      <w:rFonts w:hint="default" w:ascii="Times New Roman" w:hAnsi="Times New Roman" w:eastAsia="仿宋" w:cs="Times New Roman"/>
                      <w:color w:val="auto"/>
                    </w:rPr>
                  </w:pPr>
                  <w:r>
                    <w:rPr>
                      <w:rFonts w:hint="default" w:ascii="Times New Roman" w:hAnsi="Times New Roman" w:eastAsia="仿宋" w:cs="Times New Roman"/>
                      <w:color w:val="auto"/>
                    </w:rPr>
                    <w:t>5</w:t>
                  </w:r>
                </w:p>
              </w:tc>
              <w:tc>
                <w:tcPr>
                  <w:tcW w:w="3431" w:type="pct"/>
                  <w:noWrap w:val="0"/>
                  <w:vAlign w:val="center"/>
                </w:tcPr>
                <w:p w14:paraId="3DD8625B">
                  <w:pPr>
                    <w:pStyle w:val="101"/>
                    <w:bidi w:val="0"/>
                    <w:rPr>
                      <w:rFonts w:hint="default" w:ascii="Times New Roman" w:hAnsi="Times New Roman" w:eastAsia="仿宋" w:cs="Times New Roman"/>
                      <w:color w:val="auto"/>
                    </w:rPr>
                  </w:pPr>
                  <w:r>
                    <w:rPr>
                      <w:rFonts w:hint="default" w:ascii="Times New Roman" w:hAnsi="Times New Roman" w:eastAsia="仿宋" w:cs="Times New Roman"/>
                      <w:color w:val="auto"/>
                    </w:rPr>
                    <w:t>无法忍受的强烈臭味</w:t>
                  </w:r>
                </w:p>
              </w:tc>
            </w:tr>
          </w:tbl>
          <w:p w14:paraId="23DC0A1A">
            <w:pPr>
              <w:pStyle w:val="103"/>
              <w:bidi w:val="0"/>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各类区域臭气强度级别限值为：一类区执行一级控制标准，臭气强度2.5级；二类区执行二级控制标准，臭气强度限值为3级。“说明”强调指出：“将厂边界环境臭气强度控制在3级左右，是人们可以接受的水平”。</w:t>
            </w:r>
          </w:p>
          <w:p w14:paraId="32C5AE43">
            <w:pPr>
              <w:pStyle w:val="103"/>
              <w:bidi w:val="0"/>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本项目产生臭气工序主要为喷漆工序。本项目最大臭气强度等级为2级，污染程度为中等污染，污染范围的半径＜200m，其中达到2级的半径＜100m。本项目卫生防护距离为生产车间边界外扩100m形成的包络线范围，根据现场调查，车间周边1</w:t>
            </w:r>
            <w:r>
              <w:rPr>
                <w:rFonts w:hint="default" w:ascii="Times New Roman" w:hAnsi="Times New Roman" w:eastAsia="仿宋" w:cs="Times New Roman"/>
                <w:color w:val="auto"/>
                <w:kern w:val="2"/>
                <w:sz w:val="24"/>
                <w:szCs w:val="24"/>
                <w:highlight w:val="none"/>
                <w:lang w:val="en-US" w:eastAsia="zh-CN" w:bidi="ar-SA"/>
              </w:rPr>
              <w:t>0</w:t>
            </w:r>
            <w:r>
              <w:rPr>
                <w:rFonts w:hint="eastAsia" w:ascii="Times New Roman" w:hAnsi="Times New Roman" w:eastAsia="仿宋" w:cs="Times New Roman"/>
                <w:color w:val="auto"/>
                <w:kern w:val="2"/>
                <w:sz w:val="24"/>
                <w:szCs w:val="24"/>
                <w:highlight w:val="none"/>
                <w:lang w:val="en-US" w:eastAsia="zh-CN" w:bidi="ar-SA"/>
              </w:rPr>
              <w:t>0m范围内无环境敏感点，对其影响较小，100m外恶臭气味（异味）可基本消除，对敏感目标影响不大。</w:t>
            </w:r>
          </w:p>
          <w:p w14:paraId="5F9DDD19">
            <w:pPr>
              <w:pStyle w:val="103"/>
              <w:bidi w:val="0"/>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为了减少恶臭对周围环境的影响，建设项目采取如下措施：</w:t>
            </w:r>
          </w:p>
          <w:p w14:paraId="5EDEE3F9">
            <w:pPr>
              <w:pStyle w:val="103"/>
              <w:bidi w:val="0"/>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1、喷漆房废气采用整体密闭负压收集，并强化设计、管理，提高收集率。</w:t>
            </w:r>
          </w:p>
          <w:p w14:paraId="4493ADCB">
            <w:pPr>
              <w:pStyle w:val="103"/>
              <w:bidi w:val="0"/>
              <w:rPr>
                <w:rFonts w:hint="eastAsia"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2</w:t>
            </w:r>
            <w:r>
              <w:rPr>
                <w:rFonts w:hint="eastAsia" w:ascii="Times New Roman" w:hAnsi="Times New Roman" w:eastAsia="仿宋" w:cs="Times New Roman"/>
                <w:color w:val="auto"/>
                <w:kern w:val="2"/>
                <w:sz w:val="24"/>
                <w:szCs w:val="24"/>
                <w:highlight w:val="none"/>
                <w:lang w:val="en-US" w:eastAsia="zh-CN" w:bidi="ar-SA"/>
              </w:rPr>
              <w:t>、本项目在厂界周围种植树木绿化，同时厂区内布置相应的绿化带，并栽种对有毒气体具有抗性的绿化植物，利用植物对有害气体的吸收作用进行净化空气，减少项目异味对周边环境的影响。</w:t>
            </w:r>
          </w:p>
          <w:p w14:paraId="676D743F">
            <w:pPr>
              <w:pStyle w:val="103"/>
              <w:bidi w:val="0"/>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该项目在采取以上措施后，臭气强度等级可降至0-1级，对周围环境的影响将大大降低。</w:t>
            </w:r>
          </w:p>
          <w:p w14:paraId="558E039E">
            <w:pPr>
              <w:pStyle w:val="103"/>
              <w:bidi w:val="0"/>
              <w:rPr>
                <w:rFonts w:hint="default" w:ascii="Times New Roman" w:hAnsi="Times New Roman" w:eastAsia="仿宋" w:cs="Times New Roman"/>
                <w:b/>
                <w:bCs/>
                <w:color w:val="auto"/>
                <w:sz w:val="24"/>
                <w:highlight w:val="none"/>
                <w:lang w:val="en-US" w:eastAsia="zh-CN"/>
              </w:rPr>
            </w:pPr>
            <w:r>
              <w:rPr>
                <w:rFonts w:hint="eastAsia" w:ascii="Times New Roman" w:hAnsi="Times New Roman" w:eastAsia="仿宋" w:cs="Times New Roman"/>
                <w:color w:val="auto"/>
                <w:kern w:val="2"/>
                <w:sz w:val="24"/>
                <w:szCs w:val="24"/>
                <w:highlight w:val="none"/>
                <w:lang w:val="en-US" w:eastAsia="zh-CN" w:bidi="ar-SA"/>
              </w:rPr>
              <w:t>综上所述，项目恶臭对周边环境影响较小。</w:t>
            </w:r>
          </w:p>
          <w:p w14:paraId="762ADB82">
            <w:pPr>
              <w:keepNext w:val="0"/>
              <w:keepLines w:val="0"/>
              <w:pageBreakBefore w:val="0"/>
              <w:widowControl w:val="0"/>
              <w:tabs>
                <w:tab w:val="left" w:pos="1155"/>
              </w:tabs>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lang w:val="en-US" w:eastAsia="zh-CN"/>
              </w:rPr>
              <w:t>7、排气筒设置合理性分析及相关标识要求</w:t>
            </w:r>
          </w:p>
          <w:p w14:paraId="0CD11D66">
            <w:pPr>
              <w:keepNext w:val="0"/>
              <w:keepLines w:val="0"/>
              <w:pageBreakBefore w:val="0"/>
              <w:widowControl w:val="0"/>
              <w:tabs>
                <w:tab w:val="left" w:pos="115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本项目根据废气产生情况、污染物性质和处理方式，</w:t>
            </w:r>
            <w:r>
              <w:rPr>
                <w:rFonts w:hint="eastAsia" w:ascii="Times New Roman" w:hAnsi="Times New Roman" w:eastAsia="仿宋" w:cs="Times New Roman"/>
                <w:color w:val="auto"/>
                <w:sz w:val="24"/>
                <w:highlight w:val="none"/>
                <w:lang w:val="en-US" w:eastAsia="zh-CN"/>
              </w:rPr>
              <w:t>设置</w:t>
            </w:r>
            <w:r>
              <w:rPr>
                <w:rFonts w:hint="default" w:ascii="Times New Roman" w:hAnsi="Times New Roman" w:eastAsia="仿宋" w:cs="Times New Roman"/>
                <w:color w:val="auto"/>
                <w:sz w:val="24"/>
                <w:highlight w:val="none"/>
                <w:lang w:val="en-US" w:eastAsia="zh-CN"/>
              </w:rPr>
              <w:t>4根废气排气筒。所有排气筒高度均符合相关规定要求，并遵循排放同类污染物的排气筒合并的原则，尽量减少排气筒设置。排气筒中各污染物排放浓度及排放速率均能稳定达标，经本报告大气环境影响预测，对周围大气环境影响较小，可确保大气环境质量达标。因此，本项目中排气筒设置合理。</w:t>
            </w:r>
          </w:p>
          <w:p w14:paraId="49318EA8">
            <w:pPr>
              <w:keepNext w:val="0"/>
              <w:keepLines w:val="0"/>
              <w:pageBreakBefore w:val="0"/>
              <w:widowControl w:val="0"/>
              <w:tabs>
                <w:tab w:val="left" w:pos="1155"/>
              </w:tabs>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lang w:val="en-US" w:eastAsia="zh-CN"/>
              </w:rPr>
              <w:t>8、废气排放环境影响分析</w:t>
            </w:r>
          </w:p>
          <w:p w14:paraId="54D6E4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常州市目前属于环境空气质量不达标区，为改善大气环境质量，常州市印发、实施了多项改善大气环境质量、强化废气排放管控的方案和举措，在积极采取管控措施后，常州市环境空气质量将得到持续改善。</w:t>
            </w:r>
          </w:p>
          <w:p w14:paraId="21C51B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Cs/>
                <w:color w:val="auto"/>
                <w:sz w:val="24"/>
                <w:lang w:val="en-US" w:eastAsia="zh-CN"/>
              </w:rPr>
              <w:t>本项目排放的大气污染物为颗粒物、非甲烷总</w:t>
            </w:r>
            <w:r>
              <w:rPr>
                <w:rFonts w:hint="default" w:ascii="Times New Roman" w:hAnsi="Times New Roman" w:eastAsia="仿宋" w:cs="Times New Roman"/>
                <w:bCs/>
                <w:color w:val="auto"/>
                <w:sz w:val="24"/>
                <w:szCs w:val="24"/>
                <w:lang w:val="en-US" w:eastAsia="zh-CN"/>
              </w:rPr>
              <w:t>烃，针对</w:t>
            </w:r>
            <w:r>
              <w:rPr>
                <w:rFonts w:hint="default" w:ascii="Times New Roman" w:hAnsi="Times New Roman" w:eastAsia="仿宋" w:cs="Times New Roman"/>
                <w:bCs/>
                <w:color w:val="auto"/>
                <w:sz w:val="24"/>
                <w:lang w:val="en-US" w:eastAsia="zh-CN"/>
              </w:rPr>
              <w:t>各产污环节，均采取了合适可行的污染治理措施，经收集处理后的污染物排放强度较低，且本项目</w:t>
            </w:r>
            <w:r>
              <w:rPr>
                <w:rFonts w:hint="default" w:ascii="Times New Roman" w:hAnsi="Times New Roman" w:eastAsia="仿宋" w:cs="Times New Roman"/>
                <w:bCs/>
                <w:color w:val="auto"/>
                <w:sz w:val="24"/>
                <w:highlight w:val="none"/>
              </w:rPr>
              <w:t>满足</w:t>
            </w:r>
            <w:r>
              <w:rPr>
                <w:rFonts w:hint="default" w:ascii="Times New Roman" w:hAnsi="Times New Roman" w:eastAsia="仿宋" w:cs="Times New Roman"/>
                <w:bCs/>
                <w:color w:val="auto"/>
                <w:sz w:val="24"/>
                <w:highlight w:val="none"/>
                <w:lang w:val="en-US" w:eastAsia="zh-CN"/>
              </w:rPr>
              <w:t>大气</w:t>
            </w:r>
            <w:r>
              <w:rPr>
                <w:rFonts w:hint="default" w:ascii="Times New Roman" w:hAnsi="Times New Roman" w:eastAsia="仿宋" w:cs="Times New Roman"/>
                <w:bCs/>
                <w:color w:val="auto"/>
                <w:sz w:val="24"/>
                <w:highlight w:val="none"/>
              </w:rPr>
              <w:t>卫生防护距离设置要求</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故</w:t>
            </w:r>
            <w:r>
              <w:rPr>
                <w:rFonts w:hint="default" w:ascii="Times New Roman" w:hAnsi="Times New Roman" w:eastAsia="仿宋" w:cs="Times New Roman"/>
                <w:bCs/>
                <w:color w:val="auto"/>
                <w:sz w:val="24"/>
                <w:szCs w:val="22"/>
              </w:rPr>
              <w:t>本项目废气</w:t>
            </w:r>
            <w:r>
              <w:rPr>
                <w:rFonts w:hint="default" w:ascii="Times New Roman" w:hAnsi="Times New Roman" w:eastAsia="仿宋" w:cs="Times New Roman"/>
                <w:bCs/>
                <w:color w:val="auto"/>
                <w:sz w:val="24"/>
                <w:szCs w:val="22"/>
                <w:lang w:val="en-US" w:eastAsia="zh-CN"/>
              </w:rPr>
              <w:t>排放的</w:t>
            </w:r>
            <w:r>
              <w:rPr>
                <w:rFonts w:hint="default" w:ascii="Times New Roman" w:hAnsi="Times New Roman" w:eastAsia="仿宋" w:cs="Times New Roman"/>
                <w:bCs/>
                <w:color w:val="auto"/>
                <w:sz w:val="24"/>
                <w:szCs w:val="22"/>
              </w:rPr>
              <w:t>环境影响较小。</w:t>
            </w:r>
          </w:p>
          <w:p w14:paraId="061C578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eastAsia="zh-CN"/>
              </w:rPr>
              <w:t>二</w:t>
            </w:r>
            <w:r>
              <w:rPr>
                <w:rFonts w:hint="default" w:ascii="Times New Roman" w:hAnsi="Times New Roman" w:eastAsia="仿宋" w:cs="Times New Roman"/>
                <w:b/>
                <w:color w:val="auto"/>
                <w:sz w:val="24"/>
              </w:rPr>
              <w:t>、废水</w:t>
            </w:r>
          </w:p>
          <w:p w14:paraId="44B048A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val="en-US" w:eastAsia="zh-CN"/>
              </w:rPr>
              <w:t>1、项目用水环节分析</w:t>
            </w:r>
          </w:p>
          <w:p w14:paraId="513D40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 xml:space="preserve">（1）洗枪用水 </w:t>
            </w:r>
          </w:p>
          <w:p w14:paraId="5C5C6B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仿宋" w:cs="Times New Roman"/>
                <w:color w:val="auto"/>
                <w:sz w:val="24"/>
                <w:lang w:val="en-US" w:eastAsia="zh-CN"/>
              </w:rPr>
            </w:pPr>
            <w:r>
              <w:rPr>
                <w:rFonts w:hint="default" w:ascii="Times New Roman" w:hAnsi="Times New Roman" w:eastAsia="仿宋" w:cs="Times New Roman"/>
                <w:color w:val="auto"/>
                <w:sz w:val="24"/>
                <w:lang w:val="en-US" w:eastAsia="zh-CN"/>
              </w:rPr>
              <w:t>喷枪在每日班次结束后需要清洗，清洗的工艺过程为：先关闭喷枪喷嘴的开关，将清水通过输漆系统进行闭路循环洗涤，清洗后的清水排入漆桶中，调匀后可用于下一次喷涂，企业喷枪清洗使用清水约</w:t>
            </w:r>
            <w:r>
              <w:rPr>
                <w:rFonts w:hint="eastAsia" w:ascii="Times New Roman" w:hAnsi="Times New Roman" w:eastAsia="仿宋" w:cs="Times New Roman"/>
                <w:color w:val="auto"/>
                <w:sz w:val="24"/>
                <w:lang w:val="en-US" w:eastAsia="zh-CN"/>
              </w:rPr>
              <w:t>5</w:t>
            </w:r>
            <w:r>
              <w:rPr>
                <w:rFonts w:hint="default" w:ascii="Times New Roman" w:hAnsi="Times New Roman" w:eastAsia="仿宋" w:cs="Times New Roman"/>
                <w:color w:val="auto"/>
                <w:sz w:val="24"/>
                <w:lang w:val="en-US" w:eastAsia="zh-CN"/>
              </w:rPr>
              <w:t>L/d，则洗枪用水</w:t>
            </w:r>
            <w:r>
              <w:rPr>
                <w:rFonts w:hint="eastAsia" w:ascii="Times New Roman" w:hAnsi="Times New Roman" w:eastAsia="仿宋" w:cs="Times New Roman"/>
                <w:color w:val="auto"/>
                <w:sz w:val="24"/>
                <w:lang w:val="en-US" w:eastAsia="zh-CN"/>
              </w:rPr>
              <w:t>1.5</w:t>
            </w:r>
            <w:r>
              <w:rPr>
                <w:rFonts w:hint="default" w:ascii="Times New Roman" w:hAnsi="Times New Roman" w:eastAsia="仿宋" w:cs="Times New Roman"/>
                <w:color w:val="auto"/>
                <w:sz w:val="24"/>
                <w:lang w:val="en-US" w:eastAsia="zh-CN"/>
              </w:rPr>
              <w:t>t/a</w:t>
            </w:r>
            <w:r>
              <w:rPr>
                <w:rFonts w:hint="eastAsia" w:eastAsia="仿宋" w:cs="Times New Roman"/>
                <w:color w:val="auto"/>
                <w:sz w:val="24"/>
                <w:lang w:val="en-US" w:eastAsia="zh-CN"/>
              </w:rPr>
              <w:t>。</w:t>
            </w:r>
          </w:p>
          <w:p w14:paraId="22CAE09B">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仿宋" w:cs="Times New Roman"/>
                <w:smallCaps w:val="0"/>
                <w:color w:val="auto"/>
                <w:kern w:val="2"/>
                <w:sz w:val="24"/>
                <w:szCs w:val="24"/>
                <w:lang w:val="en-US" w:eastAsia="zh-CN" w:bidi="ar-SA"/>
              </w:rPr>
            </w:pPr>
            <w:r>
              <w:rPr>
                <w:rFonts w:hint="eastAsia" w:ascii="Times New Roman" w:hAnsi="Times New Roman" w:eastAsia="仿宋" w:cs="Times New Roman"/>
                <w:smallCaps w:val="0"/>
                <w:color w:val="auto"/>
                <w:kern w:val="2"/>
                <w:sz w:val="24"/>
                <w:szCs w:val="24"/>
                <w:lang w:val="en-US" w:eastAsia="zh-CN" w:bidi="ar-SA"/>
              </w:rPr>
              <w:t>喷枪清洗废水回用调漆的可行性分析：</w:t>
            </w:r>
            <w:r>
              <w:rPr>
                <w:rFonts w:hint="default" w:ascii="Times New Roman" w:hAnsi="Times New Roman" w:eastAsia="仿宋" w:cs="Times New Roman"/>
                <w:smallCaps w:val="0"/>
                <w:color w:val="auto"/>
                <w:kern w:val="2"/>
                <w:sz w:val="24"/>
                <w:szCs w:val="24"/>
                <w:lang w:val="en-US" w:eastAsia="zh-CN" w:bidi="ar-SA"/>
              </w:rPr>
              <w:t>项目喷涂使用水性涂料，当天喷漆作业结束后，利用水性涂料可溶于水的特性，及时用水浸泡清洗喷枪，喷枪内残留的少量涂料即可被水稀释带走。根据工程分析，项目喷涂前需添加水将涂料调至合适喷涂的粘度，即对外购涂料进行个稀释过程，喷枪清洗废水相当于水性涂料的稀溶液，故喷枪清洗废水用于次日调漆稀释可行</w:t>
            </w:r>
            <w:r>
              <w:rPr>
                <w:rFonts w:hint="eastAsia" w:ascii="Times New Roman" w:hAnsi="Times New Roman" w:eastAsia="仿宋" w:cs="Times New Roman"/>
                <w:smallCaps w:val="0"/>
                <w:color w:val="auto"/>
                <w:kern w:val="2"/>
                <w:sz w:val="24"/>
                <w:szCs w:val="24"/>
                <w:lang w:val="en-US" w:eastAsia="zh-CN" w:bidi="ar-SA"/>
              </w:rPr>
              <w:t>。</w:t>
            </w:r>
          </w:p>
          <w:p w14:paraId="63FA82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 xml:space="preserve">（2）调漆用水 </w:t>
            </w:r>
          </w:p>
          <w:p w14:paraId="613560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水性漆与水配比均为</w:t>
            </w:r>
            <w:r>
              <w:rPr>
                <w:rFonts w:hint="eastAsia" w:ascii="Times New Roman" w:hAnsi="Times New Roman" w:eastAsia="仿宋" w:cs="Times New Roman"/>
                <w:color w:val="auto"/>
                <w:sz w:val="24"/>
                <w:lang w:val="en-US" w:eastAsia="zh-CN"/>
              </w:rPr>
              <w:t>5</w:t>
            </w:r>
            <w:r>
              <w:rPr>
                <w:rFonts w:hint="default" w:ascii="Times New Roman" w:hAnsi="Times New Roman" w:eastAsia="仿宋" w:cs="Times New Roman"/>
                <w:color w:val="auto"/>
                <w:sz w:val="24"/>
                <w:lang w:val="en-US" w:eastAsia="zh-CN"/>
              </w:rPr>
              <w:t>:</w:t>
            </w:r>
            <w:r>
              <w:rPr>
                <w:rFonts w:hint="eastAsia" w:ascii="Times New Roman" w:hAnsi="Times New Roman" w:eastAsia="仿宋" w:cs="Times New Roman"/>
                <w:color w:val="auto"/>
                <w:sz w:val="24"/>
                <w:lang w:val="en-US" w:eastAsia="zh-CN"/>
              </w:rPr>
              <w:t>1</w:t>
            </w:r>
            <w:r>
              <w:rPr>
                <w:rFonts w:hint="default" w:ascii="Times New Roman" w:hAnsi="Times New Roman" w:eastAsia="仿宋" w:cs="Times New Roman"/>
                <w:color w:val="auto"/>
                <w:sz w:val="24"/>
                <w:lang w:val="en-US" w:eastAsia="zh-CN"/>
              </w:rPr>
              <w:t>，本项目使用水性漆</w:t>
            </w:r>
            <w:r>
              <w:rPr>
                <w:rFonts w:hint="eastAsia" w:ascii="Times New Roman" w:hAnsi="Times New Roman" w:eastAsia="仿宋" w:cs="Times New Roman"/>
                <w:color w:val="auto"/>
                <w:sz w:val="24"/>
                <w:lang w:val="en-US" w:eastAsia="zh-CN"/>
              </w:rPr>
              <w:t>12</w:t>
            </w:r>
            <w:r>
              <w:rPr>
                <w:rFonts w:hint="default" w:ascii="Times New Roman" w:hAnsi="Times New Roman" w:eastAsia="仿宋" w:cs="Times New Roman"/>
                <w:color w:val="auto"/>
                <w:sz w:val="24"/>
                <w:lang w:val="en-US" w:eastAsia="zh-CN"/>
              </w:rPr>
              <w:t>t/a，则调漆需用水2.</w:t>
            </w:r>
            <w:r>
              <w:rPr>
                <w:rFonts w:hint="eastAsia" w:ascii="Times New Roman" w:hAnsi="Times New Roman" w:eastAsia="仿宋" w:cs="Times New Roman"/>
                <w:color w:val="auto"/>
                <w:sz w:val="24"/>
                <w:lang w:val="en-US" w:eastAsia="zh-CN"/>
              </w:rPr>
              <w:t>4</w:t>
            </w:r>
            <w:r>
              <w:rPr>
                <w:rFonts w:hint="default" w:ascii="Times New Roman" w:hAnsi="Times New Roman" w:eastAsia="仿宋" w:cs="Times New Roman"/>
                <w:color w:val="auto"/>
                <w:sz w:val="24"/>
                <w:lang w:val="en-US" w:eastAsia="zh-CN"/>
              </w:rPr>
              <w:t>t/a</w:t>
            </w:r>
            <w:r>
              <w:rPr>
                <w:rFonts w:hint="eastAsia" w:eastAsia="仿宋" w:cs="Times New Roman"/>
                <w:color w:val="auto"/>
                <w:sz w:val="24"/>
                <w:lang w:val="en-US" w:eastAsia="zh-CN"/>
              </w:rPr>
              <w:t>。</w:t>
            </w:r>
            <w:r>
              <w:rPr>
                <w:rFonts w:hint="default" w:ascii="Times New Roman" w:hAnsi="Times New Roman" w:eastAsia="仿宋" w:cs="Times New Roman"/>
                <w:color w:val="auto"/>
                <w:sz w:val="24"/>
                <w:lang w:val="en-US" w:eastAsia="zh-CN"/>
              </w:rPr>
              <w:t xml:space="preserve"> </w:t>
            </w:r>
          </w:p>
          <w:p w14:paraId="0EEADA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（3）</w:t>
            </w:r>
            <w:r>
              <w:rPr>
                <w:rFonts w:hint="eastAsia" w:ascii="Times New Roman" w:hAnsi="Times New Roman" w:eastAsia="仿宋" w:cs="Times New Roman"/>
                <w:color w:val="auto"/>
                <w:sz w:val="24"/>
                <w:lang w:val="en-US" w:eastAsia="zh-CN"/>
              </w:rPr>
              <w:t>试漏</w:t>
            </w:r>
            <w:r>
              <w:rPr>
                <w:rFonts w:hint="default" w:ascii="Times New Roman" w:hAnsi="Times New Roman" w:eastAsia="仿宋" w:cs="Times New Roman"/>
                <w:color w:val="auto"/>
                <w:sz w:val="24"/>
                <w:lang w:val="en-US" w:eastAsia="zh-CN"/>
              </w:rPr>
              <w:t xml:space="preserve">用水 </w:t>
            </w:r>
          </w:p>
          <w:p w14:paraId="7C5698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lang w:val="en-US"/>
              </w:rPr>
            </w:pPr>
            <w:r>
              <w:rPr>
                <w:rFonts w:hint="default" w:ascii="Times New Roman" w:hAnsi="Times New Roman" w:eastAsia="仿宋" w:cs="Times New Roman"/>
                <w:color w:val="auto"/>
                <w:sz w:val="24"/>
                <w:lang w:val="en-US" w:eastAsia="zh-CN"/>
              </w:rPr>
              <w:t>根据工程分析，</w:t>
            </w:r>
            <w:r>
              <w:rPr>
                <w:rFonts w:hint="eastAsia" w:ascii="Times New Roman" w:hAnsi="Times New Roman" w:eastAsia="仿宋" w:cs="Times New Roman"/>
                <w:color w:val="auto"/>
                <w:sz w:val="24"/>
                <w:lang w:val="en-US" w:eastAsia="zh-CN"/>
              </w:rPr>
              <w:t>项目设置1个试漏</w:t>
            </w:r>
            <w:r>
              <w:rPr>
                <w:rFonts w:hint="default" w:ascii="Times New Roman" w:hAnsi="Times New Roman" w:eastAsia="仿宋" w:cs="Times New Roman"/>
                <w:color w:val="auto"/>
                <w:sz w:val="24"/>
                <w:lang w:val="en-US" w:eastAsia="zh-CN"/>
              </w:rPr>
              <w:t>水池，规格长宽高：</w:t>
            </w:r>
            <w:r>
              <w:rPr>
                <w:rFonts w:hint="eastAsia" w:ascii="Times New Roman" w:hAnsi="Times New Roman" w:eastAsia="仿宋" w:cs="Times New Roman"/>
                <w:color w:val="auto"/>
                <w:sz w:val="24"/>
                <w:lang w:val="en-US" w:eastAsia="zh-CN"/>
              </w:rPr>
              <w:t>2</w:t>
            </w:r>
            <w:r>
              <w:rPr>
                <w:rFonts w:hint="default" w:ascii="Times New Roman" w:hAnsi="Times New Roman" w:eastAsia="仿宋" w:cs="Times New Roman"/>
                <w:color w:val="auto"/>
                <w:sz w:val="24"/>
                <w:lang w:val="en-US" w:eastAsia="zh-CN"/>
              </w:rPr>
              <w:t>m*</w:t>
            </w:r>
            <w:r>
              <w:rPr>
                <w:rFonts w:hint="eastAsia" w:ascii="Times New Roman" w:hAnsi="Times New Roman" w:eastAsia="仿宋" w:cs="Times New Roman"/>
                <w:color w:val="auto"/>
                <w:sz w:val="24"/>
                <w:lang w:val="en-US" w:eastAsia="zh-CN"/>
              </w:rPr>
              <w:t>2</w:t>
            </w:r>
            <w:r>
              <w:rPr>
                <w:rFonts w:hint="default" w:ascii="Times New Roman" w:hAnsi="Times New Roman" w:eastAsia="仿宋" w:cs="Times New Roman"/>
                <w:color w:val="auto"/>
                <w:sz w:val="24"/>
                <w:lang w:val="en-US" w:eastAsia="zh-CN"/>
              </w:rPr>
              <w:t>m*1m，容积系数按0.8计，蒸发及携带损耗按照池体水量2%/日计，</w:t>
            </w:r>
            <w:r>
              <w:rPr>
                <w:rFonts w:hint="eastAsia" w:ascii="Times New Roman" w:hAnsi="Times New Roman" w:eastAsia="仿宋" w:cs="Times New Roman"/>
                <w:color w:val="auto"/>
                <w:sz w:val="24"/>
                <w:lang w:val="en-US" w:eastAsia="zh-CN"/>
              </w:rPr>
              <w:t>年补充水约19.2t/a，试漏</w:t>
            </w:r>
            <w:r>
              <w:rPr>
                <w:rFonts w:hint="default" w:ascii="Times New Roman" w:hAnsi="Times New Roman" w:eastAsia="仿宋" w:cs="Times New Roman"/>
                <w:color w:val="auto"/>
                <w:sz w:val="24"/>
                <w:lang w:val="en-US" w:eastAsia="zh-CN"/>
              </w:rPr>
              <w:t>水池</w:t>
            </w:r>
            <w:r>
              <w:rPr>
                <w:rFonts w:hint="eastAsia" w:ascii="Times New Roman" w:hAnsi="Times New Roman" w:eastAsia="仿宋" w:cs="Times New Roman"/>
                <w:color w:val="auto"/>
                <w:sz w:val="24"/>
                <w:lang w:val="en-US" w:eastAsia="zh-CN"/>
              </w:rPr>
              <w:t>每年</w:t>
            </w:r>
            <w:r>
              <w:rPr>
                <w:rFonts w:hint="default" w:ascii="Times New Roman" w:hAnsi="Times New Roman" w:eastAsia="仿宋" w:cs="Times New Roman"/>
                <w:color w:val="auto"/>
                <w:sz w:val="24"/>
                <w:lang w:val="en-US" w:eastAsia="zh-CN"/>
              </w:rPr>
              <w:t>更换</w:t>
            </w:r>
            <w:r>
              <w:rPr>
                <w:rFonts w:hint="eastAsia" w:ascii="Times New Roman" w:hAnsi="Times New Roman" w:eastAsia="仿宋" w:cs="Times New Roman"/>
                <w:color w:val="auto"/>
                <w:sz w:val="24"/>
                <w:lang w:val="en-US" w:eastAsia="zh-CN"/>
              </w:rPr>
              <w:t>一次，产生试漏废水</w:t>
            </w:r>
            <w:r>
              <w:rPr>
                <w:rFonts w:hint="default" w:ascii="Times New Roman" w:hAnsi="Times New Roman" w:eastAsia="仿宋" w:cs="Times New Roman"/>
                <w:color w:val="auto"/>
                <w:sz w:val="24"/>
                <w:lang w:val="en-US" w:eastAsia="zh-CN"/>
              </w:rPr>
              <w:t>约</w:t>
            </w:r>
            <w:r>
              <w:rPr>
                <w:rFonts w:hint="eastAsia" w:ascii="Times New Roman" w:hAnsi="Times New Roman" w:eastAsia="仿宋" w:cs="Times New Roman"/>
                <w:color w:val="auto"/>
                <w:sz w:val="24"/>
                <w:lang w:val="en-US" w:eastAsia="zh-CN"/>
              </w:rPr>
              <w:t>3.6t/a。综上，项目试漏</w:t>
            </w:r>
            <w:r>
              <w:rPr>
                <w:rFonts w:hint="default" w:ascii="Times New Roman" w:hAnsi="Times New Roman" w:eastAsia="仿宋" w:cs="Times New Roman"/>
                <w:color w:val="auto"/>
                <w:sz w:val="24"/>
                <w:lang w:val="en-US" w:eastAsia="zh-CN"/>
              </w:rPr>
              <w:t>水池</w:t>
            </w:r>
            <w:r>
              <w:rPr>
                <w:rFonts w:hint="eastAsia" w:ascii="Times New Roman" w:hAnsi="Times New Roman" w:eastAsia="仿宋" w:cs="Times New Roman"/>
                <w:color w:val="auto"/>
                <w:sz w:val="24"/>
                <w:lang w:val="en-US" w:eastAsia="zh-CN"/>
              </w:rPr>
              <w:t>补充水约22.8t/a。</w:t>
            </w:r>
          </w:p>
          <w:p w14:paraId="07F399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w:t>
            </w:r>
            <w:r>
              <w:rPr>
                <w:rFonts w:hint="eastAsia" w:ascii="Times New Roman" w:hAnsi="Times New Roman" w:eastAsia="仿宋" w:cs="Times New Roman"/>
                <w:color w:val="auto"/>
                <w:sz w:val="24"/>
                <w:lang w:val="en-US" w:eastAsia="zh-CN"/>
              </w:rPr>
              <w:t>4</w:t>
            </w:r>
            <w:r>
              <w:rPr>
                <w:rFonts w:hint="default" w:ascii="Times New Roman" w:hAnsi="Times New Roman" w:eastAsia="仿宋" w:cs="Times New Roman"/>
                <w:color w:val="auto"/>
                <w:sz w:val="24"/>
                <w:lang w:val="en-US" w:eastAsia="zh-CN"/>
              </w:rPr>
              <w:t>）</w:t>
            </w:r>
            <w:r>
              <w:rPr>
                <w:rFonts w:hint="eastAsia" w:ascii="Times New Roman" w:hAnsi="Times New Roman" w:eastAsia="仿宋" w:cs="Times New Roman"/>
                <w:color w:val="auto"/>
                <w:sz w:val="24"/>
                <w:lang w:val="en-US" w:eastAsia="zh-CN"/>
              </w:rPr>
              <w:t>切削液</w:t>
            </w:r>
            <w:r>
              <w:rPr>
                <w:rFonts w:hint="default" w:ascii="Times New Roman" w:hAnsi="Times New Roman" w:eastAsia="仿宋" w:cs="Times New Roman"/>
                <w:color w:val="auto"/>
                <w:sz w:val="24"/>
                <w:lang w:val="en-US" w:eastAsia="zh-CN"/>
              </w:rPr>
              <w:t>配比用水</w:t>
            </w:r>
          </w:p>
          <w:p w14:paraId="5FF698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本项目</w:t>
            </w:r>
            <w:r>
              <w:rPr>
                <w:rFonts w:hint="eastAsia" w:ascii="Times New Roman" w:hAnsi="Times New Roman" w:eastAsia="仿宋" w:cs="Times New Roman"/>
                <w:color w:val="auto"/>
                <w:sz w:val="24"/>
                <w:lang w:val="en-US" w:eastAsia="zh-CN"/>
              </w:rPr>
              <w:t>切削液</w:t>
            </w:r>
            <w:r>
              <w:rPr>
                <w:rFonts w:hint="default" w:ascii="Times New Roman" w:hAnsi="Times New Roman" w:eastAsia="仿宋" w:cs="Times New Roman"/>
                <w:color w:val="auto"/>
                <w:sz w:val="24"/>
                <w:lang w:val="en-US" w:eastAsia="zh-CN"/>
              </w:rPr>
              <w:t>：水配比为1:9，项目年使用</w:t>
            </w:r>
            <w:r>
              <w:rPr>
                <w:rFonts w:hint="eastAsia" w:ascii="Times New Roman" w:hAnsi="Times New Roman" w:eastAsia="仿宋" w:cs="Times New Roman"/>
                <w:color w:val="auto"/>
                <w:sz w:val="24"/>
                <w:lang w:val="en-US" w:eastAsia="zh-CN"/>
              </w:rPr>
              <w:t>2</w:t>
            </w:r>
            <w:r>
              <w:rPr>
                <w:rFonts w:hint="default" w:ascii="Times New Roman" w:hAnsi="Times New Roman" w:eastAsia="仿宋" w:cs="Times New Roman"/>
                <w:color w:val="auto"/>
                <w:sz w:val="24"/>
                <w:lang w:val="en-US" w:eastAsia="zh-CN"/>
              </w:rPr>
              <w:t>t</w:t>
            </w:r>
            <w:r>
              <w:rPr>
                <w:rFonts w:hint="eastAsia" w:ascii="Times New Roman" w:hAnsi="Times New Roman" w:eastAsia="仿宋" w:cs="Times New Roman"/>
                <w:color w:val="auto"/>
                <w:sz w:val="24"/>
                <w:lang w:val="en-US" w:eastAsia="zh-CN"/>
              </w:rPr>
              <w:t>切削液</w:t>
            </w:r>
            <w:r>
              <w:rPr>
                <w:rFonts w:hint="default" w:ascii="Times New Roman" w:hAnsi="Times New Roman" w:eastAsia="仿宋" w:cs="Times New Roman"/>
                <w:color w:val="auto"/>
                <w:sz w:val="24"/>
                <w:lang w:val="en-US" w:eastAsia="zh-CN"/>
              </w:rPr>
              <w:t>，则项目</w:t>
            </w:r>
            <w:r>
              <w:rPr>
                <w:rFonts w:hint="eastAsia" w:ascii="Times New Roman" w:hAnsi="Times New Roman" w:eastAsia="仿宋" w:cs="Times New Roman"/>
                <w:color w:val="auto"/>
                <w:sz w:val="24"/>
                <w:lang w:val="en-US" w:eastAsia="zh-CN"/>
              </w:rPr>
              <w:t>切削液</w:t>
            </w:r>
            <w:r>
              <w:rPr>
                <w:rFonts w:hint="default" w:ascii="Times New Roman" w:hAnsi="Times New Roman" w:eastAsia="仿宋" w:cs="Times New Roman"/>
                <w:color w:val="auto"/>
                <w:sz w:val="24"/>
                <w:lang w:val="en-US" w:eastAsia="zh-CN"/>
              </w:rPr>
              <w:t>配比需使用新水</w:t>
            </w:r>
            <w:r>
              <w:rPr>
                <w:rFonts w:hint="eastAsia" w:ascii="Times New Roman" w:hAnsi="Times New Roman" w:eastAsia="仿宋" w:cs="Times New Roman"/>
                <w:color w:val="auto"/>
                <w:sz w:val="24"/>
                <w:lang w:val="en-US" w:eastAsia="zh-CN"/>
              </w:rPr>
              <w:t>18</w:t>
            </w:r>
            <w:r>
              <w:rPr>
                <w:rFonts w:hint="default" w:ascii="Times New Roman" w:hAnsi="Times New Roman" w:eastAsia="仿宋" w:cs="Times New Roman"/>
                <w:color w:val="auto"/>
                <w:sz w:val="24"/>
                <w:lang w:val="en-US" w:eastAsia="zh-CN"/>
              </w:rPr>
              <w:t xml:space="preserve">t/a。 </w:t>
            </w:r>
          </w:p>
          <w:p w14:paraId="576CC5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w:t>
            </w:r>
            <w:r>
              <w:rPr>
                <w:rFonts w:hint="eastAsia" w:eastAsia="仿宋" w:cs="Times New Roman"/>
                <w:color w:val="auto"/>
                <w:sz w:val="24"/>
                <w:lang w:val="en-US" w:eastAsia="zh-CN"/>
              </w:rPr>
              <w:t>5</w:t>
            </w:r>
            <w:r>
              <w:rPr>
                <w:rFonts w:hint="default" w:ascii="Times New Roman" w:hAnsi="Times New Roman" w:eastAsia="仿宋" w:cs="Times New Roman"/>
                <w:color w:val="auto"/>
                <w:sz w:val="24"/>
                <w:lang w:val="en-US" w:eastAsia="zh-CN"/>
              </w:rPr>
              <w:t xml:space="preserve">）生活用水 </w:t>
            </w:r>
          </w:p>
          <w:p w14:paraId="6C7ECC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企业</w:t>
            </w:r>
            <w:r>
              <w:rPr>
                <w:rFonts w:hint="eastAsia" w:ascii="Times New Roman" w:hAnsi="Times New Roman" w:eastAsia="仿宋" w:cs="Times New Roman"/>
                <w:color w:val="auto"/>
                <w:sz w:val="24"/>
                <w:lang w:val="en-US" w:eastAsia="zh-CN"/>
              </w:rPr>
              <w:t>劳动定</w:t>
            </w:r>
            <w:r>
              <w:rPr>
                <w:rFonts w:hint="default" w:ascii="Times New Roman" w:hAnsi="Times New Roman" w:eastAsia="仿宋" w:cs="Times New Roman"/>
                <w:color w:val="auto"/>
                <w:sz w:val="24"/>
                <w:lang w:val="en-US" w:eastAsia="zh-CN"/>
              </w:rPr>
              <w:t>员</w:t>
            </w:r>
            <w:r>
              <w:rPr>
                <w:rFonts w:hint="eastAsia" w:ascii="Times New Roman" w:hAnsi="Times New Roman" w:eastAsia="仿宋" w:cs="Times New Roman"/>
                <w:color w:val="auto"/>
                <w:sz w:val="24"/>
                <w:lang w:val="en-US" w:eastAsia="zh-CN"/>
              </w:rPr>
              <w:t>10</w:t>
            </w:r>
            <w:r>
              <w:rPr>
                <w:rFonts w:hint="default" w:ascii="Times New Roman" w:hAnsi="Times New Roman" w:eastAsia="仿宋" w:cs="Times New Roman"/>
                <w:color w:val="auto"/>
                <w:sz w:val="24"/>
                <w:lang w:val="en-US" w:eastAsia="zh-CN"/>
              </w:rPr>
              <w:t>0人，年工作日300天，不设置食堂、宿舍和浴室等，参照《常州市农业、林牧渔业、工业、生活和服务业用水定额（2021年修订）》并结合企业原有项目实际用水情况，按人均生活用水定额80L/d计，则本项目生活用水为</w:t>
            </w:r>
            <w:r>
              <w:rPr>
                <w:rFonts w:hint="eastAsia" w:ascii="Times New Roman" w:hAnsi="Times New Roman" w:eastAsia="仿宋" w:cs="Times New Roman"/>
                <w:color w:val="auto"/>
                <w:sz w:val="24"/>
                <w:lang w:val="en-US" w:eastAsia="zh-CN"/>
              </w:rPr>
              <w:t>240</w:t>
            </w:r>
            <w:r>
              <w:rPr>
                <w:rFonts w:hint="default" w:ascii="Times New Roman" w:hAnsi="Times New Roman" w:eastAsia="仿宋" w:cs="Times New Roman"/>
                <w:color w:val="auto"/>
                <w:sz w:val="24"/>
                <w:lang w:val="en-US" w:eastAsia="zh-CN"/>
              </w:rPr>
              <w:t>0t /a。</w:t>
            </w:r>
          </w:p>
          <w:p w14:paraId="189824E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bCs/>
                <w:color w:val="auto"/>
                <w:sz w:val="24"/>
                <w:lang w:val="en-US" w:eastAsia="zh-CN"/>
              </w:rPr>
            </w:pPr>
            <w:r>
              <w:rPr>
                <w:rFonts w:hint="default" w:ascii="Times New Roman" w:hAnsi="Times New Roman" w:eastAsia="仿宋" w:cs="Times New Roman"/>
                <w:b/>
                <w:bCs/>
                <w:color w:val="auto"/>
                <w:sz w:val="24"/>
                <w:lang w:val="en-US" w:eastAsia="zh-CN"/>
              </w:rPr>
              <w:t xml:space="preserve">2、废水污染源强分析 </w:t>
            </w:r>
          </w:p>
          <w:p w14:paraId="561DD3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项目</w:t>
            </w:r>
            <w:r>
              <w:rPr>
                <w:rFonts w:hint="eastAsia" w:eastAsia="仿宋" w:cs="Times New Roman"/>
                <w:color w:val="auto"/>
                <w:sz w:val="24"/>
                <w:lang w:val="en-US" w:eastAsia="zh-CN"/>
              </w:rPr>
              <w:t>车间</w:t>
            </w:r>
            <w:r>
              <w:rPr>
                <w:rFonts w:hint="default" w:ascii="Times New Roman" w:hAnsi="Times New Roman" w:eastAsia="仿宋" w:cs="Times New Roman"/>
                <w:color w:val="auto"/>
                <w:sz w:val="24"/>
                <w:lang w:val="en-US" w:eastAsia="zh-CN"/>
              </w:rPr>
              <w:t>地面为标准环氧</w:t>
            </w:r>
            <w:r>
              <w:rPr>
                <w:rFonts w:hint="eastAsia" w:eastAsia="仿宋" w:cs="Times New Roman"/>
                <w:color w:val="auto"/>
                <w:sz w:val="24"/>
                <w:lang w:val="en-US" w:eastAsia="zh-CN"/>
              </w:rPr>
              <w:t>地坪</w:t>
            </w:r>
            <w:r>
              <w:rPr>
                <w:rFonts w:hint="default" w:ascii="Times New Roman" w:hAnsi="Times New Roman" w:eastAsia="仿宋" w:cs="Times New Roman"/>
                <w:color w:val="auto"/>
                <w:sz w:val="24"/>
                <w:lang w:val="en-US" w:eastAsia="zh-CN"/>
              </w:rPr>
              <w:t xml:space="preserve">，生产班次结束由员工对地面及散落的边角料清理即可，项目无需对地面进行冲洗，清洁过程仅产生少量沾染涂料的清洁物，纳入危险废物进行处置。 </w:t>
            </w:r>
          </w:p>
          <w:p w14:paraId="33F73C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生活污水：项目生活污水产污率按照生活用水量的0.</w:t>
            </w:r>
            <w:r>
              <w:rPr>
                <w:rFonts w:hint="eastAsia" w:ascii="Times New Roman" w:hAnsi="Times New Roman" w:eastAsia="仿宋" w:cs="Times New Roman"/>
                <w:color w:val="auto"/>
                <w:sz w:val="24"/>
                <w:lang w:val="en-US" w:eastAsia="zh-CN"/>
              </w:rPr>
              <w:t>8</w:t>
            </w:r>
            <w:r>
              <w:rPr>
                <w:rFonts w:hint="default" w:ascii="Times New Roman" w:hAnsi="Times New Roman" w:eastAsia="仿宋" w:cs="Times New Roman"/>
                <w:color w:val="auto"/>
                <w:sz w:val="24"/>
                <w:lang w:val="en-US" w:eastAsia="zh-CN"/>
              </w:rPr>
              <w:t>计，则生活污水产生量为</w:t>
            </w:r>
            <w:r>
              <w:rPr>
                <w:rFonts w:hint="eastAsia" w:ascii="Times New Roman" w:hAnsi="Times New Roman" w:eastAsia="仿宋" w:cs="Times New Roman"/>
                <w:color w:val="auto"/>
                <w:sz w:val="24"/>
                <w:lang w:val="en-US" w:eastAsia="zh-CN"/>
              </w:rPr>
              <w:t>1920</w:t>
            </w:r>
            <w:r>
              <w:rPr>
                <w:rFonts w:hint="default" w:ascii="Times New Roman" w:hAnsi="Times New Roman" w:eastAsia="仿宋" w:cs="Times New Roman"/>
                <w:color w:val="auto"/>
                <w:sz w:val="24"/>
                <w:lang w:val="en-US" w:eastAsia="zh-CN"/>
              </w:rPr>
              <w:t>t/a，</w:t>
            </w:r>
            <w:r>
              <w:rPr>
                <w:rFonts w:hint="eastAsia" w:ascii="Times New Roman" w:hAnsi="Times New Roman" w:eastAsia="仿宋" w:cs="Times New Roman"/>
                <w:color w:val="auto"/>
                <w:sz w:val="24"/>
                <w:lang w:val="en-US" w:eastAsia="zh-CN"/>
              </w:rPr>
              <w:t>主要污染物</w:t>
            </w:r>
            <w:r>
              <w:rPr>
                <w:rFonts w:hint="default" w:ascii="Times New Roman" w:hAnsi="Times New Roman" w:eastAsia="仿宋" w:cs="Times New Roman"/>
                <w:color w:val="auto"/>
                <w:sz w:val="24"/>
                <w:lang w:val="en-US" w:eastAsia="zh-CN"/>
              </w:rPr>
              <w:t>COD、SS、氨氮、TN、TP产生浓度分别为</w:t>
            </w:r>
            <w:r>
              <w:rPr>
                <w:rFonts w:hint="eastAsia" w:ascii="Times New Roman" w:hAnsi="Times New Roman" w:eastAsia="仿宋" w:cs="Times New Roman"/>
                <w:color w:val="auto"/>
                <w:sz w:val="24"/>
                <w:lang w:val="en-US" w:eastAsia="zh-CN"/>
              </w:rPr>
              <w:t>30</w:t>
            </w:r>
            <w:r>
              <w:rPr>
                <w:rFonts w:hint="default" w:ascii="Times New Roman" w:hAnsi="Times New Roman" w:eastAsia="仿宋" w:cs="Times New Roman"/>
                <w:color w:val="auto"/>
                <w:sz w:val="24"/>
                <w:lang w:val="en-US" w:eastAsia="zh-CN"/>
              </w:rPr>
              <w:t>0mg/L、</w:t>
            </w:r>
            <w:r>
              <w:rPr>
                <w:rFonts w:hint="eastAsia" w:ascii="Times New Roman" w:hAnsi="Times New Roman" w:eastAsia="仿宋" w:cs="Times New Roman"/>
                <w:color w:val="auto"/>
                <w:sz w:val="24"/>
                <w:lang w:val="en-US" w:eastAsia="zh-CN"/>
              </w:rPr>
              <w:t>2</w:t>
            </w:r>
            <w:r>
              <w:rPr>
                <w:rFonts w:hint="default" w:ascii="Times New Roman" w:hAnsi="Times New Roman" w:eastAsia="仿宋" w:cs="Times New Roman"/>
                <w:color w:val="auto"/>
                <w:sz w:val="24"/>
                <w:lang w:val="en-US" w:eastAsia="zh-CN"/>
              </w:rPr>
              <w:t>00mg/L、</w:t>
            </w:r>
            <w:r>
              <w:rPr>
                <w:rFonts w:hint="eastAsia" w:ascii="Times New Roman" w:hAnsi="Times New Roman" w:eastAsia="仿宋" w:cs="Times New Roman"/>
                <w:color w:val="auto"/>
                <w:sz w:val="24"/>
                <w:lang w:val="en-US" w:eastAsia="zh-CN"/>
              </w:rPr>
              <w:t>20</w:t>
            </w:r>
            <w:r>
              <w:rPr>
                <w:rFonts w:hint="default" w:ascii="Times New Roman" w:hAnsi="Times New Roman" w:eastAsia="仿宋" w:cs="Times New Roman"/>
                <w:color w:val="auto"/>
                <w:sz w:val="24"/>
                <w:lang w:val="en-US" w:eastAsia="zh-CN"/>
              </w:rPr>
              <w:t>mg/L、</w:t>
            </w:r>
            <w:r>
              <w:rPr>
                <w:rFonts w:hint="eastAsia" w:ascii="Times New Roman" w:hAnsi="Times New Roman" w:eastAsia="仿宋" w:cs="Times New Roman"/>
                <w:color w:val="auto"/>
                <w:sz w:val="24"/>
                <w:lang w:val="en-US" w:eastAsia="zh-CN"/>
              </w:rPr>
              <w:t>30</w:t>
            </w:r>
            <w:r>
              <w:rPr>
                <w:rFonts w:hint="default" w:ascii="Times New Roman" w:hAnsi="Times New Roman" w:eastAsia="仿宋" w:cs="Times New Roman"/>
                <w:color w:val="auto"/>
                <w:sz w:val="24"/>
                <w:lang w:val="en-US" w:eastAsia="zh-CN"/>
              </w:rPr>
              <w:t>mg/L、</w:t>
            </w:r>
            <w:r>
              <w:rPr>
                <w:rFonts w:hint="eastAsia" w:ascii="Times New Roman" w:hAnsi="Times New Roman" w:eastAsia="仿宋" w:cs="Times New Roman"/>
                <w:color w:val="auto"/>
                <w:sz w:val="24"/>
                <w:lang w:val="en-US" w:eastAsia="zh-CN"/>
              </w:rPr>
              <w:t>2</w:t>
            </w:r>
            <w:r>
              <w:rPr>
                <w:rFonts w:hint="default" w:ascii="Times New Roman" w:hAnsi="Times New Roman" w:eastAsia="仿宋" w:cs="Times New Roman"/>
                <w:color w:val="auto"/>
                <w:sz w:val="24"/>
                <w:lang w:val="en-US" w:eastAsia="zh-CN"/>
              </w:rPr>
              <w:t>mg/L。</w:t>
            </w:r>
          </w:p>
          <w:p w14:paraId="7FC893E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val="en-US" w:eastAsia="zh-CN"/>
              </w:rPr>
              <w:t>3、</w:t>
            </w:r>
            <w:r>
              <w:rPr>
                <w:rFonts w:hint="default" w:ascii="Times New Roman" w:hAnsi="Times New Roman" w:eastAsia="仿宋" w:cs="Times New Roman"/>
                <w:b/>
                <w:bCs/>
                <w:color w:val="auto"/>
                <w:sz w:val="24"/>
              </w:rPr>
              <w:t>污染防治措施</w:t>
            </w:r>
          </w:p>
          <w:p w14:paraId="367329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 w:cs="Times New Roman"/>
                <w:color w:val="auto"/>
                <w:sz w:val="24"/>
                <w:lang w:eastAsia="zh-CN"/>
              </w:rPr>
            </w:pPr>
            <w:r>
              <w:rPr>
                <w:rFonts w:hint="default" w:ascii="Times New Roman" w:hAnsi="Times New Roman" w:eastAsia="仿宋" w:cs="Times New Roman"/>
                <w:color w:val="auto"/>
                <w:sz w:val="24"/>
              </w:rPr>
              <w:t>厂区实现雨污分流。本项目生活污水依托</w:t>
            </w:r>
            <w:r>
              <w:rPr>
                <w:rFonts w:hint="default" w:ascii="Times New Roman" w:hAnsi="Times New Roman" w:eastAsia="仿宋" w:cs="Times New Roman"/>
                <w:color w:val="auto"/>
                <w:sz w:val="24"/>
                <w:lang w:eastAsia="zh-CN"/>
              </w:rPr>
              <w:t>现有</w:t>
            </w:r>
            <w:r>
              <w:rPr>
                <w:rFonts w:hint="eastAsia" w:eastAsia="仿宋" w:cs="Times New Roman"/>
                <w:color w:val="auto"/>
                <w:sz w:val="24"/>
                <w:lang w:val="en-US" w:eastAsia="zh-CN"/>
              </w:rPr>
              <w:t>化粪池收集后</w:t>
            </w:r>
            <w:r>
              <w:rPr>
                <w:rFonts w:hint="default" w:ascii="Times New Roman" w:hAnsi="Times New Roman" w:eastAsia="仿宋" w:cs="Times New Roman"/>
                <w:color w:val="auto"/>
                <w:sz w:val="24"/>
              </w:rPr>
              <w:t>接管进入金坛</w:t>
            </w:r>
            <w:r>
              <w:rPr>
                <w:rFonts w:hint="default" w:ascii="Times New Roman" w:hAnsi="Times New Roman" w:eastAsia="仿宋" w:cs="Times New Roman"/>
                <w:color w:val="auto"/>
                <w:sz w:val="24"/>
                <w:lang w:eastAsia="zh-CN"/>
              </w:rPr>
              <w:t>区茅东污水处理厂</w:t>
            </w:r>
            <w:r>
              <w:rPr>
                <w:rFonts w:hint="default" w:ascii="Times New Roman" w:hAnsi="Times New Roman" w:eastAsia="仿宋" w:cs="Times New Roman"/>
                <w:color w:val="auto"/>
                <w:sz w:val="24"/>
              </w:rPr>
              <w:t>集中处理。</w:t>
            </w:r>
          </w:p>
          <w:p w14:paraId="0EEB77B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b/>
                <w:bCs/>
                <w:color w:val="auto"/>
                <w:sz w:val="24"/>
                <w:lang w:val="en-US" w:eastAsia="zh-CN"/>
              </w:rPr>
              <w:t>4、污水</w:t>
            </w:r>
            <w:r>
              <w:rPr>
                <w:rFonts w:hint="default" w:ascii="Times New Roman" w:hAnsi="Times New Roman" w:eastAsia="仿宋" w:cs="Times New Roman"/>
                <w:b/>
                <w:bCs/>
                <w:color w:val="auto"/>
                <w:sz w:val="24"/>
              </w:rPr>
              <w:t>接管可行性分析</w:t>
            </w:r>
          </w:p>
          <w:p w14:paraId="1E975A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①污水处理厂简介</w:t>
            </w:r>
          </w:p>
          <w:p w14:paraId="3B4A905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color w:val="auto"/>
                <w:kern w:val="0"/>
                <w:sz w:val="24"/>
                <w:lang w:val="en-US" w:eastAsia="zh-CN"/>
              </w:rPr>
              <w:t>常州市金坛区</w:t>
            </w:r>
            <w:r>
              <w:rPr>
                <w:rFonts w:hint="eastAsia" w:ascii="Times New Roman" w:hAnsi="Times New Roman" w:eastAsia="仿宋" w:cs="Times New Roman"/>
                <w:color w:val="auto"/>
                <w:kern w:val="0"/>
                <w:sz w:val="24"/>
                <w:lang w:val="en-US" w:eastAsia="zh-CN"/>
              </w:rPr>
              <w:t>茅东污水处理厂</w:t>
            </w:r>
            <w:r>
              <w:rPr>
                <w:rFonts w:hint="default" w:ascii="Times New Roman" w:hAnsi="Times New Roman" w:eastAsia="仿宋" w:cs="Times New Roman"/>
                <w:color w:val="auto"/>
                <w:kern w:val="0"/>
                <w:sz w:val="24"/>
                <w:lang w:val="en-US" w:eastAsia="zh-CN"/>
              </w:rPr>
              <w:t>位于常州市金坛区薛埠镇游仙大道与薛埠河交叉口西北，主要收集薛埠镇镇区、茅山旅游度假区的污水和少量园区工业废水</w:t>
            </w:r>
            <w:r>
              <w:rPr>
                <w:rFonts w:hint="eastAsia" w:ascii="Times New Roman" w:hAnsi="Times New Roman" w:eastAsia="仿宋" w:cs="Times New Roman"/>
                <w:color w:val="auto"/>
                <w:kern w:val="0"/>
                <w:sz w:val="24"/>
                <w:lang w:val="en-US" w:eastAsia="zh-CN"/>
              </w:rPr>
              <w:t>（</w:t>
            </w:r>
            <w:r>
              <w:rPr>
                <w:rFonts w:hint="default" w:ascii="Times New Roman" w:hAnsi="Times New Roman" w:eastAsia="仿宋" w:cs="Times New Roman"/>
                <w:color w:val="auto"/>
                <w:kern w:val="0"/>
                <w:sz w:val="24"/>
                <w:lang w:val="en-US" w:eastAsia="zh-CN"/>
              </w:rPr>
              <w:t>奥托立夫（江苏）汽车安全零部件有限公司</w:t>
            </w:r>
            <w:r>
              <w:rPr>
                <w:rFonts w:hint="eastAsia" w:ascii="Times New Roman" w:hAnsi="Times New Roman" w:eastAsia="仿宋" w:cs="Times New Roman"/>
                <w:color w:val="auto"/>
                <w:kern w:val="0"/>
                <w:sz w:val="24"/>
                <w:lang w:val="en-US" w:eastAsia="zh-CN"/>
              </w:rPr>
              <w:t>、</w:t>
            </w:r>
            <w:r>
              <w:rPr>
                <w:rFonts w:hint="default" w:ascii="Times New Roman" w:hAnsi="Times New Roman" w:eastAsia="仿宋" w:cs="Times New Roman"/>
                <w:color w:val="auto"/>
                <w:kern w:val="0"/>
                <w:sz w:val="24"/>
                <w:lang w:val="en-US" w:eastAsia="zh-CN"/>
              </w:rPr>
              <w:t>常州市金坛常鑫机械轧辊科技有限公司</w:t>
            </w:r>
            <w:r>
              <w:rPr>
                <w:rFonts w:hint="eastAsia" w:ascii="Times New Roman" w:hAnsi="Times New Roman" w:eastAsia="仿宋" w:cs="Times New Roman"/>
                <w:color w:val="auto"/>
                <w:kern w:val="0"/>
                <w:sz w:val="24"/>
                <w:lang w:val="en-US" w:eastAsia="zh-CN"/>
              </w:rPr>
              <w:t>、</w:t>
            </w:r>
            <w:r>
              <w:rPr>
                <w:rFonts w:hint="default" w:ascii="Times New Roman" w:hAnsi="Times New Roman" w:eastAsia="仿宋" w:cs="Times New Roman"/>
                <w:color w:val="auto"/>
                <w:kern w:val="0"/>
                <w:sz w:val="24"/>
                <w:lang w:val="en-US" w:eastAsia="zh-CN"/>
              </w:rPr>
              <w:t>江苏特朗美铝单板有限公司</w:t>
            </w:r>
            <w:r>
              <w:rPr>
                <w:rFonts w:hint="eastAsia" w:ascii="Times New Roman" w:hAnsi="Times New Roman" w:eastAsia="仿宋" w:cs="Times New Roman"/>
                <w:color w:val="auto"/>
                <w:kern w:val="0"/>
                <w:sz w:val="24"/>
                <w:lang w:val="en-US" w:eastAsia="zh-CN"/>
              </w:rPr>
              <w:t>等）</w:t>
            </w:r>
            <w:r>
              <w:rPr>
                <w:rFonts w:hint="default" w:ascii="Times New Roman" w:hAnsi="Times New Roman" w:eastAsia="仿宋" w:cs="Times New Roman"/>
                <w:color w:val="auto"/>
                <w:kern w:val="0"/>
                <w:sz w:val="24"/>
                <w:lang w:val="en-US" w:eastAsia="zh-CN"/>
              </w:rPr>
              <w:t>，不接纳含铅、砷、汞、铬、镉等重金属以及含N、P、难降解有机污染物、有毒有害物和三致物（致癌、致畸、致突变）的工业废水。常州市金坛区</w:t>
            </w:r>
            <w:r>
              <w:rPr>
                <w:rFonts w:hint="eastAsia" w:ascii="Times New Roman" w:hAnsi="Times New Roman" w:eastAsia="仿宋" w:cs="Times New Roman"/>
                <w:color w:val="auto"/>
                <w:kern w:val="0"/>
                <w:sz w:val="24"/>
                <w:lang w:val="en-US" w:eastAsia="zh-CN"/>
              </w:rPr>
              <w:t>茅东污水处理厂</w:t>
            </w:r>
            <w:r>
              <w:rPr>
                <w:rFonts w:hint="default" w:ascii="Times New Roman" w:hAnsi="Times New Roman" w:eastAsia="仿宋" w:cs="Times New Roman"/>
                <w:color w:val="auto"/>
                <w:kern w:val="0"/>
                <w:sz w:val="24"/>
                <w:lang w:val="en-US" w:eastAsia="zh-CN"/>
              </w:rPr>
              <w:t>主要采用“预处理+改良 A/A/O+二沉池+高效沉淀池+深床反硝化滤池+次氯酸钠消毒”工艺，目前已建成投入运行。该污水处理厂尾水中各污染因子达《城镇污水处理厂污染物排放标准》（DB32/4440-2022）表1中标准后排入</w:t>
            </w:r>
            <w:r>
              <w:rPr>
                <w:rFonts w:hint="eastAsia" w:ascii="Times New Roman" w:hAnsi="Times New Roman" w:eastAsia="仿宋" w:cs="Times New Roman"/>
                <w:color w:val="auto"/>
                <w:kern w:val="0"/>
                <w:sz w:val="24"/>
                <w:lang w:val="en-US" w:eastAsia="zh-CN"/>
              </w:rPr>
              <w:t>薛埠</w:t>
            </w:r>
            <w:r>
              <w:rPr>
                <w:rFonts w:hint="default" w:ascii="Times New Roman" w:hAnsi="Times New Roman" w:eastAsia="仿宋" w:cs="Times New Roman"/>
                <w:color w:val="auto"/>
                <w:kern w:val="0"/>
                <w:sz w:val="24"/>
                <w:lang w:val="en-US" w:eastAsia="zh-CN"/>
              </w:rPr>
              <w:t>河。</w:t>
            </w:r>
          </w:p>
          <w:p w14:paraId="2005D7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②接管水量可行性</w:t>
            </w:r>
          </w:p>
          <w:p w14:paraId="231238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常州市金坛区</w:t>
            </w:r>
            <w:r>
              <w:rPr>
                <w:rFonts w:hint="eastAsia" w:ascii="Times New Roman" w:hAnsi="Times New Roman" w:eastAsia="仿宋" w:cs="Times New Roman"/>
                <w:bCs/>
                <w:color w:val="auto"/>
                <w:sz w:val="24"/>
                <w:highlight w:val="none"/>
                <w:lang w:val="en-US" w:eastAsia="zh-CN"/>
              </w:rPr>
              <w:t>茅东污水处理厂</w:t>
            </w:r>
            <w:r>
              <w:rPr>
                <w:rFonts w:hint="default" w:ascii="Times New Roman" w:hAnsi="Times New Roman" w:eastAsia="仿宋" w:cs="Times New Roman"/>
                <w:bCs/>
                <w:color w:val="auto"/>
                <w:sz w:val="24"/>
                <w:highlight w:val="none"/>
                <w:lang w:val="en-US" w:eastAsia="zh-CN"/>
              </w:rPr>
              <w:t>目前实际处理量约0.5万吨/日，还有余量0.1万吨/日。本项目废水排放总量约为</w:t>
            </w:r>
            <w:r>
              <w:rPr>
                <w:rFonts w:hint="eastAsia" w:ascii="Times New Roman" w:hAnsi="Times New Roman" w:eastAsia="仿宋" w:cs="Times New Roman"/>
                <w:bCs/>
                <w:color w:val="auto"/>
                <w:sz w:val="24"/>
                <w:highlight w:val="none"/>
                <w:lang w:val="en-US" w:eastAsia="zh-CN"/>
              </w:rPr>
              <w:t>1920</w:t>
            </w:r>
            <w:r>
              <w:rPr>
                <w:rFonts w:hint="default" w:ascii="Times New Roman" w:hAnsi="Times New Roman" w:eastAsia="仿宋" w:cs="Times New Roman"/>
                <w:bCs/>
                <w:color w:val="auto"/>
                <w:sz w:val="24"/>
                <w:highlight w:val="none"/>
                <w:lang w:val="en-US" w:eastAsia="zh-CN"/>
              </w:rPr>
              <w:t>t/a（</w:t>
            </w:r>
            <w:r>
              <w:rPr>
                <w:rFonts w:hint="eastAsia" w:ascii="Times New Roman" w:hAnsi="Times New Roman" w:eastAsia="仿宋" w:cs="Times New Roman"/>
                <w:bCs/>
                <w:color w:val="auto"/>
                <w:sz w:val="24"/>
                <w:highlight w:val="none"/>
                <w:lang w:val="en-US" w:eastAsia="zh-CN"/>
              </w:rPr>
              <w:t>6.</w:t>
            </w:r>
            <w:r>
              <w:rPr>
                <w:rFonts w:hint="default" w:ascii="Times New Roman" w:hAnsi="Times New Roman" w:eastAsia="仿宋" w:cs="Times New Roman"/>
                <w:bCs/>
                <w:color w:val="auto"/>
                <w:sz w:val="24"/>
                <w:highlight w:val="none"/>
                <w:lang w:val="en-US" w:eastAsia="zh-CN"/>
              </w:rPr>
              <w:t>4t/d），占常州市金坛区</w:t>
            </w:r>
            <w:r>
              <w:rPr>
                <w:rFonts w:hint="eastAsia" w:ascii="Times New Roman" w:hAnsi="Times New Roman" w:eastAsia="仿宋" w:cs="Times New Roman"/>
                <w:bCs/>
                <w:color w:val="auto"/>
                <w:sz w:val="24"/>
                <w:highlight w:val="none"/>
                <w:lang w:val="en-US" w:eastAsia="zh-CN"/>
              </w:rPr>
              <w:t>茅东污水处理厂</w:t>
            </w:r>
            <w:r>
              <w:rPr>
                <w:rFonts w:hint="default" w:ascii="Times New Roman" w:hAnsi="Times New Roman" w:eastAsia="仿宋" w:cs="Times New Roman"/>
                <w:bCs/>
                <w:color w:val="auto"/>
                <w:sz w:val="24"/>
                <w:highlight w:val="none"/>
                <w:lang w:val="en-US" w:eastAsia="zh-CN"/>
              </w:rPr>
              <w:t>日处理余量的比例极小，常州市金坛区</w:t>
            </w:r>
            <w:r>
              <w:rPr>
                <w:rFonts w:hint="eastAsia" w:ascii="Times New Roman" w:hAnsi="Times New Roman" w:eastAsia="仿宋" w:cs="Times New Roman"/>
                <w:bCs/>
                <w:color w:val="auto"/>
                <w:sz w:val="24"/>
                <w:highlight w:val="none"/>
                <w:lang w:val="en-US" w:eastAsia="zh-CN"/>
              </w:rPr>
              <w:t>茅东污水处理厂</w:t>
            </w:r>
            <w:r>
              <w:rPr>
                <w:rFonts w:hint="default" w:ascii="Times New Roman" w:hAnsi="Times New Roman" w:eastAsia="仿宋" w:cs="Times New Roman"/>
                <w:bCs/>
                <w:color w:val="auto"/>
                <w:sz w:val="24"/>
                <w:highlight w:val="none"/>
                <w:lang w:val="en-US" w:eastAsia="zh-CN"/>
              </w:rPr>
              <w:t>完全有能力接纳本项目污水。</w:t>
            </w:r>
          </w:p>
          <w:p w14:paraId="3E66E02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③水管网建设情况</w:t>
            </w:r>
          </w:p>
          <w:p w14:paraId="128B11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项目所在园区已铺设了雨污水收集管网，项目生活污水收集后可直接排入园区污水管网，进入常州市金坛区</w:t>
            </w:r>
            <w:r>
              <w:rPr>
                <w:rFonts w:hint="eastAsia" w:ascii="Times New Roman" w:hAnsi="Times New Roman" w:eastAsia="仿宋" w:cs="Times New Roman"/>
                <w:bCs/>
                <w:color w:val="auto"/>
                <w:sz w:val="24"/>
                <w:highlight w:val="none"/>
                <w:lang w:val="en-US" w:eastAsia="zh-CN"/>
              </w:rPr>
              <w:t>茅东污水处理厂</w:t>
            </w:r>
            <w:r>
              <w:rPr>
                <w:rFonts w:hint="default" w:ascii="Times New Roman" w:hAnsi="Times New Roman" w:eastAsia="仿宋" w:cs="Times New Roman"/>
                <w:bCs/>
                <w:color w:val="auto"/>
                <w:sz w:val="24"/>
                <w:highlight w:val="none"/>
                <w:lang w:val="en-US" w:eastAsia="zh-CN"/>
              </w:rPr>
              <w:t>集中处理。</w:t>
            </w:r>
          </w:p>
          <w:p w14:paraId="31E080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 xml:space="preserve"> ④接管水质可行性</w:t>
            </w:r>
          </w:p>
          <w:p w14:paraId="6FB4FE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本项目建成后接管废水为生活污水，废水排放浓度低、水量小、水质简单，不会对污水处理厂运行产生冲击负荷，不影响污水处理厂出水水质。</w:t>
            </w:r>
          </w:p>
          <w:p w14:paraId="03A630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综上所述，本项目污水管网均已铺设完毕，从接管时间、服务范围、处理工艺以及水量水质来看，本项目运营后污水接入金坛区茅东污水处理厂处理是可行的。</w:t>
            </w:r>
          </w:p>
          <w:p w14:paraId="7E31E59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bCs w:val="0"/>
                <w:color w:val="auto"/>
                <w:sz w:val="24"/>
                <w:highlight w:val="none"/>
                <w:lang w:val="en-US" w:eastAsia="zh-CN"/>
              </w:rPr>
            </w:pPr>
            <w:r>
              <w:rPr>
                <w:rFonts w:hint="default" w:ascii="Times New Roman" w:hAnsi="Times New Roman" w:eastAsia="仿宋" w:cs="Times New Roman"/>
                <w:b/>
                <w:bCs w:val="0"/>
                <w:color w:val="auto"/>
                <w:sz w:val="24"/>
                <w:highlight w:val="none"/>
                <w:lang w:val="en-US" w:eastAsia="zh-CN"/>
              </w:rPr>
              <w:t>5、废水排放情况</w:t>
            </w:r>
          </w:p>
          <w:p w14:paraId="1A61F6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①废水排放情况汇总</w:t>
            </w:r>
          </w:p>
          <w:p w14:paraId="15CC8D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本项目生活污水接管进入金坛区茅东污水处理厂集中处理，废水产生及排放情况见下表。</w:t>
            </w:r>
          </w:p>
          <w:p w14:paraId="448912E1">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表4-</w:t>
            </w:r>
            <w:r>
              <w:rPr>
                <w:rFonts w:hint="default" w:ascii="Times New Roman" w:hAnsi="Times New Roman" w:eastAsia="仿宋" w:cs="Times New Roman"/>
                <w:b/>
                <w:bCs/>
                <w:color w:val="auto"/>
                <w:szCs w:val="21"/>
                <w:lang w:val="en-US" w:eastAsia="zh-CN"/>
              </w:rPr>
              <w:t>1</w:t>
            </w:r>
            <w:r>
              <w:rPr>
                <w:rFonts w:hint="eastAsia" w:ascii="Times New Roman" w:hAnsi="Times New Roman" w:eastAsia="仿宋" w:cs="Times New Roman"/>
                <w:b/>
                <w:bCs/>
                <w:color w:val="auto"/>
                <w:szCs w:val="21"/>
                <w:lang w:val="en-US" w:eastAsia="zh-CN"/>
              </w:rPr>
              <w:t>1</w:t>
            </w:r>
            <w:r>
              <w:rPr>
                <w:rFonts w:hint="default" w:ascii="Times New Roman" w:hAnsi="Times New Roman" w:eastAsia="仿宋" w:cs="Times New Roman"/>
                <w:b/>
                <w:bCs/>
                <w:color w:val="auto"/>
                <w:szCs w:val="21"/>
              </w:rPr>
              <w:t xml:space="preserve"> 本项目废水污染物排放情况表</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9"/>
              <w:gridCol w:w="838"/>
              <w:gridCol w:w="838"/>
              <w:gridCol w:w="844"/>
              <w:gridCol w:w="1104"/>
              <w:gridCol w:w="714"/>
              <w:gridCol w:w="714"/>
              <w:gridCol w:w="782"/>
              <w:gridCol w:w="788"/>
              <w:gridCol w:w="903"/>
            </w:tblGrid>
            <w:tr w14:paraId="2C696E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6812A2D5">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废水产生源</w:t>
                  </w:r>
                </w:p>
              </w:tc>
              <w:tc>
                <w:tcPr>
                  <w:tcW w:w="1534" w:type="pct"/>
                  <w:gridSpan w:val="3"/>
                  <w:vAlign w:val="center"/>
                </w:tcPr>
                <w:p w14:paraId="1B3D6620">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污染物产生情况</w:t>
                  </w:r>
                </w:p>
              </w:tc>
              <w:tc>
                <w:tcPr>
                  <w:tcW w:w="672" w:type="pct"/>
                  <w:vMerge w:val="restart"/>
                  <w:vAlign w:val="center"/>
                </w:tcPr>
                <w:p w14:paraId="70C59F02">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拟采取</w:t>
                  </w:r>
                </w:p>
                <w:p w14:paraId="071991BD">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措施</w:t>
                  </w:r>
                </w:p>
              </w:tc>
              <w:tc>
                <w:tcPr>
                  <w:tcW w:w="1346" w:type="pct"/>
                  <w:gridSpan w:val="3"/>
                  <w:vAlign w:val="center"/>
                </w:tcPr>
                <w:p w14:paraId="2C4BA594">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污染物排放情况</w:t>
                  </w:r>
                </w:p>
              </w:tc>
              <w:tc>
                <w:tcPr>
                  <w:tcW w:w="480" w:type="pct"/>
                  <w:vMerge w:val="restart"/>
                  <w:vAlign w:val="center"/>
                </w:tcPr>
                <w:p w14:paraId="1BEB8479">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浓度</w:t>
                  </w:r>
                </w:p>
                <w:p w14:paraId="3B40B087">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标准(mg/L)</w:t>
                  </w:r>
                </w:p>
              </w:tc>
              <w:tc>
                <w:tcPr>
                  <w:tcW w:w="550" w:type="pct"/>
                  <w:vMerge w:val="restart"/>
                  <w:vAlign w:val="center"/>
                </w:tcPr>
                <w:p w14:paraId="705EBFFC">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排放方式与去向</w:t>
                  </w:r>
                </w:p>
              </w:tc>
            </w:tr>
            <w:tr w14:paraId="118DB5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2159D822">
                  <w:pPr>
                    <w:tabs>
                      <w:tab w:val="left" w:pos="6840"/>
                    </w:tabs>
                    <w:spacing w:line="270" w:lineRule="exact"/>
                    <w:jc w:val="center"/>
                    <w:rPr>
                      <w:rFonts w:hint="default" w:ascii="Times New Roman" w:hAnsi="Times New Roman" w:eastAsia="仿宋" w:cs="Times New Roman"/>
                      <w:b/>
                      <w:bCs/>
                      <w:color w:val="auto"/>
                      <w:szCs w:val="21"/>
                    </w:rPr>
                  </w:pPr>
                </w:p>
              </w:tc>
              <w:tc>
                <w:tcPr>
                  <w:tcW w:w="510" w:type="pct"/>
                  <w:vAlign w:val="center"/>
                </w:tcPr>
                <w:p w14:paraId="56B6DF4F">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w:t>
                  </w:r>
                </w:p>
                <w:p w14:paraId="422C81C4">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名称</w:t>
                  </w:r>
                </w:p>
              </w:tc>
              <w:tc>
                <w:tcPr>
                  <w:tcW w:w="510" w:type="pct"/>
                  <w:vAlign w:val="center"/>
                </w:tcPr>
                <w:p w14:paraId="1F6850F6">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浓度</w:t>
                  </w:r>
                </w:p>
                <w:p w14:paraId="51F38BE4">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mg/L</w:t>
                  </w:r>
                </w:p>
              </w:tc>
              <w:tc>
                <w:tcPr>
                  <w:tcW w:w="513" w:type="pct"/>
                  <w:vAlign w:val="center"/>
                </w:tcPr>
                <w:p w14:paraId="01DA613C">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产生量</w:t>
                  </w:r>
                </w:p>
                <w:p w14:paraId="12E25F57">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t/a</w:t>
                  </w:r>
                </w:p>
              </w:tc>
              <w:tc>
                <w:tcPr>
                  <w:tcW w:w="672" w:type="pct"/>
                  <w:vMerge w:val="continue"/>
                  <w:vAlign w:val="center"/>
                </w:tcPr>
                <w:p w14:paraId="1543522F">
                  <w:pPr>
                    <w:tabs>
                      <w:tab w:val="left" w:pos="6840"/>
                    </w:tabs>
                    <w:spacing w:line="270" w:lineRule="exact"/>
                    <w:jc w:val="center"/>
                    <w:rPr>
                      <w:rFonts w:hint="default" w:ascii="Times New Roman" w:hAnsi="Times New Roman" w:eastAsia="仿宋" w:cs="Times New Roman"/>
                      <w:b/>
                      <w:bCs/>
                      <w:color w:val="auto"/>
                      <w:szCs w:val="21"/>
                    </w:rPr>
                  </w:pPr>
                </w:p>
              </w:tc>
              <w:tc>
                <w:tcPr>
                  <w:tcW w:w="435" w:type="pct"/>
                  <w:vAlign w:val="center"/>
                </w:tcPr>
                <w:p w14:paraId="0507823A">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w:t>
                  </w:r>
                </w:p>
                <w:p w14:paraId="0FAB40A3">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名称</w:t>
                  </w:r>
                </w:p>
              </w:tc>
              <w:tc>
                <w:tcPr>
                  <w:tcW w:w="435" w:type="pct"/>
                  <w:vAlign w:val="center"/>
                </w:tcPr>
                <w:p w14:paraId="52D68969">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浓度</w:t>
                  </w:r>
                </w:p>
                <w:p w14:paraId="2265419F">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mg/L</w:t>
                  </w:r>
                </w:p>
              </w:tc>
              <w:tc>
                <w:tcPr>
                  <w:tcW w:w="476" w:type="pct"/>
                  <w:vAlign w:val="center"/>
                </w:tcPr>
                <w:p w14:paraId="0BBE08E6">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排放量</w:t>
                  </w:r>
                </w:p>
                <w:p w14:paraId="15F53B7A">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t/a</w:t>
                  </w:r>
                </w:p>
              </w:tc>
              <w:tc>
                <w:tcPr>
                  <w:tcW w:w="480" w:type="pct"/>
                  <w:vMerge w:val="continue"/>
                  <w:vAlign w:val="center"/>
                </w:tcPr>
                <w:p w14:paraId="7D16A4DB">
                  <w:pPr>
                    <w:tabs>
                      <w:tab w:val="left" w:pos="6840"/>
                    </w:tabs>
                    <w:spacing w:line="270" w:lineRule="exact"/>
                    <w:jc w:val="center"/>
                    <w:rPr>
                      <w:rFonts w:hint="default" w:ascii="Times New Roman" w:hAnsi="Times New Roman" w:eastAsia="仿宋" w:cs="Times New Roman"/>
                      <w:color w:val="auto"/>
                      <w:szCs w:val="21"/>
                    </w:rPr>
                  </w:pPr>
                </w:p>
              </w:tc>
              <w:tc>
                <w:tcPr>
                  <w:tcW w:w="550" w:type="pct"/>
                  <w:vMerge w:val="continue"/>
                  <w:vAlign w:val="center"/>
                </w:tcPr>
                <w:p w14:paraId="1D10A103">
                  <w:pPr>
                    <w:tabs>
                      <w:tab w:val="left" w:pos="6840"/>
                    </w:tabs>
                    <w:spacing w:line="270" w:lineRule="exact"/>
                    <w:jc w:val="center"/>
                    <w:rPr>
                      <w:rFonts w:hint="default" w:ascii="Times New Roman" w:hAnsi="Times New Roman" w:eastAsia="仿宋" w:cs="Times New Roman"/>
                      <w:color w:val="auto"/>
                      <w:szCs w:val="21"/>
                    </w:rPr>
                  </w:pPr>
                </w:p>
              </w:tc>
            </w:tr>
            <w:tr w14:paraId="228050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6694B40B">
                  <w:pPr>
                    <w:tabs>
                      <w:tab w:val="left" w:pos="6840"/>
                    </w:tabs>
                    <w:spacing w:line="27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rPr>
                    <w:t>生活</w:t>
                  </w:r>
                  <w:r>
                    <w:rPr>
                      <w:rFonts w:hint="default" w:ascii="Times New Roman" w:hAnsi="Times New Roman" w:eastAsia="仿宋" w:cs="Times New Roman"/>
                      <w:color w:val="auto"/>
                      <w:sz w:val="21"/>
                      <w:szCs w:val="21"/>
                    </w:rPr>
                    <w:t>污水</w:t>
                  </w:r>
                  <w:r>
                    <w:rPr>
                      <w:rFonts w:hint="eastAsia" w:ascii="Times New Roman" w:hAnsi="Times New Roman" w:eastAsia="仿宋" w:cs="Times New Roman"/>
                      <w:color w:val="auto"/>
                      <w:sz w:val="21"/>
                      <w:szCs w:val="21"/>
                      <w:lang w:val="en-US" w:eastAsia="zh-CN"/>
                    </w:rPr>
                    <w:t>1920</w:t>
                  </w:r>
                </w:p>
                <w:p w14:paraId="65DA5324">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t/a</w:t>
                  </w:r>
                </w:p>
              </w:tc>
              <w:tc>
                <w:tcPr>
                  <w:tcW w:w="510" w:type="pct"/>
                  <w:vAlign w:val="center"/>
                </w:tcPr>
                <w:p w14:paraId="0EF80485">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510" w:type="pct"/>
                  <w:vAlign w:val="center"/>
                </w:tcPr>
                <w:p w14:paraId="6AC3070D">
                  <w:pPr>
                    <w:tabs>
                      <w:tab w:val="left" w:pos="6840"/>
                    </w:tabs>
                    <w:spacing w:line="270" w:lineRule="exact"/>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300</w:t>
                  </w:r>
                </w:p>
              </w:tc>
              <w:tc>
                <w:tcPr>
                  <w:tcW w:w="513" w:type="pct"/>
                  <w:vAlign w:val="center"/>
                </w:tcPr>
                <w:p w14:paraId="0FBC2179">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0.576</w:t>
                  </w:r>
                </w:p>
              </w:tc>
              <w:tc>
                <w:tcPr>
                  <w:tcW w:w="672" w:type="pct"/>
                  <w:vMerge w:val="restart"/>
                  <w:vAlign w:val="center"/>
                </w:tcPr>
                <w:p w14:paraId="1F7FE4EA">
                  <w:pPr>
                    <w:tabs>
                      <w:tab w:val="left" w:pos="6840"/>
                    </w:tabs>
                    <w:spacing w:line="270" w:lineRule="exact"/>
                    <w:jc w:val="center"/>
                    <w:rPr>
                      <w:rFonts w:hint="default" w:ascii="Times New Roman" w:hAnsi="Times New Roman" w:eastAsia="仿宋" w:cs="Times New Roman"/>
                      <w:color w:val="auto"/>
                      <w:szCs w:val="21"/>
                      <w:lang w:eastAsia="zh-CN"/>
                    </w:rPr>
                  </w:pPr>
                  <w:r>
                    <w:rPr>
                      <w:rFonts w:hint="eastAsia" w:eastAsia="仿宋" w:cs="Times New Roman"/>
                      <w:color w:val="auto"/>
                      <w:szCs w:val="21"/>
                      <w:lang w:val="en-US" w:eastAsia="zh-CN"/>
                    </w:rPr>
                    <w:t>化粪池</w:t>
                  </w:r>
                </w:p>
              </w:tc>
              <w:tc>
                <w:tcPr>
                  <w:tcW w:w="435" w:type="pct"/>
                  <w:vAlign w:val="center"/>
                </w:tcPr>
                <w:p w14:paraId="5BE627F1">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721" w:type="dxa"/>
                  <w:vAlign w:val="center"/>
                </w:tcPr>
                <w:p w14:paraId="2F71761E">
                  <w:pPr>
                    <w:tabs>
                      <w:tab w:val="left" w:pos="6840"/>
                    </w:tabs>
                    <w:spacing w:line="270" w:lineRule="exact"/>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300</w:t>
                  </w:r>
                </w:p>
              </w:tc>
              <w:tc>
                <w:tcPr>
                  <w:tcW w:w="782" w:type="dxa"/>
                  <w:vAlign w:val="center"/>
                </w:tcPr>
                <w:p w14:paraId="6B5B9338">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0.576</w:t>
                  </w:r>
                </w:p>
              </w:tc>
              <w:tc>
                <w:tcPr>
                  <w:tcW w:w="480" w:type="pct"/>
                  <w:vAlign w:val="center"/>
                </w:tcPr>
                <w:p w14:paraId="1C3B2075">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400</w:t>
                  </w:r>
                </w:p>
              </w:tc>
              <w:tc>
                <w:tcPr>
                  <w:tcW w:w="550" w:type="pct"/>
                  <w:vMerge w:val="restart"/>
                  <w:vAlign w:val="center"/>
                </w:tcPr>
                <w:p w14:paraId="10DB585F">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接管进入金坛</w:t>
                  </w:r>
                  <w:r>
                    <w:rPr>
                      <w:rFonts w:hint="default" w:ascii="Times New Roman" w:hAnsi="Times New Roman" w:eastAsia="仿宋" w:cs="Times New Roman"/>
                      <w:color w:val="auto"/>
                      <w:szCs w:val="21"/>
                      <w:lang w:eastAsia="zh-CN"/>
                    </w:rPr>
                    <w:t>区茅东污水处理厂</w:t>
                  </w:r>
                </w:p>
              </w:tc>
            </w:tr>
            <w:tr w14:paraId="3B73D4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E67C8D1">
                  <w:pPr>
                    <w:tabs>
                      <w:tab w:val="left" w:pos="6840"/>
                    </w:tabs>
                    <w:spacing w:line="270" w:lineRule="exact"/>
                    <w:jc w:val="center"/>
                    <w:rPr>
                      <w:rFonts w:hint="default" w:ascii="Times New Roman" w:hAnsi="Times New Roman" w:eastAsia="仿宋" w:cs="Times New Roman"/>
                      <w:color w:val="auto"/>
                      <w:szCs w:val="21"/>
                    </w:rPr>
                  </w:pPr>
                </w:p>
              </w:tc>
              <w:tc>
                <w:tcPr>
                  <w:tcW w:w="510" w:type="pct"/>
                  <w:vAlign w:val="center"/>
                </w:tcPr>
                <w:p w14:paraId="11B40100">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510" w:type="pct"/>
                  <w:vAlign w:val="center"/>
                </w:tcPr>
                <w:p w14:paraId="018FB86E">
                  <w:pPr>
                    <w:tabs>
                      <w:tab w:val="left" w:pos="6840"/>
                    </w:tabs>
                    <w:spacing w:line="270" w:lineRule="exact"/>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200</w:t>
                  </w:r>
                </w:p>
              </w:tc>
              <w:tc>
                <w:tcPr>
                  <w:tcW w:w="513" w:type="pct"/>
                  <w:vAlign w:val="center"/>
                </w:tcPr>
                <w:p w14:paraId="564D3D09">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0.384</w:t>
                  </w:r>
                </w:p>
              </w:tc>
              <w:tc>
                <w:tcPr>
                  <w:tcW w:w="672" w:type="pct"/>
                  <w:vMerge w:val="continue"/>
                  <w:vAlign w:val="center"/>
                </w:tcPr>
                <w:p w14:paraId="58E8C0C6">
                  <w:pPr>
                    <w:tabs>
                      <w:tab w:val="left" w:pos="6840"/>
                    </w:tabs>
                    <w:spacing w:line="270" w:lineRule="exact"/>
                    <w:jc w:val="center"/>
                    <w:rPr>
                      <w:rFonts w:hint="default" w:ascii="Times New Roman" w:hAnsi="Times New Roman" w:eastAsia="仿宋" w:cs="Times New Roman"/>
                      <w:color w:val="auto"/>
                      <w:szCs w:val="21"/>
                    </w:rPr>
                  </w:pPr>
                </w:p>
              </w:tc>
              <w:tc>
                <w:tcPr>
                  <w:tcW w:w="435" w:type="pct"/>
                  <w:vAlign w:val="center"/>
                </w:tcPr>
                <w:p w14:paraId="3DD6A214">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721" w:type="dxa"/>
                  <w:vAlign w:val="center"/>
                </w:tcPr>
                <w:p w14:paraId="59D9C5CC">
                  <w:pPr>
                    <w:tabs>
                      <w:tab w:val="left" w:pos="6840"/>
                    </w:tabs>
                    <w:spacing w:line="270" w:lineRule="exact"/>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200</w:t>
                  </w:r>
                </w:p>
              </w:tc>
              <w:tc>
                <w:tcPr>
                  <w:tcW w:w="782" w:type="dxa"/>
                  <w:vAlign w:val="center"/>
                </w:tcPr>
                <w:p w14:paraId="4A890168">
                  <w:pPr>
                    <w:jc w:val="center"/>
                    <w:rPr>
                      <w:rFonts w:hint="default" w:ascii="Times New Roman" w:hAnsi="Times New Roman" w:eastAsia="仿宋" w:cs="Times New Roman"/>
                      <w:color w:val="auto"/>
                      <w:szCs w:val="21"/>
                      <w:lang w:val="en-US"/>
                    </w:rPr>
                  </w:pPr>
                  <w:r>
                    <w:rPr>
                      <w:rFonts w:hint="eastAsia" w:ascii="Times New Roman" w:hAnsi="Times New Roman" w:eastAsia="仿宋" w:cs="Times New Roman"/>
                      <w:color w:val="auto"/>
                      <w:szCs w:val="21"/>
                      <w:lang w:val="en-US" w:eastAsia="zh-CN"/>
                    </w:rPr>
                    <w:t>0.384</w:t>
                  </w:r>
                </w:p>
              </w:tc>
              <w:tc>
                <w:tcPr>
                  <w:tcW w:w="480" w:type="pct"/>
                  <w:vAlign w:val="center"/>
                </w:tcPr>
                <w:p w14:paraId="7992AEDB">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250</w:t>
                  </w:r>
                </w:p>
              </w:tc>
              <w:tc>
                <w:tcPr>
                  <w:tcW w:w="550" w:type="pct"/>
                  <w:vMerge w:val="continue"/>
                  <w:vAlign w:val="center"/>
                </w:tcPr>
                <w:p w14:paraId="155DC7BA">
                  <w:pPr>
                    <w:tabs>
                      <w:tab w:val="left" w:pos="6840"/>
                    </w:tabs>
                    <w:spacing w:line="270" w:lineRule="exact"/>
                    <w:jc w:val="center"/>
                    <w:rPr>
                      <w:rFonts w:hint="default" w:ascii="Times New Roman" w:hAnsi="Times New Roman" w:eastAsia="仿宋" w:cs="Times New Roman"/>
                      <w:color w:val="auto"/>
                      <w:szCs w:val="21"/>
                    </w:rPr>
                  </w:pPr>
                </w:p>
              </w:tc>
            </w:tr>
            <w:tr w14:paraId="451E7F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54E145D">
                  <w:pPr>
                    <w:tabs>
                      <w:tab w:val="left" w:pos="6840"/>
                    </w:tabs>
                    <w:spacing w:line="270" w:lineRule="exact"/>
                    <w:jc w:val="center"/>
                    <w:rPr>
                      <w:rFonts w:hint="default" w:ascii="Times New Roman" w:hAnsi="Times New Roman" w:eastAsia="仿宋" w:cs="Times New Roman"/>
                      <w:color w:val="auto"/>
                      <w:szCs w:val="21"/>
                    </w:rPr>
                  </w:pPr>
                </w:p>
              </w:tc>
              <w:tc>
                <w:tcPr>
                  <w:tcW w:w="510" w:type="pct"/>
                  <w:vAlign w:val="center"/>
                </w:tcPr>
                <w:p w14:paraId="71D1712D">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NH</w:t>
                  </w:r>
                  <w:r>
                    <w:rPr>
                      <w:rFonts w:hint="default" w:ascii="Times New Roman" w:hAnsi="Times New Roman" w:eastAsia="仿宋" w:cs="Times New Roman"/>
                      <w:color w:val="auto"/>
                      <w:szCs w:val="21"/>
                      <w:vertAlign w:val="subscript"/>
                    </w:rPr>
                    <w:t>3</w:t>
                  </w:r>
                  <w:r>
                    <w:rPr>
                      <w:rFonts w:hint="default" w:ascii="Times New Roman" w:hAnsi="Times New Roman" w:eastAsia="仿宋" w:cs="Times New Roman"/>
                      <w:color w:val="auto"/>
                      <w:szCs w:val="21"/>
                    </w:rPr>
                    <w:t>-N</w:t>
                  </w:r>
                </w:p>
              </w:tc>
              <w:tc>
                <w:tcPr>
                  <w:tcW w:w="510" w:type="pct"/>
                  <w:vAlign w:val="center"/>
                </w:tcPr>
                <w:p w14:paraId="275E7DCC">
                  <w:pPr>
                    <w:tabs>
                      <w:tab w:val="left" w:pos="6840"/>
                    </w:tabs>
                    <w:spacing w:line="270" w:lineRule="exact"/>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20</w:t>
                  </w:r>
                </w:p>
              </w:tc>
              <w:tc>
                <w:tcPr>
                  <w:tcW w:w="513" w:type="pct"/>
                  <w:vAlign w:val="center"/>
                </w:tcPr>
                <w:p w14:paraId="05D9C366">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0.0384</w:t>
                  </w:r>
                </w:p>
              </w:tc>
              <w:tc>
                <w:tcPr>
                  <w:tcW w:w="672" w:type="pct"/>
                  <w:vMerge w:val="continue"/>
                  <w:vAlign w:val="center"/>
                </w:tcPr>
                <w:p w14:paraId="3B7BB934">
                  <w:pPr>
                    <w:tabs>
                      <w:tab w:val="left" w:pos="6840"/>
                    </w:tabs>
                    <w:spacing w:line="270" w:lineRule="exact"/>
                    <w:jc w:val="center"/>
                    <w:rPr>
                      <w:rFonts w:hint="default" w:ascii="Times New Roman" w:hAnsi="Times New Roman" w:eastAsia="仿宋" w:cs="Times New Roman"/>
                      <w:color w:val="auto"/>
                      <w:szCs w:val="21"/>
                    </w:rPr>
                  </w:pPr>
                </w:p>
              </w:tc>
              <w:tc>
                <w:tcPr>
                  <w:tcW w:w="435" w:type="pct"/>
                  <w:vAlign w:val="center"/>
                </w:tcPr>
                <w:p w14:paraId="18F75015">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NH</w:t>
                  </w:r>
                  <w:r>
                    <w:rPr>
                      <w:rFonts w:hint="default" w:ascii="Times New Roman" w:hAnsi="Times New Roman" w:eastAsia="仿宋" w:cs="Times New Roman"/>
                      <w:color w:val="auto"/>
                      <w:szCs w:val="21"/>
                      <w:vertAlign w:val="subscript"/>
                    </w:rPr>
                    <w:t>3</w:t>
                  </w:r>
                  <w:r>
                    <w:rPr>
                      <w:rFonts w:hint="default" w:ascii="Times New Roman" w:hAnsi="Times New Roman" w:eastAsia="仿宋" w:cs="Times New Roman"/>
                      <w:color w:val="auto"/>
                      <w:szCs w:val="21"/>
                    </w:rPr>
                    <w:t>-N</w:t>
                  </w:r>
                </w:p>
              </w:tc>
              <w:tc>
                <w:tcPr>
                  <w:tcW w:w="721" w:type="dxa"/>
                  <w:vAlign w:val="center"/>
                </w:tcPr>
                <w:p w14:paraId="2C7C7004">
                  <w:pPr>
                    <w:tabs>
                      <w:tab w:val="left" w:pos="6840"/>
                    </w:tabs>
                    <w:spacing w:line="270" w:lineRule="exact"/>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20</w:t>
                  </w:r>
                </w:p>
              </w:tc>
              <w:tc>
                <w:tcPr>
                  <w:tcW w:w="782" w:type="dxa"/>
                  <w:vAlign w:val="center"/>
                </w:tcPr>
                <w:p w14:paraId="563DB3A9">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0.0384</w:t>
                  </w:r>
                </w:p>
              </w:tc>
              <w:tc>
                <w:tcPr>
                  <w:tcW w:w="480" w:type="pct"/>
                  <w:vAlign w:val="center"/>
                </w:tcPr>
                <w:p w14:paraId="38F02171">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30</w:t>
                  </w:r>
                </w:p>
              </w:tc>
              <w:tc>
                <w:tcPr>
                  <w:tcW w:w="550" w:type="pct"/>
                  <w:vMerge w:val="continue"/>
                  <w:vAlign w:val="center"/>
                </w:tcPr>
                <w:p w14:paraId="6AC106EB">
                  <w:pPr>
                    <w:tabs>
                      <w:tab w:val="left" w:pos="6840"/>
                    </w:tabs>
                    <w:spacing w:line="270" w:lineRule="exact"/>
                    <w:jc w:val="center"/>
                    <w:rPr>
                      <w:rFonts w:hint="default" w:ascii="Times New Roman" w:hAnsi="Times New Roman" w:eastAsia="仿宋" w:cs="Times New Roman"/>
                      <w:color w:val="auto"/>
                      <w:szCs w:val="21"/>
                    </w:rPr>
                  </w:pPr>
                </w:p>
              </w:tc>
            </w:tr>
            <w:tr w14:paraId="558F0D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414" w:type="pct"/>
                  <w:vMerge w:val="continue"/>
                  <w:vAlign w:val="center"/>
                </w:tcPr>
                <w:p w14:paraId="69286E4C">
                  <w:pPr>
                    <w:tabs>
                      <w:tab w:val="left" w:pos="6840"/>
                    </w:tabs>
                    <w:spacing w:line="270" w:lineRule="exact"/>
                    <w:jc w:val="center"/>
                    <w:rPr>
                      <w:rFonts w:hint="default" w:ascii="Times New Roman" w:hAnsi="Times New Roman" w:eastAsia="仿宋" w:cs="Times New Roman"/>
                      <w:color w:val="auto"/>
                      <w:szCs w:val="21"/>
                    </w:rPr>
                  </w:pPr>
                </w:p>
              </w:tc>
              <w:tc>
                <w:tcPr>
                  <w:tcW w:w="510" w:type="pct"/>
                  <w:vAlign w:val="center"/>
                </w:tcPr>
                <w:p w14:paraId="3FBC41EB">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TN</w:t>
                  </w:r>
                </w:p>
              </w:tc>
              <w:tc>
                <w:tcPr>
                  <w:tcW w:w="510" w:type="pct"/>
                  <w:vAlign w:val="center"/>
                </w:tcPr>
                <w:p w14:paraId="00E64C3B">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30</w:t>
                  </w:r>
                </w:p>
              </w:tc>
              <w:tc>
                <w:tcPr>
                  <w:tcW w:w="513" w:type="pct"/>
                  <w:vAlign w:val="center"/>
                </w:tcPr>
                <w:p w14:paraId="016E7996">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0.0576</w:t>
                  </w:r>
                </w:p>
              </w:tc>
              <w:tc>
                <w:tcPr>
                  <w:tcW w:w="672" w:type="pct"/>
                  <w:vMerge w:val="continue"/>
                  <w:vAlign w:val="center"/>
                </w:tcPr>
                <w:p w14:paraId="355A817B">
                  <w:pPr>
                    <w:tabs>
                      <w:tab w:val="left" w:pos="6840"/>
                    </w:tabs>
                    <w:spacing w:line="270" w:lineRule="exact"/>
                    <w:jc w:val="center"/>
                    <w:rPr>
                      <w:rFonts w:hint="default" w:ascii="Times New Roman" w:hAnsi="Times New Roman" w:eastAsia="仿宋" w:cs="Times New Roman"/>
                      <w:color w:val="auto"/>
                      <w:szCs w:val="21"/>
                    </w:rPr>
                  </w:pPr>
                </w:p>
              </w:tc>
              <w:tc>
                <w:tcPr>
                  <w:tcW w:w="435" w:type="pct"/>
                  <w:vAlign w:val="center"/>
                </w:tcPr>
                <w:p w14:paraId="5EAC046B">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TN</w:t>
                  </w:r>
                </w:p>
              </w:tc>
              <w:tc>
                <w:tcPr>
                  <w:tcW w:w="721" w:type="dxa"/>
                  <w:vAlign w:val="center"/>
                </w:tcPr>
                <w:p w14:paraId="100FF705">
                  <w:pPr>
                    <w:jc w:val="center"/>
                    <w:rPr>
                      <w:rFonts w:hint="default" w:ascii="Times New Roman" w:hAnsi="Times New Roman" w:eastAsia="仿宋" w:cs="Times New Roman"/>
                      <w:color w:val="auto"/>
                      <w:szCs w:val="21"/>
                      <w:lang w:eastAsia="zh-CN"/>
                    </w:rPr>
                  </w:pPr>
                  <w:r>
                    <w:rPr>
                      <w:rFonts w:hint="eastAsia" w:ascii="Times New Roman" w:hAnsi="Times New Roman" w:eastAsia="仿宋" w:cs="Times New Roman"/>
                      <w:color w:val="auto"/>
                      <w:szCs w:val="21"/>
                      <w:lang w:val="en-US" w:eastAsia="zh-CN"/>
                    </w:rPr>
                    <w:t>30</w:t>
                  </w:r>
                </w:p>
              </w:tc>
              <w:tc>
                <w:tcPr>
                  <w:tcW w:w="782" w:type="dxa"/>
                  <w:vAlign w:val="center"/>
                </w:tcPr>
                <w:p w14:paraId="2090C8F5">
                  <w:pPr>
                    <w:jc w:val="center"/>
                    <w:rPr>
                      <w:rFonts w:hint="default" w:ascii="Times New Roman" w:hAnsi="Times New Roman" w:eastAsia="仿宋" w:cs="Times New Roman"/>
                      <w:color w:val="auto"/>
                      <w:szCs w:val="21"/>
                      <w:lang w:val="en-US"/>
                    </w:rPr>
                  </w:pPr>
                  <w:r>
                    <w:rPr>
                      <w:rFonts w:hint="eastAsia" w:ascii="Times New Roman" w:hAnsi="Times New Roman" w:eastAsia="仿宋" w:cs="Times New Roman"/>
                      <w:color w:val="auto"/>
                      <w:szCs w:val="21"/>
                      <w:lang w:val="en-US" w:eastAsia="zh-CN"/>
                    </w:rPr>
                    <w:t>0.0576</w:t>
                  </w:r>
                </w:p>
              </w:tc>
              <w:tc>
                <w:tcPr>
                  <w:tcW w:w="480" w:type="pct"/>
                  <w:vAlign w:val="center"/>
                </w:tcPr>
                <w:p w14:paraId="7D24D47D">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45</w:t>
                  </w:r>
                </w:p>
              </w:tc>
              <w:tc>
                <w:tcPr>
                  <w:tcW w:w="550" w:type="pct"/>
                  <w:vMerge w:val="continue"/>
                  <w:vAlign w:val="center"/>
                </w:tcPr>
                <w:p w14:paraId="7A37B77B">
                  <w:pPr>
                    <w:tabs>
                      <w:tab w:val="left" w:pos="6840"/>
                    </w:tabs>
                    <w:spacing w:line="270" w:lineRule="exact"/>
                    <w:jc w:val="center"/>
                    <w:rPr>
                      <w:rFonts w:hint="default" w:ascii="Times New Roman" w:hAnsi="Times New Roman" w:eastAsia="仿宋" w:cs="Times New Roman"/>
                      <w:color w:val="auto"/>
                      <w:szCs w:val="21"/>
                    </w:rPr>
                  </w:pPr>
                </w:p>
              </w:tc>
            </w:tr>
            <w:tr w14:paraId="3D3F2E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61A45F8D">
                  <w:pPr>
                    <w:tabs>
                      <w:tab w:val="left" w:pos="6840"/>
                    </w:tabs>
                    <w:spacing w:line="270" w:lineRule="exact"/>
                    <w:jc w:val="center"/>
                    <w:rPr>
                      <w:rFonts w:hint="default" w:ascii="Times New Roman" w:hAnsi="Times New Roman" w:eastAsia="仿宋" w:cs="Times New Roman"/>
                      <w:color w:val="auto"/>
                      <w:szCs w:val="21"/>
                    </w:rPr>
                  </w:pPr>
                </w:p>
              </w:tc>
              <w:tc>
                <w:tcPr>
                  <w:tcW w:w="510" w:type="pct"/>
                  <w:vAlign w:val="center"/>
                </w:tcPr>
                <w:p w14:paraId="01F6B453">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TP</w:t>
                  </w:r>
                </w:p>
              </w:tc>
              <w:tc>
                <w:tcPr>
                  <w:tcW w:w="510" w:type="pct"/>
                  <w:vAlign w:val="center"/>
                </w:tcPr>
                <w:p w14:paraId="04098361">
                  <w:pPr>
                    <w:jc w:val="center"/>
                    <w:rPr>
                      <w:rFonts w:hint="default" w:ascii="Times New Roman" w:hAnsi="Times New Roman" w:eastAsia="仿宋" w:cs="Times New Roman"/>
                      <w:color w:val="auto"/>
                      <w:szCs w:val="21"/>
                      <w:lang w:eastAsia="zh-CN"/>
                    </w:rPr>
                  </w:pPr>
                  <w:r>
                    <w:rPr>
                      <w:rFonts w:hint="eastAsia" w:eastAsia="仿宋" w:cs="Times New Roman"/>
                      <w:color w:val="auto"/>
                      <w:szCs w:val="21"/>
                      <w:lang w:val="en-US" w:eastAsia="zh-CN"/>
                    </w:rPr>
                    <w:t>3</w:t>
                  </w:r>
                </w:p>
              </w:tc>
              <w:tc>
                <w:tcPr>
                  <w:tcW w:w="513" w:type="pct"/>
                  <w:vAlign w:val="center"/>
                </w:tcPr>
                <w:p w14:paraId="68E80B6F">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w:t>
                  </w:r>
                  <w:r>
                    <w:rPr>
                      <w:rFonts w:hint="eastAsia" w:eastAsia="仿宋" w:cs="Times New Roman"/>
                      <w:color w:val="auto"/>
                      <w:szCs w:val="21"/>
                      <w:lang w:val="en-US" w:eastAsia="zh-CN"/>
                    </w:rPr>
                    <w:t>58</w:t>
                  </w:r>
                </w:p>
              </w:tc>
              <w:tc>
                <w:tcPr>
                  <w:tcW w:w="672" w:type="pct"/>
                  <w:vMerge w:val="continue"/>
                  <w:vAlign w:val="center"/>
                </w:tcPr>
                <w:p w14:paraId="1AE8BA8A">
                  <w:pPr>
                    <w:tabs>
                      <w:tab w:val="left" w:pos="6840"/>
                    </w:tabs>
                    <w:spacing w:line="270" w:lineRule="exact"/>
                    <w:jc w:val="center"/>
                    <w:rPr>
                      <w:rFonts w:hint="default" w:ascii="Times New Roman" w:hAnsi="Times New Roman" w:eastAsia="仿宋" w:cs="Times New Roman"/>
                      <w:color w:val="auto"/>
                      <w:szCs w:val="21"/>
                    </w:rPr>
                  </w:pPr>
                </w:p>
              </w:tc>
              <w:tc>
                <w:tcPr>
                  <w:tcW w:w="435" w:type="pct"/>
                  <w:vAlign w:val="center"/>
                </w:tcPr>
                <w:p w14:paraId="752AD104">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TP</w:t>
                  </w:r>
                </w:p>
              </w:tc>
              <w:tc>
                <w:tcPr>
                  <w:tcW w:w="721" w:type="dxa"/>
                  <w:vAlign w:val="center"/>
                </w:tcPr>
                <w:p w14:paraId="1FD54F9F">
                  <w:pPr>
                    <w:jc w:val="center"/>
                    <w:rPr>
                      <w:rFonts w:hint="default" w:ascii="Times New Roman" w:hAnsi="Times New Roman" w:eastAsia="仿宋" w:cs="Times New Roman"/>
                      <w:color w:val="auto"/>
                      <w:szCs w:val="21"/>
                      <w:lang w:eastAsia="zh-CN"/>
                    </w:rPr>
                  </w:pPr>
                  <w:r>
                    <w:rPr>
                      <w:rFonts w:hint="eastAsia" w:eastAsia="仿宋" w:cs="Times New Roman"/>
                      <w:color w:val="auto"/>
                      <w:szCs w:val="21"/>
                      <w:lang w:val="en-US" w:eastAsia="zh-CN"/>
                    </w:rPr>
                    <w:t>3</w:t>
                  </w:r>
                </w:p>
              </w:tc>
              <w:tc>
                <w:tcPr>
                  <w:tcW w:w="782" w:type="dxa"/>
                  <w:vAlign w:val="center"/>
                </w:tcPr>
                <w:p w14:paraId="381C3F2B">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0.00</w:t>
                  </w:r>
                  <w:r>
                    <w:rPr>
                      <w:rFonts w:hint="eastAsia" w:eastAsia="仿宋" w:cs="Times New Roman"/>
                      <w:color w:val="auto"/>
                      <w:szCs w:val="21"/>
                      <w:lang w:val="en-US" w:eastAsia="zh-CN"/>
                    </w:rPr>
                    <w:t>58</w:t>
                  </w:r>
                </w:p>
              </w:tc>
              <w:tc>
                <w:tcPr>
                  <w:tcW w:w="480" w:type="pct"/>
                  <w:vAlign w:val="center"/>
                </w:tcPr>
                <w:p w14:paraId="54AA1AE7">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w:t>
                  </w:r>
                </w:p>
              </w:tc>
              <w:tc>
                <w:tcPr>
                  <w:tcW w:w="550" w:type="pct"/>
                  <w:vMerge w:val="continue"/>
                  <w:vAlign w:val="center"/>
                </w:tcPr>
                <w:p w14:paraId="4285BA51">
                  <w:pPr>
                    <w:tabs>
                      <w:tab w:val="left" w:pos="6840"/>
                    </w:tabs>
                    <w:spacing w:line="270" w:lineRule="exact"/>
                    <w:jc w:val="center"/>
                    <w:rPr>
                      <w:rFonts w:hint="default" w:ascii="Times New Roman" w:hAnsi="Times New Roman" w:eastAsia="仿宋" w:cs="Times New Roman"/>
                      <w:color w:val="auto"/>
                      <w:szCs w:val="21"/>
                    </w:rPr>
                  </w:pPr>
                </w:p>
              </w:tc>
            </w:tr>
          </w:tbl>
          <w:p w14:paraId="74B41C8A">
            <w:pPr>
              <w:adjustRightInd w:val="0"/>
              <w:snapToGrid w:val="0"/>
              <w:spacing w:line="500" w:lineRule="exact"/>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②排放口基本信息</w:t>
            </w:r>
          </w:p>
          <w:p w14:paraId="54434534">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表4-1</w:t>
            </w:r>
            <w:r>
              <w:rPr>
                <w:rFonts w:hint="eastAsia" w:ascii="Times New Roman" w:hAnsi="Times New Roman" w:eastAsia="仿宋" w:cs="Times New Roman"/>
                <w:b/>
                <w:bCs/>
                <w:color w:val="auto"/>
                <w:szCs w:val="21"/>
                <w:lang w:val="en-US" w:eastAsia="zh-CN"/>
              </w:rPr>
              <w:t>2</w:t>
            </w:r>
            <w:r>
              <w:rPr>
                <w:rFonts w:hint="default" w:ascii="Times New Roman" w:hAnsi="Times New Roman" w:eastAsia="仿宋" w:cs="Times New Roman"/>
                <w:b/>
                <w:bCs/>
                <w:color w:val="auto"/>
                <w:szCs w:val="21"/>
              </w:rPr>
              <w:t xml:space="preserve"> 废水间接排放口基本情况表</w:t>
            </w:r>
          </w:p>
          <w:tbl>
            <w:tblPr>
              <w:tblStyle w:val="27"/>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721"/>
              <w:gridCol w:w="1046"/>
              <w:gridCol w:w="949"/>
              <w:gridCol w:w="668"/>
              <w:gridCol w:w="964"/>
              <w:gridCol w:w="554"/>
              <w:gridCol w:w="597"/>
              <w:gridCol w:w="782"/>
              <w:gridCol w:w="1129"/>
              <w:gridCol w:w="524"/>
            </w:tblGrid>
            <w:tr w14:paraId="1A0C22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restart"/>
                  <w:vAlign w:val="center"/>
                </w:tcPr>
                <w:p w14:paraId="51A2A2F9">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序号</w:t>
                  </w:r>
                </w:p>
              </w:tc>
              <w:tc>
                <w:tcPr>
                  <w:tcW w:w="473" w:type="pct"/>
                  <w:vMerge w:val="restart"/>
                  <w:vAlign w:val="center"/>
                </w:tcPr>
                <w:p w14:paraId="5DACB8AC">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排放口</w:t>
                  </w:r>
                </w:p>
                <w:p w14:paraId="3BE902DB">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编号</w:t>
                  </w:r>
                </w:p>
              </w:tc>
              <w:tc>
                <w:tcPr>
                  <w:tcW w:w="924" w:type="pct"/>
                  <w:gridSpan w:val="2"/>
                  <w:vAlign w:val="center"/>
                </w:tcPr>
                <w:p w14:paraId="117856E0">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地理坐标</w:t>
                  </w:r>
                </w:p>
              </w:tc>
              <w:tc>
                <w:tcPr>
                  <w:tcW w:w="446" w:type="pct"/>
                  <w:vMerge w:val="restart"/>
                  <w:vAlign w:val="center"/>
                </w:tcPr>
                <w:p w14:paraId="601B5AE4">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排放</w:t>
                  </w:r>
                </w:p>
                <w:p w14:paraId="5516F6E8">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去向</w:t>
                  </w:r>
                </w:p>
              </w:tc>
              <w:tc>
                <w:tcPr>
                  <w:tcW w:w="624" w:type="pct"/>
                  <w:vMerge w:val="restart"/>
                  <w:vAlign w:val="center"/>
                </w:tcPr>
                <w:p w14:paraId="25422BF1">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排放</w:t>
                  </w:r>
                </w:p>
                <w:p w14:paraId="1EAF9E2F">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规律</w:t>
                  </w:r>
                </w:p>
              </w:tc>
              <w:tc>
                <w:tcPr>
                  <w:tcW w:w="374" w:type="pct"/>
                  <w:vMerge w:val="restart"/>
                  <w:vAlign w:val="center"/>
                </w:tcPr>
                <w:p w14:paraId="7B6A5D2E">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间歇排放时段</w:t>
                  </w:r>
                </w:p>
              </w:tc>
              <w:tc>
                <w:tcPr>
                  <w:tcW w:w="1637" w:type="pct"/>
                  <w:gridSpan w:val="3"/>
                  <w:vAlign w:val="center"/>
                </w:tcPr>
                <w:p w14:paraId="0A14F3A6">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受纳污水处理厂信息</w:t>
                  </w:r>
                </w:p>
              </w:tc>
              <w:tc>
                <w:tcPr>
                  <w:tcW w:w="356" w:type="pct"/>
                  <w:vMerge w:val="restart"/>
                  <w:vAlign w:val="center"/>
                </w:tcPr>
                <w:p w14:paraId="4D1C758E">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排放口类型</w:t>
                  </w:r>
                </w:p>
              </w:tc>
            </w:tr>
            <w:tr w14:paraId="0701A7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7D108F6F">
                  <w:pPr>
                    <w:tabs>
                      <w:tab w:val="left" w:pos="6840"/>
                    </w:tabs>
                    <w:spacing w:line="270" w:lineRule="exact"/>
                    <w:jc w:val="center"/>
                    <w:rPr>
                      <w:rFonts w:hint="default" w:ascii="Times New Roman" w:hAnsi="Times New Roman" w:eastAsia="仿宋" w:cs="Times New Roman"/>
                      <w:b/>
                      <w:bCs/>
                      <w:color w:val="auto"/>
                      <w:szCs w:val="21"/>
                    </w:rPr>
                  </w:pPr>
                </w:p>
              </w:tc>
              <w:tc>
                <w:tcPr>
                  <w:tcW w:w="473" w:type="pct"/>
                  <w:vMerge w:val="continue"/>
                  <w:vAlign w:val="center"/>
                </w:tcPr>
                <w:p w14:paraId="3D7BB464">
                  <w:pPr>
                    <w:tabs>
                      <w:tab w:val="left" w:pos="6840"/>
                    </w:tabs>
                    <w:spacing w:line="270" w:lineRule="exact"/>
                    <w:jc w:val="center"/>
                    <w:rPr>
                      <w:rFonts w:hint="default" w:ascii="Times New Roman" w:hAnsi="Times New Roman" w:eastAsia="仿宋" w:cs="Times New Roman"/>
                      <w:b/>
                      <w:bCs/>
                      <w:color w:val="auto"/>
                      <w:szCs w:val="21"/>
                    </w:rPr>
                  </w:pPr>
                </w:p>
              </w:tc>
              <w:tc>
                <w:tcPr>
                  <w:tcW w:w="484" w:type="pct"/>
                  <w:vAlign w:val="center"/>
                </w:tcPr>
                <w:p w14:paraId="7C464CE3">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经度</w:t>
                  </w:r>
                </w:p>
              </w:tc>
              <w:tc>
                <w:tcPr>
                  <w:tcW w:w="439" w:type="pct"/>
                  <w:vAlign w:val="center"/>
                </w:tcPr>
                <w:p w14:paraId="59C489C6">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纬度</w:t>
                  </w:r>
                </w:p>
              </w:tc>
              <w:tc>
                <w:tcPr>
                  <w:tcW w:w="446" w:type="pct"/>
                  <w:vMerge w:val="continue"/>
                  <w:vAlign w:val="center"/>
                </w:tcPr>
                <w:p w14:paraId="758A826A">
                  <w:pPr>
                    <w:tabs>
                      <w:tab w:val="left" w:pos="6840"/>
                    </w:tabs>
                    <w:spacing w:line="270" w:lineRule="exact"/>
                    <w:jc w:val="center"/>
                    <w:rPr>
                      <w:rFonts w:hint="default" w:ascii="Times New Roman" w:hAnsi="Times New Roman" w:eastAsia="仿宋" w:cs="Times New Roman"/>
                      <w:b/>
                      <w:bCs/>
                      <w:color w:val="auto"/>
                      <w:szCs w:val="21"/>
                    </w:rPr>
                  </w:pPr>
                </w:p>
              </w:tc>
              <w:tc>
                <w:tcPr>
                  <w:tcW w:w="624" w:type="pct"/>
                  <w:vMerge w:val="continue"/>
                  <w:vAlign w:val="center"/>
                </w:tcPr>
                <w:p w14:paraId="0684051F">
                  <w:pPr>
                    <w:tabs>
                      <w:tab w:val="left" w:pos="6840"/>
                    </w:tabs>
                    <w:spacing w:line="270" w:lineRule="exact"/>
                    <w:jc w:val="center"/>
                    <w:rPr>
                      <w:rFonts w:hint="default" w:ascii="Times New Roman" w:hAnsi="Times New Roman" w:eastAsia="仿宋" w:cs="Times New Roman"/>
                      <w:b/>
                      <w:bCs/>
                      <w:color w:val="auto"/>
                      <w:szCs w:val="21"/>
                    </w:rPr>
                  </w:pPr>
                </w:p>
              </w:tc>
              <w:tc>
                <w:tcPr>
                  <w:tcW w:w="374" w:type="pct"/>
                  <w:vMerge w:val="continue"/>
                  <w:vAlign w:val="center"/>
                </w:tcPr>
                <w:p w14:paraId="6876B91F">
                  <w:pPr>
                    <w:tabs>
                      <w:tab w:val="left" w:pos="6840"/>
                    </w:tabs>
                    <w:spacing w:line="270" w:lineRule="exact"/>
                    <w:jc w:val="center"/>
                    <w:rPr>
                      <w:rFonts w:hint="default" w:ascii="Times New Roman" w:hAnsi="Times New Roman" w:eastAsia="仿宋" w:cs="Times New Roman"/>
                      <w:b/>
                      <w:bCs/>
                      <w:color w:val="auto"/>
                      <w:szCs w:val="21"/>
                    </w:rPr>
                  </w:pPr>
                </w:p>
              </w:tc>
              <w:tc>
                <w:tcPr>
                  <w:tcW w:w="400" w:type="pct"/>
                  <w:vAlign w:val="center"/>
                </w:tcPr>
                <w:p w14:paraId="319D7D4E">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名称</w:t>
                  </w:r>
                </w:p>
              </w:tc>
              <w:tc>
                <w:tcPr>
                  <w:tcW w:w="513" w:type="pct"/>
                  <w:vAlign w:val="center"/>
                </w:tcPr>
                <w:p w14:paraId="5E0B4762">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w:t>
                  </w:r>
                </w:p>
                <w:p w14:paraId="6290E24B">
                  <w:pPr>
                    <w:tabs>
                      <w:tab w:val="left" w:pos="6840"/>
                    </w:tabs>
                    <w:spacing w:line="27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种类</w:t>
                  </w:r>
                </w:p>
              </w:tc>
              <w:tc>
                <w:tcPr>
                  <w:tcW w:w="723" w:type="pct"/>
                  <w:vAlign w:val="center"/>
                </w:tcPr>
                <w:p w14:paraId="41440B8C">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国家或地方污染物排放</w:t>
                  </w:r>
                  <w:r>
                    <w:rPr>
                      <w:rFonts w:hint="eastAsia" w:eastAsia="仿宋" w:cs="Times New Roman"/>
                      <w:b/>
                      <w:bCs/>
                      <w:color w:val="auto"/>
                      <w:kern w:val="0"/>
                      <w:szCs w:val="21"/>
                      <w:lang w:eastAsia="zh-CN"/>
                    </w:rPr>
                    <w:t>标准</w:t>
                  </w:r>
                  <w:r>
                    <w:rPr>
                      <w:rFonts w:hint="default" w:ascii="Times New Roman" w:hAnsi="Times New Roman" w:eastAsia="仿宋" w:cs="Times New Roman"/>
                      <w:b/>
                      <w:bCs/>
                      <w:color w:val="auto"/>
                      <w:kern w:val="0"/>
                      <w:szCs w:val="21"/>
                    </w:rPr>
                    <w:t>浓度限值</w:t>
                  </w:r>
                </w:p>
                <w:p w14:paraId="72FEA0EF">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（mg/L）</w:t>
                  </w:r>
                </w:p>
              </w:tc>
              <w:tc>
                <w:tcPr>
                  <w:tcW w:w="356" w:type="pct"/>
                  <w:vMerge w:val="continue"/>
                  <w:vAlign w:val="center"/>
                </w:tcPr>
                <w:p w14:paraId="07376311">
                  <w:pPr>
                    <w:tabs>
                      <w:tab w:val="left" w:pos="6840"/>
                    </w:tabs>
                    <w:spacing w:line="270" w:lineRule="exact"/>
                    <w:jc w:val="center"/>
                    <w:rPr>
                      <w:rFonts w:hint="default" w:ascii="Times New Roman" w:hAnsi="Times New Roman" w:eastAsia="仿宋" w:cs="Times New Roman"/>
                      <w:b/>
                      <w:bCs/>
                      <w:color w:val="auto"/>
                      <w:szCs w:val="21"/>
                    </w:rPr>
                  </w:pPr>
                </w:p>
              </w:tc>
            </w:tr>
            <w:tr w14:paraId="0C4887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restart"/>
                  <w:vAlign w:val="center"/>
                </w:tcPr>
                <w:p w14:paraId="3E215255">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73" w:type="pct"/>
                  <w:vMerge w:val="restart"/>
                  <w:vAlign w:val="center"/>
                </w:tcPr>
                <w:p w14:paraId="0B84C31E">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DW001</w:t>
                  </w:r>
                </w:p>
              </w:tc>
              <w:tc>
                <w:tcPr>
                  <w:tcW w:w="484" w:type="pct"/>
                  <w:vMerge w:val="restart"/>
                  <w:vAlign w:val="center"/>
                </w:tcPr>
                <w:p w14:paraId="713C7410">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119.388223</w:t>
                  </w:r>
                </w:p>
              </w:tc>
              <w:tc>
                <w:tcPr>
                  <w:tcW w:w="439" w:type="pct"/>
                  <w:vMerge w:val="restart"/>
                  <w:vAlign w:val="center"/>
                </w:tcPr>
                <w:p w14:paraId="088ADDC6">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31.707513 </w:t>
                  </w:r>
                </w:p>
              </w:tc>
              <w:tc>
                <w:tcPr>
                  <w:tcW w:w="446" w:type="pct"/>
                  <w:vMerge w:val="restart"/>
                  <w:vAlign w:val="center"/>
                </w:tcPr>
                <w:p w14:paraId="5A743692">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进入城市污水处理厂</w:t>
                  </w:r>
                </w:p>
              </w:tc>
              <w:tc>
                <w:tcPr>
                  <w:tcW w:w="624" w:type="pct"/>
                  <w:vMerge w:val="restart"/>
                  <w:vAlign w:val="center"/>
                </w:tcPr>
                <w:p w14:paraId="10940A4E">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间断排放，排放期间流量不稳定且无规律，但不属于冲击型排放</w:t>
                  </w:r>
                </w:p>
              </w:tc>
              <w:tc>
                <w:tcPr>
                  <w:tcW w:w="374" w:type="pct"/>
                  <w:vMerge w:val="restart"/>
                  <w:vAlign w:val="center"/>
                </w:tcPr>
                <w:p w14:paraId="47D39B87">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400" w:type="pct"/>
                  <w:vMerge w:val="restart"/>
                  <w:vAlign w:val="center"/>
                </w:tcPr>
                <w:p w14:paraId="30CE71D1">
                  <w:pPr>
                    <w:tabs>
                      <w:tab w:val="left" w:pos="6840"/>
                    </w:tabs>
                    <w:spacing w:line="270" w:lineRule="exact"/>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金坛区茅东污水处理厂</w:t>
                  </w:r>
                </w:p>
              </w:tc>
              <w:tc>
                <w:tcPr>
                  <w:tcW w:w="513" w:type="pct"/>
                  <w:vAlign w:val="center"/>
                </w:tcPr>
                <w:p w14:paraId="6218A8EB">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pH</w:t>
                  </w:r>
                </w:p>
              </w:tc>
              <w:tc>
                <w:tcPr>
                  <w:tcW w:w="723" w:type="pct"/>
                  <w:vAlign w:val="center"/>
                </w:tcPr>
                <w:p w14:paraId="2E367489">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6~9</w:t>
                  </w:r>
                </w:p>
              </w:tc>
              <w:tc>
                <w:tcPr>
                  <w:tcW w:w="356" w:type="pct"/>
                  <w:vMerge w:val="restart"/>
                  <w:vAlign w:val="center"/>
                </w:tcPr>
                <w:p w14:paraId="52105584">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生活污水排放口-一般排放口</w:t>
                  </w:r>
                </w:p>
              </w:tc>
            </w:tr>
            <w:tr w14:paraId="6A3929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51AE719A">
                  <w:pPr>
                    <w:tabs>
                      <w:tab w:val="left" w:pos="6840"/>
                    </w:tabs>
                    <w:spacing w:line="270" w:lineRule="exact"/>
                    <w:jc w:val="center"/>
                    <w:rPr>
                      <w:rFonts w:hint="default" w:ascii="Times New Roman" w:hAnsi="Times New Roman" w:eastAsia="仿宋" w:cs="Times New Roman"/>
                      <w:color w:val="auto"/>
                      <w:szCs w:val="21"/>
                    </w:rPr>
                  </w:pPr>
                </w:p>
              </w:tc>
              <w:tc>
                <w:tcPr>
                  <w:tcW w:w="473" w:type="pct"/>
                  <w:vMerge w:val="continue"/>
                  <w:vAlign w:val="center"/>
                </w:tcPr>
                <w:p w14:paraId="3D296E8F">
                  <w:pPr>
                    <w:tabs>
                      <w:tab w:val="left" w:pos="6840"/>
                    </w:tabs>
                    <w:spacing w:line="270" w:lineRule="exact"/>
                    <w:jc w:val="center"/>
                    <w:rPr>
                      <w:rFonts w:hint="default" w:ascii="Times New Roman" w:hAnsi="Times New Roman" w:eastAsia="仿宋" w:cs="Times New Roman"/>
                      <w:color w:val="auto"/>
                      <w:szCs w:val="21"/>
                    </w:rPr>
                  </w:pPr>
                </w:p>
              </w:tc>
              <w:tc>
                <w:tcPr>
                  <w:tcW w:w="484" w:type="pct"/>
                  <w:vMerge w:val="continue"/>
                  <w:vAlign w:val="center"/>
                </w:tcPr>
                <w:p w14:paraId="7646FA8D">
                  <w:pPr>
                    <w:tabs>
                      <w:tab w:val="left" w:pos="6840"/>
                    </w:tabs>
                    <w:spacing w:line="270" w:lineRule="exact"/>
                    <w:jc w:val="center"/>
                    <w:rPr>
                      <w:rFonts w:hint="default" w:ascii="Times New Roman" w:hAnsi="Times New Roman" w:eastAsia="仿宋" w:cs="Times New Roman"/>
                      <w:color w:val="auto"/>
                      <w:szCs w:val="21"/>
                    </w:rPr>
                  </w:pPr>
                </w:p>
              </w:tc>
              <w:tc>
                <w:tcPr>
                  <w:tcW w:w="439" w:type="pct"/>
                  <w:vMerge w:val="continue"/>
                  <w:vAlign w:val="center"/>
                </w:tcPr>
                <w:p w14:paraId="3C2CCBFC">
                  <w:pPr>
                    <w:tabs>
                      <w:tab w:val="left" w:pos="6840"/>
                    </w:tabs>
                    <w:spacing w:line="270" w:lineRule="exact"/>
                    <w:jc w:val="center"/>
                    <w:rPr>
                      <w:rFonts w:hint="default" w:ascii="Times New Roman" w:hAnsi="Times New Roman" w:eastAsia="仿宋" w:cs="Times New Roman"/>
                      <w:color w:val="auto"/>
                      <w:szCs w:val="21"/>
                    </w:rPr>
                  </w:pPr>
                </w:p>
              </w:tc>
              <w:tc>
                <w:tcPr>
                  <w:tcW w:w="446" w:type="pct"/>
                  <w:vMerge w:val="continue"/>
                  <w:vAlign w:val="center"/>
                </w:tcPr>
                <w:p w14:paraId="65B6BBCF">
                  <w:pPr>
                    <w:tabs>
                      <w:tab w:val="left" w:pos="6840"/>
                    </w:tabs>
                    <w:spacing w:line="270" w:lineRule="exact"/>
                    <w:jc w:val="center"/>
                    <w:rPr>
                      <w:rFonts w:hint="default" w:ascii="Times New Roman" w:hAnsi="Times New Roman" w:eastAsia="仿宋" w:cs="Times New Roman"/>
                      <w:color w:val="auto"/>
                      <w:szCs w:val="21"/>
                    </w:rPr>
                  </w:pPr>
                </w:p>
              </w:tc>
              <w:tc>
                <w:tcPr>
                  <w:tcW w:w="624" w:type="pct"/>
                  <w:vMerge w:val="continue"/>
                  <w:vAlign w:val="center"/>
                </w:tcPr>
                <w:p w14:paraId="048914D9">
                  <w:pPr>
                    <w:tabs>
                      <w:tab w:val="left" w:pos="6840"/>
                    </w:tabs>
                    <w:spacing w:line="270" w:lineRule="exact"/>
                    <w:jc w:val="center"/>
                    <w:rPr>
                      <w:rFonts w:hint="default" w:ascii="Times New Roman" w:hAnsi="Times New Roman" w:eastAsia="仿宋" w:cs="Times New Roman"/>
                      <w:color w:val="auto"/>
                      <w:szCs w:val="21"/>
                    </w:rPr>
                  </w:pPr>
                </w:p>
              </w:tc>
              <w:tc>
                <w:tcPr>
                  <w:tcW w:w="374" w:type="pct"/>
                  <w:vMerge w:val="continue"/>
                  <w:vAlign w:val="center"/>
                </w:tcPr>
                <w:p w14:paraId="32353073">
                  <w:pPr>
                    <w:tabs>
                      <w:tab w:val="left" w:pos="6840"/>
                    </w:tabs>
                    <w:spacing w:line="270" w:lineRule="exact"/>
                    <w:jc w:val="center"/>
                    <w:rPr>
                      <w:rFonts w:hint="default" w:ascii="Times New Roman" w:hAnsi="Times New Roman" w:eastAsia="仿宋" w:cs="Times New Roman"/>
                      <w:color w:val="auto"/>
                      <w:szCs w:val="21"/>
                    </w:rPr>
                  </w:pPr>
                </w:p>
              </w:tc>
              <w:tc>
                <w:tcPr>
                  <w:tcW w:w="400" w:type="pct"/>
                  <w:vMerge w:val="continue"/>
                  <w:vAlign w:val="center"/>
                </w:tcPr>
                <w:p w14:paraId="137A55A1">
                  <w:pPr>
                    <w:tabs>
                      <w:tab w:val="left" w:pos="6840"/>
                    </w:tabs>
                    <w:spacing w:line="270" w:lineRule="exact"/>
                    <w:jc w:val="center"/>
                    <w:rPr>
                      <w:rFonts w:hint="default" w:ascii="Times New Roman" w:hAnsi="Times New Roman" w:eastAsia="仿宋" w:cs="Times New Roman"/>
                      <w:color w:val="auto"/>
                      <w:szCs w:val="21"/>
                    </w:rPr>
                  </w:pPr>
                </w:p>
              </w:tc>
              <w:tc>
                <w:tcPr>
                  <w:tcW w:w="513" w:type="pct"/>
                  <w:vAlign w:val="center"/>
                </w:tcPr>
                <w:p w14:paraId="6759302D">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723" w:type="pct"/>
                  <w:vAlign w:val="center"/>
                </w:tcPr>
                <w:p w14:paraId="2D1078C3">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w:t>
                  </w:r>
                </w:p>
              </w:tc>
              <w:tc>
                <w:tcPr>
                  <w:tcW w:w="356" w:type="pct"/>
                  <w:vMerge w:val="continue"/>
                  <w:vAlign w:val="center"/>
                </w:tcPr>
                <w:p w14:paraId="6C7E3A61">
                  <w:pPr>
                    <w:tabs>
                      <w:tab w:val="left" w:pos="6840"/>
                    </w:tabs>
                    <w:spacing w:line="270" w:lineRule="exact"/>
                    <w:jc w:val="center"/>
                    <w:rPr>
                      <w:rFonts w:hint="default" w:ascii="Times New Roman" w:hAnsi="Times New Roman" w:eastAsia="仿宋" w:cs="Times New Roman"/>
                      <w:color w:val="auto"/>
                      <w:szCs w:val="21"/>
                    </w:rPr>
                  </w:pPr>
                </w:p>
              </w:tc>
            </w:tr>
            <w:tr w14:paraId="048C1B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31154324">
                  <w:pPr>
                    <w:tabs>
                      <w:tab w:val="left" w:pos="6840"/>
                    </w:tabs>
                    <w:spacing w:line="270" w:lineRule="exact"/>
                    <w:jc w:val="center"/>
                    <w:rPr>
                      <w:rFonts w:hint="default" w:ascii="Times New Roman" w:hAnsi="Times New Roman" w:eastAsia="仿宋" w:cs="Times New Roman"/>
                      <w:color w:val="auto"/>
                      <w:szCs w:val="21"/>
                    </w:rPr>
                  </w:pPr>
                </w:p>
              </w:tc>
              <w:tc>
                <w:tcPr>
                  <w:tcW w:w="473" w:type="pct"/>
                  <w:vMerge w:val="continue"/>
                  <w:vAlign w:val="center"/>
                </w:tcPr>
                <w:p w14:paraId="1E1732DF">
                  <w:pPr>
                    <w:tabs>
                      <w:tab w:val="left" w:pos="6840"/>
                    </w:tabs>
                    <w:spacing w:line="270" w:lineRule="exact"/>
                    <w:jc w:val="center"/>
                    <w:rPr>
                      <w:rFonts w:hint="default" w:ascii="Times New Roman" w:hAnsi="Times New Roman" w:eastAsia="仿宋" w:cs="Times New Roman"/>
                      <w:color w:val="auto"/>
                      <w:szCs w:val="21"/>
                    </w:rPr>
                  </w:pPr>
                </w:p>
              </w:tc>
              <w:tc>
                <w:tcPr>
                  <w:tcW w:w="484" w:type="pct"/>
                  <w:vMerge w:val="continue"/>
                  <w:vAlign w:val="center"/>
                </w:tcPr>
                <w:p w14:paraId="4EA2149B">
                  <w:pPr>
                    <w:tabs>
                      <w:tab w:val="left" w:pos="6840"/>
                    </w:tabs>
                    <w:spacing w:line="270" w:lineRule="exact"/>
                    <w:jc w:val="center"/>
                    <w:rPr>
                      <w:rFonts w:hint="default" w:ascii="Times New Roman" w:hAnsi="Times New Roman" w:eastAsia="仿宋" w:cs="Times New Roman"/>
                      <w:color w:val="auto"/>
                      <w:szCs w:val="21"/>
                    </w:rPr>
                  </w:pPr>
                </w:p>
              </w:tc>
              <w:tc>
                <w:tcPr>
                  <w:tcW w:w="439" w:type="pct"/>
                  <w:vMerge w:val="continue"/>
                  <w:vAlign w:val="center"/>
                </w:tcPr>
                <w:p w14:paraId="0876823B">
                  <w:pPr>
                    <w:tabs>
                      <w:tab w:val="left" w:pos="6840"/>
                    </w:tabs>
                    <w:spacing w:line="270" w:lineRule="exact"/>
                    <w:jc w:val="center"/>
                    <w:rPr>
                      <w:rFonts w:hint="default" w:ascii="Times New Roman" w:hAnsi="Times New Roman" w:eastAsia="仿宋" w:cs="Times New Roman"/>
                      <w:color w:val="auto"/>
                      <w:szCs w:val="21"/>
                    </w:rPr>
                  </w:pPr>
                </w:p>
              </w:tc>
              <w:tc>
                <w:tcPr>
                  <w:tcW w:w="446" w:type="pct"/>
                  <w:vMerge w:val="continue"/>
                  <w:vAlign w:val="center"/>
                </w:tcPr>
                <w:p w14:paraId="685A3FFD">
                  <w:pPr>
                    <w:tabs>
                      <w:tab w:val="left" w:pos="6840"/>
                    </w:tabs>
                    <w:spacing w:line="270" w:lineRule="exact"/>
                    <w:jc w:val="center"/>
                    <w:rPr>
                      <w:rFonts w:hint="default" w:ascii="Times New Roman" w:hAnsi="Times New Roman" w:eastAsia="仿宋" w:cs="Times New Roman"/>
                      <w:color w:val="auto"/>
                      <w:szCs w:val="21"/>
                    </w:rPr>
                  </w:pPr>
                </w:p>
              </w:tc>
              <w:tc>
                <w:tcPr>
                  <w:tcW w:w="624" w:type="pct"/>
                  <w:vMerge w:val="continue"/>
                  <w:vAlign w:val="center"/>
                </w:tcPr>
                <w:p w14:paraId="2615E545">
                  <w:pPr>
                    <w:tabs>
                      <w:tab w:val="left" w:pos="6840"/>
                    </w:tabs>
                    <w:spacing w:line="270" w:lineRule="exact"/>
                    <w:jc w:val="center"/>
                    <w:rPr>
                      <w:rFonts w:hint="default" w:ascii="Times New Roman" w:hAnsi="Times New Roman" w:eastAsia="仿宋" w:cs="Times New Roman"/>
                      <w:color w:val="auto"/>
                      <w:szCs w:val="21"/>
                    </w:rPr>
                  </w:pPr>
                </w:p>
              </w:tc>
              <w:tc>
                <w:tcPr>
                  <w:tcW w:w="374" w:type="pct"/>
                  <w:vMerge w:val="continue"/>
                  <w:vAlign w:val="center"/>
                </w:tcPr>
                <w:p w14:paraId="1F30A2BA">
                  <w:pPr>
                    <w:tabs>
                      <w:tab w:val="left" w:pos="6840"/>
                    </w:tabs>
                    <w:spacing w:line="270" w:lineRule="exact"/>
                    <w:jc w:val="center"/>
                    <w:rPr>
                      <w:rFonts w:hint="default" w:ascii="Times New Roman" w:hAnsi="Times New Roman" w:eastAsia="仿宋" w:cs="Times New Roman"/>
                      <w:color w:val="auto"/>
                      <w:szCs w:val="21"/>
                    </w:rPr>
                  </w:pPr>
                </w:p>
              </w:tc>
              <w:tc>
                <w:tcPr>
                  <w:tcW w:w="400" w:type="pct"/>
                  <w:vMerge w:val="continue"/>
                  <w:vAlign w:val="center"/>
                </w:tcPr>
                <w:p w14:paraId="3AACD0AA">
                  <w:pPr>
                    <w:tabs>
                      <w:tab w:val="left" w:pos="6840"/>
                    </w:tabs>
                    <w:spacing w:line="270" w:lineRule="exact"/>
                    <w:jc w:val="center"/>
                    <w:rPr>
                      <w:rFonts w:hint="default" w:ascii="Times New Roman" w:hAnsi="Times New Roman" w:eastAsia="仿宋" w:cs="Times New Roman"/>
                      <w:color w:val="auto"/>
                      <w:szCs w:val="21"/>
                    </w:rPr>
                  </w:pPr>
                </w:p>
              </w:tc>
              <w:tc>
                <w:tcPr>
                  <w:tcW w:w="513" w:type="pct"/>
                  <w:vAlign w:val="center"/>
                </w:tcPr>
                <w:p w14:paraId="50F03B9F">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723" w:type="pct"/>
                  <w:vAlign w:val="center"/>
                </w:tcPr>
                <w:p w14:paraId="5DDF4E7F">
                  <w:pPr>
                    <w:tabs>
                      <w:tab w:val="left" w:pos="6840"/>
                    </w:tabs>
                    <w:spacing w:line="270" w:lineRule="exact"/>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10</w:t>
                  </w:r>
                </w:p>
              </w:tc>
              <w:tc>
                <w:tcPr>
                  <w:tcW w:w="356" w:type="pct"/>
                  <w:vMerge w:val="continue"/>
                  <w:vAlign w:val="center"/>
                </w:tcPr>
                <w:p w14:paraId="46424BE0">
                  <w:pPr>
                    <w:tabs>
                      <w:tab w:val="left" w:pos="6840"/>
                    </w:tabs>
                    <w:spacing w:line="270" w:lineRule="exact"/>
                    <w:jc w:val="center"/>
                    <w:rPr>
                      <w:rFonts w:hint="default" w:ascii="Times New Roman" w:hAnsi="Times New Roman" w:eastAsia="仿宋" w:cs="Times New Roman"/>
                      <w:color w:val="auto"/>
                      <w:szCs w:val="21"/>
                    </w:rPr>
                  </w:pPr>
                </w:p>
              </w:tc>
            </w:tr>
            <w:tr w14:paraId="3D6ADF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44850EB9">
                  <w:pPr>
                    <w:tabs>
                      <w:tab w:val="left" w:pos="6840"/>
                    </w:tabs>
                    <w:spacing w:line="270" w:lineRule="exact"/>
                    <w:jc w:val="center"/>
                    <w:rPr>
                      <w:rFonts w:hint="default" w:ascii="Times New Roman" w:hAnsi="Times New Roman" w:eastAsia="仿宋" w:cs="Times New Roman"/>
                      <w:color w:val="auto"/>
                      <w:szCs w:val="21"/>
                    </w:rPr>
                  </w:pPr>
                </w:p>
              </w:tc>
              <w:tc>
                <w:tcPr>
                  <w:tcW w:w="473" w:type="pct"/>
                  <w:vMerge w:val="continue"/>
                  <w:vAlign w:val="center"/>
                </w:tcPr>
                <w:p w14:paraId="7A630F25">
                  <w:pPr>
                    <w:tabs>
                      <w:tab w:val="left" w:pos="6840"/>
                    </w:tabs>
                    <w:spacing w:line="270" w:lineRule="exact"/>
                    <w:jc w:val="center"/>
                    <w:rPr>
                      <w:rFonts w:hint="default" w:ascii="Times New Roman" w:hAnsi="Times New Roman" w:eastAsia="仿宋" w:cs="Times New Roman"/>
                      <w:color w:val="auto"/>
                      <w:szCs w:val="21"/>
                    </w:rPr>
                  </w:pPr>
                </w:p>
              </w:tc>
              <w:tc>
                <w:tcPr>
                  <w:tcW w:w="484" w:type="pct"/>
                  <w:vMerge w:val="continue"/>
                  <w:vAlign w:val="center"/>
                </w:tcPr>
                <w:p w14:paraId="25764279">
                  <w:pPr>
                    <w:tabs>
                      <w:tab w:val="left" w:pos="6840"/>
                    </w:tabs>
                    <w:spacing w:line="270" w:lineRule="exact"/>
                    <w:jc w:val="center"/>
                    <w:rPr>
                      <w:rFonts w:hint="default" w:ascii="Times New Roman" w:hAnsi="Times New Roman" w:eastAsia="仿宋" w:cs="Times New Roman"/>
                      <w:color w:val="auto"/>
                      <w:szCs w:val="21"/>
                    </w:rPr>
                  </w:pPr>
                </w:p>
              </w:tc>
              <w:tc>
                <w:tcPr>
                  <w:tcW w:w="439" w:type="pct"/>
                  <w:vMerge w:val="continue"/>
                  <w:vAlign w:val="center"/>
                </w:tcPr>
                <w:p w14:paraId="53B0F872">
                  <w:pPr>
                    <w:tabs>
                      <w:tab w:val="left" w:pos="6840"/>
                    </w:tabs>
                    <w:spacing w:line="270" w:lineRule="exact"/>
                    <w:jc w:val="center"/>
                    <w:rPr>
                      <w:rFonts w:hint="default" w:ascii="Times New Roman" w:hAnsi="Times New Roman" w:eastAsia="仿宋" w:cs="Times New Roman"/>
                      <w:color w:val="auto"/>
                      <w:szCs w:val="21"/>
                    </w:rPr>
                  </w:pPr>
                </w:p>
              </w:tc>
              <w:tc>
                <w:tcPr>
                  <w:tcW w:w="446" w:type="pct"/>
                  <w:vMerge w:val="continue"/>
                  <w:vAlign w:val="center"/>
                </w:tcPr>
                <w:p w14:paraId="63747AC9">
                  <w:pPr>
                    <w:tabs>
                      <w:tab w:val="left" w:pos="6840"/>
                    </w:tabs>
                    <w:spacing w:line="270" w:lineRule="exact"/>
                    <w:jc w:val="center"/>
                    <w:rPr>
                      <w:rFonts w:hint="default" w:ascii="Times New Roman" w:hAnsi="Times New Roman" w:eastAsia="仿宋" w:cs="Times New Roman"/>
                      <w:color w:val="auto"/>
                      <w:szCs w:val="21"/>
                    </w:rPr>
                  </w:pPr>
                </w:p>
              </w:tc>
              <w:tc>
                <w:tcPr>
                  <w:tcW w:w="624" w:type="pct"/>
                  <w:vMerge w:val="continue"/>
                  <w:vAlign w:val="center"/>
                </w:tcPr>
                <w:p w14:paraId="3AFEB361">
                  <w:pPr>
                    <w:tabs>
                      <w:tab w:val="left" w:pos="6840"/>
                    </w:tabs>
                    <w:spacing w:line="270" w:lineRule="exact"/>
                    <w:jc w:val="center"/>
                    <w:rPr>
                      <w:rFonts w:hint="default" w:ascii="Times New Roman" w:hAnsi="Times New Roman" w:eastAsia="仿宋" w:cs="Times New Roman"/>
                      <w:color w:val="auto"/>
                      <w:szCs w:val="21"/>
                    </w:rPr>
                  </w:pPr>
                </w:p>
              </w:tc>
              <w:tc>
                <w:tcPr>
                  <w:tcW w:w="374" w:type="pct"/>
                  <w:vMerge w:val="continue"/>
                  <w:vAlign w:val="center"/>
                </w:tcPr>
                <w:p w14:paraId="6D0C07F7">
                  <w:pPr>
                    <w:tabs>
                      <w:tab w:val="left" w:pos="6840"/>
                    </w:tabs>
                    <w:spacing w:line="270" w:lineRule="exact"/>
                    <w:jc w:val="center"/>
                    <w:rPr>
                      <w:rFonts w:hint="default" w:ascii="Times New Roman" w:hAnsi="Times New Roman" w:eastAsia="仿宋" w:cs="Times New Roman"/>
                      <w:color w:val="auto"/>
                      <w:szCs w:val="21"/>
                    </w:rPr>
                  </w:pPr>
                </w:p>
              </w:tc>
              <w:tc>
                <w:tcPr>
                  <w:tcW w:w="400" w:type="pct"/>
                  <w:vMerge w:val="continue"/>
                  <w:vAlign w:val="center"/>
                </w:tcPr>
                <w:p w14:paraId="0CB24D5F">
                  <w:pPr>
                    <w:tabs>
                      <w:tab w:val="left" w:pos="6840"/>
                    </w:tabs>
                    <w:spacing w:line="270" w:lineRule="exact"/>
                    <w:jc w:val="center"/>
                    <w:rPr>
                      <w:rFonts w:hint="default" w:ascii="Times New Roman" w:hAnsi="Times New Roman" w:eastAsia="仿宋" w:cs="Times New Roman"/>
                      <w:color w:val="auto"/>
                      <w:szCs w:val="21"/>
                    </w:rPr>
                  </w:pPr>
                </w:p>
              </w:tc>
              <w:tc>
                <w:tcPr>
                  <w:tcW w:w="513" w:type="pct"/>
                  <w:vAlign w:val="center"/>
                </w:tcPr>
                <w:p w14:paraId="56140479">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NH</w:t>
                  </w:r>
                  <w:r>
                    <w:rPr>
                      <w:rFonts w:hint="default" w:ascii="Times New Roman" w:hAnsi="Times New Roman" w:eastAsia="仿宋" w:cs="Times New Roman"/>
                      <w:color w:val="auto"/>
                      <w:szCs w:val="21"/>
                      <w:vertAlign w:val="subscript"/>
                    </w:rPr>
                    <w:t>3</w:t>
                  </w:r>
                  <w:r>
                    <w:rPr>
                      <w:rFonts w:hint="default" w:ascii="Times New Roman" w:hAnsi="Times New Roman" w:eastAsia="仿宋" w:cs="Times New Roman"/>
                      <w:color w:val="auto"/>
                      <w:szCs w:val="21"/>
                    </w:rPr>
                    <w:t>-N</w:t>
                  </w:r>
                </w:p>
              </w:tc>
              <w:tc>
                <w:tcPr>
                  <w:tcW w:w="723" w:type="pct"/>
                  <w:vAlign w:val="center"/>
                </w:tcPr>
                <w:p w14:paraId="20A340F8">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w:t>
                  </w:r>
                </w:p>
              </w:tc>
              <w:tc>
                <w:tcPr>
                  <w:tcW w:w="356" w:type="pct"/>
                  <w:vMerge w:val="continue"/>
                  <w:vAlign w:val="center"/>
                </w:tcPr>
                <w:p w14:paraId="6E18ABA8">
                  <w:pPr>
                    <w:tabs>
                      <w:tab w:val="left" w:pos="6840"/>
                    </w:tabs>
                    <w:spacing w:line="270" w:lineRule="exact"/>
                    <w:jc w:val="center"/>
                    <w:rPr>
                      <w:rFonts w:hint="default" w:ascii="Times New Roman" w:hAnsi="Times New Roman" w:eastAsia="仿宋" w:cs="Times New Roman"/>
                      <w:color w:val="auto"/>
                      <w:szCs w:val="21"/>
                    </w:rPr>
                  </w:pPr>
                </w:p>
              </w:tc>
            </w:tr>
            <w:tr w14:paraId="4EF978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41701FEF">
                  <w:pPr>
                    <w:tabs>
                      <w:tab w:val="left" w:pos="6840"/>
                    </w:tabs>
                    <w:spacing w:line="270" w:lineRule="exact"/>
                    <w:jc w:val="center"/>
                    <w:rPr>
                      <w:rFonts w:hint="default" w:ascii="Times New Roman" w:hAnsi="Times New Roman" w:eastAsia="仿宋" w:cs="Times New Roman"/>
                      <w:color w:val="auto"/>
                      <w:szCs w:val="21"/>
                    </w:rPr>
                  </w:pPr>
                </w:p>
              </w:tc>
              <w:tc>
                <w:tcPr>
                  <w:tcW w:w="473" w:type="pct"/>
                  <w:vMerge w:val="continue"/>
                  <w:vAlign w:val="center"/>
                </w:tcPr>
                <w:p w14:paraId="330F8222">
                  <w:pPr>
                    <w:tabs>
                      <w:tab w:val="left" w:pos="6840"/>
                    </w:tabs>
                    <w:spacing w:line="270" w:lineRule="exact"/>
                    <w:jc w:val="center"/>
                    <w:rPr>
                      <w:rFonts w:hint="default" w:ascii="Times New Roman" w:hAnsi="Times New Roman" w:eastAsia="仿宋" w:cs="Times New Roman"/>
                      <w:color w:val="auto"/>
                      <w:szCs w:val="21"/>
                    </w:rPr>
                  </w:pPr>
                </w:p>
              </w:tc>
              <w:tc>
                <w:tcPr>
                  <w:tcW w:w="484" w:type="pct"/>
                  <w:vMerge w:val="continue"/>
                  <w:vAlign w:val="center"/>
                </w:tcPr>
                <w:p w14:paraId="41150CA5">
                  <w:pPr>
                    <w:tabs>
                      <w:tab w:val="left" w:pos="6840"/>
                    </w:tabs>
                    <w:spacing w:line="270" w:lineRule="exact"/>
                    <w:jc w:val="center"/>
                    <w:rPr>
                      <w:rFonts w:hint="default" w:ascii="Times New Roman" w:hAnsi="Times New Roman" w:eastAsia="仿宋" w:cs="Times New Roman"/>
                      <w:color w:val="auto"/>
                      <w:szCs w:val="21"/>
                    </w:rPr>
                  </w:pPr>
                </w:p>
              </w:tc>
              <w:tc>
                <w:tcPr>
                  <w:tcW w:w="439" w:type="pct"/>
                  <w:vMerge w:val="continue"/>
                  <w:vAlign w:val="center"/>
                </w:tcPr>
                <w:p w14:paraId="7FDE66C7">
                  <w:pPr>
                    <w:tabs>
                      <w:tab w:val="left" w:pos="6840"/>
                    </w:tabs>
                    <w:spacing w:line="270" w:lineRule="exact"/>
                    <w:jc w:val="center"/>
                    <w:rPr>
                      <w:rFonts w:hint="default" w:ascii="Times New Roman" w:hAnsi="Times New Roman" w:eastAsia="仿宋" w:cs="Times New Roman"/>
                      <w:color w:val="auto"/>
                      <w:szCs w:val="21"/>
                    </w:rPr>
                  </w:pPr>
                </w:p>
              </w:tc>
              <w:tc>
                <w:tcPr>
                  <w:tcW w:w="446" w:type="pct"/>
                  <w:vMerge w:val="continue"/>
                  <w:vAlign w:val="center"/>
                </w:tcPr>
                <w:p w14:paraId="1C329537">
                  <w:pPr>
                    <w:tabs>
                      <w:tab w:val="left" w:pos="6840"/>
                    </w:tabs>
                    <w:spacing w:line="270" w:lineRule="exact"/>
                    <w:jc w:val="center"/>
                    <w:rPr>
                      <w:rFonts w:hint="default" w:ascii="Times New Roman" w:hAnsi="Times New Roman" w:eastAsia="仿宋" w:cs="Times New Roman"/>
                      <w:color w:val="auto"/>
                      <w:szCs w:val="21"/>
                    </w:rPr>
                  </w:pPr>
                </w:p>
              </w:tc>
              <w:tc>
                <w:tcPr>
                  <w:tcW w:w="624" w:type="pct"/>
                  <w:vMerge w:val="continue"/>
                  <w:vAlign w:val="center"/>
                </w:tcPr>
                <w:p w14:paraId="502E677A">
                  <w:pPr>
                    <w:tabs>
                      <w:tab w:val="left" w:pos="6840"/>
                    </w:tabs>
                    <w:spacing w:line="270" w:lineRule="exact"/>
                    <w:jc w:val="center"/>
                    <w:rPr>
                      <w:rFonts w:hint="default" w:ascii="Times New Roman" w:hAnsi="Times New Roman" w:eastAsia="仿宋" w:cs="Times New Roman"/>
                      <w:color w:val="auto"/>
                      <w:szCs w:val="21"/>
                    </w:rPr>
                  </w:pPr>
                </w:p>
              </w:tc>
              <w:tc>
                <w:tcPr>
                  <w:tcW w:w="374" w:type="pct"/>
                  <w:vMerge w:val="continue"/>
                  <w:vAlign w:val="center"/>
                </w:tcPr>
                <w:p w14:paraId="5D26C91A">
                  <w:pPr>
                    <w:tabs>
                      <w:tab w:val="left" w:pos="6840"/>
                    </w:tabs>
                    <w:spacing w:line="270" w:lineRule="exact"/>
                    <w:jc w:val="center"/>
                    <w:rPr>
                      <w:rFonts w:hint="default" w:ascii="Times New Roman" w:hAnsi="Times New Roman" w:eastAsia="仿宋" w:cs="Times New Roman"/>
                      <w:color w:val="auto"/>
                      <w:szCs w:val="21"/>
                    </w:rPr>
                  </w:pPr>
                </w:p>
              </w:tc>
              <w:tc>
                <w:tcPr>
                  <w:tcW w:w="400" w:type="pct"/>
                  <w:vMerge w:val="continue"/>
                  <w:vAlign w:val="center"/>
                </w:tcPr>
                <w:p w14:paraId="488D3470">
                  <w:pPr>
                    <w:tabs>
                      <w:tab w:val="left" w:pos="6840"/>
                    </w:tabs>
                    <w:spacing w:line="270" w:lineRule="exact"/>
                    <w:jc w:val="center"/>
                    <w:rPr>
                      <w:rFonts w:hint="default" w:ascii="Times New Roman" w:hAnsi="Times New Roman" w:eastAsia="仿宋" w:cs="Times New Roman"/>
                      <w:color w:val="auto"/>
                      <w:szCs w:val="21"/>
                    </w:rPr>
                  </w:pPr>
                </w:p>
              </w:tc>
              <w:tc>
                <w:tcPr>
                  <w:tcW w:w="513" w:type="pct"/>
                  <w:vAlign w:val="center"/>
                </w:tcPr>
                <w:p w14:paraId="2C85E05F">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TP</w:t>
                  </w:r>
                </w:p>
              </w:tc>
              <w:tc>
                <w:tcPr>
                  <w:tcW w:w="723" w:type="pct"/>
                  <w:vAlign w:val="center"/>
                </w:tcPr>
                <w:p w14:paraId="6077E526">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w:t>
                  </w:r>
                </w:p>
              </w:tc>
              <w:tc>
                <w:tcPr>
                  <w:tcW w:w="356" w:type="pct"/>
                  <w:vMerge w:val="continue"/>
                  <w:vAlign w:val="center"/>
                </w:tcPr>
                <w:p w14:paraId="17611BAD">
                  <w:pPr>
                    <w:tabs>
                      <w:tab w:val="left" w:pos="6840"/>
                    </w:tabs>
                    <w:spacing w:line="270" w:lineRule="exact"/>
                    <w:jc w:val="center"/>
                    <w:rPr>
                      <w:rFonts w:hint="default" w:ascii="Times New Roman" w:hAnsi="Times New Roman" w:eastAsia="仿宋" w:cs="Times New Roman"/>
                      <w:color w:val="auto"/>
                      <w:szCs w:val="21"/>
                    </w:rPr>
                  </w:pPr>
                </w:p>
              </w:tc>
            </w:tr>
            <w:tr w14:paraId="7E8270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1" w:type="pct"/>
                  <w:vMerge w:val="continue"/>
                  <w:vAlign w:val="center"/>
                </w:tcPr>
                <w:p w14:paraId="7F1A95BF">
                  <w:pPr>
                    <w:tabs>
                      <w:tab w:val="left" w:pos="6840"/>
                    </w:tabs>
                    <w:spacing w:line="270" w:lineRule="exact"/>
                    <w:jc w:val="center"/>
                    <w:rPr>
                      <w:rFonts w:hint="default" w:ascii="Times New Roman" w:hAnsi="Times New Roman" w:eastAsia="仿宋" w:cs="Times New Roman"/>
                      <w:color w:val="auto"/>
                      <w:szCs w:val="21"/>
                    </w:rPr>
                  </w:pPr>
                </w:p>
              </w:tc>
              <w:tc>
                <w:tcPr>
                  <w:tcW w:w="473" w:type="pct"/>
                  <w:vMerge w:val="continue"/>
                  <w:vAlign w:val="center"/>
                </w:tcPr>
                <w:p w14:paraId="4660A59E">
                  <w:pPr>
                    <w:tabs>
                      <w:tab w:val="left" w:pos="6840"/>
                    </w:tabs>
                    <w:spacing w:line="270" w:lineRule="exact"/>
                    <w:jc w:val="center"/>
                    <w:rPr>
                      <w:rFonts w:hint="default" w:ascii="Times New Roman" w:hAnsi="Times New Roman" w:eastAsia="仿宋" w:cs="Times New Roman"/>
                      <w:color w:val="auto"/>
                      <w:szCs w:val="21"/>
                    </w:rPr>
                  </w:pPr>
                </w:p>
              </w:tc>
              <w:tc>
                <w:tcPr>
                  <w:tcW w:w="484" w:type="pct"/>
                  <w:vMerge w:val="continue"/>
                  <w:vAlign w:val="center"/>
                </w:tcPr>
                <w:p w14:paraId="142FAA39">
                  <w:pPr>
                    <w:tabs>
                      <w:tab w:val="left" w:pos="6840"/>
                    </w:tabs>
                    <w:spacing w:line="270" w:lineRule="exact"/>
                    <w:jc w:val="center"/>
                    <w:rPr>
                      <w:rFonts w:hint="default" w:ascii="Times New Roman" w:hAnsi="Times New Roman" w:eastAsia="仿宋" w:cs="Times New Roman"/>
                      <w:color w:val="auto"/>
                      <w:szCs w:val="21"/>
                    </w:rPr>
                  </w:pPr>
                </w:p>
              </w:tc>
              <w:tc>
                <w:tcPr>
                  <w:tcW w:w="439" w:type="pct"/>
                  <w:vMerge w:val="continue"/>
                  <w:vAlign w:val="center"/>
                </w:tcPr>
                <w:p w14:paraId="1DD963F6">
                  <w:pPr>
                    <w:tabs>
                      <w:tab w:val="left" w:pos="6840"/>
                    </w:tabs>
                    <w:spacing w:line="270" w:lineRule="exact"/>
                    <w:jc w:val="center"/>
                    <w:rPr>
                      <w:rFonts w:hint="default" w:ascii="Times New Roman" w:hAnsi="Times New Roman" w:eastAsia="仿宋" w:cs="Times New Roman"/>
                      <w:color w:val="auto"/>
                      <w:szCs w:val="21"/>
                    </w:rPr>
                  </w:pPr>
                </w:p>
              </w:tc>
              <w:tc>
                <w:tcPr>
                  <w:tcW w:w="446" w:type="pct"/>
                  <w:vMerge w:val="continue"/>
                  <w:vAlign w:val="center"/>
                </w:tcPr>
                <w:p w14:paraId="2FB0DDDC">
                  <w:pPr>
                    <w:tabs>
                      <w:tab w:val="left" w:pos="6840"/>
                    </w:tabs>
                    <w:spacing w:line="270" w:lineRule="exact"/>
                    <w:jc w:val="center"/>
                    <w:rPr>
                      <w:rFonts w:hint="default" w:ascii="Times New Roman" w:hAnsi="Times New Roman" w:eastAsia="仿宋" w:cs="Times New Roman"/>
                      <w:color w:val="auto"/>
                      <w:szCs w:val="21"/>
                    </w:rPr>
                  </w:pPr>
                </w:p>
              </w:tc>
              <w:tc>
                <w:tcPr>
                  <w:tcW w:w="624" w:type="pct"/>
                  <w:vMerge w:val="continue"/>
                  <w:vAlign w:val="center"/>
                </w:tcPr>
                <w:p w14:paraId="1D948098">
                  <w:pPr>
                    <w:tabs>
                      <w:tab w:val="left" w:pos="6840"/>
                    </w:tabs>
                    <w:spacing w:line="270" w:lineRule="exact"/>
                    <w:jc w:val="center"/>
                    <w:rPr>
                      <w:rFonts w:hint="default" w:ascii="Times New Roman" w:hAnsi="Times New Roman" w:eastAsia="仿宋" w:cs="Times New Roman"/>
                      <w:color w:val="auto"/>
                      <w:szCs w:val="21"/>
                    </w:rPr>
                  </w:pPr>
                </w:p>
              </w:tc>
              <w:tc>
                <w:tcPr>
                  <w:tcW w:w="374" w:type="pct"/>
                  <w:vMerge w:val="continue"/>
                  <w:vAlign w:val="center"/>
                </w:tcPr>
                <w:p w14:paraId="46B16690">
                  <w:pPr>
                    <w:tabs>
                      <w:tab w:val="left" w:pos="6840"/>
                    </w:tabs>
                    <w:spacing w:line="270" w:lineRule="exact"/>
                    <w:jc w:val="center"/>
                    <w:rPr>
                      <w:rFonts w:hint="default" w:ascii="Times New Roman" w:hAnsi="Times New Roman" w:eastAsia="仿宋" w:cs="Times New Roman"/>
                      <w:color w:val="auto"/>
                      <w:szCs w:val="21"/>
                    </w:rPr>
                  </w:pPr>
                </w:p>
              </w:tc>
              <w:tc>
                <w:tcPr>
                  <w:tcW w:w="400" w:type="pct"/>
                  <w:vMerge w:val="continue"/>
                  <w:vAlign w:val="center"/>
                </w:tcPr>
                <w:p w14:paraId="4380D848">
                  <w:pPr>
                    <w:tabs>
                      <w:tab w:val="left" w:pos="6840"/>
                    </w:tabs>
                    <w:spacing w:line="270" w:lineRule="exact"/>
                    <w:jc w:val="center"/>
                    <w:rPr>
                      <w:rFonts w:hint="default" w:ascii="Times New Roman" w:hAnsi="Times New Roman" w:eastAsia="仿宋" w:cs="Times New Roman"/>
                      <w:color w:val="auto"/>
                      <w:szCs w:val="21"/>
                    </w:rPr>
                  </w:pPr>
                </w:p>
              </w:tc>
              <w:tc>
                <w:tcPr>
                  <w:tcW w:w="513" w:type="pct"/>
                  <w:vAlign w:val="center"/>
                </w:tcPr>
                <w:p w14:paraId="319D76F0">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TN</w:t>
                  </w:r>
                </w:p>
              </w:tc>
              <w:tc>
                <w:tcPr>
                  <w:tcW w:w="723" w:type="pct"/>
                  <w:vAlign w:val="center"/>
                </w:tcPr>
                <w:p w14:paraId="452B8953">
                  <w:pPr>
                    <w:tabs>
                      <w:tab w:val="left" w:pos="6840"/>
                    </w:tabs>
                    <w:spacing w:line="27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12</w:t>
                  </w:r>
                </w:p>
              </w:tc>
              <w:tc>
                <w:tcPr>
                  <w:tcW w:w="356" w:type="pct"/>
                  <w:vMerge w:val="continue"/>
                  <w:vAlign w:val="center"/>
                </w:tcPr>
                <w:p w14:paraId="5A132486">
                  <w:pPr>
                    <w:tabs>
                      <w:tab w:val="left" w:pos="6840"/>
                    </w:tabs>
                    <w:spacing w:line="270" w:lineRule="exact"/>
                    <w:jc w:val="center"/>
                    <w:rPr>
                      <w:rFonts w:hint="default" w:ascii="Times New Roman" w:hAnsi="Times New Roman" w:eastAsia="仿宋" w:cs="Times New Roman"/>
                      <w:color w:val="auto"/>
                      <w:szCs w:val="21"/>
                    </w:rPr>
                  </w:pPr>
                </w:p>
              </w:tc>
            </w:tr>
          </w:tbl>
          <w:p w14:paraId="316D31BB">
            <w:pPr>
              <w:spacing w:before="120" w:beforeLines="50"/>
              <w:ind w:firstLine="422" w:firstLineChars="200"/>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表4-1</w:t>
            </w:r>
            <w:r>
              <w:rPr>
                <w:rFonts w:hint="eastAsia" w:ascii="Times New Roman" w:hAnsi="Times New Roman" w:eastAsia="仿宋" w:cs="Times New Roman"/>
                <w:b/>
                <w:bCs/>
                <w:color w:val="auto"/>
                <w:kern w:val="0"/>
                <w:szCs w:val="21"/>
                <w:lang w:val="en-US" w:eastAsia="zh-CN"/>
              </w:rPr>
              <w:t>3</w:t>
            </w:r>
            <w:r>
              <w:rPr>
                <w:rFonts w:hint="default" w:ascii="Times New Roman" w:hAnsi="Times New Roman" w:eastAsia="仿宋" w:cs="Times New Roman"/>
                <w:b/>
                <w:bCs/>
                <w:color w:val="auto"/>
                <w:kern w:val="0"/>
                <w:szCs w:val="21"/>
              </w:rPr>
              <w:t xml:space="preserve"> 废水污染物排放执行标准表</w:t>
            </w:r>
          </w:p>
          <w:tbl>
            <w:tblPr>
              <w:tblStyle w:val="27"/>
              <w:tblW w:w="4998" w:type="pct"/>
              <w:tblInd w:w="5"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66"/>
              <w:gridCol w:w="842"/>
              <w:gridCol w:w="1251"/>
              <w:gridCol w:w="3373"/>
              <w:gridCol w:w="1382"/>
              <w:gridCol w:w="692"/>
            </w:tblGrid>
            <w:tr w14:paraId="0277CDE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37160999">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序号</w:t>
                  </w:r>
                </w:p>
              </w:tc>
              <w:tc>
                <w:tcPr>
                  <w:tcW w:w="513" w:type="pct"/>
                  <w:vMerge w:val="restart"/>
                  <w:tcBorders>
                    <w:tl2br w:val="nil"/>
                    <w:tr2bl w:val="nil"/>
                  </w:tcBorders>
                  <w:vAlign w:val="center"/>
                </w:tcPr>
                <w:p w14:paraId="7121AC0F">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排放口编号</w:t>
                  </w:r>
                </w:p>
              </w:tc>
              <w:tc>
                <w:tcPr>
                  <w:tcW w:w="762" w:type="pct"/>
                  <w:vMerge w:val="restart"/>
                  <w:tcBorders>
                    <w:tl2br w:val="nil"/>
                    <w:tr2bl w:val="nil"/>
                  </w:tcBorders>
                  <w:vAlign w:val="center"/>
                </w:tcPr>
                <w:p w14:paraId="30AD8931">
                  <w:pPr>
                    <w:jc w:val="center"/>
                    <w:rPr>
                      <w:rFonts w:hint="default" w:ascii="Times New Roman" w:hAnsi="Times New Roman" w:eastAsia="仿宋" w:cs="Times New Roman"/>
                      <w:b/>
                      <w:bCs/>
                      <w:color w:val="auto"/>
                      <w:kern w:val="0"/>
                      <w:szCs w:val="21"/>
                    </w:rPr>
                  </w:pPr>
                </w:p>
                <w:p w14:paraId="75EF65CE">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污染物种类</w:t>
                  </w:r>
                </w:p>
              </w:tc>
              <w:tc>
                <w:tcPr>
                  <w:tcW w:w="3318" w:type="pct"/>
                  <w:gridSpan w:val="3"/>
                  <w:tcBorders>
                    <w:tl2br w:val="nil"/>
                    <w:tr2bl w:val="nil"/>
                  </w:tcBorders>
                  <w:vAlign w:val="center"/>
                </w:tcPr>
                <w:p w14:paraId="07B85FF2">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国家或地方排放标准及其他按规定商议的排放协议</w:t>
                  </w:r>
                </w:p>
              </w:tc>
            </w:tr>
            <w:tr w14:paraId="6F881DC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634DE2F5">
                  <w:pPr>
                    <w:jc w:val="center"/>
                    <w:rPr>
                      <w:rFonts w:hint="default" w:ascii="Times New Roman" w:hAnsi="Times New Roman" w:eastAsia="仿宋" w:cs="Times New Roman"/>
                      <w:b/>
                      <w:bCs/>
                      <w:color w:val="auto"/>
                      <w:kern w:val="0"/>
                      <w:szCs w:val="21"/>
                    </w:rPr>
                  </w:pPr>
                </w:p>
              </w:tc>
              <w:tc>
                <w:tcPr>
                  <w:tcW w:w="513" w:type="pct"/>
                  <w:vMerge w:val="continue"/>
                  <w:tcBorders>
                    <w:tl2br w:val="nil"/>
                    <w:tr2bl w:val="nil"/>
                  </w:tcBorders>
                  <w:vAlign w:val="center"/>
                </w:tcPr>
                <w:p w14:paraId="7BC0623B">
                  <w:pPr>
                    <w:jc w:val="center"/>
                    <w:rPr>
                      <w:rFonts w:hint="default" w:ascii="Times New Roman" w:hAnsi="Times New Roman" w:eastAsia="仿宋" w:cs="Times New Roman"/>
                      <w:b/>
                      <w:bCs/>
                      <w:color w:val="auto"/>
                      <w:kern w:val="0"/>
                      <w:szCs w:val="21"/>
                    </w:rPr>
                  </w:pPr>
                </w:p>
              </w:tc>
              <w:tc>
                <w:tcPr>
                  <w:tcW w:w="762" w:type="pct"/>
                  <w:vMerge w:val="continue"/>
                  <w:tcBorders>
                    <w:tl2br w:val="nil"/>
                    <w:tr2bl w:val="nil"/>
                  </w:tcBorders>
                  <w:vAlign w:val="center"/>
                </w:tcPr>
                <w:p w14:paraId="14FCE164">
                  <w:pPr>
                    <w:jc w:val="center"/>
                    <w:rPr>
                      <w:rFonts w:hint="default" w:ascii="Times New Roman" w:hAnsi="Times New Roman" w:eastAsia="仿宋" w:cs="Times New Roman"/>
                      <w:b/>
                      <w:bCs/>
                      <w:color w:val="auto"/>
                      <w:kern w:val="0"/>
                      <w:szCs w:val="21"/>
                    </w:rPr>
                  </w:pPr>
                </w:p>
              </w:tc>
              <w:tc>
                <w:tcPr>
                  <w:tcW w:w="2055" w:type="pct"/>
                  <w:tcBorders>
                    <w:tl2br w:val="nil"/>
                    <w:tr2bl w:val="nil"/>
                  </w:tcBorders>
                  <w:vAlign w:val="center"/>
                </w:tcPr>
                <w:p w14:paraId="5797F6A4">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名称</w:t>
                  </w:r>
                </w:p>
              </w:tc>
              <w:tc>
                <w:tcPr>
                  <w:tcW w:w="1263" w:type="pct"/>
                  <w:gridSpan w:val="2"/>
                  <w:tcBorders>
                    <w:tl2br w:val="nil"/>
                    <w:tr2bl w:val="nil"/>
                  </w:tcBorders>
                  <w:vAlign w:val="center"/>
                </w:tcPr>
                <w:p w14:paraId="39E4836F">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浓度限值（mg/L）</w:t>
                  </w:r>
                </w:p>
              </w:tc>
            </w:tr>
            <w:tr w14:paraId="5EA74FC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26B8344D">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w:t>
                  </w:r>
                </w:p>
              </w:tc>
              <w:tc>
                <w:tcPr>
                  <w:tcW w:w="513" w:type="pct"/>
                  <w:vMerge w:val="restart"/>
                  <w:tcBorders>
                    <w:tl2br w:val="nil"/>
                    <w:tr2bl w:val="nil"/>
                  </w:tcBorders>
                  <w:vAlign w:val="center"/>
                </w:tcPr>
                <w:p w14:paraId="60DFED2C">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DW001</w:t>
                  </w:r>
                </w:p>
              </w:tc>
              <w:tc>
                <w:tcPr>
                  <w:tcW w:w="762" w:type="pct"/>
                  <w:vMerge w:val="restart"/>
                  <w:tcBorders>
                    <w:tl2br w:val="nil"/>
                    <w:tr2bl w:val="nil"/>
                  </w:tcBorders>
                  <w:vAlign w:val="center"/>
                </w:tcPr>
                <w:p w14:paraId="14C25FEF">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pH、COD、SS、NH</w:t>
                  </w:r>
                  <w:r>
                    <w:rPr>
                      <w:rFonts w:hint="default" w:ascii="Times New Roman" w:hAnsi="Times New Roman" w:eastAsia="仿宋" w:cs="Times New Roman"/>
                      <w:color w:val="auto"/>
                      <w:kern w:val="0"/>
                      <w:szCs w:val="21"/>
                      <w:vertAlign w:val="subscript"/>
                    </w:rPr>
                    <w:t>3</w:t>
                  </w:r>
                  <w:r>
                    <w:rPr>
                      <w:rFonts w:hint="default" w:ascii="Times New Roman" w:hAnsi="Times New Roman" w:eastAsia="仿宋" w:cs="Times New Roman"/>
                      <w:color w:val="auto"/>
                      <w:kern w:val="0"/>
                      <w:szCs w:val="21"/>
                    </w:rPr>
                    <w:t>-N、TP、TN</w:t>
                  </w:r>
                </w:p>
              </w:tc>
              <w:tc>
                <w:tcPr>
                  <w:tcW w:w="2055" w:type="pct"/>
                  <w:vMerge w:val="restart"/>
                  <w:tcBorders>
                    <w:tl2br w:val="nil"/>
                    <w:tr2bl w:val="nil"/>
                  </w:tcBorders>
                  <w:vAlign w:val="center"/>
                </w:tcPr>
                <w:p w14:paraId="755AC6E5">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lang w:eastAsia="zh-CN"/>
                    </w:rPr>
                    <w:t>金坛区茅东污水处理厂</w:t>
                  </w:r>
                  <w:r>
                    <w:rPr>
                      <w:rFonts w:hint="default" w:ascii="Times New Roman" w:hAnsi="Times New Roman" w:eastAsia="仿宋" w:cs="Times New Roman"/>
                      <w:color w:val="auto"/>
                      <w:kern w:val="0"/>
                      <w:szCs w:val="21"/>
                    </w:rPr>
                    <w:t>接管标准</w:t>
                  </w:r>
                </w:p>
              </w:tc>
              <w:tc>
                <w:tcPr>
                  <w:tcW w:w="842" w:type="pct"/>
                  <w:tcBorders>
                    <w:tl2br w:val="nil"/>
                    <w:tr2bl w:val="nil"/>
                  </w:tcBorders>
                  <w:vAlign w:val="center"/>
                </w:tcPr>
                <w:p w14:paraId="5985F61D">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pH</w:t>
                  </w:r>
                </w:p>
              </w:tc>
              <w:tc>
                <w:tcPr>
                  <w:tcW w:w="421" w:type="pct"/>
                  <w:tcBorders>
                    <w:tl2br w:val="nil"/>
                    <w:tr2bl w:val="nil"/>
                  </w:tcBorders>
                  <w:vAlign w:val="center"/>
                </w:tcPr>
                <w:p w14:paraId="06F00BE3">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6~9</w:t>
                  </w:r>
                </w:p>
              </w:tc>
            </w:tr>
            <w:tr w14:paraId="4681489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25C2BCB3">
                  <w:pPr>
                    <w:jc w:val="center"/>
                    <w:rPr>
                      <w:rFonts w:hint="default" w:ascii="Times New Roman" w:hAnsi="Times New Roman" w:eastAsia="仿宋" w:cs="Times New Roman"/>
                      <w:color w:val="auto"/>
                      <w:kern w:val="0"/>
                      <w:szCs w:val="21"/>
                    </w:rPr>
                  </w:pPr>
                </w:p>
              </w:tc>
              <w:tc>
                <w:tcPr>
                  <w:tcW w:w="513" w:type="pct"/>
                  <w:vMerge w:val="continue"/>
                  <w:tcBorders>
                    <w:tl2br w:val="nil"/>
                    <w:tr2bl w:val="nil"/>
                  </w:tcBorders>
                  <w:vAlign w:val="center"/>
                </w:tcPr>
                <w:p w14:paraId="68E70CBB">
                  <w:pPr>
                    <w:jc w:val="center"/>
                    <w:rPr>
                      <w:rFonts w:hint="default" w:ascii="Times New Roman" w:hAnsi="Times New Roman" w:eastAsia="仿宋" w:cs="Times New Roman"/>
                      <w:color w:val="auto"/>
                      <w:kern w:val="0"/>
                      <w:szCs w:val="21"/>
                    </w:rPr>
                  </w:pPr>
                </w:p>
              </w:tc>
              <w:tc>
                <w:tcPr>
                  <w:tcW w:w="762" w:type="pct"/>
                  <w:vMerge w:val="continue"/>
                  <w:tcBorders>
                    <w:tl2br w:val="nil"/>
                    <w:tr2bl w:val="nil"/>
                  </w:tcBorders>
                  <w:vAlign w:val="center"/>
                </w:tcPr>
                <w:p w14:paraId="55B07D73">
                  <w:pPr>
                    <w:jc w:val="center"/>
                    <w:rPr>
                      <w:rFonts w:hint="default" w:ascii="Times New Roman" w:hAnsi="Times New Roman" w:eastAsia="仿宋" w:cs="Times New Roman"/>
                      <w:color w:val="auto"/>
                      <w:kern w:val="0"/>
                      <w:szCs w:val="21"/>
                    </w:rPr>
                  </w:pPr>
                </w:p>
              </w:tc>
              <w:tc>
                <w:tcPr>
                  <w:tcW w:w="2055" w:type="pct"/>
                  <w:vMerge w:val="continue"/>
                  <w:tcBorders>
                    <w:tl2br w:val="nil"/>
                    <w:tr2bl w:val="nil"/>
                  </w:tcBorders>
                  <w:vAlign w:val="center"/>
                </w:tcPr>
                <w:p w14:paraId="4146A54F">
                  <w:pPr>
                    <w:jc w:val="center"/>
                    <w:rPr>
                      <w:rFonts w:hint="default" w:ascii="Times New Roman" w:hAnsi="Times New Roman" w:eastAsia="仿宋" w:cs="Times New Roman"/>
                      <w:color w:val="auto"/>
                      <w:kern w:val="0"/>
                      <w:szCs w:val="21"/>
                    </w:rPr>
                  </w:pPr>
                </w:p>
              </w:tc>
              <w:tc>
                <w:tcPr>
                  <w:tcW w:w="842" w:type="pct"/>
                  <w:tcBorders>
                    <w:tl2br w:val="nil"/>
                    <w:tr2bl w:val="nil"/>
                  </w:tcBorders>
                  <w:vAlign w:val="center"/>
                </w:tcPr>
                <w:p w14:paraId="70701EE8">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COD</w:t>
                  </w:r>
                </w:p>
              </w:tc>
              <w:tc>
                <w:tcPr>
                  <w:tcW w:w="696" w:type="dxa"/>
                  <w:tcBorders>
                    <w:tl2br w:val="nil"/>
                    <w:tr2bl w:val="nil"/>
                  </w:tcBorders>
                  <w:vAlign w:val="center"/>
                </w:tcPr>
                <w:p w14:paraId="0AF01A95">
                  <w:pPr>
                    <w:adjustRightInd w:val="0"/>
                    <w:snapToGrid w:val="0"/>
                    <w:jc w:val="center"/>
                    <w:rPr>
                      <w:rFonts w:hint="default" w:ascii="Times New Roman" w:hAnsi="Times New Roman" w:eastAsia="仿宋" w:cs="Times New Roman"/>
                      <w:color w:val="auto"/>
                      <w:kern w:val="0"/>
                      <w:szCs w:val="21"/>
                    </w:rPr>
                  </w:pPr>
                  <w:r>
                    <w:rPr>
                      <w:rFonts w:hint="eastAsia" w:eastAsia="仿宋" w:cs="Times New Roman"/>
                      <w:color w:val="auto"/>
                      <w:szCs w:val="21"/>
                      <w:lang w:val="en-US" w:eastAsia="zh-CN"/>
                    </w:rPr>
                    <w:t>400</w:t>
                  </w:r>
                </w:p>
              </w:tc>
            </w:tr>
            <w:tr w14:paraId="5905D16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54D51FF6">
                  <w:pPr>
                    <w:jc w:val="center"/>
                    <w:rPr>
                      <w:rFonts w:hint="default" w:ascii="Times New Roman" w:hAnsi="Times New Roman" w:eastAsia="仿宋" w:cs="Times New Roman"/>
                      <w:color w:val="auto"/>
                      <w:kern w:val="0"/>
                      <w:szCs w:val="21"/>
                    </w:rPr>
                  </w:pPr>
                </w:p>
              </w:tc>
              <w:tc>
                <w:tcPr>
                  <w:tcW w:w="513" w:type="pct"/>
                  <w:vMerge w:val="continue"/>
                  <w:tcBorders>
                    <w:tl2br w:val="nil"/>
                    <w:tr2bl w:val="nil"/>
                  </w:tcBorders>
                  <w:vAlign w:val="center"/>
                </w:tcPr>
                <w:p w14:paraId="378BA145">
                  <w:pPr>
                    <w:jc w:val="center"/>
                    <w:rPr>
                      <w:rFonts w:hint="default" w:ascii="Times New Roman" w:hAnsi="Times New Roman" w:eastAsia="仿宋" w:cs="Times New Roman"/>
                      <w:color w:val="auto"/>
                      <w:kern w:val="0"/>
                      <w:szCs w:val="21"/>
                    </w:rPr>
                  </w:pPr>
                </w:p>
              </w:tc>
              <w:tc>
                <w:tcPr>
                  <w:tcW w:w="762" w:type="pct"/>
                  <w:vMerge w:val="continue"/>
                  <w:tcBorders>
                    <w:tl2br w:val="nil"/>
                    <w:tr2bl w:val="nil"/>
                  </w:tcBorders>
                  <w:vAlign w:val="center"/>
                </w:tcPr>
                <w:p w14:paraId="2E2AA2C3">
                  <w:pPr>
                    <w:jc w:val="center"/>
                    <w:rPr>
                      <w:rFonts w:hint="default" w:ascii="Times New Roman" w:hAnsi="Times New Roman" w:eastAsia="仿宋" w:cs="Times New Roman"/>
                      <w:color w:val="auto"/>
                      <w:kern w:val="0"/>
                      <w:szCs w:val="21"/>
                    </w:rPr>
                  </w:pPr>
                </w:p>
              </w:tc>
              <w:tc>
                <w:tcPr>
                  <w:tcW w:w="2055" w:type="pct"/>
                  <w:vMerge w:val="continue"/>
                  <w:tcBorders>
                    <w:tl2br w:val="nil"/>
                    <w:tr2bl w:val="nil"/>
                  </w:tcBorders>
                  <w:vAlign w:val="center"/>
                </w:tcPr>
                <w:p w14:paraId="79EF0C0B">
                  <w:pPr>
                    <w:jc w:val="center"/>
                    <w:rPr>
                      <w:rFonts w:hint="default" w:ascii="Times New Roman" w:hAnsi="Times New Roman" w:eastAsia="仿宋" w:cs="Times New Roman"/>
                      <w:color w:val="auto"/>
                      <w:kern w:val="0"/>
                      <w:szCs w:val="21"/>
                    </w:rPr>
                  </w:pPr>
                </w:p>
              </w:tc>
              <w:tc>
                <w:tcPr>
                  <w:tcW w:w="842" w:type="pct"/>
                  <w:tcBorders>
                    <w:tl2br w:val="nil"/>
                    <w:tr2bl w:val="nil"/>
                  </w:tcBorders>
                  <w:vAlign w:val="center"/>
                </w:tcPr>
                <w:p w14:paraId="0B68CD22">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SS</w:t>
                  </w:r>
                </w:p>
              </w:tc>
              <w:tc>
                <w:tcPr>
                  <w:tcW w:w="696" w:type="dxa"/>
                  <w:tcBorders>
                    <w:tl2br w:val="nil"/>
                    <w:tr2bl w:val="nil"/>
                  </w:tcBorders>
                  <w:vAlign w:val="center"/>
                </w:tcPr>
                <w:p w14:paraId="6892B976">
                  <w:pPr>
                    <w:adjustRightInd w:val="0"/>
                    <w:snapToGrid w:val="0"/>
                    <w:jc w:val="center"/>
                    <w:rPr>
                      <w:rFonts w:hint="default" w:ascii="Times New Roman" w:hAnsi="Times New Roman" w:eastAsia="仿宋" w:cs="Times New Roman"/>
                      <w:color w:val="auto"/>
                      <w:kern w:val="0"/>
                      <w:szCs w:val="21"/>
                    </w:rPr>
                  </w:pPr>
                  <w:r>
                    <w:rPr>
                      <w:rFonts w:hint="eastAsia" w:eastAsia="仿宋" w:cs="Times New Roman"/>
                      <w:color w:val="auto"/>
                      <w:szCs w:val="21"/>
                      <w:lang w:val="en-US" w:eastAsia="zh-CN"/>
                    </w:rPr>
                    <w:t>250</w:t>
                  </w:r>
                </w:p>
              </w:tc>
            </w:tr>
            <w:tr w14:paraId="1287A97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0CA55C1A">
                  <w:pPr>
                    <w:jc w:val="center"/>
                    <w:rPr>
                      <w:rFonts w:hint="default" w:ascii="Times New Roman" w:hAnsi="Times New Roman" w:eastAsia="仿宋" w:cs="Times New Roman"/>
                      <w:color w:val="auto"/>
                      <w:kern w:val="0"/>
                      <w:szCs w:val="21"/>
                    </w:rPr>
                  </w:pPr>
                </w:p>
              </w:tc>
              <w:tc>
                <w:tcPr>
                  <w:tcW w:w="513" w:type="pct"/>
                  <w:vMerge w:val="continue"/>
                  <w:tcBorders>
                    <w:tl2br w:val="nil"/>
                    <w:tr2bl w:val="nil"/>
                  </w:tcBorders>
                  <w:vAlign w:val="center"/>
                </w:tcPr>
                <w:p w14:paraId="0664836A">
                  <w:pPr>
                    <w:jc w:val="center"/>
                    <w:rPr>
                      <w:rFonts w:hint="default" w:ascii="Times New Roman" w:hAnsi="Times New Roman" w:eastAsia="仿宋" w:cs="Times New Roman"/>
                      <w:color w:val="auto"/>
                      <w:kern w:val="0"/>
                      <w:szCs w:val="21"/>
                    </w:rPr>
                  </w:pPr>
                </w:p>
              </w:tc>
              <w:tc>
                <w:tcPr>
                  <w:tcW w:w="762" w:type="pct"/>
                  <w:vMerge w:val="continue"/>
                  <w:tcBorders>
                    <w:tl2br w:val="nil"/>
                    <w:tr2bl w:val="nil"/>
                  </w:tcBorders>
                  <w:vAlign w:val="center"/>
                </w:tcPr>
                <w:p w14:paraId="59775C55">
                  <w:pPr>
                    <w:jc w:val="center"/>
                    <w:rPr>
                      <w:rFonts w:hint="default" w:ascii="Times New Roman" w:hAnsi="Times New Roman" w:eastAsia="仿宋" w:cs="Times New Roman"/>
                      <w:color w:val="auto"/>
                      <w:kern w:val="0"/>
                      <w:szCs w:val="21"/>
                    </w:rPr>
                  </w:pPr>
                </w:p>
              </w:tc>
              <w:tc>
                <w:tcPr>
                  <w:tcW w:w="2055" w:type="pct"/>
                  <w:vMerge w:val="continue"/>
                  <w:tcBorders>
                    <w:tl2br w:val="nil"/>
                    <w:tr2bl w:val="nil"/>
                  </w:tcBorders>
                  <w:vAlign w:val="center"/>
                </w:tcPr>
                <w:p w14:paraId="0DBE8EBE">
                  <w:pPr>
                    <w:jc w:val="center"/>
                    <w:rPr>
                      <w:rFonts w:hint="default" w:ascii="Times New Roman" w:hAnsi="Times New Roman" w:eastAsia="仿宋" w:cs="Times New Roman"/>
                      <w:color w:val="auto"/>
                      <w:kern w:val="0"/>
                      <w:szCs w:val="21"/>
                    </w:rPr>
                  </w:pPr>
                </w:p>
              </w:tc>
              <w:tc>
                <w:tcPr>
                  <w:tcW w:w="842" w:type="pct"/>
                  <w:tcBorders>
                    <w:tl2br w:val="nil"/>
                    <w:tr2bl w:val="nil"/>
                  </w:tcBorders>
                  <w:vAlign w:val="center"/>
                </w:tcPr>
                <w:p w14:paraId="3C763A0E">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NH</w:t>
                  </w:r>
                  <w:r>
                    <w:rPr>
                      <w:rFonts w:hint="default" w:ascii="Times New Roman" w:hAnsi="Times New Roman" w:eastAsia="仿宋" w:cs="Times New Roman"/>
                      <w:color w:val="auto"/>
                      <w:kern w:val="0"/>
                      <w:szCs w:val="21"/>
                      <w:vertAlign w:val="subscript"/>
                    </w:rPr>
                    <w:t>3</w:t>
                  </w:r>
                  <w:r>
                    <w:rPr>
                      <w:rFonts w:hint="default" w:ascii="Times New Roman" w:hAnsi="Times New Roman" w:eastAsia="仿宋" w:cs="Times New Roman"/>
                      <w:color w:val="auto"/>
                      <w:kern w:val="0"/>
                      <w:szCs w:val="21"/>
                    </w:rPr>
                    <w:t>-N</w:t>
                  </w:r>
                </w:p>
              </w:tc>
              <w:tc>
                <w:tcPr>
                  <w:tcW w:w="696" w:type="dxa"/>
                  <w:tcBorders>
                    <w:tl2br w:val="nil"/>
                    <w:tr2bl w:val="nil"/>
                  </w:tcBorders>
                  <w:vAlign w:val="center"/>
                </w:tcPr>
                <w:p w14:paraId="35A43AE8">
                  <w:pPr>
                    <w:adjustRightInd w:val="0"/>
                    <w:snapToGrid w:val="0"/>
                    <w:jc w:val="center"/>
                    <w:rPr>
                      <w:rFonts w:hint="default" w:ascii="Times New Roman" w:hAnsi="Times New Roman" w:eastAsia="仿宋" w:cs="Times New Roman"/>
                      <w:color w:val="auto"/>
                      <w:kern w:val="0"/>
                      <w:szCs w:val="21"/>
                    </w:rPr>
                  </w:pPr>
                  <w:r>
                    <w:rPr>
                      <w:rFonts w:hint="eastAsia" w:eastAsia="仿宋" w:cs="Times New Roman"/>
                      <w:color w:val="auto"/>
                      <w:szCs w:val="21"/>
                      <w:lang w:val="en-US" w:eastAsia="zh-CN"/>
                    </w:rPr>
                    <w:t>30</w:t>
                  </w:r>
                </w:p>
              </w:tc>
            </w:tr>
            <w:tr w14:paraId="41B234B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6" w:type="pct"/>
                  <w:vMerge w:val="continue"/>
                  <w:tcBorders>
                    <w:tl2br w:val="nil"/>
                    <w:tr2bl w:val="nil"/>
                  </w:tcBorders>
                  <w:vAlign w:val="center"/>
                </w:tcPr>
                <w:p w14:paraId="6C4C2835">
                  <w:pPr>
                    <w:jc w:val="center"/>
                    <w:rPr>
                      <w:rFonts w:hint="default" w:ascii="Times New Roman" w:hAnsi="Times New Roman" w:eastAsia="仿宋" w:cs="Times New Roman"/>
                      <w:color w:val="auto"/>
                      <w:kern w:val="0"/>
                      <w:szCs w:val="21"/>
                    </w:rPr>
                  </w:pPr>
                </w:p>
              </w:tc>
              <w:tc>
                <w:tcPr>
                  <w:tcW w:w="513" w:type="pct"/>
                  <w:vMerge w:val="continue"/>
                  <w:tcBorders>
                    <w:tl2br w:val="nil"/>
                    <w:tr2bl w:val="nil"/>
                  </w:tcBorders>
                  <w:vAlign w:val="center"/>
                </w:tcPr>
                <w:p w14:paraId="5808FDFE">
                  <w:pPr>
                    <w:jc w:val="center"/>
                    <w:rPr>
                      <w:rFonts w:hint="default" w:ascii="Times New Roman" w:hAnsi="Times New Roman" w:eastAsia="仿宋" w:cs="Times New Roman"/>
                      <w:color w:val="auto"/>
                      <w:kern w:val="0"/>
                      <w:szCs w:val="21"/>
                    </w:rPr>
                  </w:pPr>
                </w:p>
              </w:tc>
              <w:tc>
                <w:tcPr>
                  <w:tcW w:w="762" w:type="pct"/>
                  <w:vMerge w:val="continue"/>
                  <w:tcBorders>
                    <w:tl2br w:val="nil"/>
                    <w:tr2bl w:val="nil"/>
                  </w:tcBorders>
                  <w:vAlign w:val="center"/>
                </w:tcPr>
                <w:p w14:paraId="3E709F78">
                  <w:pPr>
                    <w:jc w:val="center"/>
                    <w:rPr>
                      <w:rFonts w:hint="default" w:ascii="Times New Roman" w:hAnsi="Times New Roman" w:eastAsia="仿宋" w:cs="Times New Roman"/>
                      <w:color w:val="auto"/>
                      <w:kern w:val="0"/>
                      <w:szCs w:val="21"/>
                    </w:rPr>
                  </w:pPr>
                </w:p>
              </w:tc>
              <w:tc>
                <w:tcPr>
                  <w:tcW w:w="2055" w:type="pct"/>
                  <w:vMerge w:val="continue"/>
                  <w:tcBorders>
                    <w:tl2br w:val="nil"/>
                    <w:tr2bl w:val="nil"/>
                  </w:tcBorders>
                  <w:vAlign w:val="center"/>
                </w:tcPr>
                <w:p w14:paraId="4CCDFB6E">
                  <w:pPr>
                    <w:jc w:val="center"/>
                    <w:rPr>
                      <w:rFonts w:hint="default" w:ascii="Times New Roman" w:hAnsi="Times New Roman" w:eastAsia="仿宋" w:cs="Times New Roman"/>
                      <w:color w:val="auto"/>
                      <w:kern w:val="0"/>
                      <w:szCs w:val="21"/>
                    </w:rPr>
                  </w:pPr>
                </w:p>
              </w:tc>
              <w:tc>
                <w:tcPr>
                  <w:tcW w:w="842" w:type="pct"/>
                  <w:tcBorders>
                    <w:tl2br w:val="nil"/>
                    <w:tr2bl w:val="nil"/>
                  </w:tcBorders>
                  <w:vAlign w:val="center"/>
                </w:tcPr>
                <w:p w14:paraId="100842FA">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TN</w:t>
                  </w:r>
                </w:p>
              </w:tc>
              <w:tc>
                <w:tcPr>
                  <w:tcW w:w="696" w:type="dxa"/>
                  <w:tcBorders>
                    <w:tl2br w:val="nil"/>
                    <w:tr2bl w:val="nil"/>
                  </w:tcBorders>
                  <w:vAlign w:val="center"/>
                </w:tcPr>
                <w:p w14:paraId="796530BD">
                  <w:pPr>
                    <w:adjustRightInd w:val="0"/>
                    <w:snapToGrid w:val="0"/>
                    <w:jc w:val="center"/>
                    <w:rPr>
                      <w:rFonts w:hint="default" w:ascii="Times New Roman" w:hAnsi="Times New Roman" w:eastAsia="仿宋" w:cs="Times New Roman"/>
                      <w:color w:val="auto"/>
                      <w:kern w:val="0"/>
                      <w:szCs w:val="21"/>
                    </w:rPr>
                  </w:pPr>
                  <w:r>
                    <w:rPr>
                      <w:rFonts w:hint="eastAsia" w:eastAsia="仿宋" w:cs="Times New Roman"/>
                      <w:color w:val="auto"/>
                      <w:szCs w:val="21"/>
                      <w:lang w:val="en-US" w:eastAsia="zh-CN"/>
                    </w:rPr>
                    <w:t>45</w:t>
                  </w:r>
                </w:p>
              </w:tc>
            </w:tr>
            <w:tr w14:paraId="00F6C95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39F35308">
                  <w:pPr>
                    <w:jc w:val="center"/>
                    <w:rPr>
                      <w:rFonts w:hint="default" w:ascii="Times New Roman" w:hAnsi="Times New Roman" w:eastAsia="仿宋" w:cs="Times New Roman"/>
                      <w:color w:val="auto"/>
                      <w:kern w:val="0"/>
                      <w:szCs w:val="21"/>
                    </w:rPr>
                  </w:pPr>
                </w:p>
              </w:tc>
              <w:tc>
                <w:tcPr>
                  <w:tcW w:w="513" w:type="pct"/>
                  <w:vMerge w:val="continue"/>
                  <w:tcBorders>
                    <w:tl2br w:val="nil"/>
                    <w:tr2bl w:val="nil"/>
                  </w:tcBorders>
                  <w:vAlign w:val="center"/>
                </w:tcPr>
                <w:p w14:paraId="30137E12">
                  <w:pPr>
                    <w:jc w:val="center"/>
                    <w:rPr>
                      <w:rFonts w:hint="default" w:ascii="Times New Roman" w:hAnsi="Times New Roman" w:eastAsia="仿宋" w:cs="Times New Roman"/>
                      <w:color w:val="auto"/>
                      <w:kern w:val="0"/>
                      <w:szCs w:val="21"/>
                    </w:rPr>
                  </w:pPr>
                </w:p>
              </w:tc>
              <w:tc>
                <w:tcPr>
                  <w:tcW w:w="762" w:type="pct"/>
                  <w:vMerge w:val="continue"/>
                  <w:tcBorders>
                    <w:tl2br w:val="nil"/>
                    <w:tr2bl w:val="nil"/>
                  </w:tcBorders>
                  <w:vAlign w:val="center"/>
                </w:tcPr>
                <w:p w14:paraId="1585C08D">
                  <w:pPr>
                    <w:jc w:val="center"/>
                    <w:rPr>
                      <w:rFonts w:hint="default" w:ascii="Times New Roman" w:hAnsi="Times New Roman" w:eastAsia="仿宋" w:cs="Times New Roman"/>
                      <w:color w:val="auto"/>
                      <w:kern w:val="0"/>
                      <w:szCs w:val="21"/>
                    </w:rPr>
                  </w:pPr>
                </w:p>
              </w:tc>
              <w:tc>
                <w:tcPr>
                  <w:tcW w:w="2055" w:type="pct"/>
                  <w:vMerge w:val="continue"/>
                  <w:tcBorders>
                    <w:tl2br w:val="nil"/>
                    <w:tr2bl w:val="nil"/>
                  </w:tcBorders>
                  <w:vAlign w:val="center"/>
                </w:tcPr>
                <w:p w14:paraId="73F80672">
                  <w:pPr>
                    <w:jc w:val="center"/>
                    <w:rPr>
                      <w:rFonts w:hint="default" w:ascii="Times New Roman" w:hAnsi="Times New Roman" w:eastAsia="仿宋" w:cs="Times New Roman"/>
                      <w:color w:val="auto"/>
                      <w:kern w:val="0"/>
                      <w:szCs w:val="21"/>
                    </w:rPr>
                  </w:pPr>
                </w:p>
              </w:tc>
              <w:tc>
                <w:tcPr>
                  <w:tcW w:w="842" w:type="pct"/>
                  <w:tcBorders>
                    <w:tl2br w:val="nil"/>
                    <w:tr2bl w:val="nil"/>
                  </w:tcBorders>
                  <w:vAlign w:val="center"/>
                </w:tcPr>
                <w:p w14:paraId="02F6B5A6">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TP</w:t>
                  </w:r>
                </w:p>
              </w:tc>
              <w:tc>
                <w:tcPr>
                  <w:tcW w:w="696" w:type="dxa"/>
                  <w:tcBorders>
                    <w:tl2br w:val="nil"/>
                    <w:tr2bl w:val="nil"/>
                  </w:tcBorders>
                  <w:vAlign w:val="center"/>
                </w:tcPr>
                <w:p w14:paraId="46F6459F">
                  <w:pPr>
                    <w:adjustRightInd w:val="0"/>
                    <w:snapToGrid w:val="0"/>
                    <w:jc w:val="center"/>
                    <w:rPr>
                      <w:rFonts w:hint="default" w:ascii="Times New Roman" w:hAnsi="Times New Roman" w:eastAsia="仿宋" w:cs="Times New Roman"/>
                      <w:color w:val="auto"/>
                      <w:kern w:val="0"/>
                      <w:szCs w:val="21"/>
                    </w:rPr>
                  </w:pPr>
                  <w:r>
                    <w:rPr>
                      <w:rFonts w:hint="eastAsia" w:eastAsia="仿宋" w:cs="Times New Roman"/>
                      <w:color w:val="auto"/>
                      <w:szCs w:val="21"/>
                      <w:lang w:val="en-US" w:eastAsia="zh-CN"/>
                    </w:rPr>
                    <w:t>4</w:t>
                  </w:r>
                </w:p>
              </w:tc>
            </w:tr>
          </w:tbl>
          <w:p w14:paraId="67A0B1BD">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6、</w:t>
            </w:r>
            <w:r>
              <w:rPr>
                <w:rFonts w:hint="default" w:ascii="Times New Roman" w:hAnsi="Times New Roman" w:eastAsia="仿宋" w:cs="Times New Roman"/>
                <w:b/>
                <w:bCs/>
                <w:color w:val="auto"/>
                <w:sz w:val="24"/>
                <w:szCs w:val="24"/>
              </w:rPr>
              <w:t>监测要求</w:t>
            </w:r>
          </w:p>
          <w:p w14:paraId="7A31A71B">
            <w:pPr>
              <w:spacing w:line="360" w:lineRule="auto"/>
              <w:ind w:firstLine="480"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color w:val="auto"/>
                <w:kern w:val="0"/>
                <w:sz w:val="24"/>
                <w:szCs w:val="24"/>
                <w:lang w:bidi="ar"/>
              </w:rPr>
              <w:t>根据《排污单位自行监测技术指南 总则》（HJ 819-2017）要求，对建设项目废水接管口的主要水污染物定期进行监测，并在接管口附近醒目处，设置环境保护图形标志牌。</w:t>
            </w:r>
          </w:p>
          <w:p w14:paraId="4D3EB7C2">
            <w:pPr>
              <w:pStyle w:val="5"/>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表4-</w:t>
            </w:r>
            <w:r>
              <w:rPr>
                <w:rFonts w:hint="default" w:ascii="Times New Roman" w:hAnsi="Times New Roman" w:eastAsia="仿宋" w:cs="Times New Roman"/>
                <w:b/>
                <w:bCs/>
                <w:color w:val="auto"/>
                <w:sz w:val="21"/>
                <w:szCs w:val="21"/>
                <w:lang w:val="en-US" w:eastAsia="zh-CN"/>
              </w:rPr>
              <w:t>14</w:t>
            </w:r>
            <w:r>
              <w:rPr>
                <w:rFonts w:hint="default" w:ascii="Times New Roman" w:hAnsi="Times New Roman" w:eastAsia="仿宋" w:cs="Times New Roman"/>
                <w:b/>
                <w:bCs/>
                <w:color w:val="auto"/>
                <w:sz w:val="21"/>
                <w:szCs w:val="21"/>
              </w:rPr>
              <w:t xml:space="preserve"> 废水自行监测方案一览表</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763"/>
              <w:gridCol w:w="4247"/>
              <w:gridCol w:w="1340"/>
            </w:tblGrid>
            <w:tr w14:paraId="6146A8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3" w:type="pct"/>
                  <w:noWrap w:val="0"/>
                  <w:vAlign w:val="center"/>
                </w:tcPr>
                <w:p w14:paraId="5A953992">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类别</w:t>
                  </w:r>
                </w:p>
              </w:tc>
              <w:tc>
                <w:tcPr>
                  <w:tcW w:w="1074" w:type="pct"/>
                  <w:noWrap w:val="0"/>
                  <w:vAlign w:val="center"/>
                </w:tcPr>
                <w:p w14:paraId="142FD1EE">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监测位置</w:t>
                  </w:r>
                </w:p>
              </w:tc>
              <w:tc>
                <w:tcPr>
                  <w:tcW w:w="2587" w:type="pct"/>
                  <w:noWrap w:val="0"/>
                  <w:vAlign w:val="center"/>
                </w:tcPr>
                <w:p w14:paraId="15769D3D">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监测项目</w:t>
                  </w:r>
                </w:p>
              </w:tc>
              <w:tc>
                <w:tcPr>
                  <w:tcW w:w="816" w:type="pct"/>
                  <w:noWrap w:val="0"/>
                  <w:vAlign w:val="center"/>
                </w:tcPr>
                <w:p w14:paraId="7A95AA3C">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监测频率</w:t>
                  </w:r>
                </w:p>
              </w:tc>
            </w:tr>
            <w:tr w14:paraId="433EC4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3" w:type="pct"/>
                  <w:noWrap w:val="0"/>
                  <w:vAlign w:val="center"/>
                </w:tcPr>
                <w:p w14:paraId="1C37D2E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废水</w:t>
                  </w:r>
                </w:p>
              </w:tc>
              <w:tc>
                <w:tcPr>
                  <w:tcW w:w="1074" w:type="pct"/>
                  <w:noWrap w:val="0"/>
                  <w:vAlign w:val="center"/>
                </w:tcPr>
                <w:p w14:paraId="589807B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厂区污水接管口</w:t>
                  </w:r>
                </w:p>
              </w:tc>
              <w:tc>
                <w:tcPr>
                  <w:tcW w:w="2587" w:type="pct"/>
                  <w:noWrap w:val="0"/>
                  <w:vAlign w:val="center"/>
                </w:tcPr>
                <w:p w14:paraId="6BFA9C0B">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流量、pH、COD、SS、NH</w:t>
                  </w:r>
                  <w:r>
                    <w:rPr>
                      <w:rFonts w:hint="default" w:ascii="Times New Roman" w:hAnsi="Times New Roman" w:eastAsia="仿宋" w:cs="Times New Roman"/>
                      <w:color w:val="auto"/>
                      <w:szCs w:val="21"/>
                      <w:vertAlign w:val="subscript"/>
                    </w:rPr>
                    <w:t>3</w:t>
                  </w:r>
                  <w:r>
                    <w:rPr>
                      <w:rFonts w:hint="default" w:ascii="Times New Roman" w:hAnsi="Times New Roman" w:eastAsia="仿宋" w:cs="Times New Roman"/>
                      <w:color w:val="auto"/>
                      <w:szCs w:val="21"/>
                    </w:rPr>
                    <w:t>-N、TP、TN</w:t>
                  </w:r>
                </w:p>
              </w:tc>
              <w:tc>
                <w:tcPr>
                  <w:tcW w:w="816" w:type="pct"/>
                  <w:noWrap w:val="0"/>
                  <w:vAlign w:val="center"/>
                </w:tcPr>
                <w:p w14:paraId="3780643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每年一次</w:t>
                  </w:r>
                </w:p>
              </w:tc>
            </w:tr>
          </w:tbl>
          <w:p w14:paraId="0471AC8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bCs w:val="0"/>
                <w:color w:val="auto"/>
                <w:sz w:val="24"/>
                <w:highlight w:val="none"/>
                <w:lang w:val="en-US" w:eastAsia="zh-CN"/>
              </w:rPr>
            </w:pPr>
            <w:r>
              <w:rPr>
                <w:rFonts w:hint="default" w:ascii="Times New Roman" w:hAnsi="Times New Roman" w:eastAsia="仿宋" w:cs="Times New Roman"/>
                <w:b/>
                <w:bCs w:val="0"/>
                <w:color w:val="auto"/>
                <w:sz w:val="24"/>
                <w:highlight w:val="none"/>
                <w:lang w:val="en-US" w:eastAsia="zh-CN"/>
              </w:rPr>
              <w:t>7、排污口规范化设置</w:t>
            </w:r>
          </w:p>
          <w:p w14:paraId="59CAFA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本项目依托厂区现有的雨水和污水排放口，不改变现有排水系统。目前项目所在地地块内已实施“雨污分流”，并设置规范化雨水排放口、污水接管口各1个，具备采样、监测条件，接管口附近应树立环保图形标志牌。</w:t>
            </w:r>
          </w:p>
          <w:p w14:paraId="0C0E8B2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bCs w:val="0"/>
                <w:color w:val="auto"/>
                <w:sz w:val="24"/>
                <w:highlight w:val="none"/>
                <w:lang w:val="en-US" w:eastAsia="zh-CN"/>
              </w:rPr>
            </w:pPr>
            <w:r>
              <w:rPr>
                <w:rFonts w:hint="default" w:ascii="Times New Roman" w:hAnsi="Times New Roman" w:eastAsia="仿宋" w:cs="Times New Roman"/>
                <w:b/>
                <w:bCs w:val="0"/>
                <w:color w:val="auto"/>
                <w:sz w:val="24"/>
                <w:highlight w:val="none"/>
                <w:lang w:val="en-US" w:eastAsia="zh-CN"/>
              </w:rPr>
              <w:t>8、环境影响分析小结</w:t>
            </w:r>
          </w:p>
          <w:p w14:paraId="24023B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本项目生活污水可达标接入市政污水管网进金坛区茅东污水处理厂集中处理，尾水排入</w:t>
            </w:r>
            <w:r>
              <w:rPr>
                <w:rFonts w:hint="eastAsia" w:ascii="Times New Roman" w:hAnsi="Times New Roman" w:eastAsia="仿宋" w:cs="Times New Roman"/>
                <w:bCs/>
                <w:color w:val="auto"/>
                <w:sz w:val="24"/>
                <w:highlight w:val="none"/>
                <w:lang w:val="en-US" w:eastAsia="zh-CN"/>
              </w:rPr>
              <w:t>薛埠</w:t>
            </w:r>
            <w:r>
              <w:rPr>
                <w:rFonts w:hint="default" w:ascii="Times New Roman" w:hAnsi="Times New Roman" w:eastAsia="仿宋" w:cs="Times New Roman"/>
                <w:bCs/>
                <w:color w:val="auto"/>
                <w:sz w:val="24"/>
                <w:highlight w:val="none"/>
                <w:lang w:val="en-US" w:eastAsia="zh-CN"/>
              </w:rPr>
              <w:t>河</w:t>
            </w:r>
            <w:r>
              <w:rPr>
                <w:rFonts w:hint="eastAsia"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lang w:val="en-US" w:eastAsia="zh-CN"/>
              </w:rPr>
              <w:t>故本项目废水排放对地表水环境影响很小。</w:t>
            </w:r>
          </w:p>
          <w:p w14:paraId="0442DA9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color w:val="auto"/>
                <w:sz w:val="24"/>
                <w:highlight w:val="none"/>
                <w:lang w:eastAsia="zh-CN"/>
              </w:rPr>
              <w:t>三</w:t>
            </w:r>
            <w:r>
              <w:rPr>
                <w:rFonts w:hint="default" w:ascii="Times New Roman" w:hAnsi="Times New Roman" w:eastAsia="仿宋" w:cs="Times New Roman"/>
                <w:b/>
                <w:color w:val="auto"/>
                <w:sz w:val="24"/>
                <w:highlight w:val="none"/>
              </w:rPr>
              <w:t>、噪声</w:t>
            </w:r>
          </w:p>
          <w:p w14:paraId="1ADB8C7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bCs w:val="0"/>
                <w:color w:val="auto"/>
                <w:sz w:val="24"/>
                <w:highlight w:val="none"/>
              </w:rPr>
            </w:pPr>
            <w:r>
              <w:rPr>
                <w:rFonts w:hint="default" w:ascii="Times New Roman" w:hAnsi="Times New Roman" w:eastAsia="仿宋" w:cs="Times New Roman"/>
                <w:b/>
                <w:bCs w:val="0"/>
                <w:color w:val="auto"/>
                <w:sz w:val="24"/>
                <w:highlight w:val="none"/>
                <w:lang w:val="en-US" w:eastAsia="zh-CN"/>
              </w:rPr>
              <w:t>1、噪声产生及排放情况</w:t>
            </w:r>
          </w:p>
          <w:p w14:paraId="1DB831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本项目高噪声源主要</w:t>
            </w:r>
            <w:r>
              <w:rPr>
                <w:rFonts w:hint="default" w:ascii="Times New Roman" w:hAnsi="Times New Roman" w:eastAsia="仿宋" w:cs="Times New Roman"/>
                <w:bCs/>
                <w:color w:val="auto"/>
                <w:sz w:val="24"/>
                <w:szCs w:val="24"/>
                <w:highlight w:val="none"/>
                <w:lang w:val="en-US" w:eastAsia="zh-CN"/>
              </w:rPr>
              <w:t>为</w:t>
            </w:r>
            <w:r>
              <w:rPr>
                <w:rFonts w:hint="eastAsia" w:ascii="Times New Roman" w:hAnsi="Times New Roman" w:eastAsia="仿宋" w:cs="Times New Roman"/>
                <w:bCs/>
                <w:color w:val="auto"/>
                <w:sz w:val="24"/>
                <w:highlight w:val="none"/>
                <w:lang w:val="en-US" w:eastAsia="zh-CN"/>
              </w:rPr>
              <w:t>抛光</w:t>
            </w:r>
            <w:r>
              <w:rPr>
                <w:rFonts w:hint="eastAsia" w:eastAsia="仿宋" w:cs="Times New Roman"/>
                <w:bCs/>
                <w:color w:val="auto"/>
                <w:sz w:val="24"/>
                <w:highlight w:val="none"/>
                <w:lang w:val="en-US" w:eastAsia="zh-CN"/>
              </w:rPr>
              <w:t>机、打磨机、</w:t>
            </w:r>
            <w:r>
              <w:rPr>
                <w:rFonts w:hint="default" w:ascii="Times New Roman" w:hAnsi="Times New Roman" w:eastAsia="仿宋" w:cs="Times New Roman"/>
                <w:bCs/>
                <w:color w:val="auto"/>
                <w:sz w:val="24"/>
                <w:highlight w:val="none"/>
                <w:lang w:val="en-US" w:eastAsia="zh-CN"/>
              </w:rPr>
              <w:t>喷砂机、空压机和废气设施风机等设备，项目噪声源距离1米处声压级在70~90dB(A)之间。</w:t>
            </w:r>
          </w:p>
          <w:p w14:paraId="230F47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szCs w:val="22"/>
              </w:rPr>
            </w:pPr>
            <w:r>
              <w:rPr>
                <w:rFonts w:hint="default" w:ascii="Times New Roman" w:hAnsi="Times New Roman" w:eastAsia="仿宋" w:cs="Times New Roman"/>
                <w:bCs/>
                <w:color w:val="auto"/>
                <w:sz w:val="24"/>
                <w:highlight w:val="none"/>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tc>
      </w:tr>
    </w:tbl>
    <w:p w14:paraId="1F918F34">
      <w:pPr>
        <w:pStyle w:val="22"/>
        <w:spacing w:before="0" w:beforeAutospacing="0" w:after="0" w:afterAutospacing="0"/>
        <w:jc w:val="center"/>
        <w:outlineLvl w:val="0"/>
        <w:rPr>
          <w:rFonts w:hint="default" w:ascii="Times New Roman" w:hAnsi="Times New Roman" w:eastAsia="仿宋" w:cs="Times New Roman"/>
          <w:snapToGrid w:val="0"/>
          <w:color w:val="auto"/>
          <w:sz w:val="30"/>
          <w:szCs w:val="30"/>
        </w:rPr>
        <w:sectPr>
          <w:headerReference r:id="rId7"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14:paraId="1AB3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652" w:type="dxa"/>
          </w:tcPr>
          <w:p w14:paraId="49AF5F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rPr>
              <w:t>表4-1</w:t>
            </w:r>
            <w:r>
              <w:rPr>
                <w:rFonts w:hint="eastAsia" w:ascii="Times New Roman" w:hAnsi="Times New Roman" w:eastAsia="仿宋" w:cs="Times New Roman"/>
                <w:b/>
                <w:bCs/>
                <w:color w:val="auto"/>
                <w:sz w:val="21"/>
                <w:szCs w:val="21"/>
                <w:lang w:val="en-US" w:eastAsia="zh-CN"/>
              </w:rPr>
              <w:t>5</w:t>
            </w:r>
            <w:r>
              <w:rPr>
                <w:rFonts w:hint="default"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本项目主要噪声污染源一览表</w:t>
            </w:r>
            <w:r>
              <w:rPr>
                <w:rFonts w:hint="default"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lang w:val="en-US" w:eastAsia="zh-CN"/>
              </w:rPr>
              <w:t>室内声源</w:t>
            </w:r>
            <w:r>
              <w:rPr>
                <w:rFonts w:hint="default" w:ascii="Times New Roman" w:hAnsi="Times New Roman" w:eastAsia="仿宋" w:cs="Times New Roman"/>
                <w:b/>
                <w:bCs/>
                <w:color w:val="auto"/>
                <w:sz w:val="21"/>
                <w:szCs w:val="21"/>
                <w:lang w:eastAsia="zh-CN"/>
              </w:rPr>
              <w:t>）</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758"/>
              <w:gridCol w:w="1767"/>
              <w:gridCol w:w="527"/>
              <w:gridCol w:w="1229"/>
              <w:gridCol w:w="1197"/>
              <w:gridCol w:w="626"/>
              <w:gridCol w:w="626"/>
              <w:gridCol w:w="686"/>
              <w:gridCol w:w="780"/>
              <w:gridCol w:w="774"/>
              <w:gridCol w:w="600"/>
              <w:gridCol w:w="1078"/>
              <w:gridCol w:w="1078"/>
              <w:gridCol w:w="1151"/>
            </w:tblGrid>
            <w:tr w14:paraId="75C85D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restart"/>
                  <w:noWrap w:val="0"/>
                  <w:vAlign w:val="center"/>
                </w:tcPr>
                <w:p w14:paraId="1BDBEF63">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序号</w:t>
                  </w:r>
                </w:p>
              </w:tc>
              <w:tc>
                <w:tcPr>
                  <w:tcW w:w="282" w:type="pct"/>
                  <w:vMerge w:val="restart"/>
                  <w:noWrap w:val="0"/>
                  <w:vAlign w:val="center"/>
                </w:tcPr>
                <w:p w14:paraId="197AA9E6">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建筑物名称</w:t>
                  </w:r>
                </w:p>
              </w:tc>
              <w:tc>
                <w:tcPr>
                  <w:tcW w:w="657" w:type="pct"/>
                  <w:vMerge w:val="restart"/>
                  <w:noWrap w:val="0"/>
                  <w:vAlign w:val="center"/>
                </w:tcPr>
                <w:p w14:paraId="513327A7">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声源名称</w:t>
                  </w:r>
                </w:p>
              </w:tc>
              <w:tc>
                <w:tcPr>
                  <w:tcW w:w="196" w:type="pct"/>
                  <w:vMerge w:val="restart"/>
                  <w:noWrap w:val="0"/>
                  <w:vAlign w:val="center"/>
                </w:tcPr>
                <w:p w14:paraId="09B53259">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bCs/>
                      <w:color w:val="auto"/>
                      <w:lang w:val="en-US" w:eastAsia="zh-CN"/>
                    </w:rPr>
                    <w:t>数量</w:t>
                  </w:r>
                </w:p>
              </w:tc>
              <w:tc>
                <w:tcPr>
                  <w:tcW w:w="457" w:type="pct"/>
                  <w:noWrap w:val="0"/>
                  <w:vAlign w:val="center"/>
                </w:tcPr>
                <w:p w14:paraId="06773446">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声源源强</w:t>
                  </w:r>
                </w:p>
              </w:tc>
              <w:tc>
                <w:tcPr>
                  <w:tcW w:w="445" w:type="pct"/>
                  <w:vMerge w:val="restart"/>
                  <w:noWrap w:val="0"/>
                  <w:vAlign w:val="center"/>
                </w:tcPr>
                <w:p w14:paraId="3902CA07">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声源控制措施</w:t>
                  </w:r>
                </w:p>
              </w:tc>
              <w:tc>
                <w:tcPr>
                  <w:tcW w:w="721" w:type="pct"/>
                  <w:gridSpan w:val="3"/>
                  <w:noWrap w:val="0"/>
                  <w:vAlign w:val="center"/>
                </w:tcPr>
                <w:p w14:paraId="6D578074">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空间相对位置/m</w:t>
                  </w:r>
                </w:p>
              </w:tc>
              <w:tc>
                <w:tcPr>
                  <w:tcW w:w="290" w:type="pct"/>
                  <w:vMerge w:val="restart"/>
                  <w:noWrap w:val="0"/>
                  <w:vAlign w:val="center"/>
                </w:tcPr>
                <w:p w14:paraId="5B4C15C2">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距室内边界</w:t>
                  </w:r>
                  <w:r>
                    <w:rPr>
                      <w:rFonts w:hint="default" w:ascii="Times New Roman" w:hAnsi="Times New Roman" w:eastAsia="仿宋" w:cs="Times New Roman"/>
                      <w:b/>
                      <w:color w:val="auto"/>
                      <w:lang w:eastAsia="zh-CN"/>
                    </w:rPr>
                    <w:t>最近</w:t>
                  </w:r>
                  <w:r>
                    <w:rPr>
                      <w:rFonts w:hint="default" w:ascii="Times New Roman" w:hAnsi="Times New Roman" w:eastAsia="仿宋" w:cs="Times New Roman"/>
                      <w:b/>
                      <w:color w:val="auto"/>
                    </w:rPr>
                    <w:t>距离/m</w:t>
                  </w:r>
                </w:p>
              </w:tc>
              <w:tc>
                <w:tcPr>
                  <w:tcW w:w="288" w:type="pct"/>
                  <w:vMerge w:val="restart"/>
                  <w:noWrap w:val="0"/>
                  <w:vAlign w:val="center"/>
                </w:tcPr>
                <w:p w14:paraId="5E448843">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室内边界声级</w:t>
                  </w:r>
                </w:p>
              </w:tc>
              <w:tc>
                <w:tcPr>
                  <w:tcW w:w="223" w:type="pct"/>
                  <w:vMerge w:val="restart"/>
                  <w:noWrap w:val="0"/>
                  <w:vAlign w:val="center"/>
                </w:tcPr>
                <w:p w14:paraId="0E70BD53">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运行时段</w:t>
                  </w:r>
                </w:p>
              </w:tc>
              <w:tc>
                <w:tcPr>
                  <w:tcW w:w="401" w:type="pct"/>
                  <w:vMerge w:val="restart"/>
                  <w:noWrap w:val="0"/>
                  <w:vAlign w:val="center"/>
                </w:tcPr>
                <w:p w14:paraId="446A6ABE">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建筑物插入损失/dB(A)</w:t>
                  </w:r>
                </w:p>
              </w:tc>
              <w:tc>
                <w:tcPr>
                  <w:tcW w:w="829" w:type="pct"/>
                  <w:gridSpan w:val="2"/>
                  <w:noWrap w:val="0"/>
                  <w:vAlign w:val="center"/>
                </w:tcPr>
                <w:p w14:paraId="4DECC578">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建筑物外噪声</w:t>
                  </w:r>
                </w:p>
              </w:tc>
            </w:tr>
            <w:tr w14:paraId="5EC060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continue"/>
                  <w:noWrap w:val="0"/>
                  <w:vAlign w:val="center"/>
                </w:tcPr>
                <w:p w14:paraId="513A68F2">
                  <w:pPr>
                    <w:adjustRightInd w:val="0"/>
                    <w:snapToGrid w:val="0"/>
                    <w:ind w:left="-105" w:leftChars="-50" w:right="-105" w:rightChars="-50"/>
                    <w:jc w:val="center"/>
                    <w:rPr>
                      <w:rFonts w:hint="default" w:ascii="Times New Roman" w:hAnsi="Times New Roman" w:eastAsia="仿宋" w:cs="Times New Roman"/>
                      <w:b/>
                      <w:color w:val="auto"/>
                    </w:rPr>
                  </w:pPr>
                </w:p>
              </w:tc>
              <w:tc>
                <w:tcPr>
                  <w:tcW w:w="282" w:type="pct"/>
                  <w:vMerge w:val="continue"/>
                  <w:noWrap w:val="0"/>
                  <w:vAlign w:val="center"/>
                </w:tcPr>
                <w:p w14:paraId="04CE50AC">
                  <w:pPr>
                    <w:adjustRightInd w:val="0"/>
                    <w:snapToGrid w:val="0"/>
                    <w:ind w:left="-105" w:leftChars="-50" w:right="-105" w:rightChars="-50"/>
                    <w:jc w:val="center"/>
                    <w:rPr>
                      <w:rFonts w:hint="default" w:ascii="Times New Roman" w:hAnsi="Times New Roman" w:eastAsia="仿宋" w:cs="Times New Roman"/>
                      <w:b/>
                      <w:color w:val="auto"/>
                    </w:rPr>
                  </w:pPr>
                </w:p>
              </w:tc>
              <w:tc>
                <w:tcPr>
                  <w:tcW w:w="657" w:type="pct"/>
                  <w:vMerge w:val="continue"/>
                  <w:noWrap w:val="0"/>
                  <w:vAlign w:val="center"/>
                </w:tcPr>
                <w:p w14:paraId="2330F8C9">
                  <w:pPr>
                    <w:adjustRightInd w:val="0"/>
                    <w:snapToGrid w:val="0"/>
                    <w:ind w:left="-105" w:leftChars="-50" w:right="-105" w:rightChars="-50"/>
                    <w:jc w:val="center"/>
                    <w:rPr>
                      <w:rFonts w:hint="default" w:ascii="Times New Roman" w:hAnsi="Times New Roman" w:eastAsia="仿宋" w:cs="Times New Roman"/>
                      <w:b/>
                      <w:color w:val="auto"/>
                    </w:rPr>
                  </w:pPr>
                </w:p>
              </w:tc>
              <w:tc>
                <w:tcPr>
                  <w:tcW w:w="196" w:type="pct"/>
                  <w:vMerge w:val="continue"/>
                  <w:noWrap w:val="0"/>
                  <w:vAlign w:val="center"/>
                </w:tcPr>
                <w:p w14:paraId="7A1A28B0">
                  <w:pPr>
                    <w:adjustRightInd w:val="0"/>
                    <w:snapToGrid w:val="0"/>
                    <w:ind w:left="-105" w:leftChars="-50" w:right="-105" w:rightChars="-50"/>
                    <w:jc w:val="center"/>
                    <w:rPr>
                      <w:rFonts w:hint="default" w:ascii="Times New Roman" w:hAnsi="Times New Roman" w:eastAsia="仿宋" w:cs="Times New Roman"/>
                      <w:b/>
                      <w:color w:val="auto"/>
                    </w:rPr>
                  </w:pPr>
                </w:p>
              </w:tc>
              <w:tc>
                <w:tcPr>
                  <w:tcW w:w="457" w:type="pct"/>
                  <w:noWrap w:val="0"/>
                  <w:vAlign w:val="center"/>
                </w:tcPr>
                <w:p w14:paraId="60B7DA6E">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声</w:t>
                  </w:r>
                  <w:r>
                    <w:rPr>
                      <w:rFonts w:hint="default" w:ascii="Times New Roman" w:hAnsi="Times New Roman" w:eastAsia="仿宋" w:cs="Times New Roman"/>
                      <w:b/>
                      <w:color w:val="auto"/>
                      <w:lang w:eastAsia="zh-CN"/>
                    </w:rPr>
                    <w:t>功率</w:t>
                  </w:r>
                  <w:r>
                    <w:rPr>
                      <w:rFonts w:hint="default" w:ascii="Times New Roman" w:hAnsi="Times New Roman" w:eastAsia="仿宋" w:cs="Times New Roman"/>
                      <w:b/>
                      <w:color w:val="auto"/>
                    </w:rPr>
                    <w:t>级/dB(A)</w:t>
                  </w:r>
                </w:p>
              </w:tc>
              <w:tc>
                <w:tcPr>
                  <w:tcW w:w="445" w:type="pct"/>
                  <w:vMerge w:val="continue"/>
                  <w:noWrap w:val="0"/>
                  <w:vAlign w:val="center"/>
                </w:tcPr>
                <w:p w14:paraId="57490B2D">
                  <w:pPr>
                    <w:adjustRightInd w:val="0"/>
                    <w:snapToGrid w:val="0"/>
                    <w:ind w:left="-105" w:leftChars="-50" w:right="-105" w:rightChars="-50"/>
                    <w:jc w:val="center"/>
                    <w:rPr>
                      <w:rFonts w:hint="default" w:ascii="Times New Roman" w:hAnsi="Times New Roman" w:eastAsia="仿宋" w:cs="Times New Roman"/>
                      <w:b/>
                      <w:color w:val="auto"/>
                    </w:rPr>
                  </w:pPr>
                </w:p>
              </w:tc>
              <w:tc>
                <w:tcPr>
                  <w:tcW w:w="233" w:type="pct"/>
                  <w:noWrap w:val="0"/>
                  <w:vAlign w:val="center"/>
                </w:tcPr>
                <w:p w14:paraId="388EADE9">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X</w:t>
                  </w:r>
                </w:p>
              </w:tc>
              <w:tc>
                <w:tcPr>
                  <w:tcW w:w="233" w:type="pct"/>
                  <w:noWrap w:val="0"/>
                  <w:vAlign w:val="center"/>
                </w:tcPr>
                <w:p w14:paraId="3D8088C6">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Y</w:t>
                  </w:r>
                </w:p>
              </w:tc>
              <w:tc>
                <w:tcPr>
                  <w:tcW w:w="255" w:type="pct"/>
                  <w:noWrap w:val="0"/>
                  <w:vAlign w:val="center"/>
                </w:tcPr>
                <w:p w14:paraId="5B6AF49D">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Z</w:t>
                  </w:r>
                </w:p>
              </w:tc>
              <w:tc>
                <w:tcPr>
                  <w:tcW w:w="290" w:type="pct"/>
                  <w:vMerge w:val="continue"/>
                  <w:noWrap w:val="0"/>
                  <w:vAlign w:val="center"/>
                </w:tcPr>
                <w:p w14:paraId="7711B92F">
                  <w:pPr>
                    <w:adjustRightInd w:val="0"/>
                    <w:snapToGrid w:val="0"/>
                    <w:ind w:left="-105" w:leftChars="-50" w:right="-105" w:rightChars="-50"/>
                    <w:jc w:val="center"/>
                    <w:rPr>
                      <w:rFonts w:hint="default" w:ascii="Times New Roman" w:hAnsi="Times New Roman" w:eastAsia="仿宋" w:cs="Times New Roman"/>
                      <w:b/>
                      <w:color w:val="auto"/>
                    </w:rPr>
                  </w:pPr>
                </w:p>
              </w:tc>
              <w:tc>
                <w:tcPr>
                  <w:tcW w:w="288" w:type="pct"/>
                  <w:vMerge w:val="continue"/>
                  <w:noWrap w:val="0"/>
                  <w:vAlign w:val="center"/>
                </w:tcPr>
                <w:p w14:paraId="52A01EE8">
                  <w:pPr>
                    <w:adjustRightInd w:val="0"/>
                    <w:snapToGrid w:val="0"/>
                    <w:ind w:left="-105" w:leftChars="-50" w:right="-105" w:rightChars="-50"/>
                    <w:jc w:val="center"/>
                    <w:rPr>
                      <w:rFonts w:hint="default" w:ascii="Times New Roman" w:hAnsi="Times New Roman" w:eastAsia="仿宋" w:cs="Times New Roman"/>
                      <w:b/>
                      <w:color w:val="auto"/>
                    </w:rPr>
                  </w:pPr>
                </w:p>
              </w:tc>
              <w:tc>
                <w:tcPr>
                  <w:tcW w:w="223" w:type="pct"/>
                  <w:vMerge w:val="continue"/>
                  <w:noWrap w:val="0"/>
                  <w:vAlign w:val="center"/>
                </w:tcPr>
                <w:p w14:paraId="781CEE41">
                  <w:pPr>
                    <w:adjustRightInd w:val="0"/>
                    <w:snapToGrid w:val="0"/>
                    <w:ind w:left="-105" w:leftChars="-50" w:right="-105" w:rightChars="-50"/>
                    <w:jc w:val="center"/>
                    <w:rPr>
                      <w:rFonts w:hint="default" w:ascii="Times New Roman" w:hAnsi="Times New Roman" w:eastAsia="仿宋" w:cs="Times New Roman"/>
                      <w:b/>
                      <w:color w:val="auto"/>
                    </w:rPr>
                  </w:pPr>
                </w:p>
              </w:tc>
              <w:tc>
                <w:tcPr>
                  <w:tcW w:w="401" w:type="pct"/>
                  <w:vMerge w:val="continue"/>
                  <w:noWrap w:val="0"/>
                  <w:vAlign w:val="center"/>
                </w:tcPr>
                <w:p w14:paraId="6B92341F">
                  <w:pPr>
                    <w:adjustRightInd w:val="0"/>
                    <w:snapToGrid w:val="0"/>
                    <w:ind w:left="-105" w:leftChars="-50" w:right="-105" w:rightChars="-50"/>
                    <w:jc w:val="center"/>
                    <w:rPr>
                      <w:rFonts w:hint="default" w:ascii="Times New Roman" w:hAnsi="Times New Roman" w:eastAsia="仿宋" w:cs="Times New Roman"/>
                      <w:b/>
                      <w:color w:val="auto"/>
                    </w:rPr>
                  </w:pPr>
                </w:p>
              </w:tc>
              <w:tc>
                <w:tcPr>
                  <w:tcW w:w="401" w:type="pct"/>
                  <w:noWrap w:val="0"/>
                  <w:vAlign w:val="center"/>
                </w:tcPr>
                <w:p w14:paraId="132555DA">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声压级/dB(A)</w:t>
                  </w:r>
                </w:p>
              </w:tc>
              <w:tc>
                <w:tcPr>
                  <w:tcW w:w="428" w:type="pct"/>
                  <w:noWrap w:val="0"/>
                  <w:vAlign w:val="center"/>
                </w:tcPr>
                <w:p w14:paraId="46EBD280">
                  <w:pPr>
                    <w:adjustRightInd w:val="0"/>
                    <w:snapToGrid w:val="0"/>
                    <w:ind w:left="-105" w:leftChars="-50" w:right="-105" w:right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建筑物外距离</w:t>
                  </w:r>
                </w:p>
              </w:tc>
            </w:tr>
            <w:tr w14:paraId="4C11BD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noWrap w:val="0"/>
                  <w:vAlign w:val="center"/>
                </w:tcPr>
                <w:p w14:paraId="1C0B3902">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1</w:t>
                  </w:r>
                </w:p>
              </w:tc>
              <w:tc>
                <w:tcPr>
                  <w:tcW w:w="282" w:type="pct"/>
                  <w:vMerge w:val="restart"/>
                  <w:noWrap w:val="0"/>
                  <w:vAlign w:val="center"/>
                </w:tcPr>
                <w:p w14:paraId="563088E8">
                  <w:pPr>
                    <w:adjustRightInd w:val="0"/>
                    <w:snapToGrid w:val="0"/>
                    <w:ind w:left="-105" w:leftChars="-50" w:right="-105" w:rightChars="-50"/>
                    <w:jc w:val="center"/>
                    <w:rPr>
                      <w:rFonts w:hint="default" w:ascii="Times New Roman" w:hAnsi="Times New Roman" w:eastAsia="仿宋" w:cs="Times New Roman"/>
                      <w:color w:val="auto"/>
                      <w:lang w:eastAsia="zh-CN"/>
                    </w:rPr>
                  </w:pPr>
                  <w:r>
                    <w:rPr>
                      <w:rFonts w:hint="default" w:ascii="Times New Roman" w:hAnsi="Times New Roman" w:eastAsia="仿宋" w:cs="Times New Roman"/>
                      <w:color w:val="auto"/>
                      <w:lang w:eastAsia="zh-CN"/>
                    </w:rPr>
                    <w:t>车间</w:t>
                  </w:r>
                </w:p>
              </w:tc>
              <w:tc>
                <w:tcPr>
                  <w:tcW w:w="657" w:type="pct"/>
                  <w:noWrap w:val="0"/>
                  <w:vAlign w:val="center"/>
                </w:tcPr>
                <w:p w14:paraId="71CD157A">
                  <w:pPr>
                    <w:spacing w:line="240" w:lineRule="auto"/>
                    <w:ind w:firstLine="0" w:firstLineChars="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卧式车床</w:t>
                  </w:r>
                </w:p>
              </w:tc>
              <w:tc>
                <w:tcPr>
                  <w:tcW w:w="196" w:type="pct"/>
                  <w:noWrap w:val="0"/>
                  <w:vAlign w:val="center"/>
                </w:tcPr>
                <w:p w14:paraId="5BBAFB76">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Cs w:val="21"/>
                      <w:lang w:val="en-US" w:eastAsia="zh-CN"/>
                    </w:rPr>
                  </w:pPr>
                  <w:r>
                    <w:rPr>
                      <w:rFonts w:hint="eastAsia" w:cs="Times New Roman"/>
                      <w:bCs/>
                      <w:color w:val="auto"/>
                      <w:kern w:val="2"/>
                      <w:sz w:val="21"/>
                      <w:szCs w:val="21"/>
                      <w:lang w:val="en-US" w:eastAsia="zh-CN" w:bidi="ar-SA"/>
                    </w:rPr>
                    <w:t>4</w:t>
                  </w:r>
                </w:p>
              </w:tc>
              <w:tc>
                <w:tcPr>
                  <w:tcW w:w="457" w:type="pct"/>
                  <w:noWrap w:val="0"/>
                  <w:vAlign w:val="center"/>
                </w:tcPr>
                <w:p w14:paraId="413B1A45">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80</w:t>
                  </w:r>
                </w:p>
              </w:tc>
              <w:tc>
                <w:tcPr>
                  <w:tcW w:w="445" w:type="pct"/>
                  <w:vMerge w:val="restart"/>
                  <w:noWrap w:val="0"/>
                  <w:vAlign w:val="center"/>
                </w:tcPr>
                <w:p w14:paraId="561A9B63">
                  <w:pPr>
                    <w:adjustRightInd w:val="0"/>
                    <w:snapToGrid w:val="0"/>
                    <w:ind w:left="-105" w:leftChars="-50" w:right="-105" w:rightChars="-50"/>
                    <w:jc w:val="center"/>
                    <w:rPr>
                      <w:rFonts w:hint="default" w:ascii="Times New Roman" w:hAnsi="Times New Roman" w:eastAsia="仿宋" w:cs="Times New Roman"/>
                      <w:bCs/>
                      <w:color w:val="auto"/>
                      <w:szCs w:val="20"/>
                    </w:rPr>
                  </w:pPr>
                  <w:r>
                    <w:rPr>
                      <w:rFonts w:hint="default" w:ascii="Times New Roman" w:hAnsi="Times New Roman" w:eastAsia="仿宋" w:cs="Times New Roman"/>
                      <w:bCs/>
                      <w:color w:val="auto"/>
                      <w:szCs w:val="20"/>
                    </w:rPr>
                    <w:t>减振、厂房隔音</w:t>
                  </w:r>
                </w:p>
              </w:tc>
              <w:tc>
                <w:tcPr>
                  <w:tcW w:w="233" w:type="pct"/>
                  <w:noWrap w:val="0"/>
                  <w:vAlign w:val="center"/>
                </w:tcPr>
                <w:p w14:paraId="7FC817AD">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74</w:t>
                  </w:r>
                </w:p>
              </w:tc>
              <w:tc>
                <w:tcPr>
                  <w:tcW w:w="233" w:type="pct"/>
                  <w:noWrap w:val="0"/>
                  <w:vAlign w:val="center"/>
                </w:tcPr>
                <w:p w14:paraId="012AA99A">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52</w:t>
                  </w:r>
                </w:p>
              </w:tc>
              <w:tc>
                <w:tcPr>
                  <w:tcW w:w="255" w:type="pct"/>
                  <w:noWrap w:val="0"/>
                  <w:vAlign w:val="center"/>
                </w:tcPr>
                <w:p w14:paraId="7D2CA13A">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w:t>
                  </w:r>
                </w:p>
              </w:tc>
              <w:tc>
                <w:tcPr>
                  <w:tcW w:w="290" w:type="pct"/>
                  <w:noWrap w:val="0"/>
                  <w:vAlign w:val="center"/>
                </w:tcPr>
                <w:p w14:paraId="6966CA68">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30</w:t>
                  </w:r>
                </w:p>
              </w:tc>
              <w:tc>
                <w:tcPr>
                  <w:tcW w:w="288" w:type="pct"/>
                  <w:noWrap w:val="0"/>
                  <w:vAlign w:val="center"/>
                </w:tcPr>
                <w:p w14:paraId="3CF474D3">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50.5</w:t>
                  </w:r>
                </w:p>
              </w:tc>
              <w:tc>
                <w:tcPr>
                  <w:tcW w:w="223" w:type="pct"/>
                  <w:noWrap w:val="0"/>
                  <w:vAlign w:val="center"/>
                </w:tcPr>
                <w:p w14:paraId="4F686E38">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h</w:t>
                  </w:r>
                </w:p>
              </w:tc>
              <w:tc>
                <w:tcPr>
                  <w:tcW w:w="401" w:type="pct"/>
                  <w:noWrap w:val="0"/>
                  <w:vAlign w:val="center"/>
                </w:tcPr>
                <w:p w14:paraId="6AD3817F">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20</w:t>
                  </w:r>
                </w:p>
              </w:tc>
              <w:tc>
                <w:tcPr>
                  <w:tcW w:w="401" w:type="pct"/>
                  <w:noWrap w:val="0"/>
                  <w:vAlign w:val="center"/>
                </w:tcPr>
                <w:p w14:paraId="7B9F20B0">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30.5</w:t>
                  </w:r>
                </w:p>
              </w:tc>
              <w:tc>
                <w:tcPr>
                  <w:tcW w:w="428" w:type="pct"/>
                  <w:noWrap w:val="0"/>
                  <w:vAlign w:val="center"/>
                </w:tcPr>
                <w:p w14:paraId="52330024">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1m</w:t>
                  </w:r>
                </w:p>
              </w:tc>
            </w:tr>
            <w:tr w14:paraId="1F8AFD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noWrap w:val="0"/>
                  <w:vAlign w:val="center"/>
                </w:tcPr>
                <w:p w14:paraId="05EE9306">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w:t>
                  </w:r>
                </w:p>
              </w:tc>
              <w:tc>
                <w:tcPr>
                  <w:tcW w:w="282" w:type="pct"/>
                  <w:vMerge w:val="continue"/>
                  <w:noWrap w:val="0"/>
                  <w:vAlign w:val="center"/>
                </w:tcPr>
                <w:p w14:paraId="63D8E857">
                  <w:pPr>
                    <w:adjustRightInd w:val="0"/>
                    <w:snapToGrid w:val="0"/>
                    <w:ind w:left="-105" w:leftChars="-50" w:right="-105" w:rightChars="-50"/>
                    <w:jc w:val="center"/>
                    <w:rPr>
                      <w:rFonts w:hint="default" w:ascii="Times New Roman" w:hAnsi="Times New Roman" w:eastAsia="仿宋" w:cs="Times New Roman"/>
                      <w:color w:val="auto"/>
                    </w:rPr>
                  </w:pPr>
                </w:p>
              </w:tc>
              <w:tc>
                <w:tcPr>
                  <w:tcW w:w="657" w:type="pct"/>
                  <w:noWrap w:val="0"/>
                  <w:vAlign w:val="center"/>
                </w:tcPr>
                <w:p w14:paraId="7781E1E9">
                  <w:pPr>
                    <w:spacing w:line="240" w:lineRule="auto"/>
                    <w:ind w:firstLine="0" w:firstLineChars="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摇臂钻床</w:t>
                  </w:r>
                </w:p>
              </w:tc>
              <w:tc>
                <w:tcPr>
                  <w:tcW w:w="196" w:type="pct"/>
                  <w:noWrap w:val="0"/>
                  <w:vAlign w:val="center"/>
                </w:tcPr>
                <w:p w14:paraId="44365B94">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Cs w:val="21"/>
                      <w:lang w:val="en-US" w:eastAsia="zh-CN"/>
                    </w:rPr>
                  </w:pPr>
                  <w:r>
                    <w:rPr>
                      <w:rFonts w:hint="eastAsia" w:cs="Times New Roman"/>
                      <w:bCs/>
                      <w:color w:val="auto"/>
                      <w:kern w:val="2"/>
                      <w:sz w:val="21"/>
                      <w:szCs w:val="21"/>
                      <w:lang w:val="en-US" w:eastAsia="zh-CN" w:bidi="ar-SA"/>
                    </w:rPr>
                    <w:t>3</w:t>
                  </w:r>
                </w:p>
              </w:tc>
              <w:tc>
                <w:tcPr>
                  <w:tcW w:w="457" w:type="pct"/>
                  <w:noWrap w:val="0"/>
                  <w:vAlign w:val="center"/>
                </w:tcPr>
                <w:p w14:paraId="4AB511A8">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80</w:t>
                  </w:r>
                </w:p>
              </w:tc>
              <w:tc>
                <w:tcPr>
                  <w:tcW w:w="445" w:type="pct"/>
                  <w:vMerge w:val="continue"/>
                  <w:noWrap w:val="0"/>
                  <w:vAlign w:val="center"/>
                </w:tcPr>
                <w:p w14:paraId="60B105E0">
                  <w:pPr>
                    <w:adjustRightInd w:val="0"/>
                    <w:snapToGrid w:val="0"/>
                    <w:ind w:left="-105" w:leftChars="-50" w:right="-105" w:rightChars="-50"/>
                    <w:jc w:val="center"/>
                    <w:rPr>
                      <w:rFonts w:hint="default" w:ascii="Times New Roman" w:hAnsi="Times New Roman" w:eastAsia="仿宋" w:cs="Times New Roman"/>
                      <w:bCs/>
                      <w:color w:val="auto"/>
                      <w:szCs w:val="20"/>
                    </w:rPr>
                  </w:pPr>
                </w:p>
              </w:tc>
              <w:tc>
                <w:tcPr>
                  <w:tcW w:w="233" w:type="pct"/>
                  <w:noWrap w:val="0"/>
                  <w:vAlign w:val="center"/>
                </w:tcPr>
                <w:p w14:paraId="19E6EA62">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65</w:t>
                  </w:r>
                </w:p>
              </w:tc>
              <w:tc>
                <w:tcPr>
                  <w:tcW w:w="233" w:type="pct"/>
                  <w:noWrap w:val="0"/>
                  <w:vAlign w:val="center"/>
                </w:tcPr>
                <w:p w14:paraId="5EA294B0">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21</w:t>
                  </w:r>
                </w:p>
              </w:tc>
              <w:tc>
                <w:tcPr>
                  <w:tcW w:w="255" w:type="pct"/>
                  <w:noWrap w:val="0"/>
                  <w:vAlign w:val="center"/>
                </w:tcPr>
                <w:p w14:paraId="0A49C612">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w:t>
                  </w:r>
                </w:p>
              </w:tc>
              <w:tc>
                <w:tcPr>
                  <w:tcW w:w="290" w:type="pct"/>
                  <w:noWrap w:val="0"/>
                  <w:vAlign w:val="center"/>
                </w:tcPr>
                <w:p w14:paraId="675B400B">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17</w:t>
                  </w:r>
                </w:p>
              </w:tc>
              <w:tc>
                <w:tcPr>
                  <w:tcW w:w="288" w:type="pct"/>
                  <w:noWrap w:val="0"/>
                  <w:vAlign w:val="center"/>
                </w:tcPr>
                <w:p w14:paraId="29B9C41B">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55.4</w:t>
                  </w:r>
                </w:p>
              </w:tc>
              <w:tc>
                <w:tcPr>
                  <w:tcW w:w="223" w:type="pct"/>
                  <w:noWrap w:val="0"/>
                  <w:vAlign w:val="center"/>
                </w:tcPr>
                <w:p w14:paraId="5D74EC1A">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h</w:t>
                  </w:r>
                </w:p>
              </w:tc>
              <w:tc>
                <w:tcPr>
                  <w:tcW w:w="401" w:type="pct"/>
                  <w:noWrap w:val="0"/>
                  <w:vAlign w:val="center"/>
                </w:tcPr>
                <w:p w14:paraId="1DC85120">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20</w:t>
                  </w:r>
                </w:p>
              </w:tc>
              <w:tc>
                <w:tcPr>
                  <w:tcW w:w="401" w:type="pct"/>
                  <w:noWrap w:val="0"/>
                  <w:vAlign w:val="center"/>
                </w:tcPr>
                <w:p w14:paraId="5D1278A3">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35.4</w:t>
                  </w:r>
                </w:p>
              </w:tc>
              <w:tc>
                <w:tcPr>
                  <w:tcW w:w="428" w:type="pct"/>
                  <w:noWrap w:val="0"/>
                  <w:vAlign w:val="center"/>
                </w:tcPr>
                <w:p w14:paraId="268BFA33">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1m</w:t>
                  </w:r>
                </w:p>
              </w:tc>
            </w:tr>
            <w:tr w14:paraId="0B6189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noWrap w:val="0"/>
                  <w:vAlign w:val="center"/>
                </w:tcPr>
                <w:p w14:paraId="07BD0E01">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3</w:t>
                  </w:r>
                </w:p>
              </w:tc>
              <w:tc>
                <w:tcPr>
                  <w:tcW w:w="282" w:type="pct"/>
                  <w:vMerge w:val="continue"/>
                  <w:noWrap w:val="0"/>
                  <w:vAlign w:val="center"/>
                </w:tcPr>
                <w:p w14:paraId="1EEE57F4">
                  <w:pPr>
                    <w:adjustRightInd w:val="0"/>
                    <w:snapToGrid w:val="0"/>
                    <w:ind w:left="-105" w:leftChars="-50" w:right="-105" w:rightChars="-50"/>
                    <w:jc w:val="center"/>
                    <w:rPr>
                      <w:rFonts w:hint="default" w:ascii="Times New Roman" w:hAnsi="Times New Roman" w:eastAsia="仿宋" w:cs="Times New Roman"/>
                      <w:color w:val="auto"/>
                    </w:rPr>
                  </w:pPr>
                </w:p>
              </w:tc>
              <w:tc>
                <w:tcPr>
                  <w:tcW w:w="657" w:type="pct"/>
                  <w:noWrap w:val="0"/>
                  <w:vAlign w:val="center"/>
                </w:tcPr>
                <w:p w14:paraId="139BE6E2">
                  <w:pPr>
                    <w:spacing w:line="240" w:lineRule="auto"/>
                    <w:ind w:firstLine="0" w:firstLineChars="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卷板机</w:t>
                  </w:r>
                </w:p>
              </w:tc>
              <w:tc>
                <w:tcPr>
                  <w:tcW w:w="196" w:type="pct"/>
                  <w:noWrap w:val="0"/>
                  <w:vAlign w:val="center"/>
                </w:tcPr>
                <w:p w14:paraId="76B01048">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color w:val="auto"/>
                      <w:szCs w:val="21"/>
                      <w:lang w:val="en-US" w:eastAsia="zh-CN"/>
                    </w:rPr>
                  </w:pPr>
                  <w:r>
                    <w:rPr>
                      <w:rFonts w:hint="eastAsia" w:cs="Times New Roman"/>
                      <w:bCs/>
                      <w:color w:val="auto"/>
                      <w:sz w:val="21"/>
                      <w:szCs w:val="21"/>
                      <w:lang w:val="en-US" w:eastAsia="zh-CN"/>
                    </w:rPr>
                    <w:t>1</w:t>
                  </w:r>
                </w:p>
              </w:tc>
              <w:tc>
                <w:tcPr>
                  <w:tcW w:w="457" w:type="pct"/>
                  <w:noWrap w:val="0"/>
                  <w:vAlign w:val="center"/>
                </w:tcPr>
                <w:p w14:paraId="4AA2486C">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80</w:t>
                  </w:r>
                </w:p>
              </w:tc>
              <w:tc>
                <w:tcPr>
                  <w:tcW w:w="445" w:type="pct"/>
                  <w:vMerge w:val="continue"/>
                  <w:noWrap w:val="0"/>
                  <w:vAlign w:val="center"/>
                </w:tcPr>
                <w:p w14:paraId="7F3DDBDE">
                  <w:pPr>
                    <w:adjustRightInd w:val="0"/>
                    <w:snapToGrid w:val="0"/>
                    <w:ind w:left="-105" w:leftChars="-50" w:right="-105" w:rightChars="-50"/>
                    <w:jc w:val="center"/>
                    <w:rPr>
                      <w:rFonts w:hint="default" w:ascii="Times New Roman" w:hAnsi="Times New Roman" w:eastAsia="仿宋" w:cs="Times New Roman"/>
                      <w:bCs/>
                      <w:color w:val="auto"/>
                      <w:szCs w:val="20"/>
                    </w:rPr>
                  </w:pPr>
                </w:p>
              </w:tc>
              <w:tc>
                <w:tcPr>
                  <w:tcW w:w="233" w:type="pct"/>
                  <w:noWrap w:val="0"/>
                  <w:vAlign w:val="center"/>
                </w:tcPr>
                <w:p w14:paraId="4680B92D">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92</w:t>
                  </w:r>
                </w:p>
              </w:tc>
              <w:tc>
                <w:tcPr>
                  <w:tcW w:w="233" w:type="pct"/>
                  <w:noWrap w:val="0"/>
                  <w:vAlign w:val="center"/>
                </w:tcPr>
                <w:p w14:paraId="1D1E4C40">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24</w:t>
                  </w:r>
                </w:p>
              </w:tc>
              <w:tc>
                <w:tcPr>
                  <w:tcW w:w="255" w:type="pct"/>
                  <w:noWrap w:val="0"/>
                  <w:vAlign w:val="center"/>
                </w:tcPr>
                <w:p w14:paraId="7AAEF3E4">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w:t>
                  </w:r>
                </w:p>
              </w:tc>
              <w:tc>
                <w:tcPr>
                  <w:tcW w:w="290" w:type="pct"/>
                  <w:noWrap w:val="0"/>
                  <w:vAlign w:val="center"/>
                </w:tcPr>
                <w:p w14:paraId="3D1F990A">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28</w:t>
                  </w:r>
                </w:p>
              </w:tc>
              <w:tc>
                <w:tcPr>
                  <w:tcW w:w="288" w:type="pct"/>
                  <w:noWrap w:val="0"/>
                  <w:vAlign w:val="center"/>
                </w:tcPr>
                <w:p w14:paraId="161CF0E3">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51.1</w:t>
                  </w:r>
                </w:p>
              </w:tc>
              <w:tc>
                <w:tcPr>
                  <w:tcW w:w="223" w:type="pct"/>
                  <w:noWrap w:val="0"/>
                  <w:vAlign w:val="center"/>
                </w:tcPr>
                <w:p w14:paraId="17361D92">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h</w:t>
                  </w:r>
                </w:p>
              </w:tc>
              <w:tc>
                <w:tcPr>
                  <w:tcW w:w="401" w:type="pct"/>
                  <w:noWrap w:val="0"/>
                  <w:vAlign w:val="center"/>
                </w:tcPr>
                <w:p w14:paraId="7FB9B0EF">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20</w:t>
                  </w:r>
                </w:p>
              </w:tc>
              <w:tc>
                <w:tcPr>
                  <w:tcW w:w="401" w:type="pct"/>
                  <w:noWrap w:val="0"/>
                  <w:vAlign w:val="center"/>
                </w:tcPr>
                <w:p w14:paraId="79BCC0C9">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31.1</w:t>
                  </w:r>
                </w:p>
              </w:tc>
              <w:tc>
                <w:tcPr>
                  <w:tcW w:w="428" w:type="pct"/>
                  <w:noWrap w:val="0"/>
                  <w:vAlign w:val="center"/>
                </w:tcPr>
                <w:p w14:paraId="4400F497">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1m</w:t>
                  </w:r>
                </w:p>
              </w:tc>
            </w:tr>
            <w:tr w14:paraId="459D6F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noWrap w:val="0"/>
                  <w:vAlign w:val="center"/>
                </w:tcPr>
                <w:p w14:paraId="39490D78">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4</w:t>
                  </w:r>
                </w:p>
              </w:tc>
              <w:tc>
                <w:tcPr>
                  <w:tcW w:w="282" w:type="pct"/>
                  <w:vMerge w:val="continue"/>
                  <w:noWrap w:val="0"/>
                  <w:vAlign w:val="center"/>
                </w:tcPr>
                <w:p w14:paraId="5BCAFF17">
                  <w:pPr>
                    <w:adjustRightInd w:val="0"/>
                    <w:snapToGrid w:val="0"/>
                    <w:ind w:left="-105" w:leftChars="-50" w:right="-105" w:rightChars="-50"/>
                    <w:jc w:val="center"/>
                    <w:rPr>
                      <w:rFonts w:hint="default" w:ascii="Times New Roman" w:hAnsi="Times New Roman" w:eastAsia="仿宋" w:cs="Times New Roman"/>
                      <w:color w:val="auto"/>
                    </w:rPr>
                  </w:pPr>
                </w:p>
              </w:tc>
              <w:tc>
                <w:tcPr>
                  <w:tcW w:w="657" w:type="pct"/>
                  <w:noWrap w:val="0"/>
                  <w:vAlign w:val="center"/>
                </w:tcPr>
                <w:p w14:paraId="467CA4DD">
                  <w:pPr>
                    <w:spacing w:line="240" w:lineRule="auto"/>
                    <w:ind w:firstLine="0" w:firstLineChars="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氩弧焊机</w:t>
                  </w:r>
                </w:p>
              </w:tc>
              <w:tc>
                <w:tcPr>
                  <w:tcW w:w="196" w:type="pct"/>
                  <w:noWrap w:val="0"/>
                  <w:vAlign w:val="center"/>
                </w:tcPr>
                <w:p w14:paraId="4D0B0144">
                  <w:pPr>
                    <w:keepNext w:val="0"/>
                    <w:keepLines w:val="0"/>
                    <w:widowControl/>
                    <w:suppressLineNumbers w:val="0"/>
                    <w:jc w:val="center"/>
                    <w:textAlignment w:val="center"/>
                    <w:rPr>
                      <w:rFonts w:hint="default" w:ascii="Times New Roman" w:hAnsi="Times New Roman" w:eastAsia="仿宋" w:cs="Times New Roman"/>
                      <w:bCs/>
                      <w:color w:val="auto"/>
                      <w:szCs w:val="21"/>
                      <w:lang w:val="en-US" w:eastAsia="zh-CN"/>
                    </w:rPr>
                  </w:pPr>
                  <w:r>
                    <w:rPr>
                      <w:rFonts w:hint="eastAsia" w:cs="Times New Roman"/>
                      <w:i w:val="0"/>
                      <w:iCs w:val="0"/>
                      <w:color w:val="auto"/>
                      <w:kern w:val="0"/>
                      <w:sz w:val="21"/>
                      <w:szCs w:val="21"/>
                      <w:u w:val="none"/>
                      <w:lang w:val="en-US" w:eastAsia="zh-CN" w:bidi="ar"/>
                    </w:rPr>
                    <w:t>20</w:t>
                  </w:r>
                </w:p>
              </w:tc>
              <w:tc>
                <w:tcPr>
                  <w:tcW w:w="457" w:type="pct"/>
                  <w:noWrap w:val="0"/>
                  <w:vAlign w:val="center"/>
                </w:tcPr>
                <w:p w14:paraId="031A6039">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70</w:t>
                  </w:r>
                </w:p>
              </w:tc>
              <w:tc>
                <w:tcPr>
                  <w:tcW w:w="445" w:type="pct"/>
                  <w:vMerge w:val="continue"/>
                  <w:noWrap w:val="0"/>
                  <w:vAlign w:val="center"/>
                </w:tcPr>
                <w:p w14:paraId="47460EE4">
                  <w:pPr>
                    <w:adjustRightInd w:val="0"/>
                    <w:snapToGrid w:val="0"/>
                    <w:ind w:left="-105" w:leftChars="-50" w:right="-105" w:rightChars="-50"/>
                    <w:jc w:val="center"/>
                    <w:rPr>
                      <w:rFonts w:hint="default" w:ascii="Times New Roman" w:hAnsi="Times New Roman" w:eastAsia="仿宋" w:cs="Times New Roman"/>
                      <w:bCs/>
                      <w:color w:val="auto"/>
                      <w:szCs w:val="20"/>
                    </w:rPr>
                  </w:pPr>
                </w:p>
              </w:tc>
              <w:tc>
                <w:tcPr>
                  <w:tcW w:w="233" w:type="pct"/>
                  <w:noWrap w:val="0"/>
                  <w:vAlign w:val="center"/>
                </w:tcPr>
                <w:p w14:paraId="5C5F4870">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32</w:t>
                  </w:r>
                </w:p>
              </w:tc>
              <w:tc>
                <w:tcPr>
                  <w:tcW w:w="233" w:type="pct"/>
                  <w:noWrap w:val="0"/>
                  <w:vAlign w:val="center"/>
                </w:tcPr>
                <w:p w14:paraId="3ACD5B6C">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48</w:t>
                  </w:r>
                </w:p>
              </w:tc>
              <w:tc>
                <w:tcPr>
                  <w:tcW w:w="255" w:type="pct"/>
                  <w:noWrap w:val="0"/>
                  <w:vAlign w:val="center"/>
                </w:tcPr>
                <w:p w14:paraId="687BC84A">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w:t>
                  </w:r>
                </w:p>
              </w:tc>
              <w:tc>
                <w:tcPr>
                  <w:tcW w:w="290" w:type="pct"/>
                  <w:noWrap w:val="0"/>
                  <w:vAlign w:val="center"/>
                </w:tcPr>
                <w:p w14:paraId="712D3C58">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10</w:t>
                  </w:r>
                </w:p>
              </w:tc>
              <w:tc>
                <w:tcPr>
                  <w:tcW w:w="288" w:type="pct"/>
                  <w:noWrap w:val="0"/>
                  <w:vAlign w:val="center"/>
                </w:tcPr>
                <w:p w14:paraId="309A360E">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50</w:t>
                  </w:r>
                </w:p>
              </w:tc>
              <w:tc>
                <w:tcPr>
                  <w:tcW w:w="223" w:type="pct"/>
                  <w:noWrap w:val="0"/>
                  <w:vAlign w:val="center"/>
                </w:tcPr>
                <w:p w14:paraId="6AD00599">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h</w:t>
                  </w:r>
                </w:p>
              </w:tc>
              <w:tc>
                <w:tcPr>
                  <w:tcW w:w="401" w:type="pct"/>
                  <w:noWrap w:val="0"/>
                  <w:vAlign w:val="center"/>
                </w:tcPr>
                <w:p w14:paraId="43EF5CD1">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20</w:t>
                  </w:r>
                </w:p>
              </w:tc>
              <w:tc>
                <w:tcPr>
                  <w:tcW w:w="401" w:type="pct"/>
                  <w:noWrap w:val="0"/>
                  <w:vAlign w:val="center"/>
                </w:tcPr>
                <w:p w14:paraId="39359241">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30</w:t>
                  </w:r>
                </w:p>
              </w:tc>
              <w:tc>
                <w:tcPr>
                  <w:tcW w:w="428" w:type="pct"/>
                  <w:noWrap w:val="0"/>
                  <w:vAlign w:val="center"/>
                </w:tcPr>
                <w:p w14:paraId="0CA1403B">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1m</w:t>
                  </w:r>
                </w:p>
              </w:tc>
            </w:tr>
            <w:tr w14:paraId="712A50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noWrap w:val="0"/>
                  <w:vAlign w:val="center"/>
                </w:tcPr>
                <w:p w14:paraId="59BC780D">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5</w:t>
                  </w:r>
                </w:p>
              </w:tc>
              <w:tc>
                <w:tcPr>
                  <w:tcW w:w="282" w:type="pct"/>
                  <w:vMerge w:val="continue"/>
                  <w:noWrap w:val="0"/>
                  <w:vAlign w:val="center"/>
                </w:tcPr>
                <w:p w14:paraId="63C2FAA9">
                  <w:pPr>
                    <w:adjustRightInd w:val="0"/>
                    <w:snapToGrid w:val="0"/>
                    <w:ind w:left="-105" w:leftChars="-50" w:right="-105" w:rightChars="-50"/>
                    <w:jc w:val="center"/>
                    <w:rPr>
                      <w:rFonts w:hint="default" w:ascii="Times New Roman" w:hAnsi="Times New Roman" w:eastAsia="仿宋" w:cs="Times New Roman"/>
                      <w:color w:val="auto"/>
                    </w:rPr>
                  </w:pPr>
                </w:p>
              </w:tc>
              <w:tc>
                <w:tcPr>
                  <w:tcW w:w="657" w:type="pct"/>
                  <w:noWrap w:val="0"/>
                  <w:vAlign w:val="center"/>
                </w:tcPr>
                <w:p w14:paraId="14B4B143">
                  <w:pPr>
                    <w:spacing w:line="240" w:lineRule="auto"/>
                    <w:ind w:firstLine="0" w:firstLineChars="0"/>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气保焊机</w:t>
                  </w:r>
                </w:p>
              </w:tc>
              <w:tc>
                <w:tcPr>
                  <w:tcW w:w="196" w:type="pct"/>
                  <w:noWrap w:val="0"/>
                  <w:vAlign w:val="center"/>
                </w:tcPr>
                <w:p w14:paraId="288577B1">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eastAsia" w:cs="Times New Roman"/>
                      <w:bCs/>
                      <w:color w:val="auto"/>
                      <w:sz w:val="21"/>
                      <w:szCs w:val="21"/>
                      <w:lang w:val="en-US" w:eastAsia="zh-CN"/>
                    </w:rPr>
                    <w:t>4</w:t>
                  </w:r>
                </w:p>
              </w:tc>
              <w:tc>
                <w:tcPr>
                  <w:tcW w:w="457" w:type="pct"/>
                  <w:noWrap w:val="0"/>
                  <w:vAlign w:val="center"/>
                </w:tcPr>
                <w:p w14:paraId="78D98EC4">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70</w:t>
                  </w:r>
                </w:p>
              </w:tc>
              <w:tc>
                <w:tcPr>
                  <w:tcW w:w="445" w:type="pct"/>
                  <w:vMerge w:val="continue"/>
                  <w:noWrap w:val="0"/>
                  <w:vAlign w:val="center"/>
                </w:tcPr>
                <w:p w14:paraId="3B7CAEDE">
                  <w:pPr>
                    <w:adjustRightInd w:val="0"/>
                    <w:snapToGrid w:val="0"/>
                    <w:ind w:left="-105" w:leftChars="-50" w:right="-105" w:rightChars="-50"/>
                    <w:jc w:val="center"/>
                    <w:rPr>
                      <w:rFonts w:hint="default" w:ascii="Times New Roman" w:hAnsi="Times New Roman" w:eastAsia="仿宋" w:cs="Times New Roman"/>
                      <w:bCs/>
                      <w:color w:val="auto"/>
                      <w:szCs w:val="20"/>
                    </w:rPr>
                  </w:pPr>
                </w:p>
              </w:tc>
              <w:tc>
                <w:tcPr>
                  <w:tcW w:w="233" w:type="pct"/>
                  <w:noWrap w:val="0"/>
                  <w:vAlign w:val="center"/>
                </w:tcPr>
                <w:p w14:paraId="319BF8CD">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42</w:t>
                  </w:r>
                </w:p>
              </w:tc>
              <w:tc>
                <w:tcPr>
                  <w:tcW w:w="233" w:type="pct"/>
                  <w:noWrap w:val="0"/>
                  <w:vAlign w:val="center"/>
                </w:tcPr>
                <w:p w14:paraId="08E1DDEA">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46</w:t>
                  </w:r>
                </w:p>
              </w:tc>
              <w:tc>
                <w:tcPr>
                  <w:tcW w:w="255" w:type="pct"/>
                  <w:noWrap w:val="0"/>
                  <w:vAlign w:val="center"/>
                </w:tcPr>
                <w:p w14:paraId="56D27D99">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w:t>
                  </w:r>
                </w:p>
              </w:tc>
              <w:tc>
                <w:tcPr>
                  <w:tcW w:w="290" w:type="pct"/>
                  <w:noWrap w:val="0"/>
                  <w:vAlign w:val="center"/>
                </w:tcPr>
                <w:p w14:paraId="33AA6B00">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20</w:t>
                  </w:r>
                </w:p>
              </w:tc>
              <w:tc>
                <w:tcPr>
                  <w:tcW w:w="288" w:type="pct"/>
                  <w:noWrap w:val="0"/>
                  <w:vAlign w:val="center"/>
                </w:tcPr>
                <w:p w14:paraId="24195132">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44.0</w:t>
                  </w:r>
                </w:p>
              </w:tc>
              <w:tc>
                <w:tcPr>
                  <w:tcW w:w="223" w:type="pct"/>
                  <w:noWrap w:val="0"/>
                  <w:vAlign w:val="center"/>
                </w:tcPr>
                <w:p w14:paraId="691C0670">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h</w:t>
                  </w:r>
                </w:p>
              </w:tc>
              <w:tc>
                <w:tcPr>
                  <w:tcW w:w="401" w:type="pct"/>
                  <w:noWrap w:val="0"/>
                  <w:vAlign w:val="center"/>
                </w:tcPr>
                <w:p w14:paraId="7BF6534F">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20</w:t>
                  </w:r>
                </w:p>
              </w:tc>
              <w:tc>
                <w:tcPr>
                  <w:tcW w:w="401" w:type="pct"/>
                  <w:noWrap w:val="0"/>
                  <w:vAlign w:val="center"/>
                </w:tcPr>
                <w:p w14:paraId="398C32A9">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24</w:t>
                  </w:r>
                </w:p>
              </w:tc>
              <w:tc>
                <w:tcPr>
                  <w:tcW w:w="428" w:type="pct"/>
                  <w:noWrap w:val="0"/>
                  <w:vAlign w:val="center"/>
                </w:tcPr>
                <w:p w14:paraId="4025E234">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1m</w:t>
                  </w:r>
                </w:p>
              </w:tc>
            </w:tr>
            <w:tr w14:paraId="3F2536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noWrap w:val="0"/>
                  <w:vAlign w:val="center"/>
                </w:tcPr>
                <w:p w14:paraId="7ECCCB53">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6</w:t>
                  </w:r>
                </w:p>
              </w:tc>
              <w:tc>
                <w:tcPr>
                  <w:tcW w:w="282" w:type="pct"/>
                  <w:vMerge w:val="continue"/>
                  <w:noWrap w:val="0"/>
                  <w:vAlign w:val="center"/>
                </w:tcPr>
                <w:p w14:paraId="5AF038B0">
                  <w:pPr>
                    <w:adjustRightInd w:val="0"/>
                    <w:snapToGrid w:val="0"/>
                    <w:ind w:left="-105" w:leftChars="-50" w:right="-105" w:rightChars="-50"/>
                    <w:jc w:val="center"/>
                    <w:rPr>
                      <w:rFonts w:hint="default" w:ascii="Times New Roman" w:hAnsi="Times New Roman" w:eastAsia="仿宋" w:cs="Times New Roman"/>
                      <w:color w:val="auto"/>
                    </w:rPr>
                  </w:pPr>
                </w:p>
              </w:tc>
              <w:tc>
                <w:tcPr>
                  <w:tcW w:w="657" w:type="pct"/>
                  <w:noWrap w:val="0"/>
                  <w:vAlign w:val="center"/>
                </w:tcPr>
                <w:p w14:paraId="318FBD34">
                  <w:pPr>
                    <w:spacing w:line="240" w:lineRule="auto"/>
                    <w:ind w:firstLine="0" w:firstLineChars="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龙门加工中心</w:t>
                  </w:r>
                </w:p>
              </w:tc>
              <w:tc>
                <w:tcPr>
                  <w:tcW w:w="196" w:type="pct"/>
                  <w:noWrap w:val="0"/>
                  <w:vAlign w:val="center"/>
                </w:tcPr>
                <w:p w14:paraId="769D0CE5">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eastAsia" w:cs="Times New Roman"/>
                      <w:bCs/>
                      <w:color w:val="auto"/>
                      <w:sz w:val="21"/>
                      <w:szCs w:val="21"/>
                      <w:lang w:val="en-US" w:eastAsia="zh-CN"/>
                    </w:rPr>
                    <w:t>10</w:t>
                  </w:r>
                </w:p>
              </w:tc>
              <w:tc>
                <w:tcPr>
                  <w:tcW w:w="457" w:type="pct"/>
                  <w:noWrap w:val="0"/>
                  <w:vAlign w:val="center"/>
                </w:tcPr>
                <w:p w14:paraId="01CB9D1C">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80</w:t>
                  </w:r>
                </w:p>
              </w:tc>
              <w:tc>
                <w:tcPr>
                  <w:tcW w:w="445" w:type="pct"/>
                  <w:vMerge w:val="continue"/>
                  <w:noWrap w:val="0"/>
                  <w:vAlign w:val="center"/>
                </w:tcPr>
                <w:p w14:paraId="5C290F1F">
                  <w:pPr>
                    <w:adjustRightInd w:val="0"/>
                    <w:snapToGrid w:val="0"/>
                    <w:ind w:left="-105" w:leftChars="-50" w:right="-105" w:rightChars="-50"/>
                    <w:jc w:val="center"/>
                    <w:rPr>
                      <w:rFonts w:hint="default" w:ascii="Times New Roman" w:hAnsi="Times New Roman" w:eastAsia="仿宋" w:cs="Times New Roman"/>
                      <w:bCs/>
                      <w:color w:val="auto"/>
                      <w:szCs w:val="20"/>
                    </w:rPr>
                  </w:pPr>
                </w:p>
              </w:tc>
              <w:tc>
                <w:tcPr>
                  <w:tcW w:w="233" w:type="pct"/>
                  <w:noWrap w:val="0"/>
                  <w:vAlign w:val="center"/>
                </w:tcPr>
                <w:p w14:paraId="33501A56">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69</w:t>
                  </w:r>
                </w:p>
              </w:tc>
              <w:tc>
                <w:tcPr>
                  <w:tcW w:w="233" w:type="pct"/>
                  <w:noWrap w:val="0"/>
                  <w:vAlign w:val="center"/>
                </w:tcPr>
                <w:p w14:paraId="771C776A">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34</w:t>
                  </w:r>
                </w:p>
              </w:tc>
              <w:tc>
                <w:tcPr>
                  <w:tcW w:w="255" w:type="pct"/>
                  <w:noWrap w:val="0"/>
                  <w:vAlign w:val="center"/>
                </w:tcPr>
                <w:p w14:paraId="4D922D95">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w:t>
                  </w:r>
                </w:p>
              </w:tc>
              <w:tc>
                <w:tcPr>
                  <w:tcW w:w="290" w:type="pct"/>
                  <w:noWrap w:val="0"/>
                  <w:vAlign w:val="center"/>
                </w:tcPr>
                <w:p w14:paraId="15F7D358">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30</w:t>
                  </w:r>
                </w:p>
              </w:tc>
              <w:tc>
                <w:tcPr>
                  <w:tcW w:w="288" w:type="pct"/>
                  <w:noWrap w:val="0"/>
                  <w:vAlign w:val="center"/>
                </w:tcPr>
                <w:p w14:paraId="5A7D5D1A">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50.5</w:t>
                  </w:r>
                </w:p>
              </w:tc>
              <w:tc>
                <w:tcPr>
                  <w:tcW w:w="223" w:type="pct"/>
                  <w:noWrap w:val="0"/>
                  <w:vAlign w:val="center"/>
                </w:tcPr>
                <w:p w14:paraId="09B05790">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h</w:t>
                  </w:r>
                </w:p>
              </w:tc>
              <w:tc>
                <w:tcPr>
                  <w:tcW w:w="401" w:type="pct"/>
                  <w:noWrap w:val="0"/>
                  <w:vAlign w:val="center"/>
                </w:tcPr>
                <w:p w14:paraId="0D1CEB31">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20</w:t>
                  </w:r>
                </w:p>
              </w:tc>
              <w:tc>
                <w:tcPr>
                  <w:tcW w:w="401" w:type="pct"/>
                  <w:noWrap w:val="0"/>
                  <w:vAlign w:val="center"/>
                </w:tcPr>
                <w:p w14:paraId="3AAB987C">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30.5</w:t>
                  </w:r>
                </w:p>
              </w:tc>
              <w:tc>
                <w:tcPr>
                  <w:tcW w:w="428" w:type="pct"/>
                  <w:noWrap w:val="0"/>
                  <w:vAlign w:val="center"/>
                </w:tcPr>
                <w:p w14:paraId="38A411C4">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1m</w:t>
                  </w:r>
                </w:p>
              </w:tc>
            </w:tr>
            <w:tr w14:paraId="67B1BA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noWrap w:val="0"/>
                  <w:vAlign w:val="center"/>
                </w:tcPr>
                <w:p w14:paraId="194C4362">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7</w:t>
                  </w:r>
                </w:p>
              </w:tc>
              <w:tc>
                <w:tcPr>
                  <w:tcW w:w="282" w:type="pct"/>
                  <w:vMerge w:val="continue"/>
                  <w:noWrap w:val="0"/>
                  <w:vAlign w:val="center"/>
                </w:tcPr>
                <w:p w14:paraId="27391BA6">
                  <w:pPr>
                    <w:adjustRightInd w:val="0"/>
                    <w:snapToGrid w:val="0"/>
                    <w:ind w:left="-105" w:leftChars="-50" w:right="-105" w:rightChars="-50"/>
                    <w:jc w:val="center"/>
                    <w:rPr>
                      <w:rFonts w:hint="default" w:ascii="Times New Roman" w:hAnsi="Times New Roman" w:eastAsia="仿宋" w:cs="Times New Roman"/>
                      <w:color w:val="auto"/>
                    </w:rPr>
                  </w:pPr>
                </w:p>
              </w:tc>
              <w:tc>
                <w:tcPr>
                  <w:tcW w:w="657" w:type="pct"/>
                  <w:noWrap w:val="0"/>
                  <w:vAlign w:val="center"/>
                </w:tcPr>
                <w:p w14:paraId="1300EE8B">
                  <w:pPr>
                    <w:spacing w:line="240" w:lineRule="auto"/>
                    <w:ind w:firstLine="0" w:firstLineChars="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角磨机</w:t>
                  </w:r>
                </w:p>
              </w:tc>
              <w:tc>
                <w:tcPr>
                  <w:tcW w:w="196" w:type="pct"/>
                  <w:noWrap w:val="0"/>
                  <w:vAlign w:val="center"/>
                </w:tcPr>
                <w:p w14:paraId="658A9DA1">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eastAsia" w:cs="Times New Roman"/>
                      <w:bCs/>
                      <w:color w:val="auto"/>
                      <w:sz w:val="21"/>
                      <w:szCs w:val="21"/>
                      <w:lang w:val="en-US" w:eastAsia="zh-CN"/>
                    </w:rPr>
                    <w:t>20</w:t>
                  </w:r>
                </w:p>
              </w:tc>
              <w:tc>
                <w:tcPr>
                  <w:tcW w:w="457" w:type="pct"/>
                  <w:noWrap w:val="0"/>
                  <w:vAlign w:val="center"/>
                </w:tcPr>
                <w:p w14:paraId="170DC18C">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80</w:t>
                  </w:r>
                </w:p>
              </w:tc>
              <w:tc>
                <w:tcPr>
                  <w:tcW w:w="445" w:type="pct"/>
                  <w:vMerge w:val="continue"/>
                  <w:noWrap w:val="0"/>
                  <w:vAlign w:val="center"/>
                </w:tcPr>
                <w:p w14:paraId="299F03E7">
                  <w:pPr>
                    <w:adjustRightInd w:val="0"/>
                    <w:snapToGrid w:val="0"/>
                    <w:ind w:left="-105" w:leftChars="-50" w:right="-105" w:rightChars="-50"/>
                    <w:jc w:val="center"/>
                    <w:rPr>
                      <w:rFonts w:hint="default" w:ascii="Times New Roman" w:hAnsi="Times New Roman" w:eastAsia="仿宋" w:cs="Times New Roman"/>
                      <w:bCs/>
                      <w:color w:val="auto"/>
                      <w:szCs w:val="20"/>
                    </w:rPr>
                  </w:pPr>
                </w:p>
              </w:tc>
              <w:tc>
                <w:tcPr>
                  <w:tcW w:w="233" w:type="pct"/>
                  <w:noWrap w:val="0"/>
                  <w:vAlign w:val="center"/>
                </w:tcPr>
                <w:p w14:paraId="01BB255B">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54</w:t>
                  </w:r>
                </w:p>
              </w:tc>
              <w:tc>
                <w:tcPr>
                  <w:tcW w:w="233" w:type="pct"/>
                  <w:noWrap w:val="0"/>
                  <w:vAlign w:val="center"/>
                </w:tcPr>
                <w:p w14:paraId="27EC2938">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84</w:t>
                  </w:r>
                </w:p>
              </w:tc>
              <w:tc>
                <w:tcPr>
                  <w:tcW w:w="255" w:type="pct"/>
                  <w:noWrap w:val="0"/>
                  <w:vAlign w:val="center"/>
                </w:tcPr>
                <w:p w14:paraId="716ADD7E">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w:t>
                  </w:r>
                </w:p>
              </w:tc>
              <w:tc>
                <w:tcPr>
                  <w:tcW w:w="290" w:type="pct"/>
                  <w:noWrap w:val="0"/>
                  <w:vAlign w:val="center"/>
                </w:tcPr>
                <w:p w14:paraId="351414DD">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8</w:t>
                  </w:r>
                </w:p>
              </w:tc>
              <w:tc>
                <w:tcPr>
                  <w:tcW w:w="288" w:type="pct"/>
                  <w:noWrap w:val="0"/>
                  <w:vAlign w:val="center"/>
                </w:tcPr>
                <w:p w14:paraId="51CFA786">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61.9</w:t>
                  </w:r>
                </w:p>
              </w:tc>
              <w:tc>
                <w:tcPr>
                  <w:tcW w:w="223" w:type="pct"/>
                  <w:noWrap w:val="0"/>
                  <w:vAlign w:val="center"/>
                </w:tcPr>
                <w:p w14:paraId="40F598E0">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h</w:t>
                  </w:r>
                </w:p>
              </w:tc>
              <w:tc>
                <w:tcPr>
                  <w:tcW w:w="401" w:type="pct"/>
                  <w:noWrap w:val="0"/>
                  <w:vAlign w:val="center"/>
                </w:tcPr>
                <w:p w14:paraId="5A1BDE92">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20</w:t>
                  </w:r>
                </w:p>
              </w:tc>
              <w:tc>
                <w:tcPr>
                  <w:tcW w:w="401" w:type="pct"/>
                  <w:noWrap w:val="0"/>
                  <w:vAlign w:val="center"/>
                </w:tcPr>
                <w:p w14:paraId="4C6EF79E">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41.9</w:t>
                  </w:r>
                </w:p>
              </w:tc>
              <w:tc>
                <w:tcPr>
                  <w:tcW w:w="428" w:type="pct"/>
                  <w:noWrap w:val="0"/>
                  <w:vAlign w:val="center"/>
                </w:tcPr>
                <w:p w14:paraId="01316C49">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1m</w:t>
                  </w:r>
                </w:p>
              </w:tc>
            </w:tr>
            <w:tr w14:paraId="0879D2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noWrap w:val="0"/>
                  <w:vAlign w:val="center"/>
                </w:tcPr>
                <w:p w14:paraId="2A45CBB7">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8</w:t>
                  </w:r>
                </w:p>
              </w:tc>
              <w:tc>
                <w:tcPr>
                  <w:tcW w:w="282" w:type="pct"/>
                  <w:vMerge w:val="continue"/>
                  <w:noWrap w:val="0"/>
                  <w:vAlign w:val="center"/>
                </w:tcPr>
                <w:p w14:paraId="04679CA3">
                  <w:pPr>
                    <w:adjustRightInd w:val="0"/>
                    <w:snapToGrid w:val="0"/>
                    <w:ind w:left="-105" w:leftChars="-50" w:right="-105" w:rightChars="-50"/>
                    <w:jc w:val="center"/>
                    <w:rPr>
                      <w:rFonts w:hint="default" w:ascii="Times New Roman" w:hAnsi="Times New Roman" w:eastAsia="仿宋" w:cs="Times New Roman"/>
                      <w:color w:val="auto"/>
                    </w:rPr>
                  </w:pPr>
                </w:p>
              </w:tc>
              <w:tc>
                <w:tcPr>
                  <w:tcW w:w="657" w:type="pct"/>
                  <w:noWrap w:val="0"/>
                  <w:vAlign w:val="center"/>
                </w:tcPr>
                <w:p w14:paraId="1D7472CD">
                  <w:pPr>
                    <w:spacing w:line="240" w:lineRule="auto"/>
                    <w:ind w:firstLine="0" w:firstLineChars="0"/>
                    <w:jc w:val="center"/>
                    <w:rPr>
                      <w:rFonts w:hint="default" w:ascii="Times New Roman" w:hAnsi="Times New Roman" w:eastAsia="仿宋" w:cs="Times New Roman"/>
                      <w:bCs/>
                      <w:color w:val="auto"/>
                      <w:sz w:val="21"/>
                      <w:szCs w:val="21"/>
                      <w:lang w:val="en-US" w:eastAsia="zh-CN"/>
                    </w:rPr>
                  </w:pPr>
                  <w:r>
                    <w:rPr>
                      <w:rFonts w:hint="eastAsia" w:ascii="Times New Roman" w:hAnsi="Times New Roman" w:eastAsia="仿宋" w:cs="Times New Roman"/>
                      <w:color w:val="auto"/>
                      <w:kern w:val="0"/>
                      <w:sz w:val="21"/>
                      <w:szCs w:val="21"/>
                      <w:lang w:val="en-US" w:eastAsia="zh-CN"/>
                    </w:rPr>
                    <w:t>卷圆机</w:t>
                  </w:r>
                </w:p>
              </w:tc>
              <w:tc>
                <w:tcPr>
                  <w:tcW w:w="196" w:type="pct"/>
                  <w:noWrap w:val="0"/>
                  <w:vAlign w:val="center"/>
                </w:tcPr>
                <w:p w14:paraId="55183389">
                  <w:pPr>
                    <w:spacing w:line="240" w:lineRule="auto"/>
                    <w:ind w:firstLine="0" w:firstLineChars="0"/>
                    <w:jc w:val="center"/>
                    <w:rPr>
                      <w:rFonts w:hint="default" w:ascii="Times New Roman" w:hAnsi="Times New Roman" w:eastAsia="仿宋" w:cs="Times New Roman"/>
                      <w:bCs/>
                      <w:color w:val="auto"/>
                      <w:kern w:val="2"/>
                      <w:sz w:val="21"/>
                      <w:szCs w:val="21"/>
                      <w:lang w:val="en-US" w:eastAsia="zh-CN" w:bidi="ar-SA"/>
                    </w:rPr>
                  </w:pPr>
                  <w:r>
                    <w:rPr>
                      <w:rFonts w:hint="eastAsia" w:ascii="Times New Roman" w:hAnsi="Times New Roman" w:eastAsia="仿宋" w:cs="Times New Roman"/>
                      <w:color w:val="auto"/>
                      <w:kern w:val="0"/>
                      <w:sz w:val="21"/>
                      <w:szCs w:val="21"/>
                      <w:lang w:val="en-US" w:eastAsia="zh-CN"/>
                    </w:rPr>
                    <w:t>10</w:t>
                  </w:r>
                </w:p>
              </w:tc>
              <w:tc>
                <w:tcPr>
                  <w:tcW w:w="457" w:type="pct"/>
                  <w:noWrap w:val="0"/>
                  <w:vAlign w:val="center"/>
                </w:tcPr>
                <w:p w14:paraId="3130D178">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80</w:t>
                  </w:r>
                </w:p>
              </w:tc>
              <w:tc>
                <w:tcPr>
                  <w:tcW w:w="445" w:type="pct"/>
                  <w:vMerge w:val="continue"/>
                  <w:noWrap w:val="0"/>
                  <w:vAlign w:val="center"/>
                </w:tcPr>
                <w:p w14:paraId="16EF16EC">
                  <w:pPr>
                    <w:adjustRightInd w:val="0"/>
                    <w:snapToGrid w:val="0"/>
                    <w:ind w:left="-105" w:leftChars="-50" w:right="-105" w:rightChars="-50"/>
                    <w:jc w:val="center"/>
                    <w:rPr>
                      <w:rFonts w:hint="default" w:ascii="Times New Roman" w:hAnsi="Times New Roman" w:eastAsia="仿宋" w:cs="Times New Roman"/>
                      <w:bCs/>
                      <w:color w:val="auto"/>
                      <w:szCs w:val="20"/>
                    </w:rPr>
                  </w:pPr>
                </w:p>
              </w:tc>
              <w:tc>
                <w:tcPr>
                  <w:tcW w:w="233" w:type="pct"/>
                  <w:noWrap w:val="0"/>
                  <w:vAlign w:val="center"/>
                </w:tcPr>
                <w:p w14:paraId="77F48F55">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89</w:t>
                  </w:r>
                </w:p>
              </w:tc>
              <w:tc>
                <w:tcPr>
                  <w:tcW w:w="233" w:type="pct"/>
                  <w:noWrap w:val="0"/>
                  <w:vAlign w:val="center"/>
                </w:tcPr>
                <w:p w14:paraId="545B50DB">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15</w:t>
                  </w:r>
                </w:p>
              </w:tc>
              <w:tc>
                <w:tcPr>
                  <w:tcW w:w="255" w:type="pct"/>
                  <w:noWrap w:val="0"/>
                  <w:vAlign w:val="center"/>
                </w:tcPr>
                <w:p w14:paraId="1562AC9A">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w:t>
                  </w:r>
                </w:p>
              </w:tc>
              <w:tc>
                <w:tcPr>
                  <w:tcW w:w="290" w:type="pct"/>
                  <w:noWrap w:val="0"/>
                  <w:vAlign w:val="center"/>
                </w:tcPr>
                <w:p w14:paraId="02105CAA">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17</w:t>
                  </w:r>
                </w:p>
              </w:tc>
              <w:tc>
                <w:tcPr>
                  <w:tcW w:w="288" w:type="pct"/>
                  <w:noWrap w:val="0"/>
                  <w:vAlign w:val="center"/>
                </w:tcPr>
                <w:p w14:paraId="270A3372">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55.4</w:t>
                  </w:r>
                </w:p>
              </w:tc>
              <w:tc>
                <w:tcPr>
                  <w:tcW w:w="223" w:type="pct"/>
                  <w:noWrap w:val="0"/>
                  <w:vAlign w:val="center"/>
                </w:tcPr>
                <w:p w14:paraId="0DFF265A">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h</w:t>
                  </w:r>
                </w:p>
              </w:tc>
              <w:tc>
                <w:tcPr>
                  <w:tcW w:w="401" w:type="pct"/>
                  <w:noWrap w:val="0"/>
                  <w:vAlign w:val="center"/>
                </w:tcPr>
                <w:p w14:paraId="72AC950F">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20</w:t>
                  </w:r>
                </w:p>
              </w:tc>
              <w:tc>
                <w:tcPr>
                  <w:tcW w:w="401" w:type="pct"/>
                  <w:noWrap w:val="0"/>
                  <w:vAlign w:val="center"/>
                </w:tcPr>
                <w:p w14:paraId="6570C4BB">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35.4</w:t>
                  </w:r>
                </w:p>
              </w:tc>
              <w:tc>
                <w:tcPr>
                  <w:tcW w:w="428" w:type="pct"/>
                  <w:noWrap w:val="0"/>
                  <w:vAlign w:val="center"/>
                </w:tcPr>
                <w:p w14:paraId="296B415D">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1m</w:t>
                  </w:r>
                </w:p>
              </w:tc>
            </w:tr>
            <w:tr w14:paraId="229CBC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noWrap w:val="0"/>
                  <w:vAlign w:val="center"/>
                </w:tcPr>
                <w:p w14:paraId="583FB1D6">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9</w:t>
                  </w:r>
                </w:p>
              </w:tc>
              <w:tc>
                <w:tcPr>
                  <w:tcW w:w="282" w:type="pct"/>
                  <w:vMerge w:val="continue"/>
                  <w:noWrap w:val="0"/>
                  <w:vAlign w:val="center"/>
                </w:tcPr>
                <w:p w14:paraId="24736E62">
                  <w:pPr>
                    <w:adjustRightInd w:val="0"/>
                    <w:snapToGrid w:val="0"/>
                    <w:ind w:left="-105" w:leftChars="-50" w:right="-105" w:rightChars="-50"/>
                    <w:jc w:val="center"/>
                    <w:rPr>
                      <w:rFonts w:hint="default" w:ascii="Times New Roman" w:hAnsi="Times New Roman" w:eastAsia="仿宋" w:cs="Times New Roman"/>
                      <w:color w:val="auto"/>
                    </w:rPr>
                  </w:pPr>
                </w:p>
              </w:tc>
              <w:tc>
                <w:tcPr>
                  <w:tcW w:w="657" w:type="pct"/>
                  <w:noWrap w:val="0"/>
                  <w:vAlign w:val="center"/>
                </w:tcPr>
                <w:p w14:paraId="40613CF9">
                  <w:pPr>
                    <w:keepNext w:val="0"/>
                    <w:keepLines w:val="0"/>
                    <w:widowControl/>
                    <w:suppressLineNumbers w:val="0"/>
                    <w:jc w:val="center"/>
                    <w:textAlignment w:val="center"/>
                    <w:rPr>
                      <w:rFonts w:hint="default" w:ascii="Times New Roman" w:hAnsi="Times New Roman" w:eastAsia="仿宋" w:cs="Times New Roman"/>
                      <w:bCs/>
                      <w:color w:val="auto"/>
                      <w:sz w:val="21"/>
                      <w:szCs w:val="21"/>
                      <w:lang w:val="en-US" w:eastAsia="zh-CN"/>
                    </w:rPr>
                  </w:pPr>
                  <w:r>
                    <w:rPr>
                      <w:rFonts w:hint="eastAsia" w:ascii="Times New Roman" w:hAnsi="Times New Roman" w:eastAsia="仿宋" w:cs="Times New Roman"/>
                      <w:color w:val="auto"/>
                      <w:kern w:val="0"/>
                      <w:sz w:val="21"/>
                      <w:szCs w:val="21"/>
                      <w:lang w:val="en-US" w:eastAsia="zh-CN"/>
                    </w:rPr>
                    <w:t>立式车床</w:t>
                  </w:r>
                </w:p>
              </w:tc>
              <w:tc>
                <w:tcPr>
                  <w:tcW w:w="196" w:type="pct"/>
                  <w:noWrap w:val="0"/>
                  <w:vAlign w:val="center"/>
                </w:tcPr>
                <w:p w14:paraId="209565D4">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eastAsia" w:cs="Times New Roman"/>
                      <w:bCs/>
                      <w:color w:val="auto"/>
                      <w:kern w:val="2"/>
                      <w:sz w:val="21"/>
                      <w:szCs w:val="21"/>
                      <w:lang w:val="en-US" w:eastAsia="zh-CN" w:bidi="ar-SA"/>
                    </w:rPr>
                    <w:t>15</w:t>
                  </w:r>
                </w:p>
              </w:tc>
              <w:tc>
                <w:tcPr>
                  <w:tcW w:w="457" w:type="pct"/>
                  <w:noWrap w:val="0"/>
                  <w:vAlign w:val="center"/>
                </w:tcPr>
                <w:p w14:paraId="74F318F4">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80</w:t>
                  </w:r>
                </w:p>
              </w:tc>
              <w:tc>
                <w:tcPr>
                  <w:tcW w:w="445" w:type="pct"/>
                  <w:vMerge w:val="continue"/>
                  <w:noWrap w:val="0"/>
                  <w:vAlign w:val="center"/>
                </w:tcPr>
                <w:p w14:paraId="0EF9D63A">
                  <w:pPr>
                    <w:adjustRightInd w:val="0"/>
                    <w:snapToGrid w:val="0"/>
                    <w:ind w:left="-105" w:leftChars="-50" w:right="-105" w:rightChars="-50"/>
                    <w:jc w:val="center"/>
                    <w:rPr>
                      <w:rFonts w:hint="default" w:ascii="Times New Roman" w:hAnsi="Times New Roman" w:eastAsia="仿宋" w:cs="Times New Roman"/>
                      <w:bCs/>
                      <w:color w:val="auto"/>
                      <w:szCs w:val="20"/>
                    </w:rPr>
                  </w:pPr>
                </w:p>
              </w:tc>
              <w:tc>
                <w:tcPr>
                  <w:tcW w:w="233" w:type="pct"/>
                  <w:noWrap w:val="0"/>
                  <w:vAlign w:val="center"/>
                </w:tcPr>
                <w:p w14:paraId="39FEAEA7">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60</w:t>
                  </w:r>
                </w:p>
              </w:tc>
              <w:tc>
                <w:tcPr>
                  <w:tcW w:w="233" w:type="pct"/>
                  <w:noWrap w:val="0"/>
                  <w:vAlign w:val="center"/>
                </w:tcPr>
                <w:p w14:paraId="53F1AA5D">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55</w:t>
                  </w:r>
                </w:p>
              </w:tc>
              <w:tc>
                <w:tcPr>
                  <w:tcW w:w="255" w:type="pct"/>
                  <w:noWrap w:val="0"/>
                  <w:vAlign w:val="center"/>
                </w:tcPr>
                <w:p w14:paraId="0F248F76">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w:t>
                  </w:r>
                </w:p>
              </w:tc>
              <w:tc>
                <w:tcPr>
                  <w:tcW w:w="290" w:type="pct"/>
                  <w:noWrap w:val="0"/>
                  <w:vAlign w:val="center"/>
                </w:tcPr>
                <w:p w14:paraId="3572E266">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33</w:t>
                  </w:r>
                </w:p>
              </w:tc>
              <w:tc>
                <w:tcPr>
                  <w:tcW w:w="288" w:type="pct"/>
                  <w:noWrap w:val="0"/>
                  <w:vAlign w:val="center"/>
                </w:tcPr>
                <w:p w14:paraId="12AF5EBF">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49.6</w:t>
                  </w:r>
                </w:p>
              </w:tc>
              <w:tc>
                <w:tcPr>
                  <w:tcW w:w="223" w:type="pct"/>
                  <w:noWrap w:val="0"/>
                  <w:vAlign w:val="center"/>
                </w:tcPr>
                <w:p w14:paraId="53249A62">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h</w:t>
                  </w:r>
                </w:p>
              </w:tc>
              <w:tc>
                <w:tcPr>
                  <w:tcW w:w="401" w:type="pct"/>
                  <w:noWrap w:val="0"/>
                  <w:vAlign w:val="center"/>
                </w:tcPr>
                <w:p w14:paraId="702FBE30">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20</w:t>
                  </w:r>
                </w:p>
              </w:tc>
              <w:tc>
                <w:tcPr>
                  <w:tcW w:w="401" w:type="pct"/>
                  <w:noWrap w:val="0"/>
                  <w:vAlign w:val="center"/>
                </w:tcPr>
                <w:p w14:paraId="40DF0622">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29.6</w:t>
                  </w:r>
                </w:p>
              </w:tc>
              <w:tc>
                <w:tcPr>
                  <w:tcW w:w="428" w:type="pct"/>
                  <w:noWrap w:val="0"/>
                  <w:vAlign w:val="center"/>
                </w:tcPr>
                <w:p w14:paraId="23B71E4D">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1m</w:t>
                  </w:r>
                </w:p>
              </w:tc>
            </w:tr>
            <w:tr w14:paraId="4DF56E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noWrap w:val="0"/>
                  <w:vAlign w:val="center"/>
                </w:tcPr>
                <w:p w14:paraId="3D4490E4">
                  <w:pPr>
                    <w:adjustRightInd w:val="0"/>
                    <w:snapToGrid w:val="0"/>
                    <w:ind w:left="-105" w:leftChars="-50" w:right="-105" w:rightChars="-50"/>
                    <w:jc w:val="center"/>
                    <w:rPr>
                      <w:rFonts w:hint="default" w:eastAsia="仿宋" w:cs="Times New Roman"/>
                      <w:color w:val="auto"/>
                      <w:lang w:val="en-US" w:eastAsia="zh-CN"/>
                    </w:rPr>
                  </w:pPr>
                  <w:r>
                    <w:rPr>
                      <w:rFonts w:hint="eastAsia" w:eastAsia="仿宋" w:cs="Times New Roman"/>
                      <w:color w:val="auto"/>
                      <w:lang w:val="en-US" w:eastAsia="zh-CN"/>
                    </w:rPr>
                    <w:t>10</w:t>
                  </w:r>
                </w:p>
              </w:tc>
              <w:tc>
                <w:tcPr>
                  <w:tcW w:w="282" w:type="pct"/>
                  <w:vMerge w:val="continue"/>
                  <w:noWrap w:val="0"/>
                  <w:vAlign w:val="center"/>
                </w:tcPr>
                <w:p w14:paraId="05531B08">
                  <w:pPr>
                    <w:adjustRightInd w:val="0"/>
                    <w:snapToGrid w:val="0"/>
                    <w:ind w:left="-105" w:leftChars="-50" w:right="-105" w:rightChars="-50"/>
                    <w:jc w:val="center"/>
                    <w:rPr>
                      <w:rFonts w:hint="default" w:ascii="Times New Roman" w:hAnsi="Times New Roman" w:eastAsia="仿宋" w:cs="Times New Roman"/>
                      <w:color w:val="auto"/>
                    </w:rPr>
                  </w:pPr>
                </w:p>
              </w:tc>
              <w:tc>
                <w:tcPr>
                  <w:tcW w:w="657" w:type="pct"/>
                  <w:noWrap w:val="0"/>
                  <w:vAlign w:val="center"/>
                </w:tcPr>
                <w:p w14:paraId="09B08A28">
                  <w:pPr>
                    <w:keepNext w:val="0"/>
                    <w:keepLines w:val="0"/>
                    <w:widowControl/>
                    <w:suppressLineNumbers w:val="0"/>
                    <w:jc w:val="center"/>
                    <w:textAlignment w:val="center"/>
                    <w:rPr>
                      <w:rFonts w:hint="default" w:ascii="Times New Roman" w:hAnsi="Times New Roman" w:eastAsia="仿宋" w:cs="Times New Roman"/>
                      <w:bCs/>
                      <w:color w:val="auto"/>
                      <w:sz w:val="21"/>
                      <w:szCs w:val="21"/>
                      <w:lang w:val="en-US" w:eastAsia="zh-CN"/>
                    </w:rPr>
                  </w:pPr>
                  <w:r>
                    <w:rPr>
                      <w:rFonts w:hint="eastAsia" w:ascii="Times New Roman" w:hAnsi="Times New Roman" w:eastAsia="仿宋" w:cs="Times New Roman"/>
                      <w:color w:val="auto"/>
                      <w:kern w:val="0"/>
                      <w:sz w:val="21"/>
                      <w:szCs w:val="21"/>
                      <w:lang w:val="en-US" w:eastAsia="zh-CN"/>
                    </w:rPr>
                    <w:t>镗床</w:t>
                  </w:r>
                </w:p>
              </w:tc>
              <w:tc>
                <w:tcPr>
                  <w:tcW w:w="196" w:type="pct"/>
                  <w:noWrap w:val="0"/>
                  <w:vAlign w:val="center"/>
                </w:tcPr>
                <w:p w14:paraId="1F29A2A8">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eastAsia" w:cs="Times New Roman"/>
                      <w:bCs/>
                      <w:color w:val="auto"/>
                      <w:kern w:val="2"/>
                      <w:sz w:val="21"/>
                      <w:szCs w:val="21"/>
                      <w:lang w:val="en-US" w:eastAsia="zh-CN" w:bidi="ar-SA"/>
                    </w:rPr>
                    <w:t>1</w:t>
                  </w:r>
                </w:p>
              </w:tc>
              <w:tc>
                <w:tcPr>
                  <w:tcW w:w="457" w:type="pct"/>
                  <w:noWrap w:val="0"/>
                  <w:vAlign w:val="center"/>
                </w:tcPr>
                <w:p w14:paraId="48D32B95">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80</w:t>
                  </w:r>
                </w:p>
              </w:tc>
              <w:tc>
                <w:tcPr>
                  <w:tcW w:w="445" w:type="pct"/>
                  <w:vMerge w:val="continue"/>
                  <w:noWrap w:val="0"/>
                  <w:vAlign w:val="center"/>
                </w:tcPr>
                <w:p w14:paraId="12492DA4">
                  <w:pPr>
                    <w:adjustRightInd w:val="0"/>
                    <w:snapToGrid w:val="0"/>
                    <w:ind w:left="-105" w:leftChars="-50" w:right="-105" w:rightChars="-50"/>
                    <w:jc w:val="center"/>
                    <w:rPr>
                      <w:rFonts w:hint="default" w:ascii="Times New Roman" w:hAnsi="Times New Roman" w:eastAsia="仿宋" w:cs="Times New Roman"/>
                      <w:bCs/>
                      <w:color w:val="auto"/>
                      <w:szCs w:val="20"/>
                    </w:rPr>
                  </w:pPr>
                </w:p>
              </w:tc>
              <w:tc>
                <w:tcPr>
                  <w:tcW w:w="233" w:type="pct"/>
                  <w:noWrap w:val="0"/>
                  <w:vAlign w:val="center"/>
                </w:tcPr>
                <w:p w14:paraId="59F6C1D4">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91</w:t>
                  </w:r>
                </w:p>
              </w:tc>
              <w:tc>
                <w:tcPr>
                  <w:tcW w:w="233" w:type="pct"/>
                  <w:noWrap w:val="0"/>
                  <w:vAlign w:val="center"/>
                </w:tcPr>
                <w:p w14:paraId="4856B9E0">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41</w:t>
                  </w:r>
                </w:p>
              </w:tc>
              <w:tc>
                <w:tcPr>
                  <w:tcW w:w="255" w:type="pct"/>
                  <w:noWrap w:val="0"/>
                  <w:vAlign w:val="center"/>
                </w:tcPr>
                <w:p w14:paraId="3A4CE86B">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w:t>
                  </w:r>
                </w:p>
              </w:tc>
              <w:tc>
                <w:tcPr>
                  <w:tcW w:w="290" w:type="pct"/>
                  <w:noWrap w:val="0"/>
                  <w:vAlign w:val="center"/>
                </w:tcPr>
                <w:p w14:paraId="4E073F57">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35</w:t>
                  </w:r>
                </w:p>
              </w:tc>
              <w:tc>
                <w:tcPr>
                  <w:tcW w:w="288" w:type="pct"/>
                  <w:noWrap w:val="0"/>
                  <w:vAlign w:val="center"/>
                </w:tcPr>
                <w:p w14:paraId="7D961405">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49.1</w:t>
                  </w:r>
                </w:p>
              </w:tc>
              <w:tc>
                <w:tcPr>
                  <w:tcW w:w="223" w:type="pct"/>
                  <w:noWrap w:val="0"/>
                  <w:vAlign w:val="center"/>
                </w:tcPr>
                <w:p w14:paraId="49666A79">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h</w:t>
                  </w:r>
                </w:p>
              </w:tc>
              <w:tc>
                <w:tcPr>
                  <w:tcW w:w="401" w:type="pct"/>
                  <w:noWrap w:val="0"/>
                  <w:vAlign w:val="center"/>
                </w:tcPr>
                <w:p w14:paraId="60AC3577">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20</w:t>
                  </w:r>
                </w:p>
              </w:tc>
              <w:tc>
                <w:tcPr>
                  <w:tcW w:w="401" w:type="pct"/>
                  <w:noWrap w:val="0"/>
                  <w:vAlign w:val="center"/>
                </w:tcPr>
                <w:p w14:paraId="75C5DFFB">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29.1</w:t>
                  </w:r>
                </w:p>
              </w:tc>
              <w:tc>
                <w:tcPr>
                  <w:tcW w:w="428" w:type="pct"/>
                  <w:noWrap w:val="0"/>
                  <w:vAlign w:val="center"/>
                </w:tcPr>
                <w:p w14:paraId="68E0BA78">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1m</w:t>
                  </w:r>
                </w:p>
              </w:tc>
            </w:tr>
            <w:tr w14:paraId="068288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noWrap w:val="0"/>
                  <w:vAlign w:val="center"/>
                </w:tcPr>
                <w:p w14:paraId="11FD458E">
                  <w:pPr>
                    <w:adjustRightInd w:val="0"/>
                    <w:snapToGrid w:val="0"/>
                    <w:ind w:left="-105" w:leftChars="-50" w:right="-105" w:rightChars="-50"/>
                    <w:jc w:val="center"/>
                    <w:rPr>
                      <w:rFonts w:hint="default" w:eastAsia="仿宋" w:cs="Times New Roman"/>
                      <w:color w:val="auto"/>
                      <w:lang w:val="en-US" w:eastAsia="zh-CN"/>
                    </w:rPr>
                  </w:pPr>
                  <w:r>
                    <w:rPr>
                      <w:rFonts w:hint="eastAsia" w:eastAsia="仿宋" w:cs="Times New Roman"/>
                      <w:color w:val="auto"/>
                      <w:lang w:val="en-US" w:eastAsia="zh-CN"/>
                    </w:rPr>
                    <w:t>11</w:t>
                  </w:r>
                </w:p>
              </w:tc>
              <w:tc>
                <w:tcPr>
                  <w:tcW w:w="282" w:type="pct"/>
                  <w:vMerge w:val="continue"/>
                  <w:noWrap w:val="0"/>
                  <w:vAlign w:val="center"/>
                </w:tcPr>
                <w:p w14:paraId="39AC611E">
                  <w:pPr>
                    <w:adjustRightInd w:val="0"/>
                    <w:snapToGrid w:val="0"/>
                    <w:ind w:left="-105" w:leftChars="-50" w:right="-105" w:rightChars="-50"/>
                    <w:jc w:val="center"/>
                    <w:rPr>
                      <w:rFonts w:hint="default" w:ascii="Times New Roman" w:hAnsi="Times New Roman" w:eastAsia="仿宋" w:cs="Times New Roman"/>
                      <w:color w:val="auto"/>
                    </w:rPr>
                  </w:pPr>
                </w:p>
              </w:tc>
              <w:tc>
                <w:tcPr>
                  <w:tcW w:w="657" w:type="pct"/>
                  <w:noWrap w:val="0"/>
                  <w:vAlign w:val="center"/>
                </w:tcPr>
                <w:p w14:paraId="4CEECF53">
                  <w:pPr>
                    <w:spacing w:line="240" w:lineRule="auto"/>
                    <w:ind w:firstLine="0" w:firstLineChars="0"/>
                    <w:jc w:val="center"/>
                    <w:rPr>
                      <w:rFonts w:hint="default" w:ascii="Times New Roman" w:hAnsi="Times New Roman" w:eastAsia="仿宋" w:cs="Times New Roman"/>
                      <w:bCs/>
                      <w:color w:val="auto"/>
                      <w:sz w:val="21"/>
                      <w:szCs w:val="21"/>
                      <w:lang w:val="en-US" w:eastAsia="zh-CN"/>
                    </w:rPr>
                  </w:pPr>
                  <w:r>
                    <w:rPr>
                      <w:rFonts w:hint="eastAsia" w:ascii="Times New Roman" w:hAnsi="Times New Roman" w:eastAsia="仿宋" w:cs="Times New Roman"/>
                      <w:color w:val="auto"/>
                      <w:kern w:val="0"/>
                      <w:sz w:val="21"/>
                      <w:szCs w:val="21"/>
                      <w:lang w:val="en-US" w:eastAsia="zh-CN"/>
                    </w:rPr>
                    <w:t>抛光机</w:t>
                  </w:r>
                </w:p>
              </w:tc>
              <w:tc>
                <w:tcPr>
                  <w:tcW w:w="196" w:type="pct"/>
                  <w:noWrap w:val="0"/>
                  <w:vAlign w:val="center"/>
                </w:tcPr>
                <w:p w14:paraId="16B46E89">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eastAsia" w:cs="Times New Roman"/>
                      <w:bCs/>
                      <w:color w:val="auto"/>
                      <w:sz w:val="21"/>
                      <w:szCs w:val="21"/>
                      <w:lang w:val="en-US" w:eastAsia="zh-CN"/>
                    </w:rPr>
                    <w:t>5</w:t>
                  </w:r>
                </w:p>
              </w:tc>
              <w:tc>
                <w:tcPr>
                  <w:tcW w:w="457" w:type="pct"/>
                  <w:noWrap w:val="0"/>
                  <w:vAlign w:val="center"/>
                </w:tcPr>
                <w:p w14:paraId="6551C66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85</w:t>
                  </w:r>
                </w:p>
              </w:tc>
              <w:tc>
                <w:tcPr>
                  <w:tcW w:w="445" w:type="pct"/>
                  <w:vMerge w:val="continue"/>
                  <w:noWrap w:val="0"/>
                  <w:vAlign w:val="center"/>
                </w:tcPr>
                <w:p w14:paraId="76C7C2F3">
                  <w:pPr>
                    <w:adjustRightInd w:val="0"/>
                    <w:snapToGrid w:val="0"/>
                    <w:ind w:left="-105" w:leftChars="-50" w:right="-105" w:rightChars="-50"/>
                    <w:jc w:val="center"/>
                    <w:rPr>
                      <w:rFonts w:hint="default" w:ascii="Times New Roman" w:hAnsi="Times New Roman" w:eastAsia="仿宋" w:cs="Times New Roman"/>
                      <w:bCs/>
                      <w:color w:val="auto"/>
                      <w:szCs w:val="20"/>
                    </w:rPr>
                  </w:pPr>
                </w:p>
              </w:tc>
              <w:tc>
                <w:tcPr>
                  <w:tcW w:w="233" w:type="pct"/>
                  <w:noWrap w:val="0"/>
                  <w:vAlign w:val="center"/>
                </w:tcPr>
                <w:p w14:paraId="04E95341">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64</w:t>
                  </w:r>
                </w:p>
              </w:tc>
              <w:tc>
                <w:tcPr>
                  <w:tcW w:w="233" w:type="pct"/>
                  <w:noWrap w:val="0"/>
                  <w:vAlign w:val="center"/>
                </w:tcPr>
                <w:p w14:paraId="71420F8B">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80</w:t>
                  </w:r>
                </w:p>
              </w:tc>
              <w:tc>
                <w:tcPr>
                  <w:tcW w:w="255" w:type="pct"/>
                  <w:noWrap w:val="0"/>
                  <w:vAlign w:val="center"/>
                </w:tcPr>
                <w:p w14:paraId="05578619">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w:t>
                  </w:r>
                </w:p>
              </w:tc>
              <w:tc>
                <w:tcPr>
                  <w:tcW w:w="290" w:type="pct"/>
                  <w:noWrap w:val="0"/>
                  <w:vAlign w:val="center"/>
                </w:tcPr>
                <w:p w14:paraId="11CF54D6">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8</w:t>
                  </w:r>
                </w:p>
              </w:tc>
              <w:tc>
                <w:tcPr>
                  <w:tcW w:w="288" w:type="pct"/>
                  <w:noWrap w:val="0"/>
                  <w:vAlign w:val="center"/>
                </w:tcPr>
                <w:p w14:paraId="53423C26">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66.9</w:t>
                  </w:r>
                </w:p>
              </w:tc>
              <w:tc>
                <w:tcPr>
                  <w:tcW w:w="223" w:type="pct"/>
                  <w:noWrap w:val="0"/>
                  <w:vAlign w:val="center"/>
                </w:tcPr>
                <w:p w14:paraId="3D7743C5">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h</w:t>
                  </w:r>
                </w:p>
              </w:tc>
              <w:tc>
                <w:tcPr>
                  <w:tcW w:w="401" w:type="pct"/>
                  <w:noWrap w:val="0"/>
                  <w:vAlign w:val="center"/>
                </w:tcPr>
                <w:p w14:paraId="6BD923BC">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20</w:t>
                  </w:r>
                </w:p>
              </w:tc>
              <w:tc>
                <w:tcPr>
                  <w:tcW w:w="401" w:type="pct"/>
                  <w:noWrap w:val="0"/>
                  <w:vAlign w:val="center"/>
                </w:tcPr>
                <w:p w14:paraId="6237C0C2">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46.9</w:t>
                  </w:r>
                </w:p>
              </w:tc>
              <w:tc>
                <w:tcPr>
                  <w:tcW w:w="428" w:type="pct"/>
                  <w:noWrap w:val="0"/>
                  <w:vAlign w:val="center"/>
                </w:tcPr>
                <w:p w14:paraId="58B946AE">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1m</w:t>
                  </w:r>
                </w:p>
              </w:tc>
            </w:tr>
            <w:tr w14:paraId="33B608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noWrap w:val="0"/>
                  <w:vAlign w:val="center"/>
                </w:tcPr>
                <w:p w14:paraId="7977412A">
                  <w:pPr>
                    <w:adjustRightInd w:val="0"/>
                    <w:snapToGrid w:val="0"/>
                    <w:ind w:left="-105" w:leftChars="-50" w:right="-105" w:rightChars="-50"/>
                    <w:jc w:val="center"/>
                    <w:rPr>
                      <w:rFonts w:hint="default" w:eastAsia="仿宋" w:cs="Times New Roman"/>
                      <w:color w:val="auto"/>
                      <w:lang w:val="en-US" w:eastAsia="zh-CN"/>
                    </w:rPr>
                  </w:pPr>
                  <w:r>
                    <w:rPr>
                      <w:rFonts w:hint="eastAsia" w:eastAsia="仿宋" w:cs="Times New Roman"/>
                      <w:color w:val="auto"/>
                      <w:lang w:val="en-US" w:eastAsia="zh-CN"/>
                    </w:rPr>
                    <w:t>12</w:t>
                  </w:r>
                </w:p>
              </w:tc>
              <w:tc>
                <w:tcPr>
                  <w:tcW w:w="282" w:type="pct"/>
                  <w:vMerge w:val="continue"/>
                  <w:noWrap w:val="0"/>
                  <w:vAlign w:val="center"/>
                </w:tcPr>
                <w:p w14:paraId="533C60F3">
                  <w:pPr>
                    <w:adjustRightInd w:val="0"/>
                    <w:snapToGrid w:val="0"/>
                    <w:ind w:left="-105" w:leftChars="-50" w:right="-105" w:rightChars="-50"/>
                    <w:jc w:val="center"/>
                    <w:rPr>
                      <w:rFonts w:hint="default" w:ascii="Times New Roman" w:hAnsi="Times New Roman" w:eastAsia="仿宋" w:cs="Times New Roman"/>
                      <w:color w:val="auto"/>
                    </w:rPr>
                  </w:pPr>
                </w:p>
              </w:tc>
              <w:tc>
                <w:tcPr>
                  <w:tcW w:w="657" w:type="pct"/>
                  <w:noWrap w:val="0"/>
                  <w:vAlign w:val="center"/>
                </w:tcPr>
                <w:p w14:paraId="66C0415B">
                  <w:pPr>
                    <w:spacing w:line="240" w:lineRule="auto"/>
                    <w:ind w:firstLine="0" w:firstLineChars="0"/>
                    <w:jc w:val="center"/>
                    <w:rPr>
                      <w:rFonts w:hint="default" w:ascii="Times New Roman" w:hAnsi="Times New Roman" w:eastAsia="仿宋" w:cs="Times New Roman"/>
                      <w:bCs/>
                      <w:color w:val="auto"/>
                      <w:sz w:val="21"/>
                      <w:szCs w:val="21"/>
                      <w:lang w:val="en-US" w:eastAsia="zh-CN"/>
                    </w:rPr>
                  </w:pPr>
                  <w:r>
                    <w:rPr>
                      <w:rFonts w:hint="eastAsia" w:ascii="Times New Roman" w:hAnsi="Times New Roman" w:eastAsia="仿宋" w:cs="Times New Roman"/>
                      <w:color w:val="auto"/>
                      <w:kern w:val="0"/>
                      <w:sz w:val="21"/>
                      <w:szCs w:val="21"/>
                      <w:lang w:val="en-US" w:eastAsia="zh-CN"/>
                    </w:rPr>
                    <w:t>喷砂机</w:t>
                  </w:r>
                </w:p>
              </w:tc>
              <w:tc>
                <w:tcPr>
                  <w:tcW w:w="196" w:type="pct"/>
                  <w:noWrap w:val="0"/>
                  <w:vAlign w:val="center"/>
                </w:tcPr>
                <w:p w14:paraId="123360EA">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eastAsia" w:cs="Times New Roman"/>
                      <w:bCs/>
                      <w:color w:val="auto"/>
                      <w:sz w:val="21"/>
                      <w:szCs w:val="21"/>
                      <w:lang w:val="en-US" w:eastAsia="zh-CN"/>
                    </w:rPr>
                    <w:t>2</w:t>
                  </w:r>
                </w:p>
              </w:tc>
              <w:tc>
                <w:tcPr>
                  <w:tcW w:w="457" w:type="pct"/>
                  <w:noWrap w:val="0"/>
                  <w:vAlign w:val="center"/>
                </w:tcPr>
                <w:p w14:paraId="1D4B05CB">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85</w:t>
                  </w:r>
                </w:p>
              </w:tc>
              <w:tc>
                <w:tcPr>
                  <w:tcW w:w="445" w:type="pct"/>
                  <w:vMerge w:val="continue"/>
                  <w:noWrap w:val="0"/>
                  <w:vAlign w:val="center"/>
                </w:tcPr>
                <w:p w14:paraId="5D532116">
                  <w:pPr>
                    <w:adjustRightInd w:val="0"/>
                    <w:snapToGrid w:val="0"/>
                    <w:ind w:left="-105" w:leftChars="-50" w:right="-105" w:rightChars="-50"/>
                    <w:jc w:val="center"/>
                    <w:rPr>
                      <w:rFonts w:hint="default" w:ascii="Times New Roman" w:hAnsi="Times New Roman" w:eastAsia="仿宋" w:cs="Times New Roman"/>
                      <w:bCs/>
                      <w:color w:val="auto"/>
                      <w:szCs w:val="20"/>
                    </w:rPr>
                  </w:pPr>
                </w:p>
              </w:tc>
              <w:tc>
                <w:tcPr>
                  <w:tcW w:w="233" w:type="pct"/>
                  <w:noWrap w:val="0"/>
                  <w:vAlign w:val="center"/>
                </w:tcPr>
                <w:p w14:paraId="2C9F1606">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34</w:t>
                  </w:r>
                </w:p>
              </w:tc>
              <w:tc>
                <w:tcPr>
                  <w:tcW w:w="233" w:type="pct"/>
                  <w:noWrap w:val="0"/>
                  <w:vAlign w:val="center"/>
                </w:tcPr>
                <w:p w14:paraId="211B80F2">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55</w:t>
                  </w:r>
                </w:p>
              </w:tc>
              <w:tc>
                <w:tcPr>
                  <w:tcW w:w="255" w:type="pct"/>
                  <w:noWrap w:val="0"/>
                  <w:vAlign w:val="center"/>
                </w:tcPr>
                <w:p w14:paraId="53B99434">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w:t>
                  </w:r>
                </w:p>
              </w:tc>
              <w:tc>
                <w:tcPr>
                  <w:tcW w:w="290" w:type="pct"/>
                  <w:noWrap w:val="0"/>
                  <w:vAlign w:val="center"/>
                </w:tcPr>
                <w:p w14:paraId="0B430C6B">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8</w:t>
                  </w:r>
                </w:p>
              </w:tc>
              <w:tc>
                <w:tcPr>
                  <w:tcW w:w="288" w:type="pct"/>
                  <w:noWrap w:val="0"/>
                  <w:vAlign w:val="center"/>
                </w:tcPr>
                <w:p w14:paraId="12574024">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66.9</w:t>
                  </w:r>
                </w:p>
              </w:tc>
              <w:tc>
                <w:tcPr>
                  <w:tcW w:w="223" w:type="pct"/>
                  <w:noWrap w:val="0"/>
                  <w:vAlign w:val="center"/>
                </w:tcPr>
                <w:p w14:paraId="008F642B">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h</w:t>
                  </w:r>
                </w:p>
              </w:tc>
              <w:tc>
                <w:tcPr>
                  <w:tcW w:w="401" w:type="pct"/>
                  <w:noWrap w:val="0"/>
                  <w:vAlign w:val="center"/>
                </w:tcPr>
                <w:p w14:paraId="1F8444C3">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20</w:t>
                  </w:r>
                </w:p>
              </w:tc>
              <w:tc>
                <w:tcPr>
                  <w:tcW w:w="401" w:type="pct"/>
                  <w:noWrap w:val="0"/>
                  <w:vAlign w:val="center"/>
                </w:tcPr>
                <w:p w14:paraId="642C64A4">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46.9</w:t>
                  </w:r>
                </w:p>
              </w:tc>
              <w:tc>
                <w:tcPr>
                  <w:tcW w:w="428" w:type="pct"/>
                  <w:noWrap w:val="0"/>
                  <w:vAlign w:val="center"/>
                </w:tcPr>
                <w:p w14:paraId="091B4BEE">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1m</w:t>
                  </w:r>
                </w:p>
              </w:tc>
            </w:tr>
            <w:tr w14:paraId="69FF55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noWrap w:val="0"/>
                  <w:vAlign w:val="center"/>
                </w:tcPr>
                <w:p w14:paraId="2F16BAB8">
                  <w:pPr>
                    <w:adjustRightInd w:val="0"/>
                    <w:snapToGrid w:val="0"/>
                    <w:ind w:left="-105" w:leftChars="-50" w:right="-105" w:rightChars="-50"/>
                    <w:jc w:val="center"/>
                    <w:rPr>
                      <w:rFonts w:hint="default" w:eastAsia="仿宋" w:cs="Times New Roman"/>
                      <w:color w:val="auto"/>
                      <w:lang w:val="en-US" w:eastAsia="zh-CN"/>
                    </w:rPr>
                  </w:pPr>
                  <w:r>
                    <w:rPr>
                      <w:rFonts w:hint="eastAsia" w:eastAsia="仿宋" w:cs="Times New Roman"/>
                      <w:color w:val="auto"/>
                      <w:lang w:val="en-US" w:eastAsia="zh-CN"/>
                    </w:rPr>
                    <w:t>13</w:t>
                  </w:r>
                </w:p>
              </w:tc>
              <w:tc>
                <w:tcPr>
                  <w:tcW w:w="282" w:type="pct"/>
                  <w:vMerge w:val="continue"/>
                  <w:noWrap w:val="0"/>
                  <w:vAlign w:val="center"/>
                </w:tcPr>
                <w:p w14:paraId="645FEED1">
                  <w:pPr>
                    <w:adjustRightInd w:val="0"/>
                    <w:snapToGrid w:val="0"/>
                    <w:ind w:left="-105" w:leftChars="-50" w:right="-105" w:rightChars="-50"/>
                    <w:jc w:val="center"/>
                    <w:rPr>
                      <w:rFonts w:hint="default" w:ascii="Times New Roman" w:hAnsi="Times New Roman" w:eastAsia="仿宋" w:cs="Times New Roman"/>
                      <w:color w:val="auto"/>
                    </w:rPr>
                  </w:pPr>
                </w:p>
              </w:tc>
              <w:tc>
                <w:tcPr>
                  <w:tcW w:w="657" w:type="pct"/>
                  <w:noWrap w:val="0"/>
                  <w:vAlign w:val="center"/>
                </w:tcPr>
                <w:p w14:paraId="0EBED750">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空压机</w:t>
                  </w:r>
                </w:p>
              </w:tc>
              <w:tc>
                <w:tcPr>
                  <w:tcW w:w="196" w:type="pct"/>
                  <w:noWrap w:val="0"/>
                  <w:vAlign w:val="center"/>
                </w:tcPr>
                <w:p w14:paraId="603EEFC2">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仿宋" w:cs="Times New Roman"/>
                      <w:bCs/>
                      <w:color w:val="auto"/>
                      <w:kern w:val="2"/>
                      <w:sz w:val="21"/>
                      <w:szCs w:val="21"/>
                      <w:lang w:val="en-US" w:eastAsia="zh-CN" w:bidi="ar-SA"/>
                    </w:rPr>
                  </w:pPr>
                  <w:r>
                    <w:rPr>
                      <w:rFonts w:hint="eastAsia" w:eastAsia="仿宋" w:cs="Times New Roman"/>
                      <w:bCs/>
                      <w:color w:val="auto"/>
                      <w:kern w:val="2"/>
                      <w:sz w:val="21"/>
                      <w:szCs w:val="21"/>
                      <w:lang w:val="en-US" w:eastAsia="zh-CN" w:bidi="ar-SA"/>
                    </w:rPr>
                    <w:t>3</w:t>
                  </w:r>
                </w:p>
              </w:tc>
              <w:tc>
                <w:tcPr>
                  <w:tcW w:w="457" w:type="pct"/>
                  <w:noWrap w:val="0"/>
                  <w:vAlign w:val="center"/>
                </w:tcPr>
                <w:p w14:paraId="61440F5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90</w:t>
                  </w:r>
                </w:p>
              </w:tc>
              <w:tc>
                <w:tcPr>
                  <w:tcW w:w="445" w:type="pct"/>
                  <w:vMerge w:val="continue"/>
                  <w:noWrap w:val="0"/>
                  <w:vAlign w:val="center"/>
                </w:tcPr>
                <w:p w14:paraId="683D6B80">
                  <w:pPr>
                    <w:adjustRightInd w:val="0"/>
                    <w:snapToGrid w:val="0"/>
                    <w:ind w:left="-105" w:leftChars="-50" w:right="-105" w:rightChars="-50"/>
                    <w:jc w:val="center"/>
                    <w:rPr>
                      <w:rFonts w:hint="default" w:ascii="Times New Roman" w:hAnsi="Times New Roman" w:eastAsia="仿宋" w:cs="Times New Roman"/>
                      <w:bCs/>
                      <w:color w:val="auto"/>
                      <w:szCs w:val="20"/>
                    </w:rPr>
                  </w:pPr>
                </w:p>
              </w:tc>
              <w:tc>
                <w:tcPr>
                  <w:tcW w:w="233" w:type="pct"/>
                  <w:noWrap w:val="0"/>
                  <w:vAlign w:val="center"/>
                </w:tcPr>
                <w:p w14:paraId="4E4B844F">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86</w:t>
                  </w:r>
                </w:p>
              </w:tc>
              <w:tc>
                <w:tcPr>
                  <w:tcW w:w="233" w:type="pct"/>
                  <w:noWrap w:val="0"/>
                  <w:vAlign w:val="center"/>
                </w:tcPr>
                <w:p w14:paraId="5368A3D3">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74</w:t>
                  </w:r>
                </w:p>
              </w:tc>
              <w:tc>
                <w:tcPr>
                  <w:tcW w:w="255" w:type="pct"/>
                  <w:noWrap w:val="0"/>
                  <w:vAlign w:val="center"/>
                </w:tcPr>
                <w:p w14:paraId="579BD974">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w:t>
                  </w:r>
                </w:p>
              </w:tc>
              <w:tc>
                <w:tcPr>
                  <w:tcW w:w="290" w:type="pct"/>
                  <w:noWrap w:val="0"/>
                  <w:vAlign w:val="center"/>
                </w:tcPr>
                <w:p w14:paraId="3693CB16">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8</w:t>
                  </w:r>
                </w:p>
              </w:tc>
              <w:tc>
                <w:tcPr>
                  <w:tcW w:w="288" w:type="pct"/>
                  <w:noWrap w:val="0"/>
                  <w:vAlign w:val="center"/>
                </w:tcPr>
                <w:p w14:paraId="59351EBB">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eastAsia="仿宋" w:cs="Times New Roman"/>
                      <w:color w:val="auto"/>
                      <w:lang w:val="en-US" w:eastAsia="zh-CN"/>
                    </w:rPr>
                    <w:t>71.9</w:t>
                  </w:r>
                </w:p>
              </w:tc>
              <w:tc>
                <w:tcPr>
                  <w:tcW w:w="223" w:type="pct"/>
                  <w:noWrap w:val="0"/>
                  <w:vAlign w:val="center"/>
                </w:tcPr>
                <w:p w14:paraId="567F023C">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h</w:t>
                  </w:r>
                </w:p>
              </w:tc>
              <w:tc>
                <w:tcPr>
                  <w:tcW w:w="401" w:type="pct"/>
                  <w:noWrap w:val="0"/>
                  <w:vAlign w:val="center"/>
                </w:tcPr>
                <w:p w14:paraId="1704D3E9">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20</w:t>
                  </w:r>
                </w:p>
              </w:tc>
              <w:tc>
                <w:tcPr>
                  <w:tcW w:w="401" w:type="pct"/>
                  <w:noWrap w:val="0"/>
                  <w:vAlign w:val="center"/>
                </w:tcPr>
                <w:p w14:paraId="6C389425">
                  <w:pPr>
                    <w:adjustRightInd w:val="0"/>
                    <w:snapToGrid w:val="0"/>
                    <w:ind w:left="-105" w:leftChars="-50" w:right="-105" w:rightChars="-5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51.9</w:t>
                  </w:r>
                </w:p>
              </w:tc>
              <w:tc>
                <w:tcPr>
                  <w:tcW w:w="428" w:type="pct"/>
                  <w:noWrap w:val="0"/>
                  <w:vAlign w:val="center"/>
                </w:tcPr>
                <w:p w14:paraId="3451B768">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1m</w:t>
                  </w:r>
                </w:p>
              </w:tc>
            </w:tr>
          </w:tbl>
          <w:p w14:paraId="5319CC2A">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表4-1</w:t>
            </w:r>
            <w:r>
              <w:rPr>
                <w:rFonts w:hint="eastAsia" w:ascii="Times New Roman" w:hAnsi="Times New Roman" w:eastAsia="仿宋" w:cs="Times New Roman"/>
                <w:b/>
                <w:bCs/>
                <w:color w:val="auto"/>
                <w:sz w:val="21"/>
                <w:szCs w:val="21"/>
                <w:lang w:val="en-US" w:eastAsia="zh-CN"/>
              </w:rPr>
              <w:t>6</w:t>
            </w:r>
            <w:r>
              <w:rPr>
                <w:rFonts w:hint="default" w:ascii="Times New Roman" w:hAnsi="Times New Roman" w:eastAsia="仿宋" w:cs="Times New Roman"/>
                <w:b/>
                <w:bCs/>
                <w:color w:val="auto"/>
                <w:sz w:val="21"/>
                <w:szCs w:val="21"/>
                <w:lang w:val="en-US" w:eastAsia="zh-CN"/>
              </w:rPr>
              <w:t>本项目主要噪声污染源一览表（室外声源）</w:t>
            </w:r>
          </w:p>
          <w:tbl>
            <w:tblPr>
              <w:tblStyle w:val="27"/>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28"/>
              <w:gridCol w:w="1516"/>
              <w:gridCol w:w="989"/>
              <w:gridCol w:w="1263"/>
              <w:gridCol w:w="1263"/>
              <w:gridCol w:w="1271"/>
              <w:gridCol w:w="2070"/>
              <w:gridCol w:w="2137"/>
              <w:gridCol w:w="2094"/>
            </w:tblGrid>
            <w:tr w14:paraId="393E484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restart"/>
                  <w:tcBorders>
                    <w:tl2br w:val="nil"/>
                    <w:tr2bl w:val="nil"/>
                  </w:tcBorders>
                  <w:vAlign w:val="center"/>
                </w:tcPr>
                <w:p w14:paraId="4F9198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序号</w:t>
                  </w:r>
                </w:p>
              </w:tc>
              <w:tc>
                <w:tcPr>
                  <w:tcW w:w="564" w:type="pct"/>
                  <w:vMerge w:val="restart"/>
                  <w:tcBorders>
                    <w:tl2br w:val="nil"/>
                    <w:tr2bl w:val="nil"/>
                  </w:tcBorders>
                  <w:vAlign w:val="center"/>
                </w:tcPr>
                <w:p w14:paraId="1954CA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lang w:val="en-US" w:eastAsia="zh-CN"/>
                    </w:rPr>
                    <w:t>声源名称</w:t>
                  </w:r>
                </w:p>
              </w:tc>
              <w:tc>
                <w:tcPr>
                  <w:tcW w:w="368" w:type="pct"/>
                  <w:vMerge w:val="restart"/>
                  <w:tcBorders>
                    <w:tl2br w:val="nil"/>
                    <w:tr2bl w:val="nil"/>
                  </w:tcBorders>
                  <w:vAlign w:val="center"/>
                </w:tcPr>
                <w:p w14:paraId="4C3CBB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数量</w:t>
                  </w:r>
                </w:p>
              </w:tc>
              <w:tc>
                <w:tcPr>
                  <w:tcW w:w="1413" w:type="pct"/>
                  <w:gridSpan w:val="3"/>
                  <w:tcBorders>
                    <w:tl2br w:val="nil"/>
                    <w:tr2bl w:val="nil"/>
                  </w:tcBorders>
                  <w:vAlign w:val="center"/>
                </w:tcPr>
                <w:p w14:paraId="03277A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空间相对位置/m</w:t>
                  </w:r>
                </w:p>
              </w:tc>
              <w:tc>
                <w:tcPr>
                  <w:tcW w:w="770" w:type="pct"/>
                  <w:vMerge w:val="restart"/>
                  <w:tcBorders>
                    <w:tl2br w:val="nil"/>
                    <w:tr2bl w:val="nil"/>
                  </w:tcBorders>
                  <w:vAlign w:val="center"/>
                </w:tcPr>
                <w:p w14:paraId="0C6A41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单台声功率级dB(A)</w:t>
                  </w:r>
                </w:p>
              </w:tc>
              <w:tc>
                <w:tcPr>
                  <w:tcW w:w="795" w:type="pct"/>
                  <w:vMerge w:val="restart"/>
                  <w:tcBorders>
                    <w:tl2br w:val="nil"/>
                    <w:tr2bl w:val="nil"/>
                  </w:tcBorders>
                  <w:vAlign w:val="center"/>
                </w:tcPr>
                <w:p w14:paraId="7DB436A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声源控制</w:t>
                  </w:r>
                </w:p>
                <w:p w14:paraId="58E403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措施</w:t>
                  </w:r>
                </w:p>
              </w:tc>
              <w:tc>
                <w:tcPr>
                  <w:tcW w:w="779" w:type="pct"/>
                  <w:vMerge w:val="restart"/>
                  <w:tcBorders>
                    <w:tl2br w:val="nil"/>
                    <w:tr2bl w:val="nil"/>
                  </w:tcBorders>
                  <w:vAlign w:val="center"/>
                </w:tcPr>
                <w:p w14:paraId="064587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运行时段</w:t>
                  </w:r>
                </w:p>
              </w:tc>
            </w:tr>
            <w:tr w14:paraId="7ADD6B7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continue"/>
                  <w:tcBorders>
                    <w:tl2br w:val="nil"/>
                    <w:tr2bl w:val="nil"/>
                  </w:tcBorders>
                  <w:vAlign w:val="center"/>
                </w:tcPr>
                <w:p w14:paraId="4D27677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rPr>
                  </w:pPr>
                </w:p>
              </w:tc>
              <w:tc>
                <w:tcPr>
                  <w:tcW w:w="564" w:type="pct"/>
                  <w:vMerge w:val="continue"/>
                  <w:tcBorders>
                    <w:tl2br w:val="nil"/>
                    <w:tr2bl w:val="nil"/>
                  </w:tcBorders>
                  <w:vAlign w:val="center"/>
                </w:tcPr>
                <w:p w14:paraId="17F754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rPr>
                  </w:pPr>
                </w:p>
              </w:tc>
              <w:tc>
                <w:tcPr>
                  <w:tcW w:w="368" w:type="pct"/>
                  <w:vMerge w:val="continue"/>
                  <w:tcBorders>
                    <w:tl2br w:val="nil"/>
                    <w:tr2bl w:val="nil"/>
                  </w:tcBorders>
                  <w:vAlign w:val="center"/>
                </w:tcPr>
                <w:p w14:paraId="5AB802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lang w:val="en-US" w:eastAsia="zh-CN"/>
                    </w:rPr>
                  </w:pPr>
                </w:p>
              </w:tc>
              <w:tc>
                <w:tcPr>
                  <w:tcW w:w="470" w:type="pct"/>
                  <w:tcBorders>
                    <w:tl2br w:val="nil"/>
                    <w:tr2bl w:val="nil"/>
                  </w:tcBorders>
                  <w:vAlign w:val="center"/>
                </w:tcPr>
                <w:p w14:paraId="5BF62C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X</w:t>
                  </w:r>
                </w:p>
              </w:tc>
              <w:tc>
                <w:tcPr>
                  <w:tcW w:w="470" w:type="pct"/>
                  <w:tcBorders>
                    <w:tl2br w:val="nil"/>
                    <w:tr2bl w:val="nil"/>
                  </w:tcBorders>
                  <w:vAlign w:val="center"/>
                </w:tcPr>
                <w:p w14:paraId="2B26B4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Y</w:t>
                  </w:r>
                </w:p>
              </w:tc>
              <w:tc>
                <w:tcPr>
                  <w:tcW w:w="472" w:type="pct"/>
                  <w:tcBorders>
                    <w:tl2br w:val="nil"/>
                    <w:tr2bl w:val="nil"/>
                  </w:tcBorders>
                  <w:vAlign w:val="center"/>
                </w:tcPr>
                <w:p w14:paraId="0FEC47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Z</w:t>
                  </w:r>
                </w:p>
              </w:tc>
              <w:tc>
                <w:tcPr>
                  <w:tcW w:w="770" w:type="pct"/>
                  <w:vMerge w:val="continue"/>
                  <w:tcBorders>
                    <w:tl2br w:val="nil"/>
                    <w:tr2bl w:val="nil"/>
                  </w:tcBorders>
                  <w:vAlign w:val="center"/>
                </w:tcPr>
                <w:p w14:paraId="51B186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lang w:val="en-US" w:eastAsia="zh-CN"/>
                    </w:rPr>
                  </w:pPr>
                </w:p>
              </w:tc>
              <w:tc>
                <w:tcPr>
                  <w:tcW w:w="795" w:type="pct"/>
                  <w:vMerge w:val="continue"/>
                  <w:tcBorders>
                    <w:tl2br w:val="nil"/>
                    <w:tr2bl w:val="nil"/>
                  </w:tcBorders>
                  <w:vAlign w:val="center"/>
                </w:tcPr>
                <w:p w14:paraId="55108E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lang w:val="en-US" w:eastAsia="zh-CN"/>
                    </w:rPr>
                  </w:pPr>
                </w:p>
              </w:tc>
              <w:tc>
                <w:tcPr>
                  <w:tcW w:w="779" w:type="pct"/>
                  <w:vMerge w:val="continue"/>
                  <w:tcBorders>
                    <w:tl2br w:val="nil"/>
                    <w:tr2bl w:val="nil"/>
                  </w:tcBorders>
                  <w:vAlign w:val="center"/>
                </w:tcPr>
                <w:p w14:paraId="1D6416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lang w:val="en-US" w:eastAsia="zh-CN"/>
                    </w:rPr>
                  </w:pPr>
                </w:p>
              </w:tc>
            </w:tr>
            <w:tr w14:paraId="25469E4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14:paraId="4914642A">
                  <w:pPr>
                    <w:adjustRightInd w:val="0"/>
                    <w:snapToGrid w:val="0"/>
                    <w:ind w:left="-105" w:leftChars="-50" w:right="-105" w:rightChars="-50"/>
                    <w:jc w:val="center"/>
                    <w:rPr>
                      <w:rFonts w:hint="default" w:ascii="Times New Roman" w:hAnsi="Times New Roman" w:eastAsia="仿宋" w:cs="Times New Roman"/>
                      <w:color w:val="auto"/>
                    </w:rPr>
                  </w:pPr>
                  <w:r>
                    <w:rPr>
                      <w:rFonts w:hint="default" w:ascii="Times New Roman" w:hAnsi="Times New Roman" w:eastAsia="仿宋" w:cs="Times New Roman"/>
                      <w:color w:val="auto"/>
                    </w:rPr>
                    <w:t>1</w:t>
                  </w:r>
                </w:p>
              </w:tc>
              <w:tc>
                <w:tcPr>
                  <w:tcW w:w="564" w:type="pct"/>
                  <w:tcBorders>
                    <w:tl2br w:val="nil"/>
                    <w:tr2bl w:val="nil"/>
                  </w:tcBorders>
                  <w:vAlign w:val="center"/>
                </w:tcPr>
                <w:p w14:paraId="61B0EAF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szCs w:val="21"/>
                      <w:lang w:val="en-US" w:eastAsia="zh-CN"/>
                    </w:rPr>
                    <w:t>1#风机</w:t>
                  </w:r>
                </w:p>
              </w:tc>
              <w:tc>
                <w:tcPr>
                  <w:tcW w:w="368" w:type="pct"/>
                  <w:tcBorders>
                    <w:tl2br w:val="nil"/>
                    <w:tr2bl w:val="nil"/>
                  </w:tcBorders>
                  <w:vAlign w:val="center"/>
                </w:tcPr>
                <w:p w14:paraId="63468C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szCs w:val="21"/>
                      <w:lang w:val="en-US" w:eastAsia="zh-CN"/>
                    </w:rPr>
                    <w:t>1</w:t>
                  </w:r>
                </w:p>
              </w:tc>
              <w:tc>
                <w:tcPr>
                  <w:tcW w:w="470" w:type="pct"/>
                  <w:tcBorders>
                    <w:tl2br w:val="nil"/>
                    <w:tr2bl w:val="nil"/>
                  </w:tcBorders>
                  <w:vAlign w:val="center"/>
                </w:tcPr>
                <w:p w14:paraId="4D71A6E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17</w:t>
                  </w:r>
                </w:p>
              </w:tc>
              <w:tc>
                <w:tcPr>
                  <w:tcW w:w="470" w:type="pct"/>
                  <w:tcBorders>
                    <w:tl2br w:val="nil"/>
                    <w:tr2bl w:val="nil"/>
                  </w:tcBorders>
                  <w:vAlign w:val="center"/>
                </w:tcPr>
                <w:p w14:paraId="00950B8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48</w:t>
                  </w:r>
                </w:p>
              </w:tc>
              <w:tc>
                <w:tcPr>
                  <w:tcW w:w="472" w:type="pct"/>
                  <w:tcBorders>
                    <w:tl2br w:val="nil"/>
                    <w:tr2bl w:val="nil"/>
                  </w:tcBorders>
                  <w:vAlign w:val="center"/>
                </w:tcPr>
                <w:p w14:paraId="03C75CC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1</w:t>
                  </w:r>
                </w:p>
              </w:tc>
              <w:tc>
                <w:tcPr>
                  <w:tcW w:w="770" w:type="pct"/>
                  <w:tcBorders>
                    <w:tl2br w:val="nil"/>
                    <w:tr2bl w:val="nil"/>
                  </w:tcBorders>
                  <w:vAlign w:val="center"/>
                </w:tcPr>
                <w:p w14:paraId="18BF78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lang w:val="en-US" w:eastAsia="zh-CN"/>
                    </w:rPr>
                    <w:t>85</w:t>
                  </w:r>
                </w:p>
              </w:tc>
              <w:tc>
                <w:tcPr>
                  <w:tcW w:w="795" w:type="pct"/>
                  <w:tcBorders>
                    <w:tl2br w:val="nil"/>
                    <w:tr2bl w:val="nil"/>
                  </w:tcBorders>
                  <w:vAlign w:val="center"/>
                </w:tcPr>
                <w:p w14:paraId="090A8D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bCs/>
                      <w:color w:val="auto"/>
                      <w:szCs w:val="20"/>
                    </w:rPr>
                    <w:t>减振、隔音</w:t>
                  </w:r>
                </w:p>
              </w:tc>
              <w:tc>
                <w:tcPr>
                  <w:tcW w:w="779" w:type="pct"/>
                  <w:tcBorders>
                    <w:tl2br w:val="nil"/>
                    <w:tr2bl w:val="nil"/>
                  </w:tcBorders>
                  <w:vAlign w:val="center"/>
                </w:tcPr>
                <w:p w14:paraId="0363B4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工作时</w:t>
                  </w:r>
                </w:p>
              </w:tc>
            </w:tr>
            <w:tr w14:paraId="653E674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14:paraId="67301127">
                  <w:pPr>
                    <w:adjustRightInd w:val="0"/>
                    <w:snapToGrid w:val="0"/>
                    <w:ind w:left="-105" w:leftChars="-50" w:right="-105" w:rightChars="-50"/>
                    <w:jc w:val="center"/>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2</w:t>
                  </w:r>
                </w:p>
              </w:tc>
              <w:tc>
                <w:tcPr>
                  <w:tcW w:w="564" w:type="pct"/>
                  <w:tcBorders>
                    <w:tl2br w:val="nil"/>
                    <w:tr2bl w:val="nil"/>
                  </w:tcBorders>
                  <w:vAlign w:val="center"/>
                </w:tcPr>
                <w:p w14:paraId="49C0BA5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2#风机</w:t>
                  </w:r>
                </w:p>
              </w:tc>
              <w:tc>
                <w:tcPr>
                  <w:tcW w:w="368" w:type="pct"/>
                  <w:tcBorders>
                    <w:tl2br w:val="nil"/>
                    <w:tr2bl w:val="nil"/>
                  </w:tcBorders>
                  <w:vAlign w:val="center"/>
                </w:tcPr>
                <w:p w14:paraId="407B10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w:t>
                  </w:r>
                </w:p>
              </w:tc>
              <w:tc>
                <w:tcPr>
                  <w:tcW w:w="470" w:type="pct"/>
                  <w:tcBorders>
                    <w:tl2br w:val="nil"/>
                    <w:tr2bl w:val="nil"/>
                  </w:tcBorders>
                  <w:vAlign w:val="center"/>
                </w:tcPr>
                <w:p w14:paraId="57ACC7B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57</w:t>
                  </w:r>
                </w:p>
              </w:tc>
              <w:tc>
                <w:tcPr>
                  <w:tcW w:w="470" w:type="pct"/>
                  <w:tcBorders>
                    <w:tl2br w:val="nil"/>
                    <w:tr2bl w:val="nil"/>
                  </w:tcBorders>
                  <w:vAlign w:val="center"/>
                </w:tcPr>
                <w:p w14:paraId="3387BB9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96</w:t>
                  </w:r>
                </w:p>
              </w:tc>
              <w:tc>
                <w:tcPr>
                  <w:tcW w:w="472" w:type="pct"/>
                  <w:tcBorders>
                    <w:tl2br w:val="nil"/>
                    <w:tr2bl w:val="nil"/>
                  </w:tcBorders>
                  <w:vAlign w:val="center"/>
                </w:tcPr>
                <w:p w14:paraId="41142B9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1</w:t>
                  </w:r>
                </w:p>
              </w:tc>
              <w:tc>
                <w:tcPr>
                  <w:tcW w:w="770" w:type="pct"/>
                  <w:tcBorders>
                    <w:tl2br w:val="nil"/>
                    <w:tr2bl w:val="nil"/>
                  </w:tcBorders>
                  <w:vAlign w:val="center"/>
                </w:tcPr>
                <w:p w14:paraId="5BCD37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85</w:t>
                  </w:r>
                </w:p>
              </w:tc>
              <w:tc>
                <w:tcPr>
                  <w:tcW w:w="795" w:type="pct"/>
                  <w:tcBorders>
                    <w:tl2br w:val="nil"/>
                    <w:tr2bl w:val="nil"/>
                  </w:tcBorders>
                  <w:vAlign w:val="center"/>
                </w:tcPr>
                <w:p w14:paraId="746641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Cs/>
                      <w:color w:val="auto"/>
                      <w:szCs w:val="20"/>
                    </w:rPr>
                  </w:pPr>
                  <w:r>
                    <w:rPr>
                      <w:rFonts w:hint="default" w:ascii="Times New Roman" w:hAnsi="Times New Roman" w:eastAsia="仿宋" w:cs="Times New Roman"/>
                      <w:bCs/>
                      <w:color w:val="auto"/>
                      <w:szCs w:val="20"/>
                    </w:rPr>
                    <w:t>减振、隔音</w:t>
                  </w:r>
                </w:p>
              </w:tc>
              <w:tc>
                <w:tcPr>
                  <w:tcW w:w="779" w:type="pct"/>
                  <w:tcBorders>
                    <w:tl2br w:val="nil"/>
                    <w:tr2bl w:val="nil"/>
                  </w:tcBorders>
                  <w:vAlign w:val="center"/>
                </w:tcPr>
                <w:p w14:paraId="388E8D9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工作时</w:t>
                  </w:r>
                </w:p>
              </w:tc>
            </w:tr>
            <w:tr w14:paraId="4C10AC8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14:paraId="3FFD7D4C">
                  <w:pPr>
                    <w:adjustRightInd w:val="0"/>
                    <w:snapToGrid w:val="0"/>
                    <w:ind w:left="-105" w:leftChars="-50" w:right="-105" w:rightChars="-50"/>
                    <w:jc w:val="center"/>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3</w:t>
                  </w:r>
                </w:p>
              </w:tc>
              <w:tc>
                <w:tcPr>
                  <w:tcW w:w="564" w:type="pct"/>
                  <w:tcBorders>
                    <w:tl2br w:val="nil"/>
                    <w:tr2bl w:val="nil"/>
                  </w:tcBorders>
                  <w:vAlign w:val="center"/>
                </w:tcPr>
                <w:p w14:paraId="2F0E12E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3#风机</w:t>
                  </w:r>
                </w:p>
              </w:tc>
              <w:tc>
                <w:tcPr>
                  <w:tcW w:w="368" w:type="pct"/>
                  <w:tcBorders>
                    <w:tl2br w:val="nil"/>
                    <w:tr2bl w:val="nil"/>
                  </w:tcBorders>
                  <w:vAlign w:val="center"/>
                </w:tcPr>
                <w:p w14:paraId="7CC082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w:t>
                  </w:r>
                </w:p>
              </w:tc>
              <w:tc>
                <w:tcPr>
                  <w:tcW w:w="470" w:type="pct"/>
                  <w:tcBorders>
                    <w:tl2br w:val="nil"/>
                    <w:tr2bl w:val="nil"/>
                  </w:tcBorders>
                  <w:vAlign w:val="center"/>
                </w:tcPr>
                <w:p w14:paraId="019EF74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141</w:t>
                  </w:r>
                </w:p>
              </w:tc>
              <w:tc>
                <w:tcPr>
                  <w:tcW w:w="470" w:type="pct"/>
                  <w:tcBorders>
                    <w:tl2br w:val="nil"/>
                    <w:tr2bl w:val="nil"/>
                  </w:tcBorders>
                  <w:vAlign w:val="center"/>
                </w:tcPr>
                <w:p w14:paraId="595C6F4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41</w:t>
                  </w:r>
                </w:p>
              </w:tc>
              <w:tc>
                <w:tcPr>
                  <w:tcW w:w="472" w:type="pct"/>
                  <w:tcBorders>
                    <w:tl2br w:val="nil"/>
                    <w:tr2bl w:val="nil"/>
                  </w:tcBorders>
                  <w:vAlign w:val="center"/>
                </w:tcPr>
                <w:p w14:paraId="2BE0ED7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1</w:t>
                  </w:r>
                </w:p>
              </w:tc>
              <w:tc>
                <w:tcPr>
                  <w:tcW w:w="770" w:type="pct"/>
                  <w:tcBorders>
                    <w:tl2br w:val="nil"/>
                    <w:tr2bl w:val="nil"/>
                  </w:tcBorders>
                  <w:vAlign w:val="center"/>
                </w:tcPr>
                <w:p w14:paraId="6B1248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85</w:t>
                  </w:r>
                </w:p>
              </w:tc>
              <w:tc>
                <w:tcPr>
                  <w:tcW w:w="795" w:type="pct"/>
                  <w:tcBorders>
                    <w:tl2br w:val="nil"/>
                    <w:tr2bl w:val="nil"/>
                  </w:tcBorders>
                  <w:vAlign w:val="center"/>
                </w:tcPr>
                <w:p w14:paraId="13B8956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Cs/>
                      <w:color w:val="auto"/>
                      <w:szCs w:val="20"/>
                    </w:rPr>
                  </w:pPr>
                  <w:r>
                    <w:rPr>
                      <w:rFonts w:hint="default" w:ascii="Times New Roman" w:hAnsi="Times New Roman" w:eastAsia="仿宋" w:cs="Times New Roman"/>
                      <w:bCs/>
                      <w:color w:val="auto"/>
                      <w:szCs w:val="20"/>
                    </w:rPr>
                    <w:t>减振、隔音</w:t>
                  </w:r>
                </w:p>
              </w:tc>
              <w:tc>
                <w:tcPr>
                  <w:tcW w:w="779" w:type="pct"/>
                  <w:tcBorders>
                    <w:tl2br w:val="nil"/>
                    <w:tr2bl w:val="nil"/>
                  </w:tcBorders>
                  <w:vAlign w:val="center"/>
                </w:tcPr>
                <w:p w14:paraId="539718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工作时</w:t>
                  </w:r>
                </w:p>
              </w:tc>
            </w:tr>
            <w:tr w14:paraId="452DDB2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14:paraId="46FFA0AB">
                  <w:pPr>
                    <w:adjustRightInd w:val="0"/>
                    <w:snapToGrid w:val="0"/>
                    <w:ind w:left="-105" w:leftChars="-50" w:right="-105" w:rightChars="-50"/>
                    <w:jc w:val="center"/>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4</w:t>
                  </w:r>
                </w:p>
              </w:tc>
              <w:tc>
                <w:tcPr>
                  <w:tcW w:w="564" w:type="pct"/>
                  <w:tcBorders>
                    <w:tl2br w:val="nil"/>
                    <w:tr2bl w:val="nil"/>
                  </w:tcBorders>
                  <w:vAlign w:val="center"/>
                </w:tcPr>
                <w:p w14:paraId="6309205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4#风机</w:t>
                  </w:r>
                </w:p>
              </w:tc>
              <w:tc>
                <w:tcPr>
                  <w:tcW w:w="368" w:type="pct"/>
                  <w:tcBorders>
                    <w:tl2br w:val="nil"/>
                    <w:tr2bl w:val="nil"/>
                  </w:tcBorders>
                  <w:vAlign w:val="center"/>
                </w:tcPr>
                <w:p w14:paraId="08AAF5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w:t>
                  </w:r>
                </w:p>
              </w:tc>
              <w:tc>
                <w:tcPr>
                  <w:tcW w:w="470" w:type="pct"/>
                  <w:tcBorders>
                    <w:tl2br w:val="nil"/>
                    <w:tr2bl w:val="nil"/>
                  </w:tcBorders>
                  <w:vAlign w:val="center"/>
                </w:tcPr>
                <w:p w14:paraId="436EA7C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128</w:t>
                  </w:r>
                </w:p>
              </w:tc>
              <w:tc>
                <w:tcPr>
                  <w:tcW w:w="470" w:type="pct"/>
                  <w:tcBorders>
                    <w:tl2br w:val="nil"/>
                    <w:tr2bl w:val="nil"/>
                  </w:tcBorders>
                  <w:vAlign w:val="center"/>
                </w:tcPr>
                <w:p w14:paraId="6E4DF1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4</w:t>
                  </w:r>
                </w:p>
              </w:tc>
              <w:tc>
                <w:tcPr>
                  <w:tcW w:w="472" w:type="pct"/>
                  <w:tcBorders>
                    <w:tl2br w:val="nil"/>
                    <w:tr2bl w:val="nil"/>
                  </w:tcBorders>
                  <w:vAlign w:val="center"/>
                </w:tcPr>
                <w:p w14:paraId="7A8D13F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1</w:t>
                  </w:r>
                </w:p>
              </w:tc>
              <w:tc>
                <w:tcPr>
                  <w:tcW w:w="770" w:type="pct"/>
                  <w:tcBorders>
                    <w:tl2br w:val="nil"/>
                    <w:tr2bl w:val="nil"/>
                  </w:tcBorders>
                  <w:vAlign w:val="center"/>
                </w:tcPr>
                <w:p w14:paraId="412C6E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85</w:t>
                  </w:r>
                </w:p>
              </w:tc>
              <w:tc>
                <w:tcPr>
                  <w:tcW w:w="795" w:type="pct"/>
                  <w:tcBorders>
                    <w:tl2br w:val="nil"/>
                    <w:tr2bl w:val="nil"/>
                  </w:tcBorders>
                  <w:vAlign w:val="center"/>
                </w:tcPr>
                <w:p w14:paraId="6E2FB93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Cs/>
                      <w:color w:val="auto"/>
                      <w:szCs w:val="20"/>
                    </w:rPr>
                  </w:pPr>
                  <w:r>
                    <w:rPr>
                      <w:rFonts w:hint="default" w:ascii="Times New Roman" w:hAnsi="Times New Roman" w:eastAsia="仿宋" w:cs="Times New Roman"/>
                      <w:bCs/>
                      <w:color w:val="auto"/>
                      <w:szCs w:val="20"/>
                    </w:rPr>
                    <w:t>减振、隔音</w:t>
                  </w:r>
                </w:p>
              </w:tc>
              <w:tc>
                <w:tcPr>
                  <w:tcW w:w="779" w:type="pct"/>
                  <w:tcBorders>
                    <w:tl2br w:val="nil"/>
                    <w:tr2bl w:val="nil"/>
                  </w:tcBorders>
                  <w:vAlign w:val="center"/>
                </w:tcPr>
                <w:p w14:paraId="425C830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工作时</w:t>
                  </w:r>
                </w:p>
              </w:tc>
            </w:tr>
          </w:tbl>
          <w:p w14:paraId="60938488">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仿宋" w:cs="Times New Roman"/>
                <w:snapToGrid w:val="0"/>
                <w:color w:val="auto"/>
                <w:sz w:val="30"/>
                <w:szCs w:val="30"/>
                <w:vertAlign w:val="baseline"/>
              </w:rPr>
            </w:pPr>
            <w:r>
              <w:rPr>
                <w:rFonts w:hint="default" w:ascii="Times New Roman" w:hAnsi="Times New Roman" w:eastAsia="仿宋" w:cs="Times New Roman"/>
                <w:b/>
                <w:bCs/>
                <w:color w:val="auto"/>
                <w:sz w:val="21"/>
                <w:szCs w:val="21"/>
                <w:lang w:val="en-US" w:eastAsia="zh-CN"/>
              </w:rPr>
              <w:t>注：表4-15及表4-16中空间相对坐标以厂区西南角为原点（0，0，0），东西方向为X轴，南北方向为Y轴，垂直方向为Z轴。</w:t>
            </w:r>
          </w:p>
        </w:tc>
      </w:tr>
    </w:tbl>
    <w:p w14:paraId="7933061D">
      <w:pPr>
        <w:pStyle w:val="22"/>
        <w:spacing w:before="0" w:beforeAutospacing="0" w:after="0" w:afterAutospacing="0"/>
        <w:jc w:val="center"/>
        <w:outlineLvl w:val="0"/>
        <w:rPr>
          <w:rFonts w:hint="default" w:ascii="Times New Roman" w:hAnsi="Times New Roman" w:eastAsia="仿宋" w:cs="Times New Roman"/>
          <w:snapToGrid w:val="0"/>
          <w:color w:val="auto"/>
          <w:sz w:val="30"/>
          <w:szCs w:val="30"/>
        </w:rPr>
        <w:sectPr>
          <w:headerReference r:id="rId8" w:type="default"/>
          <w:pgSz w:w="16838" w:h="11906" w:orient="landscape"/>
          <w:pgMar w:top="1134" w:right="1417" w:bottom="1134" w:left="1417" w:header="851" w:footer="1134" w:gutter="0"/>
          <w:pgBorders>
            <w:top w:val="none" w:sz="0" w:space="0"/>
            <w:left w:val="none" w:sz="0" w:space="0"/>
            <w:bottom w:val="none" w:sz="0" w:space="0"/>
            <w:right w:val="none" w:sz="0" w:space="0"/>
          </w:pgBorders>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005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6" w:hRule="atLeast"/>
        </w:trPr>
        <w:tc>
          <w:tcPr>
            <w:tcW w:w="9060" w:type="dxa"/>
          </w:tcPr>
          <w:p w14:paraId="41808D87">
            <w:pPr>
              <w:adjustRightInd w:val="0"/>
              <w:snapToGrid w:val="0"/>
              <w:spacing w:line="500" w:lineRule="exact"/>
              <w:ind w:firstLine="482" w:firstLineChars="200"/>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val="en-US" w:eastAsia="zh-CN"/>
              </w:rPr>
              <w:t>2、排放</w:t>
            </w:r>
            <w:r>
              <w:rPr>
                <w:rFonts w:hint="default" w:ascii="Times New Roman" w:hAnsi="Times New Roman" w:eastAsia="仿宋" w:cs="Times New Roman"/>
                <w:b/>
                <w:bCs/>
                <w:color w:val="auto"/>
                <w:sz w:val="24"/>
              </w:rPr>
              <w:t>达标情况分析</w:t>
            </w:r>
          </w:p>
          <w:p w14:paraId="1E027EFB">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本项目厂界外周边50米范围不存在声环境保护目标，项目生产制度为长白班，故本次评价对东、南、西、北厂界进行昼间噪声的影响预测。</w:t>
            </w:r>
            <w:r>
              <w:rPr>
                <w:rFonts w:hint="default" w:ascii="Times New Roman" w:hAnsi="Times New Roman" w:eastAsia="仿宋" w:cs="Times New Roman"/>
                <w:color w:val="auto"/>
                <w:sz w:val="24"/>
              </w:rPr>
              <w:t>根据企业提供的噪声设备分布情况，</w:t>
            </w:r>
            <w:r>
              <w:rPr>
                <w:rFonts w:hint="default" w:ascii="Times New Roman" w:hAnsi="Times New Roman" w:eastAsia="仿宋" w:cs="Times New Roman"/>
                <w:color w:val="auto"/>
                <w:sz w:val="24"/>
                <w:lang w:val="en-US" w:eastAsia="zh-CN"/>
              </w:rPr>
              <w:t>噪声源对厂界噪声的影响预测结果见下表。</w:t>
            </w:r>
          </w:p>
          <w:p w14:paraId="2AEED825">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表4-1</w:t>
            </w:r>
            <w:r>
              <w:rPr>
                <w:rFonts w:hint="eastAsia" w:ascii="Times New Roman" w:hAnsi="Times New Roman" w:eastAsia="仿宋" w:cs="Times New Roman"/>
                <w:b/>
                <w:bCs/>
                <w:color w:val="auto"/>
                <w:sz w:val="21"/>
                <w:szCs w:val="21"/>
                <w:lang w:val="en-US" w:eastAsia="zh-CN"/>
              </w:rPr>
              <w:t>7</w:t>
            </w:r>
            <w:r>
              <w:rPr>
                <w:rFonts w:hint="default" w:ascii="Times New Roman" w:hAnsi="Times New Roman" w:eastAsia="仿宋" w:cs="Times New Roman"/>
                <w:b/>
                <w:bCs/>
                <w:color w:val="auto"/>
                <w:sz w:val="21"/>
                <w:szCs w:val="21"/>
                <w:lang w:val="en-US" w:eastAsia="zh-CN"/>
              </w:rPr>
              <w:t xml:space="preserve">  本项目各厂界噪声预测结果  dB(A)</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2190"/>
              <w:gridCol w:w="2191"/>
              <w:gridCol w:w="1471"/>
              <w:gridCol w:w="1422"/>
            </w:tblGrid>
            <w:tr w14:paraId="5C6575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5" w:type="pct"/>
                  <w:vMerge w:val="restart"/>
                  <w:tcMar>
                    <w:left w:w="0" w:type="dxa"/>
                    <w:right w:w="0" w:type="dxa"/>
                  </w:tcMar>
                  <w:vAlign w:val="center"/>
                </w:tcPr>
                <w:p w14:paraId="1D97479C">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目标</w:t>
                  </w:r>
                </w:p>
              </w:tc>
              <w:tc>
                <w:tcPr>
                  <w:tcW w:w="2477" w:type="pct"/>
                  <w:gridSpan w:val="2"/>
                  <w:tcMar>
                    <w:left w:w="0" w:type="dxa"/>
                    <w:right w:w="0" w:type="dxa"/>
                  </w:tcMar>
                  <w:vAlign w:val="center"/>
                </w:tcPr>
                <w:p w14:paraId="0A5D2B9A">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厂界</w:t>
                  </w:r>
                  <w:r>
                    <w:rPr>
                      <w:rFonts w:hint="default" w:ascii="Times New Roman" w:hAnsi="Times New Roman" w:eastAsia="仿宋" w:cs="Times New Roman"/>
                      <w:b/>
                      <w:color w:val="auto"/>
                      <w:szCs w:val="21"/>
                    </w:rPr>
                    <w:t>贡献值</w:t>
                  </w:r>
                </w:p>
              </w:tc>
              <w:tc>
                <w:tcPr>
                  <w:tcW w:w="1636" w:type="pct"/>
                  <w:gridSpan w:val="2"/>
                  <w:tcMar>
                    <w:left w:w="0" w:type="dxa"/>
                    <w:right w:w="0" w:type="dxa"/>
                  </w:tcMar>
                  <w:vAlign w:val="center"/>
                </w:tcPr>
                <w:p w14:paraId="7249578D">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标准</w:t>
                  </w:r>
                </w:p>
              </w:tc>
            </w:tr>
            <w:tr w14:paraId="688E44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5" w:type="pct"/>
                  <w:vMerge w:val="continue"/>
                  <w:tcMar>
                    <w:left w:w="0" w:type="dxa"/>
                    <w:right w:w="0" w:type="dxa"/>
                  </w:tcMar>
                  <w:vAlign w:val="center"/>
                </w:tcPr>
                <w:p w14:paraId="5797D10D">
                  <w:pPr>
                    <w:jc w:val="center"/>
                    <w:rPr>
                      <w:rFonts w:hint="default" w:ascii="Times New Roman" w:hAnsi="Times New Roman" w:eastAsia="仿宋" w:cs="Times New Roman"/>
                      <w:b/>
                      <w:color w:val="auto"/>
                      <w:szCs w:val="21"/>
                      <w:highlight w:val="yellow"/>
                    </w:rPr>
                  </w:pPr>
                </w:p>
              </w:tc>
              <w:tc>
                <w:tcPr>
                  <w:tcW w:w="1238" w:type="pct"/>
                  <w:tcMar>
                    <w:left w:w="0" w:type="dxa"/>
                    <w:right w:w="0" w:type="dxa"/>
                  </w:tcMar>
                  <w:vAlign w:val="center"/>
                </w:tcPr>
                <w:p w14:paraId="7572D2FA">
                  <w:pPr>
                    <w:jc w:val="center"/>
                    <w:rPr>
                      <w:rFonts w:hint="default" w:ascii="Times New Roman" w:hAnsi="Times New Roman" w:eastAsia="仿宋" w:cs="Times New Roman"/>
                      <w:b/>
                      <w:color w:val="auto"/>
                      <w:szCs w:val="21"/>
                      <w:highlight w:val="yellow"/>
                    </w:rPr>
                  </w:pPr>
                  <w:r>
                    <w:rPr>
                      <w:rFonts w:hint="default" w:ascii="Times New Roman" w:hAnsi="Times New Roman" w:eastAsia="仿宋" w:cs="Times New Roman"/>
                      <w:b/>
                      <w:color w:val="auto"/>
                      <w:szCs w:val="21"/>
                    </w:rPr>
                    <w:t>昼间</w:t>
                  </w:r>
                </w:p>
              </w:tc>
              <w:tc>
                <w:tcPr>
                  <w:tcW w:w="1238" w:type="pct"/>
                  <w:tcMar>
                    <w:left w:w="0" w:type="dxa"/>
                    <w:right w:w="0" w:type="dxa"/>
                  </w:tcMar>
                  <w:vAlign w:val="center"/>
                </w:tcPr>
                <w:p w14:paraId="02BDFDA2">
                  <w:pPr>
                    <w:jc w:val="center"/>
                    <w:rPr>
                      <w:rFonts w:hint="default" w:ascii="Times New Roman" w:hAnsi="Times New Roman" w:eastAsia="仿宋" w:cs="Times New Roman"/>
                      <w:b/>
                      <w:color w:val="auto"/>
                      <w:szCs w:val="21"/>
                      <w:highlight w:val="yellow"/>
                    </w:rPr>
                  </w:pPr>
                  <w:r>
                    <w:rPr>
                      <w:rFonts w:hint="default" w:ascii="Times New Roman" w:hAnsi="Times New Roman" w:eastAsia="仿宋" w:cs="Times New Roman"/>
                      <w:b/>
                      <w:color w:val="auto"/>
                      <w:szCs w:val="21"/>
                      <w:lang w:val="en-US" w:eastAsia="zh-CN"/>
                    </w:rPr>
                    <w:t>夜间</w:t>
                  </w:r>
                </w:p>
              </w:tc>
              <w:tc>
                <w:tcPr>
                  <w:tcW w:w="832" w:type="pct"/>
                  <w:tcMar>
                    <w:left w:w="0" w:type="dxa"/>
                    <w:right w:w="0" w:type="dxa"/>
                  </w:tcMar>
                  <w:vAlign w:val="center"/>
                </w:tcPr>
                <w:p w14:paraId="24A3F83B">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昼间</w:t>
                  </w:r>
                </w:p>
              </w:tc>
              <w:tc>
                <w:tcPr>
                  <w:tcW w:w="804" w:type="pct"/>
                  <w:tcMar>
                    <w:left w:w="0" w:type="dxa"/>
                    <w:right w:w="0" w:type="dxa"/>
                  </w:tcMar>
                  <w:vAlign w:val="center"/>
                </w:tcPr>
                <w:p w14:paraId="3D551ABD">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夜间</w:t>
                  </w:r>
                </w:p>
              </w:tc>
            </w:tr>
            <w:tr w14:paraId="331A91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5" w:type="pct"/>
                  <w:tcMar>
                    <w:left w:w="0" w:type="dxa"/>
                    <w:right w:w="0" w:type="dxa"/>
                  </w:tcMar>
                  <w:vAlign w:val="center"/>
                </w:tcPr>
                <w:p w14:paraId="597812BB">
                  <w:pPr>
                    <w:spacing w:line="300" w:lineRule="exact"/>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东厂界</w:t>
                  </w:r>
                </w:p>
              </w:tc>
              <w:tc>
                <w:tcPr>
                  <w:tcW w:w="1238" w:type="pct"/>
                  <w:tcMar>
                    <w:left w:w="0" w:type="dxa"/>
                    <w:right w:w="0" w:type="dxa"/>
                  </w:tcMar>
                  <w:vAlign w:val="center"/>
                </w:tcPr>
                <w:p w14:paraId="27F393FA">
                  <w:pPr>
                    <w:pStyle w:val="17"/>
                    <w:tabs>
                      <w:tab w:val="clear" w:pos="4153"/>
                      <w:tab w:val="clear" w:pos="8306"/>
                    </w:tabs>
                    <w:snapToGrid/>
                    <w:spacing w:line="300" w:lineRule="exact"/>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47.96</w:t>
                  </w:r>
                </w:p>
              </w:tc>
              <w:tc>
                <w:tcPr>
                  <w:tcW w:w="2191" w:type="dxa"/>
                  <w:tcMar>
                    <w:left w:w="0" w:type="dxa"/>
                    <w:right w:w="0" w:type="dxa"/>
                  </w:tcMar>
                  <w:vAlign w:val="center"/>
                </w:tcPr>
                <w:p w14:paraId="427F052F">
                  <w:pPr>
                    <w:pStyle w:val="17"/>
                    <w:tabs>
                      <w:tab w:val="clear" w:pos="4153"/>
                      <w:tab w:val="clear" w:pos="8306"/>
                    </w:tabs>
                    <w:snapToGrid/>
                    <w:spacing w:line="300" w:lineRule="exact"/>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w:t>
                  </w:r>
                </w:p>
              </w:tc>
              <w:tc>
                <w:tcPr>
                  <w:tcW w:w="832" w:type="pct"/>
                  <w:tcMar>
                    <w:left w:w="0" w:type="dxa"/>
                    <w:right w:w="0" w:type="dxa"/>
                  </w:tcMar>
                  <w:vAlign w:val="center"/>
                </w:tcPr>
                <w:p w14:paraId="2528FB63">
                  <w:pPr>
                    <w:pStyle w:val="17"/>
                    <w:tabs>
                      <w:tab w:val="clear" w:pos="4153"/>
                      <w:tab w:val="clear" w:pos="8306"/>
                    </w:tabs>
                    <w:snapToGrid/>
                    <w:spacing w:line="300" w:lineRule="exact"/>
                    <w:rPr>
                      <w:rFonts w:hint="default" w:ascii="Times New Roman" w:hAnsi="Times New Roman" w:eastAsia="仿宋" w:cs="Times New Roman"/>
                      <w:bCs/>
                      <w:color w:val="auto"/>
                      <w:sz w:val="21"/>
                      <w:szCs w:val="21"/>
                      <w:lang w:eastAsia="zh-CN"/>
                    </w:rPr>
                  </w:pPr>
                  <w:r>
                    <w:rPr>
                      <w:rFonts w:hint="default" w:ascii="Times New Roman" w:hAnsi="Times New Roman" w:eastAsia="仿宋" w:cs="Times New Roman"/>
                      <w:bCs/>
                      <w:color w:val="auto"/>
                      <w:sz w:val="21"/>
                      <w:szCs w:val="21"/>
                    </w:rPr>
                    <w:t>6</w:t>
                  </w:r>
                  <w:r>
                    <w:rPr>
                      <w:rFonts w:hint="default" w:ascii="Times New Roman" w:hAnsi="Times New Roman" w:eastAsia="仿宋" w:cs="Times New Roman"/>
                      <w:bCs/>
                      <w:color w:val="auto"/>
                      <w:sz w:val="21"/>
                      <w:szCs w:val="21"/>
                      <w:lang w:val="en-US" w:eastAsia="zh-CN"/>
                    </w:rPr>
                    <w:t>5</w:t>
                  </w:r>
                </w:p>
              </w:tc>
              <w:tc>
                <w:tcPr>
                  <w:tcW w:w="804" w:type="pct"/>
                  <w:tcMar>
                    <w:left w:w="0" w:type="dxa"/>
                    <w:right w:w="0" w:type="dxa"/>
                  </w:tcMar>
                  <w:vAlign w:val="center"/>
                </w:tcPr>
                <w:p w14:paraId="40B6B62E">
                  <w:pPr>
                    <w:pStyle w:val="17"/>
                    <w:tabs>
                      <w:tab w:val="clear" w:pos="4153"/>
                      <w:tab w:val="clear" w:pos="8306"/>
                    </w:tabs>
                    <w:snapToGrid/>
                    <w:spacing w:line="300" w:lineRule="exact"/>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55</w:t>
                  </w:r>
                </w:p>
              </w:tc>
            </w:tr>
            <w:tr w14:paraId="0C7099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5" w:type="pct"/>
                  <w:tcMar>
                    <w:left w:w="0" w:type="dxa"/>
                    <w:right w:w="0" w:type="dxa"/>
                  </w:tcMar>
                  <w:vAlign w:val="center"/>
                </w:tcPr>
                <w:p w14:paraId="39493B0C">
                  <w:pPr>
                    <w:spacing w:line="300" w:lineRule="exact"/>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南厂界</w:t>
                  </w:r>
                </w:p>
              </w:tc>
              <w:tc>
                <w:tcPr>
                  <w:tcW w:w="1238" w:type="pct"/>
                  <w:tcMar>
                    <w:left w:w="0" w:type="dxa"/>
                    <w:right w:w="0" w:type="dxa"/>
                  </w:tcMar>
                  <w:vAlign w:val="center"/>
                </w:tcPr>
                <w:p w14:paraId="6C538177">
                  <w:pPr>
                    <w:pStyle w:val="17"/>
                    <w:tabs>
                      <w:tab w:val="clear" w:pos="4153"/>
                      <w:tab w:val="clear" w:pos="8306"/>
                    </w:tabs>
                    <w:snapToGrid/>
                    <w:spacing w:line="300" w:lineRule="exact"/>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36.71</w:t>
                  </w:r>
                </w:p>
              </w:tc>
              <w:tc>
                <w:tcPr>
                  <w:tcW w:w="2191" w:type="dxa"/>
                  <w:tcMar>
                    <w:left w:w="0" w:type="dxa"/>
                    <w:right w:w="0" w:type="dxa"/>
                  </w:tcMar>
                  <w:vAlign w:val="center"/>
                </w:tcPr>
                <w:p w14:paraId="19FA830F">
                  <w:pPr>
                    <w:pStyle w:val="17"/>
                    <w:tabs>
                      <w:tab w:val="clear" w:pos="4153"/>
                      <w:tab w:val="clear" w:pos="8306"/>
                    </w:tabs>
                    <w:snapToGrid/>
                    <w:spacing w:line="300" w:lineRule="exact"/>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w:t>
                  </w:r>
                </w:p>
              </w:tc>
              <w:tc>
                <w:tcPr>
                  <w:tcW w:w="832" w:type="pct"/>
                  <w:tcMar>
                    <w:left w:w="0" w:type="dxa"/>
                    <w:right w:w="0" w:type="dxa"/>
                  </w:tcMar>
                  <w:vAlign w:val="center"/>
                </w:tcPr>
                <w:p w14:paraId="57DD01A4">
                  <w:pPr>
                    <w:pStyle w:val="17"/>
                    <w:tabs>
                      <w:tab w:val="clear" w:pos="4153"/>
                      <w:tab w:val="clear" w:pos="8306"/>
                    </w:tabs>
                    <w:snapToGrid/>
                    <w:spacing w:line="300" w:lineRule="exac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6</w:t>
                  </w:r>
                  <w:r>
                    <w:rPr>
                      <w:rFonts w:hint="default" w:ascii="Times New Roman" w:hAnsi="Times New Roman" w:eastAsia="仿宋" w:cs="Times New Roman"/>
                      <w:bCs/>
                      <w:color w:val="auto"/>
                      <w:sz w:val="21"/>
                      <w:szCs w:val="21"/>
                      <w:lang w:val="en-US" w:eastAsia="zh-CN"/>
                    </w:rPr>
                    <w:t>5</w:t>
                  </w:r>
                </w:p>
              </w:tc>
              <w:tc>
                <w:tcPr>
                  <w:tcW w:w="804" w:type="pct"/>
                  <w:tcMar>
                    <w:left w:w="0" w:type="dxa"/>
                    <w:right w:w="0" w:type="dxa"/>
                  </w:tcMar>
                  <w:vAlign w:val="center"/>
                </w:tcPr>
                <w:p w14:paraId="3A76AE54">
                  <w:pPr>
                    <w:pStyle w:val="17"/>
                    <w:tabs>
                      <w:tab w:val="clear" w:pos="4153"/>
                      <w:tab w:val="clear" w:pos="8306"/>
                    </w:tabs>
                    <w:snapToGrid/>
                    <w:spacing w:line="300" w:lineRule="exac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lang w:val="en-US" w:eastAsia="zh-CN"/>
                    </w:rPr>
                    <w:t>55</w:t>
                  </w:r>
                </w:p>
              </w:tc>
            </w:tr>
            <w:tr w14:paraId="5E795E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5" w:type="pct"/>
                  <w:tcMar>
                    <w:left w:w="0" w:type="dxa"/>
                    <w:right w:w="0" w:type="dxa"/>
                  </w:tcMar>
                  <w:vAlign w:val="center"/>
                </w:tcPr>
                <w:p w14:paraId="6EA7C45F">
                  <w:pPr>
                    <w:spacing w:line="300" w:lineRule="exact"/>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西厂界</w:t>
                  </w:r>
                </w:p>
              </w:tc>
              <w:tc>
                <w:tcPr>
                  <w:tcW w:w="1238" w:type="pct"/>
                  <w:tcMar>
                    <w:left w:w="0" w:type="dxa"/>
                    <w:right w:w="0" w:type="dxa"/>
                  </w:tcMar>
                  <w:vAlign w:val="center"/>
                </w:tcPr>
                <w:p w14:paraId="5BB42E13">
                  <w:pPr>
                    <w:pStyle w:val="17"/>
                    <w:tabs>
                      <w:tab w:val="clear" w:pos="4153"/>
                      <w:tab w:val="clear" w:pos="8306"/>
                    </w:tabs>
                    <w:snapToGrid/>
                    <w:spacing w:line="300" w:lineRule="exact"/>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49.98</w:t>
                  </w:r>
                </w:p>
              </w:tc>
              <w:tc>
                <w:tcPr>
                  <w:tcW w:w="2191" w:type="dxa"/>
                  <w:tcMar>
                    <w:left w:w="0" w:type="dxa"/>
                    <w:right w:w="0" w:type="dxa"/>
                  </w:tcMar>
                  <w:vAlign w:val="center"/>
                </w:tcPr>
                <w:p w14:paraId="1C9D2ED9">
                  <w:pPr>
                    <w:pStyle w:val="17"/>
                    <w:tabs>
                      <w:tab w:val="clear" w:pos="4153"/>
                      <w:tab w:val="clear" w:pos="8306"/>
                    </w:tabs>
                    <w:snapToGrid/>
                    <w:spacing w:line="300" w:lineRule="exact"/>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w:t>
                  </w:r>
                </w:p>
              </w:tc>
              <w:tc>
                <w:tcPr>
                  <w:tcW w:w="832" w:type="pct"/>
                  <w:tcMar>
                    <w:left w:w="0" w:type="dxa"/>
                    <w:right w:w="0" w:type="dxa"/>
                  </w:tcMar>
                  <w:vAlign w:val="center"/>
                </w:tcPr>
                <w:p w14:paraId="234B4511">
                  <w:pPr>
                    <w:pStyle w:val="17"/>
                    <w:tabs>
                      <w:tab w:val="clear" w:pos="4153"/>
                      <w:tab w:val="clear" w:pos="8306"/>
                    </w:tabs>
                    <w:snapToGrid/>
                    <w:spacing w:line="300" w:lineRule="exac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6</w:t>
                  </w:r>
                  <w:r>
                    <w:rPr>
                      <w:rFonts w:hint="default" w:ascii="Times New Roman" w:hAnsi="Times New Roman" w:eastAsia="仿宋" w:cs="Times New Roman"/>
                      <w:bCs/>
                      <w:color w:val="auto"/>
                      <w:sz w:val="21"/>
                      <w:szCs w:val="21"/>
                      <w:lang w:val="en-US" w:eastAsia="zh-CN"/>
                    </w:rPr>
                    <w:t>5</w:t>
                  </w:r>
                </w:p>
              </w:tc>
              <w:tc>
                <w:tcPr>
                  <w:tcW w:w="804" w:type="pct"/>
                  <w:tcMar>
                    <w:left w:w="0" w:type="dxa"/>
                    <w:right w:w="0" w:type="dxa"/>
                  </w:tcMar>
                  <w:vAlign w:val="center"/>
                </w:tcPr>
                <w:p w14:paraId="1C3A718D">
                  <w:pPr>
                    <w:pStyle w:val="17"/>
                    <w:tabs>
                      <w:tab w:val="clear" w:pos="4153"/>
                      <w:tab w:val="clear" w:pos="8306"/>
                    </w:tabs>
                    <w:snapToGrid/>
                    <w:spacing w:line="300" w:lineRule="exac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lang w:val="en-US" w:eastAsia="zh-CN"/>
                    </w:rPr>
                    <w:t>55</w:t>
                  </w:r>
                </w:p>
              </w:tc>
            </w:tr>
            <w:tr w14:paraId="02794C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5" w:type="pct"/>
                  <w:tcMar>
                    <w:left w:w="0" w:type="dxa"/>
                    <w:right w:w="0" w:type="dxa"/>
                  </w:tcMar>
                  <w:vAlign w:val="center"/>
                </w:tcPr>
                <w:p w14:paraId="2EAEAA59">
                  <w:pPr>
                    <w:spacing w:line="300" w:lineRule="exact"/>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北厂界</w:t>
                  </w:r>
                </w:p>
              </w:tc>
              <w:tc>
                <w:tcPr>
                  <w:tcW w:w="1238" w:type="pct"/>
                  <w:tcMar>
                    <w:left w:w="0" w:type="dxa"/>
                    <w:right w:w="0" w:type="dxa"/>
                  </w:tcMar>
                  <w:vAlign w:val="center"/>
                </w:tcPr>
                <w:p w14:paraId="32C1685C">
                  <w:pPr>
                    <w:pStyle w:val="17"/>
                    <w:tabs>
                      <w:tab w:val="clear" w:pos="4153"/>
                      <w:tab w:val="clear" w:pos="8306"/>
                    </w:tabs>
                    <w:snapToGrid/>
                    <w:spacing w:line="300" w:lineRule="exact"/>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49.64</w:t>
                  </w:r>
                </w:p>
              </w:tc>
              <w:tc>
                <w:tcPr>
                  <w:tcW w:w="2191" w:type="dxa"/>
                  <w:tcMar>
                    <w:left w:w="0" w:type="dxa"/>
                    <w:right w:w="0" w:type="dxa"/>
                  </w:tcMar>
                  <w:vAlign w:val="center"/>
                </w:tcPr>
                <w:p w14:paraId="0EF113DB">
                  <w:pPr>
                    <w:pStyle w:val="17"/>
                    <w:tabs>
                      <w:tab w:val="clear" w:pos="4153"/>
                      <w:tab w:val="clear" w:pos="8306"/>
                    </w:tabs>
                    <w:snapToGrid/>
                    <w:spacing w:line="300" w:lineRule="exact"/>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w:t>
                  </w:r>
                </w:p>
              </w:tc>
              <w:tc>
                <w:tcPr>
                  <w:tcW w:w="832" w:type="pct"/>
                  <w:tcMar>
                    <w:left w:w="0" w:type="dxa"/>
                    <w:right w:w="0" w:type="dxa"/>
                  </w:tcMar>
                  <w:vAlign w:val="center"/>
                </w:tcPr>
                <w:p w14:paraId="668D5A9C">
                  <w:pPr>
                    <w:pStyle w:val="17"/>
                    <w:tabs>
                      <w:tab w:val="clear" w:pos="4153"/>
                      <w:tab w:val="clear" w:pos="8306"/>
                    </w:tabs>
                    <w:snapToGrid/>
                    <w:spacing w:line="300" w:lineRule="exac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6</w:t>
                  </w:r>
                  <w:r>
                    <w:rPr>
                      <w:rFonts w:hint="default" w:ascii="Times New Roman" w:hAnsi="Times New Roman" w:eastAsia="仿宋" w:cs="Times New Roman"/>
                      <w:bCs/>
                      <w:color w:val="auto"/>
                      <w:sz w:val="21"/>
                      <w:szCs w:val="21"/>
                      <w:lang w:val="en-US" w:eastAsia="zh-CN"/>
                    </w:rPr>
                    <w:t>5</w:t>
                  </w:r>
                </w:p>
              </w:tc>
              <w:tc>
                <w:tcPr>
                  <w:tcW w:w="804" w:type="pct"/>
                  <w:tcMar>
                    <w:left w:w="0" w:type="dxa"/>
                    <w:right w:w="0" w:type="dxa"/>
                  </w:tcMar>
                  <w:vAlign w:val="center"/>
                </w:tcPr>
                <w:p w14:paraId="09D3C152">
                  <w:pPr>
                    <w:pStyle w:val="17"/>
                    <w:tabs>
                      <w:tab w:val="clear" w:pos="4153"/>
                      <w:tab w:val="clear" w:pos="8306"/>
                    </w:tabs>
                    <w:snapToGrid/>
                    <w:spacing w:line="300" w:lineRule="exac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lang w:val="en-US" w:eastAsia="zh-CN"/>
                    </w:rPr>
                    <w:t>55</w:t>
                  </w:r>
                </w:p>
              </w:tc>
            </w:tr>
          </w:tbl>
          <w:p w14:paraId="5A3DF3E6">
            <w:pPr>
              <w:adjustRightInd w:val="0"/>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由上表可知，本项目经过减振、隔音等降噪措施后，东、南、西、北各厂界昼间噪声贡献值均符合《工业企业环境噪声排放标准》（GB12348-20083）3 类标准。</w:t>
            </w:r>
          </w:p>
          <w:p w14:paraId="71B2B244">
            <w:pPr>
              <w:adjustRightInd w:val="0"/>
              <w:snapToGrid w:val="0"/>
              <w:spacing w:line="500" w:lineRule="exact"/>
              <w:ind w:firstLine="482" w:firstLineChars="200"/>
              <w:rPr>
                <w:rFonts w:hint="default" w:ascii="Times New Roman" w:hAnsi="Times New Roman" w:eastAsia="仿宋" w:cs="Times New Roman"/>
                <w:b/>
                <w:bCs/>
                <w:color w:val="auto"/>
                <w:sz w:val="24"/>
                <w:lang w:eastAsia="zh-CN"/>
              </w:rPr>
            </w:pPr>
            <w:r>
              <w:rPr>
                <w:rFonts w:hint="default" w:ascii="Times New Roman" w:hAnsi="Times New Roman" w:eastAsia="仿宋" w:cs="Times New Roman"/>
                <w:b/>
                <w:bCs/>
                <w:color w:val="auto"/>
                <w:sz w:val="24"/>
                <w:lang w:val="en-US" w:eastAsia="zh-CN"/>
              </w:rPr>
              <w:t>3、</w:t>
            </w:r>
            <w:r>
              <w:rPr>
                <w:rFonts w:hint="default" w:ascii="Times New Roman" w:hAnsi="Times New Roman" w:eastAsia="仿宋" w:cs="Times New Roman"/>
                <w:b/>
                <w:bCs/>
                <w:color w:val="auto"/>
                <w:sz w:val="24"/>
              </w:rPr>
              <w:t>监测</w:t>
            </w:r>
            <w:r>
              <w:rPr>
                <w:rFonts w:hint="default" w:ascii="Times New Roman" w:hAnsi="Times New Roman" w:eastAsia="仿宋" w:cs="Times New Roman"/>
                <w:b/>
                <w:bCs/>
                <w:color w:val="auto"/>
                <w:sz w:val="24"/>
                <w:lang w:val="en-US" w:eastAsia="zh-CN"/>
              </w:rPr>
              <w:t>要求</w:t>
            </w:r>
          </w:p>
          <w:p w14:paraId="75D449E1">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表4-1</w:t>
            </w:r>
            <w:r>
              <w:rPr>
                <w:rFonts w:hint="eastAsia" w:ascii="Times New Roman" w:hAnsi="Times New Roman" w:eastAsia="仿宋" w:cs="Times New Roman"/>
                <w:b/>
                <w:bCs/>
                <w:color w:val="auto"/>
                <w:sz w:val="21"/>
                <w:szCs w:val="21"/>
                <w:lang w:val="en-US" w:eastAsia="zh-CN"/>
              </w:rPr>
              <w:t>8</w:t>
            </w:r>
            <w:r>
              <w:rPr>
                <w:rFonts w:hint="default" w:ascii="Times New Roman" w:hAnsi="Times New Roman" w:eastAsia="仿宋" w:cs="Times New Roman"/>
                <w:b/>
                <w:bCs/>
                <w:color w:val="auto"/>
                <w:sz w:val="21"/>
                <w:szCs w:val="21"/>
                <w:lang w:val="en-US" w:eastAsia="zh-CN"/>
              </w:rPr>
              <w:t xml:space="preserve"> 噪声监测因子及频次表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169"/>
              <w:gridCol w:w="2017"/>
              <w:gridCol w:w="2929"/>
              <w:gridCol w:w="2725"/>
            </w:tblGrid>
            <w:tr w14:paraId="336880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1" w:type="pct"/>
                  <w:tcBorders>
                    <w:tl2br w:val="nil"/>
                    <w:tr2bl w:val="nil"/>
                  </w:tcBorders>
                  <w:vAlign w:val="center"/>
                </w:tcPr>
                <w:p w14:paraId="5D5C5A82">
                  <w:pPr>
                    <w:snapToGrid w:val="0"/>
                    <w:spacing w:line="280" w:lineRule="exact"/>
                    <w:jc w:val="center"/>
                    <w:rPr>
                      <w:rFonts w:hint="default" w:ascii="Times New Roman" w:hAnsi="Times New Roman" w:eastAsia="仿宋" w:cs="Times New Roman"/>
                      <w:b/>
                      <w:color w:val="auto"/>
                      <w:szCs w:val="21"/>
                      <w:lang w:eastAsia="zh-CN"/>
                    </w:rPr>
                  </w:pPr>
                  <w:r>
                    <w:rPr>
                      <w:rFonts w:hint="default" w:ascii="Times New Roman" w:hAnsi="Times New Roman" w:eastAsia="仿宋" w:cs="Times New Roman"/>
                      <w:b/>
                      <w:color w:val="auto"/>
                      <w:szCs w:val="21"/>
                      <w:lang w:val="en-US" w:eastAsia="zh-CN"/>
                    </w:rPr>
                    <w:t>类别</w:t>
                  </w:r>
                </w:p>
              </w:tc>
              <w:tc>
                <w:tcPr>
                  <w:tcW w:w="1140" w:type="pct"/>
                  <w:tcBorders>
                    <w:tl2br w:val="nil"/>
                    <w:tr2bl w:val="nil"/>
                  </w:tcBorders>
                  <w:vAlign w:val="center"/>
                </w:tcPr>
                <w:p w14:paraId="4962D985">
                  <w:pPr>
                    <w:snapToGrid w:val="0"/>
                    <w:spacing w:line="280" w:lineRule="exact"/>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监测点位</w:t>
                  </w:r>
                </w:p>
              </w:tc>
              <w:tc>
                <w:tcPr>
                  <w:tcW w:w="1656" w:type="pct"/>
                  <w:tcBorders>
                    <w:tl2br w:val="nil"/>
                    <w:tr2bl w:val="nil"/>
                  </w:tcBorders>
                  <w:vAlign w:val="center"/>
                </w:tcPr>
                <w:p w14:paraId="1C2BCDF6">
                  <w:pPr>
                    <w:snapToGrid w:val="0"/>
                    <w:spacing w:line="280" w:lineRule="exact"/>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rPr>
                    <w:t>监测</w:t>
                  </w:r>
                  <w:r>
                    <w:rPr>
                      <w:rFonts w:hint="default" w:ascii="Times New Roman" w:hAnsi="Times New Roman" w:eastAsia="仿宋" w:cs="Times New Roman"/>
                      <w:b/>
                      <w:color w:val="auto"/>
                      <w:szCs w:val="21"/>
                      <w:lang w:val="en-US" w:eastAsia="zh-CN"/>
                    </w:rPr>
                    <w:t>项目</w:t>
                  </w:r>
                </w:p>
              </w:tc>
              <w:tc>
                <w:tcPr>
                  <w:tcW w:w="1540" w:type="pct"/>
                  <w:tcBorders>
                    <w:tl2br w:val="nil"/>
                    <w:tr2bl w:val="nil"/>
                  </w:tcBorders>
                  <w:vAlign w:val="center"/>
                </w:tcPr>
                <w:p w14:paraId="44DECE83">
                  <w:pPr>
                    <w:snapToGrid w:val="0"/>
                    <w:spacing w:line="280" w:lineRule="exact"/>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监测频次</w:t>
                  </w:r>
                </w:p>
              </w:tc>
            </w:tr>
            <w:tr w14:paraId="7A224F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1" w:type="pct"/>
                  <w:tcBorders>
                    <w:tl2br w:val="nil"/>
                    <w:tr2bl w:val="nil"/>
                  </w:tcBorders>
                  <w:vAlign w:val="center"/>
                </w:tcPr>
                <w:p w14:paraId="217D5F0B">
                  <w:pPr>
                    <w:snapToGrid w:val="0"/>
                    <w:spacing w:line="280" w:lineRule="exact"/>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噪声</w:t>
                  </w:r>
                </w:p>
              </w:tc>
              <w:tc>
                <w:tcPr>
                  <w:tcW w:w="1140" w:type="pct"/>
                  <w:tcBorders>
                    <w:tl2br w:val="nil"/>
                    <w:tr2bl w:val="nil"/>
                  </w:tcBorders>
                  <w:vAlign w:val="center"/>
                </w:tcPr>
                <w:p w14:paraId="4955BA4C">
                  <w:pPr>
                    <w:snapToGrid w:val="0"/>
                    <w:spacing w:line="28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四周</w:t>
                  </w:r>
                  <w:r>
                    <w:rPr>
                      <w:rFonts w:hint="default" w:ascii="Times New Roman" w:hAnsi="Times New Roman" w:eastAsia="仿宋" w:cs="Times New Roman"/>
                      <w:color w:val="auto"/>
                      <w:szCs w:val="21"/>
                    </w:rPr>
                    <w:t>厂界</w:t>
                  </w:r>
                  <w:r>
                    <w:rPr>
                      <w:rFonts w:hint="default" w:ascii="Times New Roman" w:hAnsi="Times New Roman" w:eastAsia="仿宋" w:cs="Times New Roman"/>
                      <w:color w:val="auto"/>
                      <w:szCs w:val="21"/>
                      <w:lang w:val="en-US" w:eastAsia="zh-CN"/>
                    </w:rPr>
                    <w:t>外1米处</w:t>
                  </w:r>
                </w:p>
              </w:tc>
              <w:tc>
                <w:tcPr>
                  <w:tcW w:w="1656" w:type="pct"/>
                  <w:tcBorders>
                    <w:tl2br w:val="nil"/>
                    <w:tr2bl w:val="nil"/>
                  </w:tcBorders>
                  <w:vAlign w:val="center"/>
                </w:tcPr>
                <w:p w14:paraId="55D716A4">
                  <w:pPr>
                    <w:snapToGrid w:val="0"/>
                    <w:spacing w:line="280" w:lineRule="exact"/>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昼间</w:t>
                  </w:r>
                  <w:r>
                    <w:rPr>
                      <w:rFonts w:hint="default" w:ascii="Times New Roman" w:hAnsi="Times New Roman" w:eastAsia="仿宋" w:cs="Times New Roman"/>
                      <w:bCs/>
                      <w:color w:val="auto"/>
                      <w:szCs w:val="21"/>
                    </w:rPr>
                    <w:t>等效连续A声级</w:t>
                  </w:r>
                </w:p>
              </w:tc>
              <w:tc>
                <w:tcPr>
                  <w:tcW w:w="1540" w:type="pct"/>
                  <w:tcBorders>
                    <w:tl2br w:val="nil"/>
                    <w:tr2bl w:val="nil"/>
                  </w:tcBorders>
                  <w:vAlign w:val="center"/>
                </w:tcPr>
                <w:p w14:paraId="50A89863">
                  <w:pPr>
                    <w:snapToGrid w:val="0"/>
                    <w:spacing w:line="280" w:lineRule="exact"/>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每季度监测1次</w:t>
                  </w:r>
                </w:p>
              </w:tc>
            </w:tr>
          </w:tbl>
          <w:p w14:paraId="789E5227">
            <w:pPr>
              <w:adjustRightInd w:val="0"/>
              <w:snapToGrid w:val="0"/>
              <w:spacing w:line="500" w:lineRule="exact"/>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eastAsia="zh-CN"/>
              </w:rPr>
              <w:t>四</w:t>
            </w:r>
            <w:r>
              <w:rPr>
                <w:rFonts w:hint="default" w:ascii="Times New Roman" w:hAnsi="Times New Roman" w:eastAsia="仿宋" w:cs="Times New Roman"/>
                <w:b/>
                <w:color w:val="auto"/>
                <w:sz w:val="24"/>
              </w:rPr>
              <w:t>、固体废物</w:t>
            </w:r>
          </w:p>
          <w:p w14:paraId="17AEE588">
            <w:pPr>
              <w:adjustRightInd w:val="0"/>
              <w:snapToGrid w:val="0"/>
              <w:spacing w:line="500" w:lineRule="exact"/>
              <w:ind w:firstLine="482" w:firstLineChars="200"/>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val="en-US" w:eastAsia="zh-CN"/>
              </w:rPr>
              <w:t>1、</w:t>
            </w:r>
            <w:r>
              <w:rPr>
                <w:rFonts w:hint="default" w:ascii="Times New Roman" w:hAnsi="Times New Roman" w:eastAsia="仿宋" w:cs="Times New Roman"/>
                <w:b/>
                <w:bCs/>
                <w:color w:val="auto"/>
                <w:sz w:val="24"/>
              </w:rPr>
              <w:t>固体废物产生情况</w:t>
            </w:r>
          </w:p>
          <w:p w14:paraId="31FBE38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 w:val="0"/>
                <w:bCs w:val="0"/>
                <w:color w:val="auto"/>
                <w:sz w:val="24"/>
                <w:highlight w:val="none"/>
                <w:lang w:val="en-US" w:eastAsia="zh-CN"/>
              </w:rPr>
              <w:t>项目固体废物主要有生活垃圾、边角料、废</w:t>
            </w:r>
            <w:r>
              <w:rPr>
                <w:rFonts w:hint="eastAsia" w:ascii="Times New Roman" w:hAnsi="Times New Roman" w:eastAsia="仿宋" w:cs="Times New Roman"/>
                <w:b w:val="0"/>
                <w:bCs w:val="0"/>
                <w:color w:val="auto"/>
                <w:sz w:val="24"/>
                <w:highlight w:val="none"/>
                <w:lang w:val="en-US" w:eastAsia="zh-CN"/>
              </w:rPr>
              <w:t>切削液</w:t>
            </w:r>
            <w:r>
              <w:rPr>
                <w:rFonts w:hint="default" w:ascii="Times New Roman" w:hAnsi="Times New Roman" w:eastAsia="仿宋" w:cs="Times New Roman"/>
                <w:b w:val="0"/>
                <w:bCs w:val="0"/>
                <w:color w:val="auto"/>
                <w:sz w:val="24"/>
                <w:highlight w:val="none"/>
                <w:lang w:val="en-US" w:eastAsia="zh-CN"/>
              </w:rPr>
              <w:t>、焊渣、废</w:t>
            </w:r>
            <w:r>
              <w:rPr>
                <w:rFonts w:hint="eastAsia" w:eastAsia="仿宋" w:cs="Times New Roman"/>
                <w:b w:val="0"/>
                <w:bCs w:val="0"/>
                <w:color w:val="auto"/>
                <w:sz w:val="24"/>
                <w:highlight w:val="none"/>
                <w:lang w:val="en-US" w:eastAsia="zh-CN"/>
              </w:rPr>
              <w:t>玻璃</w:t>
            </w:r>
            <w:r>
              <w:rPr>
                <w:rFonts w:hint="default" w:ascii="Times New Roman" w:hAnsi="Times New Roman" w:eastAsia="仿宋" w:cs="Times New Roman"/>
                <w:b w:val="0"/>
                <w:bCs w:val="0"/>
                <w:color w:val="auto"/>
                <w:sz w:val="24"/>
                <w:highlight w:val="none"/>
                <w:lang w:val="en-US" w:eastAsia="zh-CN"/>
              </w:rPr>
              <w:t>砂、含漆废物、漆渣、</w:t>
            </w:r>
            <w:r>
              <w:rPr>
                <w:rFonts w:hint="eastAsia" w:ascii="Times New Roman" w:hAnsi="Times New Roman" w:eastAsia="仿宋" w:cs="Times New Roman"/>
                <w:b w:val="0"/>
                <w:bCs w:val="0"/>
                <w:color w:val="auto"/>
                <w:sz w:val="24"/>
                <w:highlight w:val="none"/>
                <w:lang w:val="en-US" w:eastAsia="zh-CN"/>
              </w:rPr>
              <w:t>试漏废液、</w:t>
            </w:r>
            <w:r>
              <w:rPr>
                <w:rFonts w:hint="default" w:ascii="Times New Roman" w:hAnsi="Times New Roman" w:eastAsia="仿宋" w:cs="Times New Roman"/>
                <w:b w:val="0"/>
                <w:bCs w:val="0"/>
                <w:color w:val="auto"/>
                <w:sz w:val="24"/>
                <w:highlight w:val="none"/>
                <w:lang w:val="en-US" w:eastAsia="zh-CN"/>
              </w:rPr>
              <w:t>废包装桶、废过滤介质、废活性炭、收尘、废布袋、</w:t>
            </w:r>
            <w:r>
              <w:rPr>
                <w:rFonts w:hint="default" w:ascii="Times New Roman" w:hAnsi="Times New Roman" w:eastAsia="仿宋" w:cs="Times New Roman"/>
                <w:b w:val="0"/>
                <w:bCs w:val="0"/>
                <w:color w:val="auto"/>
                <w:sz w:val="24"/>
              </w:rPr>
              <w:t>含油抹布手套</w:t>
            </w:r>
            <w:r>
              <w:rPr>
                <w:rFonts w:hint="default" w:ascii="Times New Roman" w:hAnsi="Times New Roman" w:eastAsia="仿宋" w:cs="Times New Roman"/>
                <w:b w:val="0"/>
                <w:bCs w:val="0"/>
                <w:color w:val="auto"/>
                <w:sz w:val="24"/>
                <w:highlight w:val="none"/>
                <w:lang w:val="en-US" w:eastAsia="zh-CN"/>
              </w:rPr>
              <w:t>，</w:t>
            </w:r>
            <w:r>
              <w:rPr>
                <w:rFonts w:hint="default" w:ascii="Times New Roman" w:hAnsi="Times New Roman" w:eastAsia="仿宋" w:cs="Times New Roman"/>
                <w:color w:val="auto"/>
                <w:sz w:val="24"/>
                <w:highlight w:val="none"/>
                <w:lang w:val="en-US" w:eastAsia="zh-CN"/>
              </w:rPr>
              <w:t xml:space="preserve">估算情况如下。 </w:t>
            </w:r>
          </w:p>
          <w:p w14:paraId="532EB151">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
                <w:bCs/>
                <w:color w:val="auto"/>
                <w:sz w:val="24"/>
                <w:highlight w:val="none"/>
                <w:lang w:val="en-US" w:eastAsia="zh-CN"/>
              </w:rPr>
              <w:t>生活垃圾</w:t>
            </w:r>
            <w:r>
              <w:rPr>
                <w:rFonts w:hint="default" w:ascii="Times New Roman" w:hAnsi="Times New Roman" w:eastAsia="仿宋" w:cs="Times New Roman"/>
                <w:color w:val="auto"/>
                <w:sz w:val="24"/>
                <w:highlight w:val="none"/>
                <w:lang w:val="en-US" w:eastAsia="zh-CN"/>
              </w:rPr>
              <w:t>：本项目员工</w:t>
            </w:r>
            <w:r>
              <w:rPr>
                <w:rFonts w:hint="eastAsia" w:eastAsia="仿宋" w:cs="Times New Roman"/>
                <w:color w:val="auto"/>
                <w:sz w:val="24"/>
                <w:highlight w:val="none"/>
                <w:lang w:val="en-US" w:eastAsia="zh-CN"/>
              </w:rPr>
              <w:t>100</w:t>
            </w:r>
            <w:r>
              <w:rPr>
                <w:rFonts w:hint="default" w:ascii="Times New Roman" w:hAnsi="Times New Roman" w:eastAsia="仿宋" w:cs="Times New Roman"/>
                <w:color w:val="auto"/>
                <w:sz w:val="24"/>
                <w:highlight w:val="none"/>
                <w:lang w:val="en-US" w:eastAsia="zh-CN"/>
              </w:rPr>
              <w:t>人，生活垃圾产生量以</w:t>
            </w:r>
            <w:r>
              <w:rPr>
                <w:rFonts w:hint="eastAsia" w:eastAsia="仿宋" w:cs="Times New Roman"/>
                <w:color w:val="auto"/>
                <w:sz w:val="24"/>
                <w:highlight w:val="none"/>
                <w:lang w:val="en-US" w:eastAsia="zh-CN"/>
              </w:rPr>
              <w:t>0.5</w:t>
            </w:r>
            <w:r>
              <w:rPr>
                <w:rFonts w:hint="default" w:ascii="Times New Roman" w:hAnsi="Times New Roman" w:eastAsia="仿宋" w:cs="Times New Roman"/>
                <w:color w:val="auto"/>
                <w:sz w:val="24"/>
                <w:highlight w:val="none"/>
                <w:lang w:val="en-US" w:eastAsia="zh-CN"/>
              </w:rPr>
              <w:t>kg/人·d 计，则生活垃圾产生量约为</w:t>
            </w:r>
            <w:r>
              <w:rPr>
                <w:rFonts w:hint="eastAsia" w:eastAsia="仿宋" w:cs="Times New Roman"/>
                <w:color w:val="auto"/>
                <w:sz w:val="24"/>
                <w:highlight w:val="none"/>
                <w:lang w:val="en-US" w:eastAsia="zh-CN"/>
              </w:rPr>
              <w:t>15</w:t>
            </w:r>
            <w:r>
              <w:rPr>
                <w:rFonts w:hint="default" w:ascii="Times New Roman" w:hAnsi="Times New Roman" w:eastAsia="仿宋" w:cs="Times New Roman"/>
                <w:color w:val="auto"/>
                <w:sz w:val="24"/>
                <w:highlight w:val="none"/>
                <w:lang w:val="en-US" w:eastAsia="zh-CN"/>
              </w:rPr>
              <w:t>t/a</w:t>
            </w:r>
            <w:r>
              <w:rPr>
                <w:rFonts w:hint="default" w:ascii="Times New Roman" w:hAnsi="Times New Roman" w:eastAsia="仿宋" w:cs="Times New Roman"/>
                <w:b w:val="0"/>
                <w:bCs w:val="0"/>
                <w:color w:val="auto"/>
                <w:sz w:val="24"/>
                <w:highlight w:val="none"/>
                <w:lang w:val="en-US" w:eastAsia="zh-CN"/>
              </w:rPr>
              <w:t>。</w:t>
            </w:r>
            <w:r>
              <w:rPr>
                <w:rFonts w:hint="default" w:ascii="Times New Roman" w:hAnsi="Times New Roman" w:eastAsia="仿宋" w:cs="Times New Roman"/>
                <w:color w:val="auto"/>
                <w:sz w:val="24"/>
                <w:highlight w:val="none"/>
                <w:lang w:val="en-US" w:eastAsia="zh-CN"/>
              </w:rPr>
              <w:t xml:space="preserve"> </w:t>
            </w:r>
          </w:p>
          <w:p w14:paraId="0569240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
                <w:bCs/>
                <w:color w:val="auto"/>
                <w:sz w:val="24"/>
                <w:highlight w:val="none"/>
                <w:lang w:val="en-US" w:eastAsia="zh-CN"/>
              </w:rPr>
              <w:t>边角料</w:t>
            </w:r>
            <w:r>
              <w:rPr>
                <w:rFonts w:hint="default" w:ascii="Times New Roman" w:hAnsi="Times New Roman" w:eastAsia="仿宋" w:cs="Times New Roman"/>
                <w:color w:val="auto"/>
                <w:sz w:val="24"/>
                <w:highlight w:val="none"/>
                <w:lang w:val="en-US" w:eastAsia="zh-CN"/>
              </w:rPr>
              <w:t>：本项目在机加工过程中产生边角料，结合原有项目产废情况，项目边角料</w:t>
            </w:r>
            <w:r>
              <w:rPr>
                <w:rFonts w:hint="eastAsia" w:eastAsia="仿宋" w:cs="Times New Roman"/>
                <w:color w:val="auto"/>
                <w:sz w:val="24"/>
                <w:highlight w:val="none"/>
                <w:lang w:val="en-US" w:eastAsia="zh-CN"/>
              </w:rPr>
              <w:t>产生量</w:t>
            </w:r>
            <w:r>
              <w:rPr>
                <w:rFonts w:hint="default" w:ascii="Times New Roman" w:hAnsi="Times New Roman" w:eastAsia="仿宋" w:cs="Times New Roman"/>
                <w:color w:val="auto"/>
                <w:sz w:val="24"/>
                <w:highlight w:val="none"/>
                <w:lang w:val="en-US" w:eastAsia="zh-CN"/>
              </w:rPr>
              <w:t>约</w:t>
            </w:r>
            <w:r>
              <w:rPr>
                <w:rFonts w:hint="eastAsia" w:eastAsia="仿宋" w:cs="Times New Roman"/>
                <w:color w:val="auto"/>
                <w:sz w:val="24"/>
                <w:highlight w:val="none"/>
                <w:lang w:val="en-US" w:eastAsia="zh-CN"/>
              </w:rPr>
              <w:t>80</w:t>
            </w:r>
            <w:r>
              <w:rPr>
                <w:rFonts w:hint="default" w:ascii="Times New Roman" w:hAnsi="Times New Roman" w:eastAsia="仿宋" w:cs="Times New Roman"/>
                <w:color w:val="auto"/>
                <w:sz w:val="24"/>
                <w:highlight w:val="none"/>
                <w:lang w:val="en-US" w:eastAsia="zh-CN"/>
              </w:rPr>
              <w:t>t/a</w:t>
            </w:r>
            <w:r>
              <w:rPr>
                <w:rFonts w:hint="default" w:ascii="Times New Roman" w:hAnsi="Times New Roman" w:eastAsia="仿宋" w:cs="Times New Roman"/>
                <w:b w:val="0"/>
                <w:bCs w:val="0"/>
                <w:color w:val="auto"/>
                <w:sz w:val="24"/>
                <w:highlight w:val="none"/>
                <w:lang w:val="en-US" w:eastAsia="zh-CN"/>
              </w:rPr>
              <w:t>。</w:t>
            </w:r>
            <w:r>
              <w:rPr>
                <w:rFonts w:hint="default" w:ascii="Times New Roman" w:hAnsi="Times New Roman" w:eastAsia="仿宋" w:cs="Times New Roman"/>
                <w:color w:val="auto"/>
                <w:sz w:val="24"/>
                <w:highlight w:val="none"/>
                <w:lang w:val="en-US" w:eastAsia="zh-CN"/>
              </w:rPr>
              <w:t xml:space="preserve"> </w:t>
            </w:r>
          </w:p>
          <w:p w14:paraId="490B2901">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
                <w:bCs/>
                <w:color w:val="auto"/>
                <w:sz w:val="24"/>
                <w:highlight w:val="none"/>
                <w:lang w:val="en-US" w:eastAsia="zh-CN"/>
              </w:rPr>
              <w:t>焊渣</w:t>
            </w:r>
            <w:r>
              <w:rPr>
                <w:rFonts w:hint="default" w:ascii="Times New Roman" w:hAnsi="Times New Roman" w:eastAsia="仿宋" w:cs="Times New Roman"/>
                <w:color w:val="auto"/>
                <w:sz w:val="24"/>
                <w:highlight w:val="none"/>
                <w:lang w:val="en-US" w:eastAsia="zh-CN"/>
              </w:rPr>
              <w:t>：本项目焊接过程中产生焊渣，结合原有项目焊渣产生情况，项目焊渣</w:t>
            </w:r>
            <w:r>
              <w:rPr>
                <w:rFonts w:hint="eastAsia" w:eastAsia="仿宋" w:cs="Times New Roman"/>
                <w:color w:val="auto"/>
                <w:sz w:val="24"/>
                <w:highlight w:val="none"/>
                <w:lang w:val="en-US" w:eastAsia="zh-CN"/>
              </w:rPr>
              <w:t>产生量</w:t>
            </w:r>
            <w:r>
              <w:rPr>
                <w:rFonts w:hint="default" w:ascii="Times New Roman" w:hAnsi="Times New Roman" w:eastAsia="仿宋" w:cs="Times New Roman"/>
                <w:color w:val="auto"/>
                <w:sz w:val="24"/>
                <w:highlight w:val="none"/>
                <w:lang w:val="en-US" w:eastAsia="zh-CN"/>
              </w:rPr>
              <w:t>约</w:t>
            </w:r>
            <w:r>
              <w:rPr>
                <w:rFonts w:hint="eastAsia" w:eastAsia="仿宋" w:cs="Times New Roman"/>
                <w:color w:val="auto"/>
                <w:sz w:val="24"/>
                <w:highlight w:val="none"/>
                <w:lang w:val="en-US" w:eastAsia="zh-CN"/>
              </w:rPr>
              <w:t>0.8</w:t>
            </w:r>
            <w:r>
              <w:rPr>
                <w:rFonts w:hint="default" w:ascii="Times New Roman" w:hAnsi="Times New Roman" w:eastAsia="仿宋" w:cs="Times New Roman"/>
                <w:color w:val="auto"/>
                <w:sz w:val="24"/>
                <w:highlight w:val="none"/>
                <w:lang w:val="en-US" w:eastAsia="zh-CN"/>
              </w:rPr>
              <w:t>t/a</w:t>
            </w:r>
            <w:r>
              <w:rPr>
                <w:rFonts w:hint="default" w:ascii="Times New Roman" w:hAnsi="Times New Roman" w:eastAsia="仿宋" w:cs="Times New Roman"/>
                <w:b w:val="0"/>
                <w:bCs w:val="0"/>
                <w:color w:val="auto"/>
                <w:sz w:val="24"/>
                <w:highlight w:val="none"/>
                <w:lang w:val="en-US" w:eastAsia="zh-CN"/>
              </w:rPr>
              <w:t>。</w:t>
            </w:r>
            <w:r>
              <w:rPr>
                <w:rFonts w:hint="default" w:ascii="Times New Roman" w:hAnsi="Times New Roman" w:eastAsia="仿宋" w:cs="Times New Roman"/>
                <w:color w:val="auto"/>
                <w:sz w:val="24"/>
                <w:highlight w:val="none"/>
                <w:lang w:val="en-US" w:eastAsia="zh-CN"/>
              </w:rPr>
              <w:t xml:space="preserve"> </w:t>
            </w:r>
          </w:p>
          <w:p w14:paraId="4C9C8F8E">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
                <w:bCs/>
                <w:color w:val="auto"/>
                <w:sz w:val="24"/>
                <w:highlight w:val="none"/>
                <w:lang w:val="en-US" w:eastAsia="zh-CN"/>
              </w:rPr>
              <w:t>废</w:t>
            </w:r>
            <w:r>
              <w:rPr>
                <w:rFonts w:hint="eastAsia" w:eastAsia="仿宋" w:cs="Times New Roman"/>
                <w:b/>
                <w:bCs/>
                <w:color w:val="auto"/>
                <w:sz w:val="24"/>
                <w:highlight w:val="none"/>
                <w:lang w:val="en-US" w:eastAsia="zh-CN"/>
              </w:rPr>
              <w:t>玻璃</w:t>
            </w:r>
            <w:r>
              <w:rPr>
                <w:rFonts w:hint="default" w:ascii="Times New Roman" w:hAnsi="Times New Roman" w:eastAsia="仿宋" w:cs="Times New Roman"/>
                <w:b/>
                <w:bCs/>
                <w:color w:val="auto"/>
                <w:sz w:val="24"/>
                <w:highlight w:val="none"/>
                <w:lang w:val="en-US" w:eastAsia="zh-CN"/>
              </w:rPr>
              <w:t>砂</w:t>
            </w:r>
            <w:r>
              <w:rPr>
                <w:rFonts w:hint="default" w:ascii="Times New Roman" w:hAnsi="Times New Roman" w:eastAsia="仿宋" w:cs="Times New Roman"/>
                <w:color w:val="auto"/>
                <w:sz w:val="24"/>
                <w:highlight w:val="none"/>
                <w:lang w:val="en-US" w:eastAsia="zh-CN"/>
              </w:rPr>
              <w:t>：本项目喷砂过程中产生废</w:t>
            </w:r>
            <w:r>
              <w:rPr>
                <w:rFonts w:hint="eastAsia" w:ascii="Times New Roman" w:hAnsi="Times New Roman" w:eastAsia="仿宋" w:cs="Times New Roman"/>
                <w:color w:val="auto"/>
                <w:sz w:val="24"/>
                <w:highlight w:val="none"/>
                <w:lang w:val="en-US" w:eastAsia="zh-CN"/>
              </w:rPr>
              <w:t>玻璃</w:t>
            </w:r>
            <w:r>
              <w:rPr>
                <w:rFonts w:hint="default" w:ascii="Times New Roman" w:hAnsi="Times New Roman" w:eastAsia="仿宋" w:cs="Times New Roman"/>
                <w:color w:val="auto"/>
                <w:sz w:val="24"/>
                <w:highlight w:val="none"/>
                <w:lang w:val="en-US" w:eastAsia="zh-CN"/>
              </w:rPr>
              <w:t>砂，产生量约为原料用量的9</w:t>
            </w:r>
            <w:r>
              <w:rPr>
                <w:rFonts w:hint="eastAsia" w:ascii="Times New Roman" w:hAnsi="Times New Roman" w:eastAsia="仿宋" w:cs="Times New Roman"/>
                <w:color w:val="auto"/>
                <w:sz w:val="24"/>
                <w:highlight w:val="none"/>
                <w:lang w:val="en-US" w:eastAsia="zh-CN"/>
              </w:rPr>
              <w:t>5</w:t>
            </w:r>
            <w:r>
              <w:rPr>
                <w:rFonts w:hint="default" w:ascii="Times New Roman" w:hAnsi="Times New Roman" w:eastAsia="仿宋" w:cs="Times New Roman"/>
                <w:color w:val="auto"/>
                <w:sz w:val="24"/>
                <w:highlight w:val="none"/>
                <w:lang w:val="en-US" w:eastAsia="zh-CN"/>
              </w:rPr>
              <w:t>%，项目</w:t>
            </w:r>
            <w:r>
              <w:rPr>
                <w:rFonts w:hint="eastAsia" w:ascii="Times New Roman" w:hAnsi="Times New Roman" w:eastAsia="仿宋" w:cs="Times New Roman"/>
                <w:color w:val="auto"/>
                <w:sz w:val="24"/>
                <w:highlight w:val="none"/>
                <w:lang w:val="en-US" w:eastAsia="zh-CN"/>
              </w:rPr>
              <w:t>玻璃</w:t>
            </w:r>
            <w:r>
              <w:rPr>
                <w:rFonts w:hint="default" w:ascii="Times New Roman" w:hAnsi="Times New Roman" w:eastAsia="仿宋" w:cs="Times New Roman"/>
                <w:color w:val="auto"/>
                <w:sz w:val="24"/>
                <w:highlight w:val="none"/>
                <w:lang w:val="en-US" w:eastAsia="zh-CN"/>
              </w:rPr>
              <w:t>砂年用量约</w:t>
            </w:r>
            <w:r>
              <w:rPr>
                <w:rFonts w:hint="eastAsia" w:ascii="Times New Roman" w:hAnsi="Times New Roman" w:eastAsia="仿宋" w:cs="Times New Roman"/>
                <w:color w:val="auto"/>
                <w:sz w:val="24"/>
                <w:highlight w:val="none"/>
                <w:lang w:val="en-US" w:eastAsia="zh-CN"/>
              </w:rPr>
              <w:t>24</w:t>
            </w:r>
            <w:r>
              <w:rPr>
                <w:rFonts w:hint="default" w:ascii="Times New Roman" w:hAnsi="Times New Roman" w:eastAsia="仿宋" w:cs="Times New Roman"/>
                <w:color w:val="auto"/>
                <w:sz w:val="24"/>
                <w:highlight w:val="none"/>
                <w:lang w:val="en-US" w:eastAsia="zh-CN"/>
              </w:rPr>
              <w:t>t。则废</w:t>
            </w:r>
            <w:r>
              <w:rPr>
                <w:rFonts w:hint="eastAsia" w:ascii="Times New Roman" w:hAnsi="Times New Roman" w:eastAsia="仿宋" w:cs="Times New Roman"/>
                <w:color w:val="auto"/>
                <w:sz w:val="24"/>
                <w:highlight w:val="none"/>
                <w:lang w:val="en-US" w:eastAsia="zh-CN"/>
              </w:rPr>
              <w:t>玻璃</w:t>
            </w:r>
            <w:r>
              <w:rPr>
                <w:rFonts w:hint="default" w:ascii="Times New Roman" w:hAnsi="Times New Roman" w:eastAsia="仿宋" w:cs="Times New Roman"/>
                <w:color w:val="auto"/>
                <w:sz w:val="24"/>
                <w:highlight w:val="none"/>
                <w:lang w:val="en-US" w:eastAsia="zh-CN"/>
              </w:rPr>
              <w:t>砂产生量约</w:t>
            </w:r>
            <w:r>
              <w:rPr>
                <w:rFonts w:hint="eastAsia" w:ascii="Times New Roman" w:hAnsi="Times New Roman" w:eastAsia="仿宋" w:cs="Times New Roman"/>
                <w:color w:val="auto"/>
                <w:sz w:val="24"/>
                <w:highlight w:val="none"/>
                <w:lang w:val="en-US" w:eastAsia="zh-CN"/>
              </w:rPr>
              <w:t>22.8</w:t>
            </w:r>
            <w:r>
              <w:rPr>
                <w:rFonts w:hint="default" w:ascii="Times New Roman" w:hAnsi="Times New Roman" w:eastAsia="仿宋" w:cs="Times New Roman"/>
                <w:color w:val="auto"/>
                <w:sz w:val="24"/>
                <w:highlight w:val="none"/>
                <w:lang w:val="en-US" w:eastAsia="zh-CN"/>
              </w:rPr>
              <w:t>t/a。</w:t>
            </w:r>
          </w:p>
          <w:p w14:paraId="7AAFCF41">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
                <w:bCs/>
                <w:color w:val="auto"/>
                <w:sz w:val="24"/>
                <w:highlight w:val="none"/>
                <w:lang w:val="en-US" w:eastAsia="zh-CN"/>
              </w:rPr>
              <w:t>废布袋</w:t>
            </w:r>
            <w:r>
              <w:rPr>
                <w:rFonts w:hint="default" w:ascii="Times New Roman" w:hAnsi="Times New Roman" w:eastAsia="仿宋" w:cs="Times New Roman"/>
                <w:color w:val="auto"/>
                <w:sz w:val="24"/>
                <w:highlight w:val="none"/>
                <w:lang w:val="en-US" w:eastAsia="zh-CN"/>
              </w:rPr>
              <w:t>：项目袋式除尘器所用布袋每年更换一次，根据布袋数量折算，废布袋产生量约0.</w:t>
            </w:r>
            <w:r>
              <w:rPr>
                <w:rFonts w:hint="eastAsia" w:eastAsia="仿宋" w:cs="Times New Roman"/>
                <w:color w:val="auto"/>
                <w:sz w:val="24"/>
                <w:highlight w:val="none"/>
                <w:lang w:val="en-US" w:eastAsia="zh-CN"/>
              </w:rPr>
              <w:t>5</w:t>
            </w:r>
            <w:r>
              <w:rPr>
                <w:rFonts w:hint="default" w:ascii="Times New Roman" w:hAnsi="Times New Roman" w:eastAsia="仿宋" w:cs="Times New Roman"/>
                <w:color w:val="auto"/>
                <w:sz w:val="24"/>
                <w:highlight w:val="none"/>
                <w:lang w:val="en-US" w:eastAsia="zh-CN"/>
              </w:rPr>
              <w:t>t/a</w:t>
            </w:r>
            <w:r>
              <w:rPr>
                <w:rFonts w:hint="default" w:ascii="Times New Roman" w:hAnsi="Times New Roman" w:eastAsia="仿宋" w:cs="Times New Roman"/>
                <w:b w:val="0"/>
                <w:bCs w:val="0"/>
                <w:color w:val="auto"/>
                <w:sz w:val="24"/>
                <w:highlight w:val="none"/>
                <w:lang w:val="en-US" w:eastAsia="zh-CN"/>
              </w:rPr>
              <w:t>。</w:t>
            </w:r>
            <w:r>
              <w:rPr>
                <w:rFonts w:hint="default" w:ascii="Times New Roman" w:hAnsi="Times New Roman" w:eastAsia="仿宋" w:cs="Times New Roman"/>
                <w:color w:val="auto"/>
                <w:sz w:val="24"/>
                <w:highlight w:val="none"/>
                <w:lang w:val="en-US" w:eastAsia="zh-CN"/>
              </w:rPr>
              <w:t xml:space="preserve"> </w:t>
            </w:r>
          </w:p>
          <w:p w14:paraId="5CEDF952">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
                <w:bCs/>
                <w:color w:val="auto"/>
                <w:sz w:val="24"/>
                <w:highlight w:val="none"/>
                <w:lang w:val="en-US" w:eastAsia="zh-CN"/>
              </w:rPr>
              <w:t>收尘</w:t>
            </w:r>
            <w:r>
              <w:rPr>
                <w:rFonts w:hint="default" w:ascii="Times New Roman" w:hAnsi="Times New Roman" w:eastAsia="仿宋" w:cs="Times New Roman"/>
                <w:color w:val="auto"/>
                <w:sz w:val="24"/>
                <w:highlight w:val="none"/>
                <w:lang w:val="en-US" w:eastAsia="zh-CN"/>
              </w:rPr>
              <w:t>：本项目</w:t>
            </w:r>
            <w:r>
              <w:rPr>
                <w:rFonts w:hint="eastAsia" w:eastAsia="仿宋" w:cs="Times New Roman"/>
                <w:color w:val="auto"/>
                <w:sz w:val="24"/>
                <w:highlight w:val="none"/>
                <w:lang w:val="en-US" w:eastAsia="zh-CN"/>
              </w:rPr>
              <w:t>焊接、打磨、</w:t>
            </w:r>
            <w:r>
              <w:rPr>
                <w:rFonts w:hint="eastAsia" w:ascii="Times New Roman" w:hAnsi="Times New Roman" w:eastAsia="仿宋" w:cs="Times New Roman"/>
                <w:color w:val="auto"/>
                <w:sz w:val="24"/>
                <w:highlight w:val="none"/>
                <w:lang w:val="en-US" w:eastAsia="zh-CN"/>
              </w:rPr>
              <w:t>抛光</w:t>
            </w:r>
            <w:r>
              <w:rPr>
                <w:rFonts w:hint="default" w:ascii="Times New Roman" w:hAnsi="Times New Roman" w:eastAsia="仿宋" w:cs="Times New Roman"/>
                <w:color w:val="auto"/>
                <w:sz w:val="24"/>
                <w:highlight w:val="none"/>
                <w:lang w:val="en-US" w:eastAsia="zh-CN"/>
              </w:rPr>
              <w:t>、喷砂等废气</w:t>
            </w:r>
            <w:r>
              <w:rPr>
                <w:rFonts w:hint="eastAsia" w:eastAsia="仿宋" w:cs="Times New Roman"/>
                <w:color w:val="auto"/>
                <w:sz w:val="24"/>
                <w:highlight w:val="none"/>
                <w:lang w:val="en-US" w:eastAsia="zh-CN"/>
              </w:rPr>
              <w:t>均</w:t>
            </w:r>
            <w:r>
              <w:rPr>
                <w:rFonts w:hint="default" w:ascii="Times New Roman" w:hAnsi="Times New Roman" w:eastAsia="仿宋" w:cs="Times New Roman"/>
                <w:color w:val="auto"/>
                <w:sz w:val="24"/>
                <w:highlight w:val="none"/>
                <w:lang w:val="en-US" w:eastAsia="zh-CN"/>
              </w:rPr>
              <w:t>采用袋式除尘器处理，根据工程分析，本项目收尘产生量约</w:t>
            </w:r>
            <w:r>
              <w:rPr>
                <w:rFonts w:hint="eastAsia" w:eastAsia="仿宋" w:cs="Times New Roman"/>
                <w:color w:val="auto"/>
                <w:sz w:val="24"/>
                <w:highlight w:val="none"/>
                <w:lang w:val="en-US" w:eastAsia="zh-CN"/>
              </w:rPr>
              <w:t>13.742</w:t>
            </w:r>
            <w:r>
              <w:rPr>
                <w:rFonts w:hint="default" w:ascii="Times New Roman" w:hAnsi="Times New Roman" w:eastAsia="仿宋" w:cs="Times New Roman"/>
                <w:color w:val="auto"/>
                <w:sz w:val="24"/>
                <w:highlight w:val="none"/>
                <w:lang w:val="en-US" w:eastAsia="zh-CN"/>
              </w:rPr>
              <w:t>t/a</w:t>
            </w:r>
            <w:r>
              <w:rPr>
                <w:rFonts w:hint="default" w:ascii="Times New Roman" w:hAnsi="Times New Roman" w:eastAsia="仿宋" w:cs="Times New Roman"/>
                <w:b w:val="0"/>
                <w:bCs w:val="0"/>
                <w:color w:val="auto"/>
                <w:sz w:val="24"/>
                <w:highlight w:val="none"/>
                <w:lang w:val="en-US" w:eastAsia="zh-CN"/>
              </w:rPr>
              <w:t>。</w:t>
            </w:r>
            <w:r>
              <w:rPr>
                <w:rFonts w:hint="default" w:ascii="Times New Roman" w:hAnsi="Times New Roman" w:eastAsia="仿宋" w:cs="Times New Roman"/>
                <w:color w:val="auto"/>
                <w:sz w:val="24"/>
                <w:highlight w:val="none"/>
                <w:lang w:val="en-US" w:eastAsia="zh-CN"/>
              </w:rPr>
              <w:t xml:space="preserve"> </w:t>
            </w:r>
          </w:p>
          <w:p w14:paraId="78BABE9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
                <w:bCs/>
                <w:color w:val="auto"/>
                <w:sz w:val="24"/>
                <w:highlight w:val="none"/>
                <w:lang w:val="en-US" w:eastAsia="zh-CN"/>
              </w:rPr>
              <w:t>废</w:t>
            </w:r>
            <w:r>
              <w:rPr>
                <w:rFonts w:hint="eastAsia" w:ascii="Times New Roman" w:hAnsi="Times New Roman" w:eastAsia="仿宋" w:cs="Times New Roman"/>
                <w:b/>
                <w:bCs/>
                <w:color w:val="auto"/>
                <w:sz w:val="24"/>
                <w:highlight w:val="none"/>
                <w:lang w:val="en-US" w:eastAsia="zh-CN"/>
              </w:rPr>
              <w:t>切削液</w:t>
            </w:r>
            <w:r>
              <w:rPr>
                <w:rFonts w:hint="default" w:ascii="Times New Roman" w:hAnsi="Times New Roman" w:eastAsia="仿宋" w:cs="Times New Roman"/>
                <w:color w:val="auto"/>
                <w:sz w:val="24"/>
                <w:highlight w:val="none"/>
                <w:lang w:val="en-US" w:eastAsia="zh-CN"/>
              </w:rPr>
              <w:t>：本项目机加工工序使用的</w:t>
            </w:r>
            <w:r>
              <w:rPr>
                <w:rFonts w:hint="eastAsia" w:ascii="Times New Roman" w:hAnsi="Times New Roman" w:eastAsia="仿宋" w:cs="Times New Roman"/>
                <w:color w:val="auto"/>
                <w:sz w:val="24"/>
                <w:highlight w:val="none"/>
                <w:lang w:val="en-US" w:eastAsia="zh-CN"/>
              </w:rPr>
              <w:t>切削液</w:t>
            </w:r>
            <w:r>
              <w:rPr>
                <w:rFonts w:hint="default" w:ascii="Times New Roman" w:hAnsi="Times New Roman" w:eastAsia="仿宋" w:cs="Times New Roman"/>
                <w:color w:val="auto"/>
                <w:sz w:val="24"/>
                <w:highlight w:val="none"/>
                <w:lang w:val="en-US" w:eastAsia="zh-CN"/>
              </w:rPr>
              <w:t>需定期更换，项目使用</w:t>
            </w:r>
            <w:r>
              <w:rPr>
                <w:rFonts w:hint="eastAsia" w:eastAsia="仿宋" w:cs="Times New Roman"/>
                <w:color w:val="auto"/>
                <w:sz w:val="24"/>
                <w:highlight w:val="none"/>
                <w:lang w:val="en-US" w:eastAsia="zh-CN"/>
              </w:rPr>
              <w:t>浓</w:t>
            </w:r>
            <w:r>
              <w:rPr>
                <w:rFonts w:hint="eastAsia" w:ascii="Times New Roman" w:hAnsi="Times New Roman" w:eastAsia="仿宋" w:cs="Times New Roman"/>
                <w:color w:val="auto"/>
                <w:sz w:val="24"/>
                <w:highlight w:val="none"/>
                <w:lang w:val="en-US" w:eastAsia="zh-CN"/>
              </w:rPr>
              <w:t>切削液</w:t>
            </w:r>
            <w:r>
              <w:rPr>
                <w:rFonts w:hint="eastAsia" w:eastAsia="仿宋" w:cs="Times New Roman"/>
                <w:color w:val="auto"/>
                <w:sz w:val="24"/>
                <w:highlight w:val="none"/>
                <w:lang w:val="en-US" w:eastAsia="zh-CN"/>
              </w:rPr>
              <w:t>2</w:t>
            </w:r>
            <w:r>
              <w:rPr>
                <w:rFonts w:hint="default" w:ascii="Times New Roman" w:hAnsi="Times New Roman" w:eastAsia="仿宋" w:cs="Times New Roman"/>
                <w:color w:val="auto"/>
                <w:sz w:val="24"/>
                <w:highlight w:val="none"/>
                <w:lang w:val="en-US" w:eastAsia="zh-CN"/>
              </w:rPr>
              <w:t>t/a，配比为</w:t>
            </w:r>
            <w:r>
              <w:rPr>
                <w:rFonts w:hint="eastAsia" w:ascii="Times New Roman" w:hAnsi="Times New Roman" w:eastAsia="仿宋" w:cs="Times New Roman"/>
                <w:color w:val="auto"/>
                <w:sz w:val="24"/>
                <w:highlight w:val="none"/>
                <w:lang w:val="en-US" w:eastAsia="zh-CN"/>
              </w:rPr>
              <w:t>切削液</w:t>
            </w:r>
            <w:r>
              <w:rPr>
                <w:rFonts w:hint="default" w:ascii="Times New Roman" w:hAnsi="Times New Roman" w:eastAsia="仿宋" w:cs="Times New Roman"/>
                <w:color w:val="auto"/>
                <w:sz w:val="24"/>
                <w:highlight w:val="none"/>
                <w:lang w:val="en-US" w:eastAsia="zh-CN"/>
              </w:rPr>
              <w:t>：水=1:9，</w:t>
            </w:r>
            <w:r>
              <w:rPr>
                <w:rFonts w:hint="eastAsia" w:eastAsia="仿宋" w:cs="Times New Roman"/>
                <w:color w:val="auto"/>
                <w:kern w:val="2"/>
                <w:sz w:val="24"/>
                <w:szCs w:val="24"/>
                <w:lang w:val="en-US" w:eastAsia="zh-CN" w:bidi="ar-SA"/>
              </w:rPr>
              <w:t>切削液一次更换最大量约为2</w:t>
            </w:r>
            <w:r>
              <w:rPr>
                <w:rFonts w:hint="default" w:ascii="Times New Roman" w:hAnsi="Times New Roman" w:eastAsia="仿宋" w:cs="Times New Roman"/>
                <w:color w:val="auto"/>
                <w:sz w:val="24"/>
                <w:szCs w:val="24"/>
                <w:highlight w:val="none"/>
                <w:lang w:val="en-US" w:eastAsia="zh-CN"/>
              </w:rPr>
              <w:t>t/a</w:t>
            </w:r>
            <w:r>
              <w:rPr>
                <w:rFonts w:hint="eastAsia" w:eastAsia="仿宋" w:cs="Times New Roman"/>
                <w:color w:val="auto"/>
                <w:sz w:val="24"/>
                <w:szCs w:val="24"/>
                <w:highlight w:val="none"/>
                <w:lang w:val="en-US" w:eastAsia="zh-CN"/>
              </w:rPr>
              <w:t>，3个月更换一次，则</w:t>
            </w:r>
            <w:r>
              <w:rPr>
                <w:rFonts w:hint="default" w:ascii="Times New Roman" w:hAnsi="Times New Roman" w:eastAsia="仿宋" w:cs="Times New Roman"/>
                <w:color w:val="auto"/>
                <w:sz w:val="24"/>
                <w:szCs w:val="24"/>
                <w:highlight w:val="none"/>
                <w:lang w:val="en-US" w:eastAsia="zh-CN"/>
              </w:rPr>
              <w:t>项目废</w:t>
            </w:r>
            <w:r>
              <w:rPr>
                <w:rFonts w:hint="eastAsia" w:ascii="Times New Roman" w:hAnsi="Times New Roman" w:eastAsia="仿宋" w:cs="Times New Roman"/>
                <w:color w:val="auto"/>
                <w:sz w:val="24"/>
                <w:szCs w:val="24"/>
                <w:highlight w:val="none"/>
                <w:lang w:val="en-US" w:eastAsia="zh-CN"/>
              </w:rPr>
              <w:t>切削液</w:t>
            </w:r>
            <w:r>
              <w:rPr>
                <w:rFonts w:hint="eastAsia" w:eastAsia="仿宋" w:cs="Times New Roman"/>
                <w:color w:val="auto"/>
                <w:sz w:val="24"/>
                <w:szCs w:val="24"/>
                <w:highlight w:val="none"/>
                <w:lang w:val="en-US" w:eastAsia="zh-CN"/>
              </w:rPr>
              <w:t>产生量约8</w:t>
            </w:r>
            <w:r>
              <w:rPr>
                <w:rFonts w:hint="default" w:ascii="Times New Roman" w:hAnsi="Times New Roman" w:eastAsia="仿宋" w:cs="Times New Roman"/>
                <w:color w:val="auto"/>
                <w:sz w:val="24"/>
                <w:szCs w:val="24"/>
                <w:highlight w:val="none"/>
                <w:lang w:val="en-US" w:eastAsia="zh-CN"/>
              </w:rPr>
              <w:t>t/a</w:t>
            </w:r>
            <w:r>
              <w:rPr>
                <w:rFonts w:hint="default" w:ascii="Times New Roman" w:hAnsi="Times New Roman" w:eastAsia="仿宋" w:cs="Times New Roman"/>
                <w:b w:val="0"/>
                <w:bCs w:val="0"/>
                <w:color w:val="auto"/>
                <w:sz w:val="24"/>
                <w:szCs w:val="24"/>
                <w:highlight w:val="none"/>
                <w:lang w:val="en-US" w:eastAsia="zh-CN"/>
              </w:rPr>
              <w:t>。</w:t>
            </w:r>
          </w:p>
          <w:p w14:paraId="49F2FECC">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
                <w:bCs/>
                <w:color w:val="auto"/>
                <w:sz w:val="24"/>
                <w:highlight w:val="none"/>
                <w:lang w:val="en-US" w:eastAsia="zh-CN"/>
              </w:rPr>
              <w:t>废包装桶</w:t>
            </w:r>
            <w:r>
              <w:rPr>
                <w:rFonts w:hint="default" w:ascii="Times New Roman" w:hAnsi="Times New Roman" w:eastAsia="仿宋" w:cs="Times New Roman"/>
                <w:color w:val="auto"/>
                <w:sz w:val="24"/>
                <w:highlight w:val="none"/>
                <w:lang w:val="en-US" w:eastAsia="zh-CN"/>
              </w:rPr>
              <w:t>：本项目新增</w:t>
            </w:r>
            <w:r>
              <w:rPr>
                <w:rFonts w:hint="eastAsia" w:ascii="Times New Roman" w:hAnsi="Times New Roman" w:eastAsia="仿宋" w:cs="Times New Roman"/>
                <w:color w:val="auto"/>
                <w:sz w:val="24"/>
                <w:highlight w:val="none"/>
                <w:lang w:val="en-US" w:eastAsia="zh-CN"/>
              </w:rPr>
              <w:t>切削液</w:t>
            </w:r>
            <w:r>
              <w:rPr>
                <w:rFonts w:hint="default" w:ascii="Times New Roman" w:hAnsi="Times New Roman" w:eastAsia="仿宋" w:cs="Times New Roman"/>
                <w:color w:val="auto"/>
                <w:sz w:val="24"/>
                <w:highlight w:val="none"/>
                <w:lang w:val="en-US" w:eastAsia="zh-CN"/>
              </w:rPr>
              <w:t>桶</w:t>
            </w:r>
            <w:r>
              <w:rPr>
                <w:rFonts w:hint="eastAsia" w:eastAsia="仿宋" w:cs="Times New Roman"/>
                <w:color w:val="auto"/>
                <w:sz w:val="24"/>
                <w:highlight w:val="none"/>
                <w:lang w:val="en-US" w:eastAsia="zh-CN"/>
              </w:rPr>
              <w:t>12</w:t>
            </w:r>
            <w:r>
              <w:rPr>
                <w:rFonts w:hint="default" w:ascii="Times New Roman" w:hAnsi="Times New Roman" w:eastAsia="仿宋" w:cs="Times New Roman"/>
                <w:color w:val="auto"/>
                <w:sz w:val="24"/>
                <w:highlight w:val="none"/>
                <w:lang w:val="en-US" w:eastAsia="zh-CN"/>
              </w:rPr>
              <w:t>个（折20kg/个）、</w:t>
            </w:r>
            <w:r>
              <w:rPr>
                <w:rFonts w:hint="eastAsia" w:eastAsia="仿宋" w:cs="Times New Roman"/>
                <w:color w:val="auto"/>
                <w:sz w:val="24"/>
                <w:highlight w:val="none"/>
                <w:lang w:val="en-US" w:eastAsia="zh-CN"/>
              </w:rPr>
              <w:t>机油</w:t>
            </w:r>
            <w:r>
              <w:rPr>
                <w:rFonts w:hint="default" w:ascii="Times New Roman" w:hAnsi="Times New Roman" w:eastAsia="仿宋" w:cs="Times New Roman"/>
                <w:color w:val="auto"/>
                <w:sz w:val="24"/>
                <w:highlight w:val="none"/>
                <w:lang w:val="en-US" w:eastAsia="zh-CN"/>
              </w:rPr>
              <w:t>桶</w:t>
            </w:r>
            <w:r>
              <w:rPr>
                <w:rFonts w:hint="eastAsia" w:eastAsia="仿宋" w:cs="Times New Roman"/>
                <w:color w:val="auto"/>
                <w:sz w:val="24"/>
                <w:highlight w:val="none"/>
                <w:lang w:val="en-US" w:eastAsia="zh-CN"/>
              </w:rPr>
              <w:t>3</w:t>
            </w:r>
            <w:r>
              <w:rPr>
                <w:rFonts w:hint="default" w:ascii="Times New Roman" w:hAnsi="Times New Roman" w:eastAsia="仿宋" w:cs="Times New Roman"/>
                <w:color w:val="auto"/>
                <w:sz w:val="24"/>
                <w:highlight w:val="none"/>
                <w:lang w:val="en-US" w:eastAsia="zh-CN"/>
              </w:rPr>
              <w:t>个（折20kg/个）、漆桶</w:t>
            </w:r>
            <w:r>
              <w:rPr>
                <w:rFonts w:hint="eastAsia" w:eastAsia="仿宋" w:cs="Times New Roman"/>
                <w:color w:val="auto"/>
                <w:sz w:val="24"/>
                <w:highlight w:val="none"/>
                <w:lang w:val="en-US" w:eastAsia="zh-CN"/>
              </w:rPr>
              <w:t>60</w:t>
            </w:r>
            <w:r>
              <w:rPr>
                <w:rFonts w:hint="default" w:ascii="Times New Roman" w:hAnsi="Times New Roman" w:eastAsia="仿宋" w:cs="Times New Roman"/>
                <w:color w:val="auto"/>
                <w:sz w:val="24"/>
                <w:highlight w:val="none"/>
                <w:lang w:val="en-US" w:eastAsia="zh-CN"/>
              </w:rPr>
              <w:t>0个/年（折1.5kg/个），则本项目废包装桶</w:t>
            </w:r>
            <w:r>
              <w:rPr>
                <w:rFonts w:hint="eastAsia" w:eastAsia="仿宋" w:cs="Times New Roman"/>
                <w:color w:val="auto"/>
                <w:sz w:val="24"/>
                <w:highlight w:val="none"/>
                <w:lang w:val="en-US" w:eastAsia="zh-CN"/>
              </w:rPr>
              <w:t>产生量约1.2</w:t>
            </w:r>
            <w:r>
              <w:rPr>
                <w:rFonts w:hint="default" w:ascii="Times New Roman" w:hAnsi="Times New Roman" w:eastAsia="仿宋" w:cs="Times New Roman"/>
                <w:color w:val="auto"/>
                <w:sz w:val="24"/>
                <w:highlight w:val="none"/>
                <w:lang w:val="en-US" w:eastAsia="zh-CN"/>
              </w:rPr>
              <w:t>t/a</w:t>
            </w:r>
            <w:r>
              <w:rPr>
                <w:rFonts w:hint="default" w:ascii="Times New Roman" w:hAnsi="Times New Roman" w:eastAsia="仿宋" w:cs="Times New Roman"/>
                <w:b w:val="0"/>
                <w:bCs w:val="0"/>
                <w:color w:val="auto"/>
                <w:sz w:val="24"/>
                <w:highlight w:val="none"/>
                <w:lang w:val="en-US" w:eastAsia="zh-CN"/>
              </w:rPr>
              <w:t>。</w:t>
            </w:r>
            <w:r>
              <w:rPr>
                <w:rFonts w:hint="default" w:ascii="Times New Roman" w:hAnsi="Times New Roman" w:eastAsia="仿宋" w:cs="Times New Roman"/>
                <w:color w:val="auto"/>
                <w:sz w:val="24"/>
                <w:highlight w:val="none"/>
                <w:lang w:val="en-US" w:eastAsia="zh-CN"/>
              </w:rPr>
              <w:t xml:space="preserve"> </w:t>
            </w:r>
          </w:p>
          <w:p w14:paraId="28AFC05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
                <w:bCs/>
                <w:color w:val="auto"/>
                <w:sz w:val="24"/>
                <w:highlight w:val="none"/>
                <w:lang w:val="en-US" w:eastAsia="zh-CN"/>
              </w:rPr>
              <w:t>漆渣</w:t>
            </w:r>
            <w:r>
              <w:rPr>
                <w:rFonts w:hint="default" w:ascii="Times New Roman" w:hAnsi="Times New Roman" w:eastAsia="仿宋" w:cs="Times New Roman"/>
                <w:color w:val="auto"/>
                <w:sz w:val="24"/>
                <w:highlight w:val="none"/>
                <w:lang w:val="en-US" w:eastAsia="zh-CN"/>
              </w:rPr>
              <w:t>：项目喷漆及漆雾处理过程中产生漆渣，根据水性漆物料平衡图，项目漆渣中固含量约1.</w:t>
            </w:r>
            <w:r>
              <w:rPr>
                <w:rFonts w:hint="eastAsia" w:eastAsia="仿宋" w:cs="Times New Roman"/>
                <w:color w:val="auto"/>
                <w:sz w:val="24"/>
                <w:highlight w:val="none"/>
                <w:lang w:val="en-US" w:eastAsia="zh-CN"/>
              </w:rPr>
              <w:t>33</w:t>
            </w:r>
            <w:r>
              <w:rPr>
                <w:rFonts w:hint="default" w:ascii="Times New Roman" w:hAnsi="Times New Roman" w:eastAsia="仿宋" w:cs="Times New Roman"/>
                <w:color w:val="auto"/>
                <w:sz w:val="24"/>
                <w:highlight w:val="none"/>
                <w:lang w:val="en-US" w:eastAsia="zh-CN"/>
              </w:rPr>
              <w:t>t/a</w:t>
            </w:r>
            <w:r>
              <w:rPr>
                <w:rFonts w:hint="eastAsia" w:eastAsia="仿宋" w:cs="Times New Roman"/>
                <w:color w:val="auto"/>
                <w:sz w:val="24"/>
                <w:highlight w:val="none"/>
                <w:lang w:val="en-US" w:eastAsia="zh-CN"/>
              </w:rPr>
              <w:t>、水分含量</w:t>
            </w:r>
            <w:r>
              <w:rPr>
                <w:rFonts w:hint="default" w:ascii="Times New Roman" w:hAnsi="Times New Roman" w:eastAsia="仿宋" w:cs="Times New Roman"/>
                <w:color w:val="auto"/>
                <w:sz w:val="24"/>
                <w:highlight w:val="none"/>
                <w:lang w:val="en-US" w:eastAsia="zh-CN"/>
              </w:rPr>
              <w:t>约</w:t>
            </w:r>
            <w:r>
              <w:rPr>
                <w:rFonts w:hint="eastAsia" w:ascii="Times New Roman" w:hAnsi="Times New Roman" w:eastAsia="仿宋" w:cs="Times New Roman"/>
                <w:color w:val="auto"/>
                <w:sz w:val="24"/>
                <w:highlight w:val="none"/>
                <w:lang w:val="en-US" w:eastAsia="zh-CN"/>
              </w:rPr>
              <w:t>0.96</w:t>
            </w:r>
            <w:r>
              <w:rPr>
                <w:rFonts w:hint="default" w:ascii="Times New Roman" w:hAnsi="Times New Roman" w:eastAsia="仿宋" w:cs="Times New Roman"/>
                <w:color w:val="auto"/>
                <w:sz w:val="24"/>
                <w:highlight w:val="none"/>
                <w:lang w:val="en-US" w:eastAsia="zh-CN"/>
              </w:rPr>
              <w:t>t/a，则项目漆渣产生量约2.</w:t>
            </w:r>
            <w:r>
              <w:rPr>
                <w:rFonts w:hint="eastAsia" w:eastAsia="仿宋" w:cs="Times New Roman"/>
                <w:color w:val="auto"/>
                <w:sz w:val="24"/>
                <w:highlight w:val="none"/>
                <w:lang w:val="en-US" w:eastAsia="zh-CN"/>
              </w:rPr>
              <w:t>29</w:t>
            </w:r>
            <w:r>
              <w:rPr>
                <w:rFonts w:hint="default" w:ascii="Times New Roman" w:hAnsi="Times New Roman" w:eastAsia="仿宋" w:cs="Times New Roman"/>
                <w:color w:val="auto"/>
                <w:sz w:val="24"/>
                <w:highlight w:val="none"/>
                <w:lang w:val="en-US" w:eastAsia="zh-CN"/>
              </w:rPr>
              <w:t>t/a</w:t>
            </w:r>
            <w:r>
              <w:rPr>
                <w:rFonts w:hint="default" w:ascii="Times New Roman" w:hAnsi="Times New Roman" w:eastAsia="仿宋" w:cs="Times New Roman"/>
                <w:b w:val="0"/>
                <w:bCs w:val="0"/>
                <w:color w:val="auto"/>
                <w:sz w:val="24"/>
                <w:highlight w:val="none"/>
                <w:lang w:val="en-US" w:eastAsia="zh-CN"/>
              </w:rPr>
              <w:t>。</w:t>
            </w:r>
            <w:r>
              <w:rPr>
                <w:rFonts w:hint="default" w:ascii="Times New Roman" w:hAnsi="Times New Roman" w:eastAsia="仿宋" w:cs="Times New Roman"/>
                <w:color w:val="auto"/>
                <w:sz w:val="24"/>
                <w:highlight w:val="none"/>
                <w:lang w:val="en-US" w:eastAsia="zh-CN"/>
              </w:rPr>
              <w:t xml:space="preserve"> </w:t>
            </w:r>
          </w:p>
          <w:p w14:paraId="6265728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
                <w:bCs/>
                <w:color w:val="auto"/>
                <w:sz w:val="24"/>
                <w:highlight w:val="none"/>
                <w:lang w:val="en-US" w:eastAsia="zh-CN"/>
              </w:rPr>
              <w:t>含漆废物</w:t>
            </w:r>
            <w:r>
              <w:rPr>
                <w:rFonts w:hint="default" w:ascii="Times New Roman" w:hAnsi="Times New Roman" w:eastAsia="仿宋" w:cs="Times New Roman"/>
                <w:color w:val="auto"/>
                <w:sz w:val="24"/>
                <w:highlight w:val="none"/>
                <w:lang w:val="en-US" w:eastAsia="zh-CN"/>
              </w:rPr>
              <w:t>：项目喷漆线清洁、员工防护等过程产生含漆废物，按照1kg/天计，则本项目产生含漆废物约0.3t/a</w:t>
            </w:r>
            <w:r>
              <w:rPr>
                <w:rFonts w:hint="default" w:ascii="Times New Roman" w:hAnsi="Times New Roman" w:eastAsia="仿宋" w:cs="Times New Roman"/>
                <w:b w:val="0"/>
                <w:bCs w:val="0"/>
                <w:color w:val="auto"/>
                <w:sz w:val="24"/>
                <w:highlight w:val="none"/>
                <w:lang w:val="en-US" w:eastAsia="zh-CN"/>
              </w:rPr>
              <w:t>。</w:t>
            </w:r>
            <w:r>
              <w:rPr>
                <w:rFonts w:hint="default" w:ascii="Times New Roman" w:hAnsi="Times New Roman" w:eastAsia="仿宋" w:cs="Times New Roman"/>
                <w:color w:val="auto"/>
                <w:sz w:val="24"/>
                <w:highlight w:val="none"/>
                <w:lang w:val="en-US" w:eastAsia="zh-CN"/>
              </w:rPr>
              <w:t xml:space="preserve"> </w:t>
            </w:r>
          </w:p>
          <w:p w14:paraId="37AF14B8">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b/>
                <w:bCs/>
                <w:color w:val="auto"/>
                <w:sz w:val="24"/>
                <w:highlight w:val="none"/>
                <w:lang w:val="en-US" w:eastAsia="zh-CN"/>
              </w:rPr>
              <w:t>试漏废液</w:t>
            </w:r>
            <w:r>
              <w:rPr>
                <w:rFonts w:hint="default" w:ascii="Times New Roman" w:hAnsi="Times New Roman" w:eastAsia="仿宋" w:cs="Times New Roman"/>
                <w:color w:val="auto"/>
                <w:sz w:val="24"/>
                <w:highlight w:val="none"/>
                <w:lang w:val="en-US" w:eastAsia="zh-CN"/>
              </w:rPr>
              <w:t>：项目</w:t>
            </w:r>
            <w:r>
              <w:rPr>
                <w:rFonts w:hint="eastAsia" w:ascii="Times New Roman" w:hAnsi="Times New Roman" w:eastAsia="仿宋" w:cs="Times New Roman"/>
                <w:color w:val="auto"/>
                <w:sz w:val="24"/>
                <w:highlight w:val="none"/>
                <w:lang w:val="en-US" w:eastAsia="zh-CN"/>
              </w:rPr>
              <w:t>试漏</w:t>
            </w:r>
            <w:r>
              <w:rPr>
                <w:rFonts w:hint="default" w:ascii="Times New Roman" w:hAnsi="Times New Roman" w:eastAsia="仿宋" w:cs="Times New Roman"/>
                <w:color w:val="auto"/>
                <w:sz w:val="24"/>
                <w:highlight w:val="none"/>
                <w:lang w:val="en-US" w:eastAsia="zh-CN"/>
              </w:rPr>
              <w:t>环节产生</w:t>
            </w:r>
            <w:r>
              <w:rPr>
                <w:rFonts w:hint="eastAsia" w:ascii="Times New Roman" w:hAnsi="Times New Roman" w:eastAsia="仿宋" w:cs="Times New Roman"/>
                <w:b w:val="0"/>
                <w:bCs w:val="0"/>
                <w:color w:val="auto"/>
                <w:sz w:val="24"/>
                <w:highlight w:val="none"/>
                <w:lang w:val="en-US" w:eastAsia="zh-CN"/>
              </w:rPr>
              <w:t>试漏废液</w:t>
            </w:r>
            <w:r>
              <w:rPr>
                <w:rFonts w:hint="default" w:ascii="Times New Roman" w:hAnsi="Times New Roman" w:eastAsia="仿宋" w:cs="Times New Roman"/>
                <w:b w:val="0"/>
                <w:bCs w:val="0"/>
                <w:color w:val="auto"/>
                <w:sz w:val="24"/>
                <w:highlight w:val="none"/>
                <w:lang w:val="en-US" w:eastAsia="zh-CN"/>
              </w:rPr>
              <w:t>，根据工程分析，</w:t>
            </w:r>
            <w:r>
              <w:rPr>
                <w:rFonts w:hint="eastAsia" w:ascii="Times New Roman" w:hAnsi="Times New Roman" w:eastAsia="仿宋" w:cs="Times New Roman"/>
                <w:b w:val="0"/>
                <w:bCs w:val="0"/>
                <w:color w:val="auto"/>
                <w:sz w:val="24"/>
                <w:highlight w:val="none"/>
                <w:lang w:val="en-US" w:eastAsia="zh-CN"/>
              </w:rPr>
              <w:t>试漏废液产生量</w:t>
            </w:r>
            <w:r>
              <w:rPr>
                <w:rFonts w:hint="default" w:ascii="Times New Roman" w:hAnsi="Times New Roman" w:eastAsia="仿宋" w:cs="Times New Roman"/>
                <w:b w:val="0"/>
                <w:bCs w:val="0"/>
                <w:color w:val="auto"/>
                <w:sz w:val="24"/>
                <w:highlight w:val="none"/>
                <w:lang w:val="en-US" w:eastAsia="zh-CN"/>
              </w:rPr>
              <w:t>约</w:t>
            </w:r>
            <w:r>
              <w:rPr>
                <w:rFonts w:hint="eastAsia" w:eastAsia="仿宋" w:cs="Times New Roman"/>
                <w:color w:val="auto"/>
                <w:sz w:val="24"/>
                <w:highlight w:val="none"/>
                <w:lang w:val="en-US" w:eastAsia="zh-CN"/>
              </w:rPr>
              <w:t>3.6</w:t>
            </w:r>
            <w:r>
              <w:rPr>
                <w:rFonts w:hint="default" w:ascii="Times New Roman" w:hAnsi="Times New Roman" w:eastAsia="仿宋" w:cs="Times New Roman"/>
                <w:color w:val="auto"/>
                <w:sz w:val="24"/>
                <w:highlight w:val="none"/>
                <w:lang w:val="en-US" w:eastAsia="zh-CN"/>
              </w:rPr>
              <w:t>t/a</w:t>
            </w:r>
            <w:r>
              <w:rPr>
                <w:rFonts w:hint="default" w:ascii="Times New Roman" w:hAnsi="Times New Roman" w:eastAsia="仿宋" w:cs="Times New Roman"/>
                <w:b w:val="0"/>
                <w:bCs w:val="0"/>
                <w:color w:val="auto"/>
                <w:sz w:val="24"/>
                <w:highlight w:val="none"/>
                <w:lang w:val="en-US" w:eastAsia="zh-CN"/>
              </w:rPr>
              <w:t>。</w:t>
            </w:r>
            <w:r>
              <w:rPr>
                <w:rFonts w:hint="default" w:ascii="Times New Roman" w:hAnsi="Times New Roman" w:eastAsia="仿宋" w:cs="Times New Roman"/>
                <w:color w:val="auto"/>
                <w:sz w:val="24"/>
                <w:highlight w:val="none"/>
                <w:lang w:val="en-US" w:eastAsia="zh-CN"/>
              </w:rPr>
              <w:t xml:space="preserve"> </w:t>
            </w:r>
          </w:p>
          <w:p w14:paraId="6526982E">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
                <w:bCs/>
                <w:color w:val="auto"/>
                <w:sz w:val="24"/>
                <w:highlight w:val="none"/>
                <w:lang w:val="en-US" w:eastAsia="zh-CN"/>
              </w:rPr>
              <w:t>废过滤介质</w:t>
            </w:r>
            <w:r>
              <w:rPr>
                <w:rFonts w:hint="default" w:ascii="Times New Roman" w:hAnsi="Times New Roman" w:eastAsia="仿宋" w:cs="Times New Roman"/>
                <w:color w:val="auto"/>
                <w:sz w:val="24"/>
                <w:highlight w:val="none"/>
                <w:lang w:val="en-US" w:eastAsia="zh-CN"/>
              </w:rPr>
              <w:t>：喷漆线干式过滤盒需定期进行更换，根据过滤盒的装填量及漆雾处理需求，漆雾过滤盒约每季度更换一次，则单次更换</w:t>
            </w:r>
            <w:r>
              <w:rPr>
                <w:rFonts w:hint="eastAsia" w:eastAsia="仿宋" w:cs="Times New Roman"/>
                <w:color w:val="auto"/>
                <w:sz w:val="24"/>
                <w:highlight w:val="none"/>
                <w:lang w:val="en-US" w:eastAsia="zh-CN"/>
              </w:rPr>
              <w:t>80</w:t>
            </w:r>
            <w:r>
              <w:rPr>
                <w:rFonts w:hint="default" w:ascii="Times New Roman" w:hAnsi="Times New Roman" w:eastAsia="仿宋" w:cs="Times New Roman"/>
                <w:color w:val="auto"/>
                <w:sz w:val="24"/>
                <w:highlight w:val="none"/>
                <w:lang w:val="en-US" w:eastAsia="zh-CN"/>
              </w:rPr>
              <w:t>个，单个折算为2kg，则项目产生废过滤介质约0.6</w:t>
            </w:r>
            <w:r>
              <w:rPr>
                <w:rFonts w:hint="eastAsia" w:eastAsia="仿宋" w:cs="Times New Roman"/>
                <w:color w:val="auto"/>
                <w:sz w:val="24"/>
                <w:highlight w:val="none"/>
                <w:lang w:val="en-US" w:eastAsia="zh-CN"/>
              </w:rPr>
              <w:t>4</w:t>
            </w:r>
            <w:r>
              <w:rPr>
                <w:rFonts w:hint="default" w:ascii="Times New Roman" w:hAnsi="Times New Roman" w:eastAsia="仿宋" w:cs="Times New Roman"/>
                <w:color w:val="auto"/>
                <w:sz w:val="24"/>
                <w:highlight w:val="none"/>
                <w:lang w:val="en-US" w:eastAsia="zh-CN"/>
              </w:rPr>
              <w:t>t/a</w:t>
            </w:r>
            <w:r>
              <w:rPr>
                <w:rFonts w:hint="default" w:ascii="Times New Roman" w:hAnsi="Times New Roman" w:eastAsia="仿宋" w:cs="Times New Roman"/>
                <w:b w:val="0"/>
                <w:bCs w:val="0"/>
                <w:color w:val="auto"/>
                <w:sz w:val="24"/>
                <w:highlight w:val="none"/>
                <w:lang w:val="en-US" w:eastAsia="zh-CN"/>
              </w:rPr>
              <w:t>。</w:t>
            </w:r>
          </w:p>
          <w:p w14:paraId="7FF7AFE5">
            <w:pPr>
              <w:adjustRightInd w:val="0"/>
              <w:snapToGrid w:val="0"/>
              <w:spacing w:line="500" w:lineRule="exact"/>
              <w:ind w:firstLine="482" w:firstLineChars="200"/>
              <w:rPr>
                <w:rFonts w:hint="default" w:ascii="Times New Roman" w:hAnsi="Times New Roman" w:eastAsia="仿宋" w:cs="Times New Roman"/>
                <w:color w:val="auto"/>
                <w:sz w:val="24"/>
              </w:rPr>
            </w:pPr>
            <w:r>
              <w:rPr>
                <w:rFonts w:hint="default" w:ascii="Times New Roman" w:hAnsi="Times New Roman" w:eastAsia="仿宋" w:cs="Times New Roman"/>
                <w:b/>
                <w:color w:val="auto"/>
                <w:sz w:val="24"/>
              </w:rPr>
              <w:t>废活性炭：</w:t>
            </w:r>
            <w:r>
              <w:rPr>
                <w:rFonts w:hint="default" w:ascii="Times New Roman" w:hAnsi="Times New Roman" w:eastAsia="仿宋" w:cs="Times New Roman"/>
                <w:color w:val="auto"/>
                <w:sz w:val="24"/>
              </w:rPr>
              <w:t>本项目</w:t>
            </w:r>
            <w:r>
              <w:rPr>
                <w:rFonts w:hint="default" w:ascii="Times New Roman" w:hAnsi="Times New Roman" w:eastAsia="仿宋" w:cs="Times New Roman"/>
                <w:color w:val="auto"/>
                <w:sz w:val="24"/>
                <w:lang w:eastAsia="zh-CN"/>
              </w:rPr>
              <w:t>有机</w:t>
            </w:r>
            <w:r>
              <w:rPr>
                <w:rFonts w:hint="default" w:ascii="Times New Roman" w:hAnsi="Times New Roman" w:eastAsia="仿宋" w:cs="Times New Roman"/>
                <w:color w:val="auto"/>
                <w:sz w:val="24"/>
                <w:lang w:val="en-US" w:eastAsia="zh-CN"/>
              </w:rPr>
              <w:t>废气采用二级活性炭吸附</w:t>
            </w:r>
            <w:r>
              <w:rPr>
                <w:rFonts w:hint="default" w:ascii="Times New Roman" w:hAnsi="Times New Roman" w:eastAsia="仿宋" w:cs="Times New Roman"/>
                <w:color w:val="auto"/>
                <w:sz w:val="24"/>
              </w:rPr>
              <w:t>处理工艺</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lang w:val="en-US" w:eastAsia="zh-CN"/>
              </w:rPr>
              <w:t>需定期更换活性炭</w:t>
            </w:r>
            <w:r>
              <w:rPr>
                <w:rFonts w:hint="default" w:ascii="Times New Roman" w:hAnsi="Times New Roman" w:eastAsia="仿宋" w:cs="Times New Roman"/>
                <w:color w:val="auto"/>
                <w:sz w:val="24"/>
              </w:rPr>
              <w:t>，根据</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省生态环境厅关于将排污单位活性炭使用更换纳入排污许可管理的通知</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中附件涉活性炭吸附排污单位的排污许可管理要求内的相关公式</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lang w:val="en-US" w:eastAsia="zh-CN"/>
              </w:rPr>
              <w:t>计算活性炭更换周期</w:t>
            </w:r>
            <w:r>
              <w:rPr>
                <w:rFonts w:hint="default" w:ascii="Times New Roman" w:hAnsi="Times New Roman" w:eastAsia="仿宋" w:cs="Times New Roman"/>
                <w:color w:val="auto"/>
                <w:sz w:val="24"/>
              </w:rPr>
              <w:t>：</w:t>
            </w:r>
          </w:p>
          <w:p w14:paraId="2F0D554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T=m×s÷（c×10</w:t>
            </w:r>
            <w:r>
              <w:rPr>
                <w:rFonts w:hint="default" w:ascii="Times New Roman" w:hAnsi="Times New Roman" w:eastAsia="仿宋" w:cs="Times New Roman"/>
                <w:color w:val="auto"/>
                <w:sz w:val="24"/>
                <w:vertAlign w:val="superscript"/>
              </w:rPr>
              <w:t>-6</w:t>
            </w:r>
            <w:r>
              <w:rPr>
                <w:rFonts w:hint="default" w:ascii="Times New Roman" w:hAnsi="Times New Roman" w:eastAsia="仿宋" w:cs="Times New Roman"/>
                <w:color w:val="auto"/>
                <w:sz w:val="24"/>
              </w:rPr>
              <w:t>×Q×t）</w:t>
            </w:r>
          </w:p>
          <w:p w14:paraId="286830B7">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T—更换周期，天；</w:t>
            </w:r>
          </w:p>
          <w:p w14:paraId="6530E322">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m—活性炭的用量，kg；</w:t>
            </w:r>
          </w:p>
          <w:p w14:paraId="6667B37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s—动态吸附量，%；</w:t>
            </w:r>
          </w:p>
          <w:p w14:paraId="458EFE3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c—活性炭削减VOCs浓度，mg/m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w:t>
            </w:r>
          </w:p>
          <w:p w14:paraId="508CDDE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Q—风量，单位m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/h；</w:t>
            </w:r>
          </w:p>
          <w:p w14:paraId="25F84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2880" w:firstLineChars="1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t—运行时间，单位h/d。</w:t>
            </w:r>
          </w:p>
          <w:p w14:paraId="316644EF">
            <w:pPr>
              <w:pStyle w:val="7"/>
              <w:keepNext w:val="0"/>
              <w:keepLines w:val="0"/>
              <w:pageBreakBefore w:val="0"/>
              <w:widowControl/>
              <w:kinsoku/>
              <w:wordWrap/>
              <w:overflowPunct/>
              <w:topLinePunct w:val="0"/>
              <w:autoSpaceDE/>
              <w:autoSpaceDN/>
              <w:bidi w:val="0"/>
              <w:adjustRightInd w:val="0"/>
              <w:snapToGrid w:val="0"/>
              <w:spacing w:before="0" w:after="0" w:line="500" w:lineRule="exact"/>
              <w:ind w:right="0" w:firstLine="422" w:firstLineChars="20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color w:val="auto"/>
                <w:sz w:val="21"/>
                <w:szCs w:val="21"/>
              </w:rPr>
              <w:t>表4-</w:t>
            </w:r>
            <w:r>
              <w:rPr>
                <w:rFonts w:hint="default" w:ascii="Times New Roman" w:hAnsi="Times New Roman" w:eastAsia="仿宋" w:cs="Times New Roman"/>
                <w:b/>
                <w:color w:val="auto"/>
                <w:sz w:val="21"/>
                <w:szCs w:val="21"/>
                <w:lang w:val="en-US" w:eastAsia="zh-CN"/>
              </w:rPr>
              <w:t xml:space="preserve">19 </w:t>
            </w:r>
            <w:r>
              <w:rPr>
                <w:rFonts w:hint="default" w:ascii="Times New Roman" w:hAnsi="Times New Roman" w:eastAsia="仿宋" w:cs="Times New Roman"/>
                <w:b/>
                <w:color w:val="auto"/>
                <w:sz w:val="21"/>
                <w:szCs w:val="21"/>
              </w:rPr>
              <w:t>活性炭更换周期一览表</w:t>
            </w:r>
          </w:p>
          <w:tbl>
            <w:tblPr>
              <w:tblStyle w:val="27"/>
              <w:tblW w:w="499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51"/>
              <w:gridCol w:w="1103"/>
              <w:gridCol w:w="970"/>
              <w:gridCol w:w="2284"/>
              <w:gridCol w:w="868"/>
              <w:gridCol w:w="878"/>
              <w:gridCol w:w="879"/>
            </w:tblGrid>
            <w:tr w14:paraId="4F5E1D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47" w:type="pct"/>
                  <w:noWrap w:val="0"/>
                  <w:vAlign w:val="center"/>
                </w:tcPr>
                <w:p w14:paraId="00E468FB">
                  <w:pPr>
                    <w:adjustRightInd w:val="0"/>
                    <w:snapToGrid w:val="0"/>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工序</w:t>
                  </w:r>
                </w:p>
              </w:tc>
              <w:tc>
                <w:tcPr>
                  <w:tcW w:w="624" w:type="pct"/>
                  <w:noWrap w:val="0"/>
                  <w:vAlign w:val="center"/>
                </w:tcPr>
                <w:p w14:paraId="5F1E138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活性炭的用量（kg）</w:t>
                  </w:r>
                </w:p>
              </w:tc>
              <w:tc>
                <w:tcPr>
                  <w:tcW w:w="549" w:type="pct"/>
                  <w:noWrap w:val="0"/>
                  <w:vAlign w:val="center"/>
                </w:tcPr>
                <w:p w14:paraId="37AA8AF4">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动态吸附量（%）</w:t>
                  </w:r>
                </w:p>
              </w:tc>
              <w:tc>
                <w:tcPr>
                  <w:tcW w:w="1292" w:type="pct"/>
                  <w:noWrap w:val="0"/>
                  <w:vAlign w:val="center"/>
                </w:tcPr>
                <w:p w14:paraId="11AF861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活性炭削减的VOCs浓度（mg/m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491" w:type="pct"/>
                  <w:noWrap w:val="0"/>
                  <w:vAlign w:val="center"/>
                </w:tcPr>
                <w:p w14:paraId="1AFA47D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风量（m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/h）</w:t>
                  </w:r>
                </w:p>
              </w:tc>
              <w:tc>
                <w:tcPr>
                  <w:tcW w:w="497" w:type="pct"/>
                  <w:noWrap w:val="0"/>
                  <w:vAlign w:val="center"/>
                </w:tcPr>
                <w:p w14:paraId="0231231B">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运行时间（h/d）</w:t>
                  </w:r>
                </w:p>
              </w:tc>
              <w:tc>
                <w:tcPr>
                  <w:tcW w:w="497" w:type="pct"/>
                  <w:noWrap w:val="0"/>
                  <w:vAlign w:val="center"/>
                </w:tcPr>
                <w:p w14:paraId="04CED7B3">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更换周期（d）</w:t>
                  </w:r>
                </w:p>
              </w:tc>
            </w:tr>
            <w:tr w14:paraId="5E0D37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047" w:type="pct"/>
                  <w:noWrap w:val="0"/>
                  <w:vAlign w:val="center"/>
                </w:tcPr>
                <w:p w14:paraId="294279D3">
                  <w:pPr>
                    <w:adjustRightInd w:val="0"/>
                    <w:snapToGrid w:val="0"/>
                    <w:jc w:val="center"/>
                    <w:rPr>
                      <w:rFonts w:hint="eastAsia" w:ascii="Times New Roman" w:hAnsi="Times New Roman" w:eastAsia="仿宋" w:cs="Times New Roman"/>
                      <w:color w:val="auto"/>
                      <w:szCs w:val="21"/>
                      <w:lang w:eastAsia="zh-CN"/>
                    </w:rPr>
                  </w:pPr>
                  <w:r>
                    <w:rPr>
                      <w:rFonts w:hint="eastAsia" w:eastAsia="仿宋" w:cs="Times New Roman"/>
                      <w:bCs/>
                      <w:color w:val="auto"/>
                      <w:szCs w:val="21"/>
                      <w:lang w:val="en-US" w:eastAsia="zh-CN"/>
                    </w:rPr>
                    <w:t>喷漆</w:t>
                  </w:r>
                </w:p>
              </w:tc>
              <w:tc>
                <w:tcPr>
                  <w:tcW w:w="624" w:type="pct"/>
                  <w:noWrap w:val="0"/>
                  <w:vAlign w:val="center"/>
                </w:tcPr>
                <w:p w14:paraId="19BC92F5">
                  <w:pPr>
                    <w:widowControl/>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kern w:val="0"/>
                      <w:szCs w:val="21"/>
                      <w:lang w:val="en-US" w:eastAsia="zh-CN" w:bidi="ar"/>
                    </w:rPr>
                    <w:t>620</w:t>
                  </w:r>
                </w:p>
              </w:tc>
              <w:tc>
                <w:tcPr>
                  <w:tcW w:w="549" w:type="pct"/>
                  <w:noWrap w:val="0"/>
                  <w:vAlign w:val="center"/>
                </w:tcPr>
                <w:p w14:paraId="3DA37658">
                  <w:pPr>
                    <w:widowControl/>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kern w:val="0"/>
                      <w:szCs w:val="21"/>
                      <w:lang w:val="en-US" w:eastAsia="zh-CN" w:bidi="ar"/>
                    </w:rPr>
                    <w:t>20</w:t>
                  </w:r>
                </w:p>
              </w:tc>
              <w:tc>
                <w:tcPr>
                  <w:tcW w:w="1292" w:type="pct"/>
                  <w:noWrap w:val="0"/>
                  <w:vAlign w:val="center"/>
                </w:tcPr>
                <w:p w14:paraId="56983F00">
                  <w:pPr>
                    <w:tabs>
                      <w:tab w:val="left" w:pos="360"/>
                      <w:tab w:val="left" w:pos="540"/>
                    </w:tabs>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9.5</w:t>
                  </w:r>
                </w:p>
              </w:tc>
              <w:tc>
                <w:tcPr>
                  <w:tcW w:w="491" w:type="pct"/>
                  <w:noWrap w:val="0"/>
                  <w:vAlign w:val="center"/>
                </w:tcPr>
                <w:p w14:paraId="7E59D784">
                  <w:pPr>
                    <w:tabs>
                      <w:tab w:val="left" w:pos="360"/>
                      <w:tab w:val="left" w:pos="540"/>
                    </w:tabs>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1</w:t>
                  </w:r>
                  <w:r>
                    <w:rPr>
                      <w:rFonts w:hint="eastAsia" w:eastAsia="仿宋" w:cs="Times New Roman"/>
                      <w:color w:val="auto"/>
                      <w:sz w:val="21"/>
                      <w:szCs w:val="21"/>
                      <w:lang w:val="en-US" w:eastAsia="zh-CN"/>
                    </w:rPr>
                    <w:t>80</w:t>
                  </w:r>
                  <w:r>
                    <w:rPr>
                      <w:rFonts w:hint="default" w:ascii="Times New Roman" w:hAnsi="Times New Roman" w:eastAsia="仿宋" w:cs="Times New Roman"/>
                      <w:color w:val="auto"/>
                      <w:sz w:val="21"/>
                      <w:szCs w:val="21"/>
                      <w:lang w:val="en-US" w:eastAsia="zh-CN"/>
                    </w:rPr>
                    <w:t>00</w:t>
                  </w:r>
                </w:p>
              </w:tc>
              <w:tc>
                <w:tcPr>
                  <w:tcW w:w="497" w:type="pct"/>
                  <w:noWrap w:val="0"/>
                  <w:vAlign w:val="center"/>
                </w:tcPr>
                <w:p w14:paraId="2B5C9F4F">
                  <w:pPr>
                    <w:widowControl/>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kern w:val="0"/>
                      <w:szCs w:val="21"/>
                      <w:lang w:val="en-US" w:eastAsia="zh-CN" w:bidi="ar"/>
                    </w:rPr>
                    <w:t>8</w:t>
                  </w:r>
                </w:p>
              </w:tc>
              <w:tc>
                <w:tcPr>
                  <w:tcW w:w="497" w:type="pct"/>
                  <w:noWrap w:val="0"/>
                  <w:vAlign w:val="center"/>
                </w:tcPr>
                <w:p w14:paraId="6D2A6A80">
                  <w:pPr>
                    <w:tabs>
                      <w:tab w:val="left" w:pos="360"/>
                      <w:tab w:val="left" w:pos="540"/>
                    </w:tabs>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90.</w:t>
                  </w:r>
                  <w:r>
                    <w:rPr>
                      <w:rFonts w:hint="eastAsia" w:eastAsia="仿宋" w:cs="Times New Roman"/>
                      <w:color w:val="auto"/>
                      <w:szCs w:val="21"/>
                      <w:lang w:val="en-US" w:eastAsia="zh-CN"/>
                    </w:rPr>
                    <w:t>6</w:t>
                  </w:r>
                </w:p>
              </w:tc>
            </w:tr>
          </w:tbl>
          <w:p w14:paraId="1B7E0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注:</w:t>
            </w:r>
            <w:r>
              <w:rPr>
                <w:rFonts w:hint="default" w:ascii="Times New Roman" w:hAnsi="Times New Roman" w:eastAsia="仿宋" w:cs="Times New Roman"/>
                <w:color w:val="auto"/>
                <w:sz w:val="21"/>
                <w:szCs w:val="21"/>
              </w:rPr>
              <w:t>本项目采用一次性颗粒活性炭，碘值不小于800，比表面积≥850m</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color w:val="auto"/>
                <w:sz w:val="21"/>
                <w:szCs w:val="21"/>
              </w:rPr>
              <w:t>/g，根据《省生态环境厅关于深入开展涉VOCs治理重点工作核查的通知》（苏环办〔2022〕218号），每5吨活性炭吸附1吨有机废气，因此，动态吸附量取值20%。</w:t>
            </w:r>
          </w:p>
          <w:p w14:paraId="27C46A35">
            <w:pPr>
              <w:adjustRightInd w:val="0"/>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根据计算所得，本项目</w:t>
            </w:r>
            <w:r>
              <w:rPr>
                <w:rFonts w:hint="eastAsia" w:ascii="Times New Roman" w:hAnsi="Times New Roman" w:eastAsia="仿宋" w:cs="Times New Roman"/>
                <w:bCs/>
                <w:color w:val="auto"/>
                <w:sz w:val="24"/>
                <w:lang w:val="en-US" w:eastAsia="zh-CN"/>
              </w:rPr>
              <w:t>喷涂废气</w:t>
            </w:r>
            <w:r>
              <w:rPr>
                <w:rFonts w:hint="default" w:ascii="Times New Roman" w:hAnsi="Times New Roman" w:eastAsia="仿宋" w:cs="Times New Roman"/>
                <w:bCs/>
                <w:color w:val="auto"/>
                <w:sz w:val="24"/>
                <w:lang w:val="en-US" w:eastAsia="zh-CN"/>
              </w:rPr>
              <w:t>活性炭吸附装置更换周期为90天。根据前文分析，二级活性炭废气吸附量为</w:t>
            </w:r>
            <w:r>
              <w:rPr>
                <w:rFonts w:hint="eastAsia" w:ascii="Times New Roman" w:hAnsi="Times New Roman" w:eastAsia="仿宋" w:cs="Times New Roman"/>
                <w:bCs/>
                <w:color w:val="auto"/>
                <w:sz w:val="24"/>
                <w:lang w:val="en-US" w:eastAsia="zh-CN"/>
              </w:rPr>
              <w:t>0.41</w:t>
            </w:r>
            <w:r>
              <w:rPr>
                <w:rFonts w:hint="default" w:ascii="Times New Roman" w:hAnsi="Times New Roman" w:eastAsia="仿宋" w:cs="Times New Roman"/>
                <w:bCs/>
                <w:color w:val="auto"/>
                <w:sz w:val="24"/>
                <w:lang w:val="en-US" w:eastAsia="zh-CN"/>
              </w:rPr>
              <w:t>t/a。</w:t>
            </w:r>
            <w:r>
              <w:rPr>
                <w:rFonts w:hint="default" w:ascii="Times New Roman" w:hAnsi="Times New Roman" w:eastAsia="仿宋" w:cs="Times New Roman"/>
                <w:bCs/>
                <w:color w:val="auto"/>
                <w:sz w:val="24"/>
                <w:lang w:eastAsia="zh-CN"/>
              </w:rPr>
              <w:t>则项目</w:t>
            </w:r>
            <w:r>
              <w:rPr>
                <w:rFonts w:hint="eastAsia" w:ascii="Times New Roman" w:hAnsi="Times New Roman" w:eastAsia="仿宋" w:cs="Times New Roman"/>
                <w:bCs/>
                <w:color w:val="auto"/>
                <w:sz w:val="24"/>
                <w:lang w:val="en-US" w:eastAsia="zh-CN"/>
              </w:rPr>
              <w:t>喷涂废气</w:t>
            </w:r>
            <w:r>
              <w:rPr>
                <w:rFonts w:hint="default" w:ascii="Times New Roman" w:hAnsi="Times New Roman" w:eastAsia="仿宋" w:cs="Times New Roman"/>
                <w:bCs/>
                <w:color w:val="auto"/>
                <w:sz w:val="24"/>
                <w:lang w:val="en-US" w:eastAsia="zh-CN"/>
              </w:rPr>
              <w:t>废</w:t>
            </w:r>
            <w:r>
              <w:rPr>
                <w:rFonts w:hint="default" w:ascii="Times New Roman" w:hAnsi="Times New Roman" w:eastAsia="仿宋" w:cs="Times New Roman"/>
                <w:bCs/>
                <w:color w:val="auto"/>
                <w:sz w:val="24"/>
                <w:lang w:eastAsia="zh-CN"/>
              </w:rPr>
              <w:t>活性炭产生量</w:t>
            </w:r>
            <w:r>
              <w:rPr>
                <w:rFonts w:hint="default" w:ascii="Times New Roman" w:hAnsi="Times New Roman" w:eastAsia="仿宋" w:cs="Times New Roman"/>
                <w:bCs/>
                <w:color w:val="auto"/>
                <w:sz w:val="24"/>
                <w:lang w:val="en-US" w:eastAsia="zh-CN"/>
              </w:rPr>
              <w:t>约</w:t>
            </w:r>
            <w:r>
              <w:rPr>
                <w:rFonts w:hint="default" w:ascii="Times New Roman" w:hAnsi="Times New Roman" w:eastAsia="仿宋" w:cs="Times New Roman"/>
                <w:bCs/>
                <w:color w:val="auto"/>
                <w:sz w:val="24"/>
                <w:lang w:eastAsia="zh-CN"/>
              </w:rPr>
              <w:t>为</w:t>
            </w:r>
            <w:r>
              <w:rPr>
                <w:rFonts w:hint="eastAsia" w:ascii="Times New Roman" w:hAnsi="Times New Roman" w:eastAsia="仿宋" w:cs="Times New Roman"/>
                <w:bCs/>
                <w:color w:val="auto"/>
                <w:sz w:val="24"/>
                <w:lang w:val="en-US" w:eastAsia="zh-CN"/>
              </w:rPr>
              <w:t>2.89</w:t>
            </w:r>
            <w:r>
              <w:rPr>
                <w:rFonts w:hint="default" w:ascii="Times New Roman" w:hAnsi="Times New Roman" w:eastAsia="仿宋" w:cs="Times New Roman"/>
                <w:bCs/>
                <w:color w:val="auto"/>
                <w:sz w:val="24"/>
                <w:lang w:val="en-US" w:eastAsia="zh-CN"/>
              </w:rPr>
              <w:t>t/a</w:t>
            </w:r>
            <w:r>
              <w:rPr>
                <w:rFonts w:hint="default" w:ascii="Times New Roman" w:hAnsi="Times New Roman" w:eastAsia="仿宋" w:cs="Times New Roman"/>
                <w:bCs/>
                <w:color w:val="auto"/>
                <w:sz w:val="24"/>
              </w:rPr>
              <w:t>。</w:t>
            </w:r>
          </w:p>
          <w:p w14:paraId="2DE2E631">
            <w:pPr>
              <w:adjustRightInd w:val="0"/>
              <w:snapToGrid w:val="0"/>
              <w:spacing w:line="500" w:lineRule="exact"/>
              <w:ind w:firstLine="480" w:firstLineChars="200"/>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危废库废气采用二级活性炭进行处理，由于危废库暂存的可能会挥发有机废气的危险废物都进行密封储存，因此废气产生量较小，活性炭单次填充量为0.05t，废活性炭产生量约为0.05t/次，每三个月更换一次，则废活性炭产生量为0.2t/a。</w:t>
            </w:r>
          </w:p>
          <w:p w14:paraId="7593ECD2">
            <w:pPr>
              <w:adjustRightInd w:val="0"/>
              <w:snapToGrid w:val="0"/>
              <w:spacing w:line="500" w:lineRule="exact"/>
              <w:ind w:firstLine="480" w:firstLineChars="200"/>
              <w:rPr>
                <w:rFonts w:hint="default" w:ascii="Times New Roman" w:hAnsi="Times New Roman" w:eastAsia="仿宋" w:cs="Times New Roman"/>
                <w:bCs/>
                <w:color w:val="auto"/>
                <w:sz w:val="24"/>
                <w:lang w:val="en-US" w:eastAsia="zh-CN"/>
              </w:rPr>
            </w:pPr>
            <w:r>
              <w:rPr>
                <w:rFonts w:hint="eastAsia" w:ascii="Times New Roman" w:hAnsi="Times New Roman" w:eastAsia="仿宋" w:cs="Times New Roman"/>
                <w:bCs/>
                <w:color w:val="auto"/>
                <w:sz w:val="24"/>
                <w:lang w:val="en-US" w:eastAsia="zh-CN"/>
              </w:rPr>
              <w:t>综上，项目</w:t>
            </w:r>
            <w:r>
              <w:rPr>
                <w:rFonts w:hint="default" w:ascii="Times New Roman" w:hAnsi="Times New Roman" w:eastAsia="仿宋" w:cs="Times New Roman"/>
                <w:bCs/>
                <w:color w:val="auto"/>
                <w:sz w:val="24"/>
                <w:lang w:val="en-US" w:eastAsia="zh-CN"/>
              </w:rPr>
              <w:t>废活性炭产生量约为</w:t>
            </w:r>
            <w:r>
              <w:rPr>
                <w:rFonts w:hint="eastAsia" w:ascii="Times New Roman" w:hAnsi="Times New Roman" w:eastAsia="仿宋" w:cs="Times New Roman"/>
                <w:bCs/>
                <w:color w:val="auto"/>
                <w:sz w:val="24"/>
                <w:lang w:val="en-US" w:eastAsia="zh-CN"/>
              </w:rPr>
              <w:t>3.09</w:t>
            </w:r>
            <w:r>
              <w:rPr>
                <w:rFonts w:hint="default" w:ascii="Times New Roman" w:hAnsi="Times New Roman" w:eastAsia="仿宋" w:cs="Times New Roman"/>
                <w:bCs/>
                <w:color w:val="auto"/>
                <w:sz w:val="24"/>
                <w:lang w:val="en-US" w:eastAsia="zh-CN"/>
              </w:rPr>
              <w:t>t/a。</w:t>
            </w:r>
          </w:p>
          <w:p w14:paraId="28E3B6E0">
            <w:pPr>
              <w:adjustRightInd w:val="0"/>
              <w:snapToGrid w:val="0"/>
              <w:spacing w:line="500" w:lineRule="exact"/>
              <w:ind w:firstLine="482" w:firstLineChars="200"/>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
                <w:color w:val="auto"/>
                <w:sz w:val="24"/>
              </w:rPr>
              <w:t>含油抹布手套：</w:t>
            </w:r>
            <w:r>
              <w:rPr>
                <w:rFonts w:hint="default" w:ascii="Times New Roman" w:hAnsi="Times New Roman" w:eastAsia="仿宋" w:cs="Times New Roman"/>
                <w:bCs/>
                <w:color w:val="auto"/>
                <w:sz w:val="24"/>
              </w:rPr>
              <w:t>项目</w:t>
            </w:r>
            <w:r>
              <w:rPr>
                <w:rFonts w:hint="default" w:ascii="Times New Roman" w:hAnsi="Times New Roman" w:eastAsia="仿宋" w:cs="Times New Roman"/>
                <w:bCs/>
                <w:color w:val="auto"/>
                <w:sz w:val="24"/>
                <w:lang w:val="en-US" w:eastAsia="zh-CN"/>
              </w:rPr>
              <w:t>生产</w:t>
            </w:r>
            <w:r>
              <w:rPr>
                <w:rFonts w:hint="default" w:ascii="Times New Roman" w:hAnsi="Times New Roman" w:eastAsia="仿宋" w:cs="Times New Roman"/>
                <w:bCs/>
                <w:color w:val="auto"/>
                <w:sz w:val="24"/>
              </w:rPr>
              <w:t>过程中员工使用抹布手套，</w:t>
            </w:r>
            <w:r>
              <w:rPr>
                <w:rFonts w:hint="default" w:ascii="Times New Roman" w:hAnsi="Times New Roman" w:eastAsia="仿宋" w:cs="Times New Roman"/>
                <w:color w:val="auto"/>
                <w:sz w:val="24"/>
                <w:lang w:val="en-US" w:eastAsia="zh-CN"/>
              </w:rPr>
              <w:t>会产生少量含油抹布手套</w:t>
            </w:r>
            <w:r>
              <w:rPr>
                <w:rFonts w:hint="default" w:ascii="Times New Roman" w:hAnsi="Times New Roman" w:eastAsia="仿宋" w:cs="Times New Roman"/>
                <w:bCs/>
                <w:color w:val="auto"/>
                <w:sz w:val="24"/>
              </w:rPr>
              <w:t>，产生量约为0.05t/a</w:t>
            </w:r>
            <w:r>
              <w:rPr>
                <w:rFonts w:hint="default" w:ascii="Times New Roman" w:hAnsi="Times New Roman" w:eastAsia="仿宋" w:cs="Times New Roman"/>
                <w:bCs/>
                <w:color w:val="auto"/>
                <w:sz w:val="24"/>
                <w:lang w:val="en-US" w:eastAsia="zh-CN"/>
              </w:rPr>
              <w:t>。</w:t>
            </w:r>
          </w:p>
          <w:p w14:paraId="298BEEE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结合生产工艺流程及生产运营过程中的副产物产生情况，根据《固体废物鉴别标准通则》的规定，判断其是否属于固体废物，给出判定依据及结果，见下表。</w:t>
            </w:r>
          </w:p>
          <w:p w14:paraId="0CACC97E">
            <w:pPr>
              <w:pStyle w:val="59"/>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rPr>
              <w:t>表4-</w:t>
            </w:r>
            <w:r>
              <w:rPr>
                <w:rFonts w:hint="default" w:ascii="Times New Roman" w:hAnsi="Times New Roman" w:eastAsia="仿宋" w:cs="Times New Roman"/>
                <w:b/>
                <w:color w:val="auto"/>
                <w:sz w:val="21"/>
                <w:szCs w:val="21"/>
                <w:highlight w:val="none"/>
                <w:lang w:val="en-US" w:eastAsia="zh-CN"/>
              </w:rPr>
              <w:t>20</w:t>
            </w:r>
            <w:r>
              <w:rPr>
                <w:rFonts w:hint="default" w:ascii="Times New Roman" w:hAnsi="Times New Roman" w:eastAsia="仿宋" w:cs="Times New Roman"/>
                <w:b/>
                <w:color w:val="auto"/>
                <w:sz w:val="21"/>
                <w:szCs w:val="21"/>
                <w:highlight w:val="none"/>
              </w:rPr>
              <w:t xml:space="preserve"> </w:t>
            </w:r>
            <w:r>
              <w:rPr>
                <w:rFonts w:hint="default" w:ascii="Times New Roman" w:hAnsi="Times New Roman" w:eastAsia="仿宋" w:cs="Times New Roman"/>
                <w:b/>
                <w:color w:val="auto"/>
                <w:sz w:val="21"/>
                <w:szCs w:val="21"/>
                <w:highlight w:val="none"/>
                <w:lang w:val="en-US" w:eastAsia="zh-CN"/>
              </w:rPr>
              <w:t xml:space="preserve"> 本</w:t>
            </w:r>
            <w:r>
              <w:rPr>
                <w:rFonts w:hint="default" w:ascii="Times New Roman" w:hAnsi="Times New Roman" w:eastAsia="仿宋" w:cs="Times New Roman"/>
                <w:b/>
                <w:color w:val="auto"/>
                <w:sz w:val="21"/>
                <w:szCs w:val="21"/>
                <w:highlight w:val="none"/>
              </w:rPr>
              <w:t>项目固废</w:t>
            </w:r>
            <w:r>
              <w:rPr>
                <w:rFonts w:hint="default" w:ascii="Times New Roman" w:hAnsi="Times New Roman" w:eastAsia="仿宋" w:cs="Times New Roman"/>
                <w:b/>
                <w:color w:val="auto"/>
                <w:sz w:val="21"/>
                <w:szCs w:val="21"/>
                <w:highlight w:val="none"/>
                <w:lang w:val="en-US" w:eastAsia="zh-CN"/>
              </w:rPr>
              <w:t>鉴别</w:t>
            </w:r>
            <w:r>
              <w:rPr>
                <w:rFonts w:hint="default" w:ascii="Times New Roman" w:hAnsi="Times New Roman" w:eastAsia="仿宋" w:cs="Times New Roman"/>
                <w:b/>
                <w:color w:val="auto"/>
                <w:sz w:val="21"/>
                <w:szCs w:val="21"/>
                <w:highlight w:val="none"/>
              </w:rPr>
              <w:t>情况</w:t>
            </w:r>
            <w:r>
              <w:rPr>
                <w:rFonts w:hint="default" w:ascii="Times New Roman" w:hAnsi="Times New Roman" w:eastAsia="仿宋" w:cs="Times New Roman"/>
                <w:b/>
                <w:color w:val="auto"/>
                <w:sz w:val="21"/>
                <w:szCs w:val="21"/>
                <w:highlight w:val="none"/>
                <w:lang w:val="en-US" w:eastAsia="zh-CN"/>
              </w:rPr>
              <w:t>汇总表</w:t>
            </w:r>
          </w:p>
          <w:tbl>
            <w:tblPr>
              <w:tblStyle w:val="27"/>
              <w:tblW w:w="490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1"/>
              <w:gridCol w:w="1410"/>
              <w:gridCol w:w="1153"/>
              <w:gridCol w:w="610"/>
              <w:gridCol w:w="1480"/>
              <w:gridCol w:w="1028"/>
              <w:gridCol w:w="931"/>
              <w:gridCol w:w="695"/>
              <w:gridCol w:w="922"/>
            </w:tblGrid>
            <w:tr w14:paraId="3A4830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vMerge w:val="restart"/>
                  <w:tcBorders>
                    <w:tl2br w:val="nil"/>
                    <w:tr2bl w:val="nil"/>
                  </w:tcBorders>
                  <w:noWrap w:val="0"/>
                  <w:vAlign w:val="center"/>
                </w:tcPr>
                <w:p w14:paraId="73E10A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812" w:type="pct"/>
                  <w:vMerge w:val="restart"/>
                  <w:tcBorders>
                    <w:tl2br w:val="nil"/>
                    <w:tr2bl w:val="nil"/>
                  </w:tcBorders>
                  <w:noWrap w:val="0"/>
                  <w:vAlign w:val="center"/>
                </w:tcPr>
                <w:p w14:paraId="6DF080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副产物</w:t>
                  </w:r>
                  <w:r>
                    <w:rPr>
                      <w:rFonts w:hint="default" w:ascii="Times New Roman" w:hAnsi="Times New Roman" w:eastAsia="仿宋" w:cs="Times New Roman"/>
                      <w:b/>
                      <w:bCs/>
                      <w:color w:val="auto"/>
                      <w:sz w:val="21"/>
                      <w:szCs w:val="21"/>
                    </w:rPr>
                    <w:t>名称</w:t>
                  </w:r>
                </w:p>
              </w:tc>
              <w:tc>
                <w:tcPr>
                  <w:tcW w:w="664" w:type="pct"/>
                  <w:vMerge w:val="restart"/>
                  <w:tcBorders>
                    <w:tl2br w:val="nil"/>
                    <w:tr2bl w:val="nil"/>
                  </w:tcBorders>
                  <w:noWrap w:val="0"/>
                  <w:vAlign w:val="center"/>
                </w:tcPr>
                <w:p w14:paraId="67F355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rPr>
                    <w:t>产生</w:t>
                  </w:r>
                  <w:r>
                    <w:rPr>
                      <w:rFonts w:hint="default" w:ascii="Times New Roman" w:hAnsi="Times New Roman" w:eastAsia="仿宋" w:cs="Times New Roman"/>
                      <w:b/>
                      <w:bCs/>
                      <w:color w:val="auto"/>
                      <w:sz w:val="21"/>
                      <w:szCs w:val="21"/>
                      <w:lang w:val="en-US" w:eastAsia="zh-CN"/>
                    </w:rPr>
                    <w:t>工序</w:t>
                  </w:r>
                </w:p>
              </w:tc>
              <w:tc>
                <w:tcPr>
                  <w:tcW w:w="351" w:type="pct"/>
                  <w:vMerge w:val="restart"/>
                  <w:tcBorders>
                    <w:tl2br w:val="nil"/>
                    <w:tr2bl w:val="nil"/>
                  </w:tcBorders>
                  <w:noWrap w:val="0"/>
                  <w:vAlign w:val="center"/>
                </w:tcPr>
                <w:p w14:paraId="41FC98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形态</w:t>
                  </w:r>
                </w:p>
              </w:tc>
              <w:tc>
                <w:tcPr>
                  <w:tcW w:w="852" w:type="pct"/>
                  <w:vMerge w:val="restart"/>
                  <w:tcBorders>
                    <w:tl2br w:val="nil"/>
                    <w:tr2bl w:val="nil"/>
                  </w:tcBorders>
                  <w:noWrap w:val="0"/>
                  <w:vAlign w:val="center"/>
                </w:tcPr>
                <w:p w14:paraId="79D2EF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主要成分</w:t>
                  </w:r>
                </w:p>
              </w:tc>
              <w:tc>
                <w:tcPr>
                  <w:tcW w:w="592" w:type="pct"/>
                  <w:vMerge w:val="restart"/>
                  <w:tcBorders>
                    <w:tl2br w:val="nil"/>
                    <w:tr2bl w:val="nil"/>
                  </w:tcBorders>
                  <w:noWrap w:val="0"/>
                  <w:vAlign w:val="center"/>
                </w:tcPr>
                <w:p w14:paraId="487A676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预测</w:t>
                  </w:r>
                  <w:r>
                    <w:rPr>
                      <w:rFonts w:hint="default" w:ascii="Times New Roman" w:hAnsi="Times New Roman" w:eastAsia="仿宋" w:cs="Times New Roman"/>
                      <w:b/>
                      <w:bCs/>
                      <w:color w:val="auto"/>
                      <w:sz w:val="21"/>
                      <w:szCs w:val="21"/>
                    </w:rPr>
                    <w:t>产生量（t/a）</w:t>
                  </w:r>
                </w:p>
              </w:tc>
              <w:tc>
                <w:tcPr>
                  <w:tcW w:w="1467" w:type="pct"/>
                  <w:gridSpan w:val="3"/>
                  <w:tcBorders>
                    <w:tl2br w:val="nil"/>
                    <w:tr2bl w:val="nil"/>
                  </w:tcBorders>
                  <w:noWrap w:val="0"/>
                  <w:vAlign w:val="center"/>
                </w:tcPr>
                <w:p w14:paraId="042953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种类判断</w:t>
                  </w:r>
                </w:p>
              </w:tc>
            </w:tr>
            <w:tr w14:paraId="494524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vMerge w:val="continue"/>
                  <w:tcBorders>
                    <w:tl2br w:val="nil"/>
                    <w:tr2bl w:val="nil"/>
                  </w:tcBorders>
                  <w:noWrap w:val="0"/>
                  <w:vAlign w:val="center"/>
                </w:tcPr>
                <w:p w14:paraId="102A92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rPr>
                  </w:pPr>
                </w:p>
              </w:tc>
              <w:tc>
                <w:tcPr>
                  <w:tcW w:w="812" w:type="pct"/>
                  <w:vMerge w:val="continue"/>
                  <w:tcBorders>
                    <w:tl2br w:val="nil"/>
                    <w:tr2bl w:val="nil"/>
                  </w:tcBorders>
                  <w:noWrap w:val="0"/>
                  <w:vAlign w:val="center"/>
                </w:tcPr>
                <w:p w14:paraId="05D32C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lang w:val="en-US" w:eastAsia="zh-CN"/>
                    </w:rPr>
                  </w:pPr>
                </w:p>
              </w:tc>
              <w:tc>
                <w:tcPr>
                  <w:tcW w:w="664" w:type="pct"/>
                  <w:vMerge w:val="continue"/>
                  <w:tcBorders>
                    <w:tl2br w:val="nil"/>
                    <w:tr2bl w:val="nil"/>
                  </w:tcBorders>
                  <w:noWrap w:val="0"/>
                  <w:vAlign w:val="center"/>
                </w:tcPr>
                <w:p w14:paraId="3E3FAC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rPr>
                  </w:pPr>
                </w:p>
              </w:tc>
              <w:tc>
                <w:tcPr>
                  <w:tcW w:w="351" w:type="pct"/>
                  <w:vMerge w:val="continue"/>
                  <w:tcBorders>
                    <w:tl2br w:val="nil"/>
                    <w:tr2bl w:val="nil"/>
                  </w:tcBorders>
                  <w:noWrap w:val="0"/>
                  <w:vAlign w:val="center"/>
                </w:tcPr>
                <w:p w14:paraId="419682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rPr>
                  </w:pPr>
                </w:p>
              </w:tc>
              <w:tc>
                <w:tcPr>
                  <w:tcW w:w="852" w:type="pct"/>
                  <w:vMerge w:val="continue"/>
                  <w:tcBorders>
                    <w:tl2br w:val="nil"/>
                    <w:tr2bl w:val="nil"/>
                  </w:tcBorders>
                  <w:noWrap w:val="0"/>
                  <w:vAlign w:val="center"/>
                </w:tcPr>
                <w:p w14:paraId="0E4C44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rPr>
                  </w:pPr>
                </w:p>
              </w:tc>
              <w:tc>
                <w:tcPr>
                  <w:tcW w:w="592" w:type="pct"/>
                  <w:vMerge w:val="continue"/>
                  <w:tcBorders>
                    <w:tl2br w:val="nil"/>
                    <w:tr2bl w:val="nil"/>
                  </w:tcBorders>
                  <w:noWrap w:val="0"/>
                  <w:vAlign w:val="center"/>
                </w:tcPr>
                <w:p w14:paraId="7436618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
                      <w:bCs/>
                      <w:color w:val="auto"/>
                      <w:sz w:val="21"/>
                      <w:szCs w:val="21"/>
                      <w:lang w:val="en-US" w:eastAsia="zh-CN"/>
                    </w:rPr>
                  </w:pPr>
                </w:p>
              </w:tc>
              <w:tc>
                <w:tcPr>
                  <w:tcW w:w="536" w:type="pct"/>
                  <w:tcBorders>
                    <w:tl2br w:val="nil"/>
                    <w:tr2bl w:val="nil"/>
                  </w:tcBorders>
                  <w:noWrap w:val="0"/>
                  <w:vAlign w:val="center"/>
                </w:tcPr>
                <w:p w14:paraId="16AB93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固体废物</w:t>
                  </w:r>
                </w:p>
              </w:tc>
              <w:tc>
                <w:tcPr>
                  <w:tcW w:w="400" w:type="pct"/>
                  <w:tcBorders>
                    <w:tl2br w:val="nil"/>
                    <w:tr2bl w:val="nil"/>
                  </w:tcBorders>
                  <w:noWrap w:val="0"/>
                  <w:vAlign w:val="center"/>
                </w:tcPr>
                <w:p w14:paraId="61BA74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副产品</w:t>
                  </w:r>
                </w:p>
              </w:tc>
              <w:tc>
                <w:tcPr>
                  <w:tcW w:w="530" w:type="pct"/>
                  <w:tcBorders>
                    <w:tl2br w:val="nil"/>
                    <w:tr2bl w:val="nil"/>
                  </w:tcBorders>
                  <w:noWrap w:val="0"/>
                  <w:vAlign w:val="center"/>
                </w:tcPr>
                <w:p w14:paraId="735834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判定依据</w:t>
                  </w:r>
                </w:p>
              </w:tc>
            </w:tr>
            <w:tr w14:paraId="7BBE8E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73077604">
                  <w:pPr>
                    <w:pStyle w:val="5"/>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812" w:type="pct"/>
                  <w:tcBorders>
                    <w:tl2br w:val="nil"/>
                    <w:tr2bl w:val="nil"/>
                  </w:tcBorders>
                  <w:noWrap w:val="0"/>
                  <w:vAlign w:val="center"/>
                </w:tcPr>
                <w:p w14:paraId="39A4FBF2">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eastAsia="zh-CN"/>
                    </w:rPr>
                    <w:t>生活垃圾</w:t>
                  </w:r>
                </w:p>
              </w:tc>
              <w:tc>
                <w:tcPr>
                  <w:tcW w:w="664" w:type="pct"/>
                  <w:tcBorders>
                    <w:tl2br w:val="nil"/>
                    <w:tr2bl w:val="nil"/>
                  </w:tcBorders>
                  <w:noWrap w:val="0"/>
                  <w:vAlign w:val="center"/>
                </w:tcPr>
                <w:p w14:paraId="267812D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eastAsia="zh-CN"/>
                    </w:rPr>
                    <w:t>办公生活</w:t>
                  </w:r>
                </w:p>
              </w:tc>
              <w:tc>
                <w:tcPr>
                  <w:tcW w:w="351" w:type="pct"/>
                  <w:tcBorders>
                    <w:tl2br w:val="nil"/>
                    <w:tr2bl w:val="nil"/>
                  </w:tcBorders>
                  <w:noWrap w:val="0"/>
                  <w:vAlign w:val="center"/>
                </w:tcPr>
                <w:p w14:paraId="09D90A3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固</w:t>
                  </w:r>
                </w:p>
              </w:tc>
              <w:tc>
                <w:tcPr>
                  <w:tcW w:w="852" w:type="pct"/>
                  <w:tcBorders>
                    <w:tl2br w:val="nil"/>
                    <w:tr2bl w:val="nil"/>
                  </w:tcBorders>
                  <w:noWrap w:val="0"/>
                  <w:vAlign w:val="center"/>
                </w:tcPr>
                <w:p w14:paraId="17600F23">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eastAsia="zh-CN"/>
                    </w:rPr>
                    <w:t>纸张、塑料等</w:t>
                  </w:r>
                </w:p>
              </w:tc>
              <w:tc>
                <w:tcPr>
                  <w:tcW w:w="592" w:type="pct"/>
                  <w:tcBorders>
                    <w:tl2br w:val="nil"/>
                    <w:tr2bl w:val="nil"/>
                  </w:tcBorders>
                  <w:noWrap w:val="0"/>
                  <w:vAlign w:val="center"/>
                </w:tcPr>
                <w:p w14:paraId="73812313">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bCs/>
                      <w:color w:val="auto"/>
                      <w:kern w:val="2"/>
                      <w:sz w:val="21"/>
                      <w:szCs w:val="21"/>
                      <w:lang w:val="en-US" w:eastAsia="zh-CN" w:bidi="ar-SA"/>
                    </w:rPr>
                    <w:t>15</w:t>
                  </w:r>
                </w:p>
              </w:tc>
              <w:tc>
                <w:tcPr>
                  <w:tcW w:w="536" w:type="pct"/>
                  <w:tcBorders>
                    <w:tl2br w:val="nil"/>
                    <w:tr2bl w:val="nil"/>
                  </w:tcBorders>
                  <w:noWrap w:val="0"/>
                  <w:vAlign w:val="center"/>
                </w:tcPr>
                <w:p w14:paraId="0873279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 w:val="21"/>
                      <w:szCs w:val="21"/>
                    </w:rPr>
                    <w:t>√</w:t>
                  </w:r>
                </w:p>
              </w:tc>
              <w:tc>
                <w:tcPr>
                  <w:tcW w:w="400" w:type="pct"/>
                  <w:tcBorders>
                    <w:tl2br w:val="nil"/>
                    <w:tr2bl w:val="nil"/>
                  </w:tcBorders>
                  <w:noWrap w:val="0"/>
                  <w:vAlign w:val="center"/>
                </w:tcPr>
                <w:p w14:paraId="2BAA47A4">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530" w:type="pct"/>
                  <w:vMerge w:val="restart"/>
                  <w:tcBorders>
                    <w:tl2br w:val="nil"/>
                    <w:tr2bl w:val="nil"/>
                  </w:tcBorders>
                  <w:noWrap w:val="0"/>
                  <w:vAlign w:val="center"/>
                </w:tcPr>
                <w:p w14:paraId="5F0ED73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《固体废物鉴别标准通则》</w:t>
                  </w:r>
                </w:p>
              </w:tc>
            </w:tr>
            <w:tr w14:paraId="3ABF63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1203EDD6">
                  <w:pPr>
                    <w:pStyle w:val="5"/>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812" w:type="pct"/>
                  <w:tcBorders>
                    <w:tl2br w:val="nil"/>
                    <w:tr2bl w:val="nil"/>
                  </w:tcBorders>
                  <w:noWrap w:val="0"/>
                  <w:vAlign w:val="center"/>
                </w:tcPr>
                <w:p w14:paraId="1C089B2F">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边角料</w:t>
                  </w:r>
                </w:p>
              </w:tc>
              <w:tc>
                <w:tcPr>
                  <w:tcW w:w="664" w:type="pct"/>
                  <w:tcBorders>
                    <w:tl2br w:val="nil"/>
                    <w:tr2bl w:val="nil"/>
                  </w:tcBorders>
                  <w:noWrap w:val="0"/>
                  <w:vAlign w:val="center"/>
                </w:tcPr>
                <w:p w14:paraId="3C62AA2F">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机加工</w:t>
                  </w:r>
                </w:p>
              </w:tc>
              <w:tc>
                <w:tcPr>
                  <w:tcW w:w="351" w:type="pct"/>
                  <w:tcBorders>
                    <w:tl2br w:val="nil"/>
                    <w:tr2bl w:val="nil"/>
                  </w:tcBorders>
                  <w:noWrap w:val="0"/>
                  <w:vAlign w:val="center"/>
                </w:tcPr>
                <w:p w14:paraId="03349903">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固</w:t>
                  </w:r>
                </w:p>
              </w:tc>
              <w:tc>
                <w:tcPr>
                  <w:tcW w:w="852" w:type="pct"/>
                  <w:tcBorders>
                    <w:tl2br w:val="nil"/>
                    <w:tr2bl w:val="nil"/>
                  </w:tcBorders>
                  <w:noWrap w:val="0"/>
                  <w:vAlign w:val="center"/>
                </w:tcPr>
                <w:p w14:paraId="71564663">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金属</w:t>
                  </w:r>
                </w:p>
              </w:tc>
              <w:tc>
                <w:tcPr>
                  <w:tcW w:w="592" w:type="pct"/>
                  <w:tcBorders>
                    <w:tl2br w:val="nil"/>
                    <w:tr2bl w:val="nil"/>
                  </w:tcBorders>
                  <w:noWrap w:val="0"/>
                  <w:vAlign w:val="center"/>
                </w:tcPr>
                <w:p w14:paraId="78ABE929">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80</w:t>
                  </w:r>
                </w:p>
              </w:tc>
              <w:tc>
                <w:tcPr>
                  <w:tcW w:w="536" w:type="pct"/>
                  <w:tcBorders>
                    <w:tl2br w:val="nil"/>
                    <w:tr2bl w:val="nil"/>
                  </w:tcBorders>
                  <w:noWrap w:val="0"/>
                  <w:vAlign w:val="center"/>
                </w:tcPr>
                <w:p w14:paraId="60FA494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bCs/>
                      <w:color w:val="auto"/>
                      <w:sz w:val="21"/>
                      <w:szCs w:val="21"/>
                    </w:rPr>
                    <w:t>√</w:t>
                  </w:r>
                </w:p>
              </w:tc>
              <w:tc>
                <w:tcPr>
                  <w:tcW w:w="400" w:type="pct"/>
                  <w:tcBorders>
                    <w:tl2br w:val="nil"/>
                    <w:tr2bl w:val="nil"/>
                  </w:tcBorders>
                  <w:noWrap w:val="0"/>
                  <w:vAlign w:val="center"/>
                </w:tcPr>
                <w:p w14:paraId="4A72AE13">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530" w:type="pct"/>
                  <w:vMerge w:val="continue"/>
                  <w:tcBorders>
                    <w:tl2br w:val="nil"/>
                    <w:tr2bl w:val="nil"/>
                  </w:tcBorders>
                  <w:noWrap w:val="0"/>
                  <w:vAlign w:val="center"/>
                </w:tcPr>
                <w:p w14:paraId="24C3C8A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sz w:val="21"/>
                      <w:szCs w:val="21"/>
                    </w:rPr>
                  </w:pPr>
                </w:p>
              </w:tc>
            </w:tr>
            <w:tr w14:paraId="30F6ED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7E91A71F">
                  <w:pPr>
                    <w:pStyle w:val="5"/>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仿宋" w:cs="Times New Roman"/>
                      <w:b w:val="0"/>
                      <w:bCs w:val="0"/>
                      <w:color w:val="auto"/>
                      <w:sz w:val="21"/>
                      <w:szCs w:val="21"/>
                    </w:rPr>
                  </w:pPr>
                  <w:r>
                    <w:rPr>
                      <w:rFonts w:hint="default" w:ascii="Times New Roman" w:hAnsi="Times New Roman" w:eastAsia="仿宋" w:cs="Times New Roman"/>
                      <w:b w:val="0"/>
                      <w:bCs w:val="0"/>
                      <w:color w:val="auto"/>
                      <w:sz w:val="21"/>
                      <w:szCs w:val="21"/>
                      <w:lang w:val="en-US" w:eastAsia="zh-CN"/>
                    </w:rPr>
                    <w:t>3</w:t>
                  </w:r>
                </w:p>
              </w:tc>
              <w:tc>
                <w:tcPr>
                  <w:tcW w:w="812" w:type="pct"/>
                  <w:tcBorders>
                    <w:tl2br w:val="nil"/>
                    <w:tr2bl w:val="nil"/>
                  </w:tcBorders>
                  <w:noWrap w:val="0"/>
                  <w:vAlign w:val="center"/>
                </w:tcPr>
                <w:p w14:paraId="614FBD0C">
                  <w:pPr>
                    <w:pStyle w:val="5"/>
                    <w:adjustRightInd w:val="0"/>
                    <w:snapToGrid w:val="0"/>
                    <w:ind w:firstLine="0" w:firstLineChars="0"/>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kern w:val="2"/>
                      <w:sz w:val="21"/>
                      <w:szCs w:val="21"/>
                      <w:highlight w:val="none"/>
                      <w:lang w:val="en-US" w:eastAsia="zh-CN" w:bidi="ar-SA"/>
                    </w:rPr>
                    <w:t>焊渣</w:t>
                  </w:r>
                </w:p>
              </w:tc>
              <w:tc>
                <w:tcPr>
                  <w:tcW w:w="664" w:type="pct"/>
                  <w:tcBorders>
                    <w:tl2br w:val="nil"/>
                    <w:tr2bl w:val="nil"/>
                  </w:tcBorders>
                  <w:noWrap w:val="0"/>
                  <w:vAlign w:val="center"/>
                </w:tcPr>
                <w:p w14:paraId="338215B4">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焊接</w:t>
                  </w:r>
                </w:p>
              </w:tc>
              <w:tc>
                <w:tcPr>
                  <w:tcW w:w="351" w:type="pct"/>
                  <w:tcBorders>
                    <w:tl2br w:val="nil"/>
                    <w:tr2bl w:val="nil"/>
                  </w:tcBorders>
                  <w:noWrap w:val="0"/>
                  <w:vAlign w:val="center"/>
                </w:tcPr>
                <w:p w14:paraId="22E1E676">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w:t>
                  </w:r>
                </w:p>
              </w:tc>
              <w:tc>
                <w:tcPr>
                  <w:tcW w:w="852" w:type="pct"/>
                  <w:tcBorders>
                    <w:tl2br w:val="nil"/>
                    <w:tr2bl w:val="nil"/>
                  </w:tcBorders>
                  <w:noWrap w:val="0"/>
                  <w:vAlign w:val="center"/>
                </w:tcPr>
                <w:p w14:paraId="14F96148">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金属氧化物</w:t>
                  </w:r>
                </w:p>
              </w:tc>
              <w:tc>
                <w:tcPr>
                  <w:tcW w:w="592" w:type="pct"/>
                  <w:tcBorders>
                    <w:tl2br w:val="nil"/>
                    <w:tr2bl w:val="nil"/>
                  </w:tcBorders>
                  <w:noWrap w:val="0"/>
                  <w:vAlign w:val="center"/>
                </w:tcPr>
                <w:p w14:paraId="606AB885">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0.8</w:t>
                  </w:r>
                </w:p>
              </w:tc>
              <w:tc>
                <w:tcPr>
                  <w:tcW w:w="536" w:type="pct"/>
                  <w:tcBorders>
                    <w:tl2br w:val="nil"/>
                    <w:tr2bl w:val="nil"/>
                  </w:tcBorders>
                  <w:noWrap w:val="0"/>
                  <w:vAlign w:val="center"/>
                </w:tcPr>
                <w:p w14:paraId="092DEDC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w:t>
                  </w:r>
                </w:p>
              </w:tc>
              <w:tc>
                <w:tcPr>
                  <w:tcW w:w="400" w:type="pct"/>
                  <w:tcBorders>
                    <w:tl2br w:val="nil"/>
                    <w:tr2bl w:val="nil"/>
                  </w:tcBorders>
                  <w:noWrap w:val="0"/>
                  <w:vAlign w:val="center"/>
                </w:tcPr>
                <w:p w14:paraId="0A5BE8CD">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530" w:type="pct"/>
                  <w:vMerge w:val="continue"/>
                  <w:tcBorders>
                    <w:tl2br w:val="nil"/>
                    <w:tr2bl w:val="nil"/>
                  </w:tcBorders>
                  <w:noWrap w:val="0"/>
                  <w:vAlign w:val="center"/>
                </w:tcPr>
                <w:p w14:paraId="6E01F60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sz w:val="21"/>
                      <w:szCs w:val="21"/>
                    </w:rPr>
                  </w:pPr>
                </w:p>
              </w:tc>
            </w:tr>
            <w:tr w14:paraId="14557C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5A5EFD54">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812" w:type="pct"/>
                  <w:tcBorders>
                    <w:tl2br w:val="nil"/>
                    <w:tr2bl w:val="nil"/>
                  </w:tcBorders>
                  <w:noWrap w:val="0"/>
                  <w:vAlign w:val="center"/>
                </w:tcPr>
                <w:p w14:paraId="04CD2294">
                  <w:pPr>
                    <w:pStyle w:val="5"/>
                    <w:adjustRightInd w:val="0"/>
                    <w:snapToGrid w:val="0"/>
                    <w:ind w:firstLine="0" w:firstLineChars="0"/>
                    <w:jc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w:t>
                  </w:r>
                  <w:r>
                    <w:rPr>
                      <w:rFonts w:hint="eastAsia" w:ascii="Times New Roman" w:hAnsi="Times New Roman" w:eastAsia="仿宋" w:cs="Times New Roman"/>
                      <w:color w:val="auto"/>
                      <w:sz w:val="21"/>
                      <w:szCs w:val="21"/>
                      <w:highlight w:val="none"/>
                      <w:lang w:val="en-US" w:eastAsia="zh-CN"/>
                    </w:rPr>
                    <w:t>玻璃</w:t>
                  </w:r>
                  <w:r>
                    <w:rPr>
                      <w:rFonts w:hint="default" w:ascii="Times New Roman" w:hAnsi="Times New Roman" w:eastAsia="仿宋" w:cs="Times New Roman"/>
                      <w:color w:val="auto"/>
                      <w:sz w:val="21"/>
                      <w:szCs w:val="21"/>
                      <w:highlight w:val="none"/>
                      <w:lang w:val="en-US" w:eastAsia="zh-CN"/>
                    </w:rPr>
                    <w:t>砂</w:t>
                  </w:r>
                </w:p>
              </w:tc>
              <w:tc>
                <w:tcPr>
                  <w:tcW w:w="664" w:type="pct"/>
                  <w:tcBorders>
                    <w:tl2br w:val="nil"/>
                    <w:tr2bl w:val="nil"/>
                  </w:tcBorders>
                  <w:noWrap w:val="0"/>
                  <w:vAlign w:val="center"/>
                </w:tcPr>
                <w:p w14:paraId="68184F35">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喷砂</w:t>
                  </w:r>
                </w:p>
              </w:tc>
              <w:tc>
                <w:tcPr>
                  <w:tcW w:w="351" w:type="pct"/>
                  <w:tcBorders>
                    <w:tl2br w:val="nil"/>
                    <w:tr2bl w:val="nil"/>
                  </w:tcBorders>
                  <w:noWrap w:val="0"/>
                  <w:vAlign w:val="center"/>
                </w:tcPr>
                <w:p w14:paraId="4B91E19C">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sz w:val="21"/>
                      <w:szCs w:val="21"/>
                    </w:rPr>
                    <w:t>固</w:t>
                  </w:r>
                </w:p>
              </w:tc>
              <w:tc>
                <w:tcPr>
                  <w:tcW w:w="852" w:type="pct"/>
                  <w:tcBorders>
                    <w:tl2br w:val="nil"/>
                    <w:tr2bl w:val="nil"/>
                  </w:tcBorders>
                  <w:noWrap w:val="0"/>
                  <w:vAlign w:val="center"/>
                </w:tcPr>
                <w:p w14:paraId="0ABD8335">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砂、石英</w:t>
                  </w:r>
                </w:p>
              </w:tc>
              <w:tc>
                <w:tcPr>
                  <w:tcW w:w="592" w:type="pct"/>
                  <w:tcBorders>
                    <w:tl2br w:val="nil"/>
                    <w:tr2bl w:val="nil"/>
                  </w:tcBorders>
                  <w:noWrap w:val="0"/>
                  <w:vAlign w:val="center"/>
                </w:tcPr>
                <w:p w14:paraId="5D48B20A">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22.8</w:t>
                  </w:r>
                </w:p>
              </w:tc>
              <w:tc>
                <w:tcPr>
                  <w:tcW w:w="536" w:type="pct"/>
                  <w:tcBorders>
                    <w:tl2br w:val="nil"/>
                    <w:tr2bl w:val="nil"/>
                  </w:tcBorders>
                  <w:noWrap w:val="0"/>
                  <w:vAlign w:val="center"/>
                </w:tcPr>
                <w:p w14:paraId="2A0FEAC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bCs/>
                      <w:color w:val="auto"/>
                      <w:sz w:val="21"/>
                      <w:szCs w:val="21"/>
                    </w:rPr>
                    <w:t>√</w:t>
                  </w:r>
                </w:p>
              </w:tc>
              <w:tc>
                <w:tcPr>
                  <w:tcW w:w="400" w:type="pct"/>
                  <w:tcBorders>
                    <w:tl2br w:val="nil"/>
                    <w:tr2bl w:val="nil"/>
                  </w:tcBorders>
                  <w:noWrap w:val="0"/>
                  <w:vAlign w:val="center"/>
                </w:tcPr>
                <w:p w14:paraId="3D4F148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530" w:type="pct"/>
                  <w:vMerge w:val="continue"/>
                  <w:tcBorders>
                    <w:tl2br w:val="nil"/>
                    <w:tr2bl w:val="nil"/>
                  </w:tcBorders>
                  <w:noWrap w:val="0"/>
                  <w:vAlign w:val="center"/>
                </w:tcPr>
                <w:p w14:paraId="0F75B44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p>
              </w:tc>
            </w:tr>
            <w:tr w14:paraId="3E4022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57C7C56E">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812" w:type="pct"/>
                  <w:tcBorders>
                    <w:tl2br w:val="nil"/>
                    <w:tr2bl w:val="nil"/>
                  </w:tcBorders>
                  <w:noWrap w:val="0"/>
                  <w:vAlign w:val="center"/>
                </w:tcPr>
                <w:p w14:paraId="13873981">
                  <w:pPr>
                    <w:pStyle w:val="5"/>
                    <w:adjustRightInd w:val="0"/>
                    <w:snapToGrid w:val="0"/>
                    <w:ind w:firstLine="0" w:firstLineChars="0"/>
                    <w:jc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废布袋</w:t>
                  </w:r>
                </w:p>
              </w:tc>
              <w:tc>
                <w:tcPr>
                  <w:tcW w:w="664" w:type="pct"/>
                  <w:tcBorders>
                    <w:tl2br w:val="nil"/>
                    <w:tr2bl w:val="nil"/>
                  </w:tcBorders>
                  <w:noWrap w:val="0"/>
                  <w:vAlign w:val="center"/>
                </w:tcPr>
                <w:p w14:paraId="140AA9C2">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除尘</w:t>
                  </w:r>
                </w:p>
              </w:tc>
              <w:tc>
                <w:tcPr>
                  <w:tcW w:w="351" w:type="pct"/>
                  <w:tcBorders>
                    <w:tl2br w:val="nil"/>
                    <w:tr2bl w:val="nil"/>
                  </w:tcBorders>
                  <w:noWrap w:val="0"/>
                  <w:vAlign w:val="center"/>
                </w:tcPr>
                <w:p w14:paraId="4CE5D6FF">
                  <w:pPr>
                    <w:adjustRightInd w:val="0"/>
                    <w:snapToGrid w:val="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固</w:t>
                  </w:r>
                </w:p>
              </w:tc>
              <w:tc>
                <w:tcPr>
                  <w:tcW w:w="852" w:type="pct"/>
                  <w:tcBorders>
                    <w:tl2br w:val="nil"/>
                    <w:tr2bl w:val="nil"/>
                  </w:tcBorders>
                  <w:noWrap w:val="0"/>
                  <w:vAlign w:val="center"/>
                </w:tcPr>
                <w:p w14:paraId="5BBDF07E">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纤维</w:t>
                  </w:r>
                </w:p>
              </w:tc>
              <w:tc>
                <w:tcPr>
                  <w:tcW w:w="592" w:type="pct"/>
                  <w:tcBorders>
                    <w:tl2br w:val="nil"/>
                    <w:tr2bl w:val="nil"/>
                  </w:tcBorders>
                  <w:noWrap w:val="0"/>
                  <w:vAlign w:val="center"/>
                </w:tcPr>
                <w:p w14:paraId="32DDBDB7">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0.5</w:t>
                  </w:r>
                </w:p>
              </w:tc>
              <w:tc>
                <w:tcPr>
                  <w:tcW w:w="536" w:type="pct"/>
                  <w:tcBorders>
                    <w:tl2br w:val="nil"/>
                    <w:tr2bl w:val="nil"/>
                  </w:tcBorders>
                  <w:noWrap w:val="0"/>
                  <w:vAlign w:val="center"/>
                </w:tcPr>
                <w:p w14:paraId="2C2D349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w:t>
                  </w:r>
                </w:p>
              </w:tc>
              <w:tc>
                <w:tcPr>
                  <w:tcW w:w="400" w:type="pct"/>
                  <w:tcBorders>
                    <w:tl2br w:val="nil"/>
                    <w:tr2bl w:val="nil"/>
                  </w:tcBorders>
                  <w:noWrap w:val="0"/>
                  <w:vAlign w:val="center"/>
                </w:tcPr>
                <w:p w14:paraId="44DE3933">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30" w:type="pct"/>
                  <w:vMerge w:val="continue"/>
                  <w:tcBorders>
                    <w:tl2br w:val="nil"/>
                    <w:tr2bl w:val="nil"/>
                  </w:tcBorders>
                  <w:noWrap w:val="0"/>
                  <w:vAlign w:val="center"/>
                </w:tcPr>
                <w:p w14:paraId="7DFEED8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p>
              </w:tc>
            </w:tr>
            <w:tr w14:paraId="34F8C1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0BDF0E8E">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812" w:type="pct"/>
                  <w:tcBorders>
                    <w:tl2br w:val="nil"/>
                    <w:tr2bl w:val="nil"/>
                  </w:tcBorders>
                  <w:noWrap w:val="0"/>
                  <w:vAlign w:val="center"/>
                </w:tcPr>
                <w:p w14:paraId="251A85C8">
                  <w:pPr>
                    <w:pStyle w:val="5"/>
                    <w:adjustRightInd w:val="0"/>
                    <w:snapToGrid w:val="0"/>
                    <w:ind w:firstLine="0" w:firstLineChars="0"/>
                    <w:jc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收尘</w:t>
                  </w:r>
                </w:p>
              </w:tc>
              <w:tc>
                <w:tcPr>
                  <w:tcW w:w="664" w:type="pct"/>
                  <w:tcBorders>
                    <w:tl2br w:val="nil"/>
                    <w:tr2bl w:val="nil"/>
                  </w:tcBorders>
                  <w:noWrap w:val="0"/>
                  <w:vAlign w:val="center"/>
                </w:tcPr>
                <w:p w14:paraId="268326B7">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废气处理</w:t>
                  </w:r>
                </w:p>
              </w:tc>
              <w:tc>
                <w:tcPr>
                  <w:tcW w:w="351" w:type="pct"/>
                  <w:tcBorders>
                    <w:tl2br w:val="nil"/>
                    <w:tr2bl w:val="nil"/>
                  </w:tcBorders>
                  <w:noWrap w:val="0"/>
                  <w:vAlign w:val="center"/>
                </w:tcPr>
                <w:p w14:paraId="504BF720">
                  <w:pPr>
                    <w:adjustRightInd w:val="0"/>
                    <w:snapToGrid w:val="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固</w:t>
                  </w:r>
                </w:p>
              </w:tc>
              <w:tc>
                <w:tcPr>
                  <w:tcW w:w="852" w:type="pct"/>
                  <w:tcBorders>
                    <w:tl2br w:val="nil"/>
                    <w:tr2bl w:val="nil"/>
                  </w:tcBorders>
                  <w:noWrap w:val="0"/>
                  <w:vAlign w:val="center"/>
                </w:tcPr>
                <w:p w14:paraId="1AC173F0">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金属</w:t>
                  </w:r>
                </w:p>
              </w:tc>
              <w:tc>
                <w:tcPr>
                  <w:tcW w:w="592" w:type="pct"/>
                  <w:tcBorders>
                    <w:tl2br w:val="nil"/>
                    <w:tr2bl w:val="nil"/>
                  </w:tcBorders>
                  <w:noWrap w:val="0"/>
                  <w:vAlign w:val="center"/>
                </w:tcPr>
                <w:p w14:paraId="38049C7C">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13.742</w:t>
                  </w:r>
                </w:p>
              </w:tc>
              <w:tc>
                <w:tcPr>
                  <w:tcW w:w="536" w:type="pct"/>
                  <w:tcBorders>
                    <w:tl2br w:val="nil"/>
                    <w:tr2bl w:val="nil"/>
                  </w:tcBorders>
                  <w:noWrap w:val="0"/>
                  <w:vAlign w:val="center"/>
                </w:tcPr>
                <w:p w14:paraId="386465C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w:t>
                  </w:r>
                </w:p>
              </w:tc>
              <w:tc>
                <w:tcPr>
                  <w:tcW w:w="400" w:type="pct"/>
                  <w:tcBorders>
                    <w:tl2br w:val="nil"/>
                    <w:tr2bl w:val="nil"/>
                  </w:tcBorders>
                  <w:noWrap w:val="0"/>
                  <w:vAlign w:val="center"/>
                </w:tcPr>
                <w:p w14:paraId="0BCBC48A">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30" w:type="pct"/>
                  <w:vMerge w:val="continue"/>
                  <w:tcBorders>
                    <w:tl2br w:val="nil"/>
                    <w:tr2bl w:val="nil"/>
                  </w:tcBorders>
                  <w:noWrap w:val="0"/>
                  <w:vAlign w:val="center"/>
                </w:tcPr>
                <w:p w14:paraId="1842F96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p>
              </w:tc>
            </w:tr>
            <w:tr w14:paraId="5FF847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vAlign w:val="center"/>
                </w:tcPr>
                <w:p w14:paraId="4265E7C1">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7</w:t>
                  </w:r>
                </w:p>
              </w:tc>
              <w:tc>
                <w:tcPr>
                  <w:tcW w:w="812" w:type="pct"/>
                  <w:vAlign w:val="center"/>
                </w:tcPr>
                <w:p w14:paraId="74C6ED84">
                  <w:pPr>
                    <w:pStyle w:val="5"/>
                    <w:adjustRightInd w:val="0"/>
                    <w:snapToGrid w:val="0"/>
                    <w:ind w:firstLine="0" w:firstLineChars="0"/>
                    <w:jc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w:t>
                  </w:r>
                  <w:r>
                    <w:rPr>
                      <w:rFonts w:hint="eastAsia" w:ascii="Times New Roman" w:hAnsi="Times New Roman" w:eastAsia="仿宋" w:cs="Times New Roman"/>
                      <w:b w:val="0"/>
                      <w:bCs w:val="0"/>
                      <w:color w:val="auto"/>
                      <w:kern w:val="2"/>
                      <w:sz w:val="21"/>
                      <w:szCs w:val="21"/>
                      <w:highlight w:val="none"/>
                      <w:lang w:val="en-US" w:eastAsia="zh-CN" w:bidi="ar-SA"/>
                    </w:rPr>
                    <w:t>切削液</w:t>
                  </w:r>
                </w:p>
              </w:tc>
              <w:tc>
                <w:tcPr>
                  <w:tcW w:w="664" w:type="pct"/>
                  <w:vAlign w:val="center"/>
                </w:tcPr>
                <w:p w14:paraId="15720781">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机加工</w:t>
                  </w:r>
                </w:p>
              </w:tc>
              <w:tc>
                <w:tcPr>
                  <w:tcW w:w="351" w:type="pct"/>
                  <w:vAlign w:val="center"/>
                </w:tcPr>
                <w:p w14:paraId="26A79FB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液</w:t>
                  </w:r>
                </w:p>
              </w:tc>
              <w:tc>
                <w:tcPr>
                  <w:tcW w:w="852" w:type="pct"/>
                  <w:vAlign w:val="center"/>
                </w:tcPr>
                <w:p w14:paraId="1F9B2A90">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sz w:val="21"/>
                      <w:szCs w:val="21"/>
                      <w:lang w:val="en-US" w:eastAsia="zh-CN"/>
                    </w:rPr>
                    <w:t>水、矿物油</w:t>
                  </w:r>
                </w:p>
              </w:tc>
              <w:tc>
                <w:tcPr>
                  <w:tcW w:w="592" w:type="pct"/>
                  <w:vAlign w:val="center"/>
                </w:tcPr>
                <w:p w14:paraId="43011E87">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8</w:t>
                  </w:r>
                </w:p>
              </w:tc>
              <w:tc>
                <w:tcPr>
                  <w:tcW w:w="536" w:type="pct"/>
                  <w:vAlign w:val="center"/>
                </w:tcPr>
                <w:p w14:paraId="344B4A9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bCs/>
                      <w:color w:val="auto"/>
                      <w:sz w:val="21"/>
                      <w:szCs w:val="21"/>
                    </w:rPr>
                    <w:t>√</w:t>
                  </w:r>
                </w:p>
              </w:tc>
              <w:tc>
                <w:tcPr>
                  <w:tcW w:w="400" w:type="pct"/>
                  <w:vAlign w:val="center"/>
                </w:tcPr>
                <w:p w14:paraId="536CB205">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530" w:type="pct"/>
                  <w:vMerge w:val="continue"/>
                  <w:vAlign w:val="center"/>
                </w:tcPr>
                <w:p w14:paraId="54FCD5C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p>
              </w:tc>
            </w:tr>
            <w:tr w14:paraId="7A84CD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vAlign w:val="center"/>
                </w:tcPr>
                <w:p w14:paraId="02C7971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w:t>
                  </w:r>
                </w:p>
              </w:tc>
              <w:tc>
                <w:tcPr>
                  <w:tcW w:w="812" w:type="pct"/>
                  <w:vAlign w:val="center"/>
                </w:tcPr>
                <w:p w14:paraId="367D0EEB">
                  <w:pPr>
                    <w:pStyle w:val="5"/>
                    <w:adjustRightInd w:val="0"/>
                    <w:snapToGrid w:val="0"/>
                    <w:ind w:firstLine="0" w:firstLineChars="0"/>
                    <w:jc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废包装桶</w:t>
                  </w:r>
                </w:p>
              </w:tc>
              <w:tc>
                <w:tcPr>
                  <w:tcW w:w="664" w:type="pct"/>
                  <w:vAlign w:val="center"/>
                </w:tcPr>
                <w:p w14:paraId="03528767">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原料包装</w:t>
                  </w:r>
                </w:p>
              </w:tc>
              <w:tc>
                <w:tcPr>
                  <w:tcW w:w="351" w:type="pct"/>
                  <w:vAlign w:val="center"/>
                </w:tcPr>
                <w:p w14:paraId="12525AAA">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sz w:val="21"/>
                      <w:szCs w:val="21"/>
                    </w:rPr>
                    <w:t>固</w:t>
                  </w:r>
                </w:p>
              </w:tc>
              <w:tc>
                <w:tcPr>
                  <w:tcW w:w="852" w:type="pct"/>
                  <w:vAlign w:val="center"/>
                </w:tcPr>
                <w:p w14:paraId="703C4591">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sz w:val="21"/>
                      <w:szCs w:val="21"/>
                      <w:lang w:val="en-US" w:eastAsia="zh-CN"/>
                    </w:rPr>
                    <w:t>矿物油</w:t>
                  </w:r>
                  <w:r>
                    <w:rPr>
                      <w:rFonts w:hint="default" w:ascii="Times New Roman" w:hAnsi="Times New Roman" w:eastAsia="仿宋" w:cs="Times New Roman"/>
                      <w:b w:val="0"/>
                      <w:bCs/>
                      <w:color w:val="auto"/>
                      <w:kern w:val="2"/>
                      <w:sz w:val="21"/>
                      <w:szCs w:val="21"/>
                      <w:lang w:val="en-US" w:eastAsia="zh-CN" w:bidi="ar-SA"/>
                    </w:rPr>
                    <w:t>、铁</w:t>
                  </w:r>
                </w:p>
              </w:tc>
              <w:tc>
                <w:tcPr>
                  <w:tcW w:w="592" w:type="pct"/>
                  <w:vAlign w:val="center"/>
                </w:tcPr>
                <w:p w14:paraId="0DFE6C9A">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1.2</w:t>
                  </w:r>
                </w:p>
              </w:tc>
              <w:tc>
                <w:tcPr>
                  <w:tcW w:w="536" w:type="pct"/>
                  <w:vAlign w:val="center"/>
                </w:tcPr>
                <w:p w14:paraId="4951E26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bCs/>
                      <w:color w:val="auto"/>
                      <w:sz w:val="21"/>
                      <w:szCs w:val="21"/>
                    </w:rPr>
                    <w:t>√</w:t>
                  </w:r>
                </w:p>
              </w:tc>
              <w:tc>
                <w:tcPr>
                  <w:tcW w:w="400" w:type="pct"/>
                  <w:vAlign w:val="center"/>
                </w:tcPr>
                <w:p w14:paraId="3875381D">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530" w:type="pct"/>
                  <w:vMerge w:val="continue"/>
                  <w:vAlign w:val="center"/>
                </w:tcPr>
                <w:p w14:paraId="1B53A5E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p>
              </w:tc>
            </w:tr>
            <w:tr w14:paraId="19B378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vAlign w:val="center"/>
                </w:tcPr>
                <w:p w14:paraId="7E9EFA69">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lang w:val="en-US" w:eastAsia="zh-CN" w:bidi="ar-SA"/>
                    </w:rPr>
                    <w:t>9</w:t>
                  </w:r>
                </w:p>
              </w:tc>
              <w:tc>
                <w:tcPr>
                  <w:tcW w:w="812" w:type="pct"/>
                  <w:vAlign w:val="center"/>
                </w:tcPr>
                <w:p w14:paraId="67CCF53C">
                  <w:pPr>
                    <w:pStyle w:val="5"/>
                    <w:adjustRightInd w:val="0"/>
                    <w:snapToGrid w:val="0"/>
                    <w:ind w:firstLine="0" w:firstLineChars="0"/>
                    <w:jc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漆渣</w:t>
                  </w:r>
                </w:p>
              </w:tc>
              <w:tc>
                <w:tcPr>
                  <w:tcW w:w="664" w:type="pct"/>
                  <w:vAlign w:val="center"/>
                </w:tcPr>
                <w:p w14:paraId="797386D2">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喷漆</w:t>
                  </w:r>
                </w:p>
              </w:tc>
              <w:tc>
                <w:tcPr>
                  <w:tcW w:w="351" w:type="pct"/>
                  <w:vAlign w:val="center"/>
                </w:tcPr>
                <w:p w14:paraId="12939EC3">
                  <w:pPr>
                    <w:adjustRightInd w:val="0"/>
                    <w:snapToGrid w:val="0"/>
                    <w:jc w:val="center"/>
                    <w:rPr>
                      <w:rFonts w:hint="default" w:ascii="Times New Roman" w:hAnsi="Times New Roman" w:eastAsia="仿宋" w:cs="Times New Roman"/>
                      <w:b w:val="0"/>
                      <w:bCs/>
                      <w:color w:val="auto"/>
                      <w:sz w:val="21"/>
                      <w:szCs w:val="21"/>
                      <w:lang w:eastAsia="zh-CN"/>
                    </w:rPr>
                  </w:pPr>
                  <w:r>
                    <w:rPr>
                      <w:rFonts w:hint="default" w:ascii="Times New Roman" w:hAnsi="Times New Roman" w:eastAsia="仿宋" w:cs="Times New Roman"/>
                      <w:b w:val="0"/>
                      <w:bCs/>
                      <w:color w:val="auto"/>
                      <w:sz w:val="21"/>
                      <w:szCs w:val="21"/>
                      <w:lang w:eastAsia="zh-CN"/>
                    </w:rPr>
                    <w:t>半固</w:t>
                  </w:r>
                </w:p>
              </w:tc>
              <w:tc>
                <w:tcPr>
                  <w:tcW w:w="852" w:type="pct"/>
                  <w:vAlign w:val="center"/>
                </w:tcPr>
                <w:p w14:paraId="4AF336EA">
                  <w:pPr>
                    <w:pStyle w:val="5"/>
                    <w:adjustRightInd w:val="0"/>
                    <w:snapToGrid w:val="0"/>
                    <w:ind w:firstLine="0" w:firstLineChars="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有机物、水</w:t>
                  </w:r>
                </w:p>
              </w:tc>
              <w:tc>
                <w:tcPr>
                  <w:tcW w:w="592" w:type="pct"/>
                  <w:vAlign w:val="center"/>
                </w:tcPr>
                <w:p w14:paraId="0C77402C">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w:t>
                  </w:r>
                  <w:r>
                    <w:rPr>
                      <w:rFonts w:hint="eastAsia" w:eastAsia="仿宋" w:cs="Times New Roman"/>
                      <w:color w:val="auto"/>
                      <w:kern w:val="2"/>
                      <w:sz w:val="21"/>
                      <w:szCs w:val="21"/>
                      <w:lang w:val="en-US" w:eastAsia="zh-CN" w:bidi="ar-SA"/>
                    </w:rPr>
                    <w:t>29</w:t>
                  </w:r>
                </w:p>
              </w:tc>
              <w:tc>
                <w:tcPr>
                  <w:tcW w:w="536" w:type="pct"/>
                  <w:vAlign w:val="center"/>
                </w:tcPr>
                <w:p w14:paraId="7463C9E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w:t>
                  </w:r>
                </w:p>
              </w:tc>
              <w:tc>
                <w:tcPr>
                  <w:tcW w:w="400" w:type="pct"/>
                  <w:vAlign w:val="center"/>
                </w:tcPr>
                <w:p w14:paraId="7D830109">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30" w:type="pct"/>
                  <w:vMerge w:val="continue"/>
                  <w:vAlign w:val="center"/>
                </w:tcPr>
                <w:p w14:paraId="001B316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p>
              </w:tc>
            </w:tr>
            <w:tr w14:paraId="4B4C48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vAlign w:val="center"/>
                </w:tcPr>
                <w:p w14:paraId="0A2A774E">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812" w:type="pct"/>
                  <w:vAlign w:val="center"/>
                </w:tcPr>
                <w:p w14:paraId="70BBE660">
                  <w:pPr>
                    <w:pStyle w:val="5"/>
                    <w:adjustRightInd w:val="0"/>
                    <w:snapToGrid w:val="0"/>
                    <w:ind w:firstLine="0" w:firstLineChars="0"/>
                    <w:jc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含漆废物</w:t>
                  </w:r>
                </w:p>
              </w:tc>
              <w:tc>
                <w:tcPr>
                  <w:tcW w:w="664" w:type="pct"/>
                  <w:vAlign w:val="center"/>
                </w:tcPr>
                <w:p w14:paraId="42988F83">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喷漆</w:t>
                  </w:r>
                </w:p>
              </w:tc>
              <w:tc>
                <w:tcPr>
                  <w:tcW w:w="351" w:type="pct"/>
                  <w:vAlign w:val="center"/>
                </w:tcPr>
                <w:p w14:paraId="1EF034B8">
                  <w:pPr>
                    <w:adjustRightInd w:val="0"/>
                    <w:snapToGrid w:val="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lang w:eastAsia="zh-CN"/>
                    </w:rPr>
                    <w:t>固</w:t>
                  </w:r>
                </w:p>
              </w:tc>
              <w:tc>
                <w:tcPr>
                  <w:tcW w:w="852" w:type="pct"/>
                  <w:vAlign w:val="center"/>
                </w:tcPr>
                <w:p w14:paraId="3E8DB48C">
                  <w:pPr>
                    <w:pStyle w:val="5"/>
                    <w:adjustRightInd w:val="0"/>
                    <w:snapToGrid w:val="0"/>
                    <w:ind w:firstLine="0" w:firstLineChars="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布料、有机物</w:t>
                  </w:r>
                </w:p>
              </w:tc>
              <w:tc>
                <w:tcPr>
                  <w:tcW w:w="592" w:type="pct"/>
                  <w:vAlign w:val="center"/>
                </w:tcPr>
                <w:p w14:paraId="30312D87">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0.3</w:t>
                  </w:r>
                </w:p>
              </w:tc>
              <w:tc>
                <w:tcPr>
                  <w:tcW w:w="536" w:type="pct"/>
                  <w:vAlign w:val="center"/>
                </w:tcPr>
                <w:p w14:paraId="35F01C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w:t>
                  </w:r>
                </w:p>
              </w:tc>
              <w:tc>
                <w:tcPr>
                  <w:tcW w:w="400" w:type="pct"/>
                  <w:vAlign w:val="center"/>
                </w:tcPr>
                <w:p w14:paraId="673A9CEF">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30" w:type="pct"/>
                  <w:vMerge w:val="continue"/>
                  <w:vAlign w:val="center"/>
                </w:tcPr>
                <w:p w14:paraId="753B019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p>
              </w:tc>
            </w:tr>
            <w:tr w14:paraId="14BDFE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vAlign w:val="center"/>
                </w:tcPr>
                <w:p w14:paraId="071B28BD">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11</w:t>
                  </w:r>
                </w:p>
              </w:tc>
              <w:tc>
                <w:tcPr>
                  <w:tcW w:w="812" w:type="pct"/>
                  <w:vAlign w:val="center"/>
                </w:tcPr>
                <w:p w14:paraId="0E853627">
                  <w:pPr>
                    <w:pStyle w:val="5"/>
                    <w:adjustRightInd w:val="0"/>
                    <w:snapToGrid w:val="0"/>
                    <w:ind w:firstLine="0" w:firstLineChars="0"/>
                    <w:jc w:val="center"/>
                    <w:rPr>
                      <w:rFonts w:hint="default"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试漏废液</w:t>
                  </w:r>
                </w:p>
              </w:tc>
              <w:tc>
                <w:tcPr>
                  <w:tcW w:w="664" w:type="pct"/>
                  <w:vAlign w:val="center"/>
                </w:tcPr>
                <w:p w14:paraId="5E7DDB45">
                  <w:pPr>
                    <w:pStyle w:val="5"/>
                    <w:adjustRightInd w:val="0"/>
                    <w:snapToGrid w:val="0"/>
                    <w:ind w:firstLine="0" w:firstLineChars="0"/>
                    <w:jc w:val="center"/>
                    <w:rPr>
                      <w:rFonts w:hint="default"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水压测试</w:t>
                  </w:r>
                </w:p>
              </w:tc>
              <w:tc>
                <w:tcPr>
                  <w:tcW w:w="351" w:type="pct"/>
                  <w:vAlign w:val="center"/>
                </w:tcPr>
                <w:p w14:paraId="51B1BAAE">
                  <w:pPr>
                    <w:adjustRightInd w:val="0"/>
                    <w:snapToGrid w:val="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kern w:val="2"/>
                      <w:sz w:val="21"/>
                      <w:szCs w:val="21"/>
                      <w:lang w:val="en-US" w:eastAsia="zh-CN" w:bidi="ar-SA"/>
                    </w:rPr>
                    <w:t>液</w:t>
                  </w:r>
                </w:p>
              </w:tc>
              <w:tc>
                <w:tcPr>
                  <w:tcW w:w="852" w:type="pct"/>
                  <w:vAlign w:val="center"/>
                </w:tcPr>
                <w:p w14:paraId="096C11BE">
                  <w:pPr>
                    <w:pStyle w:val="5"/>
                    <w:adjustRightInd w:val="0"/>
                    <w:snapToGrid w:val="0"/>
                    <w:ind w:firstLine="0" w:firstLineChars="0"/>
                    <w:jc w:val="center"/>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有机物</w:t>
                  </w:r>
                  <w:r>
                    <w:rPr>
                      <w:rFonts w:hint="default" w:ascii="Times New Roman" w:hAnsi="Times New Roman" w:eastAsia="仿宋" w:cs="Times New Roman"/>
                      <w:b w:val="0"/>
                      <w:bCs/>
                      <w:color w:val="auto"/>
                      <w:sz w:val="21"/>
                      <w:szCs w:val="21"/>
                      <w:lang w:val="en-US" w:eastAsia="zh-CN"/>
                    </w:rPr>
                    <w:t>、水</w:t>
                  </w:r>
                </w:p>
              </w:tc>
              <w:tc>
                <w:tcPr>
                  <w:tcW w:w="592" w:type="pct"/>
                  <w:vAlign w:val="center"/>
                </w:tcPr>
                <w:p w14:paraId="75681719">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3.6</w:t>
                  </w:r>
                </w:p>
              </w:tc>
              <w:tc>
                <w:tcPr>
                  <w:tcW w:w="536" w:type="pct"/>
                  <w:vAlign w:val="center"/>
                </w:tcPr>
                <w:p w14:paraId="581244A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w:t>
                  </w:r>
                </w:p>
              </w:tc>
              <w:tc>
                <w:tcPr>
                  <w:tcW w:w="400" w:type="pct"/>
                  <w:vAlign w:val="center"/>
                </w:tcPr>
                <w:p w14:paraId="1349D1DE">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30" w:type="pct"/>
                  <w:vMerge w:val="continue"/>
                  <w:vAlign w:val="center"/>
                </w:tcPr>
                <w:p w14:paraId="5BA6040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p>
              </w:tc>
            </w:tr>
            <w:tr w14:paraId="323988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vAlign w:val="center"/>
                </w:tcPr>
                <w:p w14:paraId="24E6C1C0">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w:t>
                  </w:r>
                </w:p>
              </w:tc>
              <w:tc>
                <w:tcPr>
                  <w:tcW w:w="812" w:type="pct"/>
                  <w:vAlign w:val="center"/>
                </w:tcPr>
                <w:p w14:paraId="1E4D3F33">
                  <w:pPr>
                    <w:pStyle w:val="5"/>
                    <w:adjustRightInd w:val="0"/>
                    <w:snapToGrid w:val="0"/>
                    <w:ind w:firstLine="0" w:firstLineChars="0"/>
                    <w:jc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废过滤介质</w:t>
                  </w:r>
                </w:p>
              </w:tc>
              <w:tc>
                <w:tcPr>
                  <w:tcW w:w="664" w:type="pct"/>
                  <w:vAlign w:val="center"/>
                </w:tcPr>
                <w:p w14:paraId="06FF99EE">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废气处理</w:t>
                  </w:r>
                </w:p>
              </w:tc>
              <w:tc>
                <w:tcPr>
                  <w:tcW w:w="351" w:type="pct"/>
                  <w:vAlign w:val="center"/>
                </w:tcPr>
                <w:p w14:paraId="2A5452BD">
                  <w:pPr>
                    <w:adjustRightInd w:val="0"/>
                    <w:snapToGrid w:val="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lang w:eastAsia="zh-CN"/>
                    </w:rPr>
                    <w:t>固</w:t>
                  </w:r>
                </w:p>
              </w:tc>
              <w:tc>
                <w:tcPr>
                  <w:tcW w:w="852" w:type="pct"/>
                  <w:vAlign w:val="center"/>
                </w:tcPr>
                <w:p w14:paraId="4E5A56FF">
                  <w:pPr>
                    <w:pStyle w:val="5"/>
                    <w:adjustRightInd w:val="0"/>
                    <w:snapToGrid w:val="0"/>
                    <w:ind w:firstLine="0" w:firstLineChars="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有机物、纸</w:t>
                  </w:r>
                </w:p>
              </w:tc>
              <w:tc>
                <w:tcPr>
                  <w:tcW w:w="592" w:type="pct"/>
                  <w:vAlign w:val="center"/>
                </w:tcPr>
                <w:p w14:paraId="1D621FF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0.6</w:t>
                  </w:r>
                  <w:r>
                    <w:rPr>
                      <w:rFonts w:hint="eastAsia" w:eastAsia="仿宋" w:cs="Times New Roman"/>
                      <w:color w:val="auto"/>
                      <w:kern w:val="2"/>
                      <w:sz w:val="21"/>
                      <w:szCs w:val="21"/>
                      <w:lang w:val="en-US" w:eastAsia="zh-CN" w:bidi="ar-SA"/>
                    </w:rPr>
                    <w:t>4</w:t>
                  </w:r>
                </w:p>
              </w:tc>
              <w:tc>
                <w:tcPr>
                  <w:tcW w:w="536" w:type="pct"/>
                  <w:vAlign w:val="center"/>
                </w:tcPr>
                <w:p w14:paraId="1DB0597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w:t>
                  </w:r>
                </w:p>
              </w:tc>
              <w:tc>
                <w:tcPr>
                  <w:tcW w:w="400" w:type="pct"/>
                  <w:vAlign w:val="center"/>
                </w:tcPr>
                <w:p w14:paraId="2232963C">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30" w:type="pct"/>
                  <w:vMerge w:val="continue"/>
                  <w:vAlign w:val="center"/>
                </w:tcPr>
                <w:p w14:paraId="4486E10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p>
              </w:tc>
            </w:tr>
            <w:tr w14:paraId="11BF71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vAlign w:val="center"/>
                </w:tcPr>
                <w:p w14:paraId="09C18781">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13</w:t>
                  </w:r>
                </w:p>
              </w:tc>
              <w:tc>
                <w:tcPr>
                  <w:tcW w:w="812" w:type="pct"/>
                  <w:vAlign w:val="center"/>
                </w:tcPr>
                <w:p w14:paraId="70C6D428">
                  <w:pPr>
                    <w:pStyle w:val="5"/>
                    <w:adjustRightInd w:val="0"/>
                    <w:snapToGrid w:val="0"/>
                    <w:ind w:firstLine="0" w:firstLineChars="0"/>
                    <w:jc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废活性炭</w:t>
                  </w:r>
                </w:p>
              </w:tc>
              <w:tc>
                <w:tcPr>
                  <w:tcW w:w="664" w:type="pct"/>
                  <w:vAlign w:val="center"/>
                </w:tcPr>
                <w:p w14:paraId="3179C923">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废气处理</w:t>
                  </w:r>
                </w:p>
              </w:tc>
              <w:tc>
                <w:tcPr>
                  <w:tcW w:w="351" w:type="pct"/>
                  <w:vAlign w:val="center"/>
                </w:tcPr>
                <w:p w14:paraId="5619B391">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sz w:val="21"/>
                      <w:szCs w:val="21"/>
                    </w:rPr>
                    <w:t>固</w:t>
                  </w:r>
                </w:p>
              </w:tc>
              <w:tc>
                <w:tcPr>
                  <w:tcW w:w="852" w:type="pct"/>
                  <w:vAlign w:val="center"/>
                </w:tcPr>
                <w:p w14:paraId="2984BF38">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sz w:val="21"/>
                      <w:szCs w:val="21"/>
                    </w:rPr>
                    <w:t>活性炭</w:t>
                  </w:r>
                  <w:r>
                    <w:rPr>
                      <w:rFonts w:hint="default" w:ascii="Times New Roman" w:hAnsi="Times New Roman" w:eastAsia="仿宋" w:cs="Times New Roman"/>
                      <w:b w:val="0"/>
                      <w:bCs/>
                      <w:color w:val="auto"/>
                      <w:sz w:val="21"/>
                      <w:szCs w:val="21"/>
                      <w:lang w:eastAsia="zh-CN"/>
                    </w:rPr>
                    <w:t>、有机物</w:t>
                  </w:r>
                </w:p>
              </w:tc>
              <w:tc>
                <w:tcPr>
                  <w:tcW w:w="592" w:type="pct"/>
                  <w:vAlign w:val="center"/>
                </w:tcPr>
                <w:p w14:paraId="6C80BCE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bCs/>
                      <w:color w:val="auto"/>
                      <w:sz w:val="21"/>
                      <w:szCs w:val="21"/>
                      <w:lang w:val="en-US" w:eastAsia="zh-CN"/>
                    </w:rPr>
                    <w:t>3.09</w:t>
                  </w:r>
                </w:p>
              </w:tc>
              <w:tc>
                <w:tcPr>
                  <w:tcW w:w="536" w:type="pct"/>
                  <w:vAlign w:val="center"/>
                </w:tcPr>
                <w:p w14:paraId="5E180F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bCs/>
                      <w:color w:val="auto"/>
                      <w:sz w:val="21"/>
                      <w:szCs w:val="21"/>
                    </w:rPr>
                    <w:t>√</w:t>
                  </w:r>
                </w:p>
              </w:tc>
              <w:tc>
                <w:tcPr>
                  <w:tcW w:w="400" w:type="pct"/>
                  <w:vAlign w:val="center"/>
                </w:tcPr>
                <w:p w14:paraId="2D78E462">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530" w:type="pct"/>
                  <w:vMerge w:val="continue"/>
                  <w:vAlign w:val="center"/>
                </w:tcPr>
                <w:p w14:paraId="724383D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p>
              </w:tc>
            </w:tr>
            <w:tr w14:paraId="640773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vAlign w:val="center"/>
                </w:tcPr>
                <w:p w14:paraId="6DBADA5A">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14</w:t>
                  </w:r>
                </w:p>
              </w:tc>
              <w:tc>
                <w:tcPr>
                  <w:tcW w:w="812" w:type="pct"/>
                  <w:vAlign w:val="center"/>
                </w:tcPr>
                <w:p w14:paraId="260BA08C">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含油抹布手套</w:t>
                  </w:r>
                </w:p>
              </w:tc>
              <w:tc>
                <w:tcPr>
                  <w:tcW w:w="664" w:type="pct"/>
                  <w:vAlign w:val="center"/>
                </w:tcPr>
                <w:p w14:paraId="59F8762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全程</w:t>
                  </w:r>
                </w:p>
              </w:tc>
              <w:tc>
                <w:tcPr>
                  <w:tcW w:w="351" w:type="pct"/>
                  <w:vAlign w:val="center"/>
                </w:tcPr>
                <w:p w14:paraId="46F27015">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固</w:t>
                  </w:r>
                </w:p>
              </w:tc>
              <w:tc>
                <w:tcPr>
                  <w:tcW w:w="852" w:type="pct"/>
                  <w:vAlign w:val="center"/>
                </w:tcPr>
                <w:p w14:paraId="20F38C3E">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油、布</w:t>
                  </w:r>
                </w:p>
              </w:tc>
              <w:tc>
                <w:tcPr>
                  <w:tcW w:w="592" w:type="pct"/>
                  <w:vAlign w:val="center"/>
                </w:tcPr>
                <w:p w14:paraId="5EB2D009">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0.05</w:t>
                  </w:r>
                </w:p>
              </w:tc>
              <w:tc>
                <w:tcPr>
                  <w:tcW w:w="536" w:type="pct"/>
                  <w:vAlign w:val="center"/>
                </w:tcPr>
                <w:p w14:paraId="76830B5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bCs/>
                      <w:color w:val="auto"/>
                      <w:sz w:val="21"/>
                      <w:szCs w:val="21"/>
                    </w:rPr>
                    <w:t>√</w:t>
                  </w:r>
                </w:p>
              </w:tc>
              <w:tc>
                <w:tcPr>
                  <w:tcW w:w="400" w:type="pct"/>
                  <w:vAlign w:val="center"/>
                </w:tcPr>
                <w:p w14:paraId="75D0406A">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530" w:type="pct"/>
                  <w:vMerge w:val="continue"/>
                  <w:vAlign w:val="center"/>
                </w:tcPr>
                <w:p w14:paraId="2C0CE4C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p>
              </w:tc>
            </w:tr>
          </w:tbl>
          <w:p w14:paraId="5E3526F0">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按照《建设项目危险废物环境影响评价指南》（环保部公告</w:t>
            </w:r>
            <w:r>
              <w:rPr>
                <w:rFonts w:hint="eastAsia" w:eastAsia="仿宋" w:cs="Times New Roman"/>
                <w:color w:val="auto"/>
                <w:sz w:val="24"/>
                <w:lang w:eastAsia="zh-CN"/>
              </w:rPr>
              <w:t>〔2017〕43号</w:t>
            </w:r>
            <w:r>
              <w:rPr>
                <w:rFonts w:hint="default" w:ascii="Times New Roman" w:hAnsi="Times New Roman" w:eastAsia="仿宋" w:cs="Times New Roman"/>
                <w:color w:val="auto"/>
                <w:sz w:val="24"/>
              </w:rPr>
              <w:t>）要求，本项目营运期产生的固体废物的名称、类别、属性和数量等情况见</w:t>
            </w:r>
            <w:r>
              <w:rPr>
                <w:rFonts w:hint="default" w:ascii="Times New Roman" w:hAnsi="Times New Roman" w:eastAsia="仿宋" w:cs="Times New Roman"/>
                <w:color w:val="auto"/>
                <w:sz w:val="24"/>
                <w:lang w:val="en-US" w:eastAsia="zh-CN"/>
              </w:rPr>
              <w:t>下</w:t>
            </w:r>
            <w:r>
              <w:rPr>
                <w:rFonts w:hint="default" w:ascii="Times New Roman" w:hAnsi="Times New Roman" w:eastAsia="仿宋" w:cs="Times New Roman"/>
                <w:color w:val="auto"/>
                <w:sz w:val="24"/>
              </w:rPr>
              <w:t>表。</w:t>
            </w:r>
          </w:p>
          <w:p w14:paraId="75FF7519">
            <w:pPr>
              <w:pStyle w:val="59"/>
              <w:keepNext w:val="0"/>
              <w:keepLines w:val="0"/>
              <w:pageBreakBefore w:val="0"/>
              <w:widowControl w:val="0"/>
              <w:tabs>
                <w:tab w:val="left" w:pos="3240"/>
              </w:tabs>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表4-21 本项目固废产生情况</w:t>
            </w:r>
          </w:p>
          <w:tbl>
            <w:tblPr>
              <w:tblStyle w:val="27"/>
              <w:tblW w:w="495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6"/>
              <w:gridCol w:w="977"/>
              <w:gridCol w:w="621"/>
              <w:gridCol w:w="854"/>
              <w:gridCol w:w="556"/>
              <w:gridCol w:w="921"/>
              <w:gridCol w:w="1136"/>
              <w:gridCol w:w="584"/>
              <w:gridCol w:w="717"/>
              <w:gridCol w:w="1225"/>
              <w:gridCol w:w="826"/>
            </w:tblGrid>
            <w:tr w14:paraId="0579BE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9" w:hRule="atLeast"/>
                <w:jc w:val="center"/>
              </w:trPr>
              <w:tc>
                <w:tcPr>
                  <w:tcW w:w="200" w:type="pct"/>
                  <w:vAlign w:val="center"/>
                </w:tcPr>
                <w:p w14:paraId="3E0B1662">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序号</w:t>
                  </w:r>
                </w:p>
              </w:tc>
              <w:tc>
                <w:tcPr>
                  <w:tcW w:w="560" w:type="pct"/>
                  <w:vAlign w:val="center"/>
                </w:tcPr>
                <w:p w14:paraId="2D5BF494">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固废名称</w:t>
                  </w:r>
                </w:p>
              </w:tc>
              <w:tc>
                <w:tcPr>
                  <w:tcW w:w="357" w:type="pct"/>
                  <w:tcBorders>
                    <w:bottom w:val="single" w:color="auto" w:sz="4" w:space="0"/>
                  </w:tcBorders>
                  <w:vAlign w:val="center"/>
                </w:tcPr>
                <w:p w14:paraId="00B27EF4">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属性</w:t>
                  </w:r>
                </w:p>
              </w:tc>
              <w:tc>
                <w:tcPr>
                  <w:tcW w:w="489" w:type="pct"/>
                  <w:vAlign w:val="center"/>
                </w:tcPr>
                <w:p w14:paraId="7DA86E1B">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产生来源</w:t>
                  </w:r>
                </w:p>
              </w:tc>
              <w:tc>
                <w:tcPr>
                  <w:tcW w:w="319" w:type="pct"/>
                  <w:vAlign w:val="center"/>
                </w:tcPr>
                <w:p w14:paraId="69CAFCF3">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形态</w:t>
                  </w:r>
                </w:p>
              </w:tc>
              <w:tc>
                <w:tcPr>
                  <w:tcW w:w="527" w:type="pct"/>
                  <w:vAlign w:val="center"/>
                </w:tcPr>
                <w:p w14:paraId="1E7E842C">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主要成分</w:t>
                  </w:r>
                </w:p>
              </w:tc>
              <w:tc>
                <w:tcPr>
                  <w:tcW w:w="650" w:type="pct"/>
                  <w:vAlign w:val="center"/>
                </w:tcPr>
                <w:p w14:paraId="290C065C">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危险特性鉴别方法</w:t>
                  </w:r>
                </w:p>
              </w:tc>
              <w:tc>
                <w:tcPr>
                  <w:tcW w:w="335" w:type="pct"/>
                  <w:vAlign w:val="center"/>
                </w:tcPr>
                <w:p w14:paraId="4EB7EF32">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废物特性</w:t>
                  </w:r>
                </w:p>
              </w:tc>
              <w:tc>
                <w:tcPr>
                  <w:tcW w:w="411" w:type="pct"/>
                  <w:vAlign w:val="center"/>
                </w:tcPr>
                <w:p w14:paraId="1AF3D6AD">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废物类别</w:t>
                  </w:r>
                </w:p>
              </w:tc>
              <w:tc>
                <w:tcPr>
                  <w:tcW w:w="674" w:type="pct"/>
                  <w:vAlign w:val="center"/>
                </w:tcPr>
                <w:p w14:paraId="32AD135E">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废物代码</w:t>
                  </w:r>
                </w:p>
              </w:tc>
              <w:tc>
                <w:tcPr>
                  <w:tcW w:w="473" w:type="pct"/>
                  <w:vAlign w:val="center"/>
                </w:tcPr>
                <w:p w14:paraId="72EF846E">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估算产生量（t/a）</w:t>
                  </w:r>
                </w:p>
              </w:tc>
            </w:tr>
            <w:tr w14:paraId="61FED7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00" w:type="pct"/>
                  <w:vAlign w:val="center"/>
                </w:tcPr>
                <w:p w14:paraId="595DFD88">
                  <w:pPr>
                    <w:pStyle w:val="5"/>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1</w:t>
                  </w:r>
                </w:p>
              </w:tc>
              <w:tc>
                <w:tcPr>
                  <w:tcW w:w="560" w:type="pct"/>
                  <w:vAlign w:val="center"/>
                </w:tcPr>
                <w:p w14:paraId="2E675934">
                  <w:pPr>
                    <w:pStyle w:val="5"/>
                    <w:adjustRightInd w:val="0"/>
                    <w:snapToGrid w:val="0"/>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生活垃圾</w:t>
                  </w:r>
                </w:p>
              </w:tc>
              <w:tc>
                <w:tcPr>
                  <w:tcW w:w="357" w:type="pct"/>
                  <w:tcBorders>
                    <w:top w:val="single" w:color="auto" w:sz="4" w:space="0"/>
                  </w:tcBorders>
                  <w:vAlign w:val="center"/>
                </w:tcPr>
                <w:p w14:paraId="597B3A06">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p>
              </w:tc>
              <w:tc>
                <w:tcPr>
                  <w:tcW w:w="489" w:type="pct"/>
                  <w:vAlign w:val="center"/>
                </w:tcPr>
                <w:p w14:paraId="4FF9FC1A">
                  <w:pPr>
                    <w:adjustRightInd w:val="0"/>
                    <w:snapToGrid w:val="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color w:val="auto"/>
                      <w:sz w:val="21"/>
                      <w:szCs w:val="21"/>
                      <w:lang w:eastAsia="zh-CN"/>
                    </w:rPr>
                    <w:t>办公生活</w:t>
                  </w:r>
                </w:p>
              </w:tc>
              <w:tc>
                <w:tcPr>
                  <w:tcW w:w="319" w:type="pct"/>
                  <w:vAlign w:val="center"/>
                </w:tcPr>
                <w:p w14:paraId="6624EDD7">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w:t>
                  </w:r>
                </w:p>
              </w:tc>
              <w:tc>
                <w:tcPr>
                  <w:tcW w:w="527" w:type="pct"/>
                  <w:vAlign w:val="center"/>
                </w:tcPr>
                <w:p w14:paraId="001D4559">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eastAsia="zh-CN"/>
                    </w:rPr>
                    <w:t>纸张、塑料等</w:t>
                  </w:r>
                </w:p>
              </w:tc>
              <w:tc>
                <w:tcPr>
                  <w:tcW w:w="650" w:type="pct"/>
                  <w:vMerge w:val="restart"/>
                  <w:vAlign w:val="center"/>
                </w:tcPr>
                <w:p w14:paraId="6C55CD1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一般固体废物分类与代码(GBT39198</w:t>
                  </w:r>
                </w:p>
                <w:p w14:paraId="3C7FE5D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-2020)</w:t>
                  </w:r>
                </w:p>
              </w:tc>
              <w:tc>
                <w:tcPr>
                  <w:tcW w:w="335" w:type="pct"/>
                  <w:vAlign w:val="center"/>
                </w:tcPr>
                <w:p w14:paraId="084055EA">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721" w:type="dxa"/>
                  <w:vAlign w:val="center"/>
                </w:tcPr>
                <w:p w14:paraId="66C2A4D5">
                  <w:pPr>
                    <w:pStyle w:val="101"/>
                    <w:bidi w:val="0"/>
                    <w:ind w:firstLine="0" w:firstLineChars="0"/>
                    <w:rPr>
                      <w:rFonts w:hint="default" w:ascii="Times New Roman" w:hAnsi="Times New Roman" w:eastAsia="仿宋" w:cs="Times New Roman"/>
                      <w:color w:val="auto"/>
                      <w:szCs w:val="21"/>
                    </w:rPr>
                  </w:pPr>
                  <w:r>
                    <w:rPr>
                      <w:rFonts w:hint="eastAsia"/>
                      <w:color w:val="auto"/>
                      <w:highlight w:val="none"/>
                      <w:lang w:val="en-US" w:eastAsia="zh-CN"/>
                    </w:rPr>
                    <w:t>SW</w:t>
                  </w:r>
                  <w:r>
                    <w:rPr>
                      <w:rFonts w:hint="default"/>
                      <w:color w:val="auto"/>
                      <w:lang w:val="en-US" w:eastAsia="zh-CN"/>
                    </w:rPr>
                    <w:t>64</w:t>
                  </w:r>
                </w:p>
              </w:tc>
              <w:tc>
                <w:tcPr>
                  <w:tcW w:w="1182" w:type="dxa"/>
                  <w:vAlign w:val="center"/>
                </w:tcPr>
                <w:p w14:paraId="2840B3A8">
                  <w:pPr>
                    <w:pStyle w:val="101"/>
                    <w:bidi w:val="0"/>
                    <w:ind w:firstLine="0" w:firstLineChars="0"/>
                    <w:rPr>
                      <w:rFonts w:hint="default" w:ascii="Times New Roman" w:hAnsi="Times New Roman" w:eastAsia="仿宋" w:cs="Times New Roman"/>
                      <w:color w:val="auto"/>
                      <w:szCs w:val="21"/>
                    </w:rPr>
                  </w:pPr>
                  <w:r>
                    <w:rPr>
                      <w:rFonts w:hint="default"/>
                      <w:color w:val="auto"/>
                      <w:lang w:val="en-US" w:eastAsia="zh-CN"/>
                    </w:rPr>
                    <w:t>900-099-S64</w:t>
                  </w:r>
                </w:p>
              </w:tc>
              <w:tc>
                <w:tcPr>
                  <w:tcW w:w="830" w:type="dxa"/>
                  <w:vAlign w:val="center"/>
                </w:tcPr>
                <w:p w14:paraId="2B4C66E4">
                  <w:pPr>
                    <w:adjustRightInd w:val="0"/>
                    <w:snapToGrid w:val="0"/>
                    <w:jc w:val="center"/>
                    <w:rPr>
                      <w:rFonts w:hint="default" w:ascii="Times New Roman" w:hAnsi="Times New Roman" w:eastAsia="仿宋" w:cs="Times New Roman"/>
                      <w:bCs/>
                      <w:color w:val="auto"/>
                      <w:kern w:val="2"/>
                      <w:sz w:val="21"/>
                      <w:szCs w:val="21"/>
                      <w:lang w:val="en-US" w:eastAsia="zh-CN" w:bidi="ar-SA"/>
                    </w:rPr>
                  </w:pPr>
                  <w:r>
                    <w:rPr>
                      <w:rFonts w:hint="eastAsia" w:eastAsia="仿宋" w:cs="Times New Roman"/>
                      <w:bCs/>
                      <w:color w:val="auto"/>
                      <w:kern w:val="2"/>
                      <w:sz w:val="21"/>
                      <w:szCs w:val="21"/>
                      <w:lang w:val="en-US" w:eastAsia="zh-CN" w:bidi="ar-SA"/>
                    </w:rPr>
                    <w:t>15</w:t>
                  </w:r>
                </w:p>
              </w:tc>
            </w:tr>
            <w:tr w14:paraId="5FBD92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00" w:type="pct"/>
                  <w:vAlign w:val="center"/>
                </w:tcPr>
                <w:p w14:paraId="0B61FB4E">
                  <w:pPr>
                    <w:pStyle w:val="5"/>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2</w:t>
                  </w:r>
                </w:p>
              </w:tc>
              <w:tc>
                <w:tcPr>
                  <w:tcW w:w="560" w:type="pct"/>
                  <w:vAlign w:val="center"/>
                </w:tcPr>
                <w:p w14:paraId="2C7E754F">
                  <w:pPr>
                    <w:pStyle w:val="5"/>
                    <w:adjustRightInd w:val="0"/>
                    <w:snapToGrid w:val="0"/>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边角料</w:t>
                  </w:r>
                </w:p>
              </w:tc>
              <w:tc>
                <w:tcPr>
                  <w:tcW w:w="357" w:type="pct"/>
                  <w:vMerge w:val="restart"/>
                  <w:tcBorders>
                    <w:top w:val="single" w:color="auto" w:sz="4" w:space="0"/>
                  </w:tcBorders>
                  <w:vAlign w:val="center"/>
                </w:tcPr>
                <w:p w14:paraId="55A8DAC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一般固废</w:t>
                  </w:r>
                </w:p>
              </w:tc>
              <w:tc>
                <w:tcPr>
                  <w:tcW w:w="489" w:type="pct"/>
                  <w:vAlign w:val="center"/>
                </w:tcPr>
                <w:p w14:paraId="720AD37D">
                  <w:pPr>
                    <w:pStyle w:val="5"/>
                    <w:adjustRightInd w:val="0"/>
                    <w:snapToGrid w:val="0"/>
                    <w:ind w:firstLine="0" w:firstLineChars="0"/>
                    <w:jc w:val="center"/>
                    <w:rPr>
                      <w:rFonts w:hint="default" w:ascii="Times New Roman" w:hAnsi="Times New Roman" w:eastAsia="仿宋" w:cs="Times New Roman"/>
                      <w:color w:val="auto"/>
                      <w:kern w:val="2"/>
                      <w:sz w:val="21"/>
                      <w:szCs w:val="20"/>
                      <w:lang w:val="en-US" w:eastAsia="zh-CN" w:bidi="ar-SA"/>
                    </w:rPr>
                  </w:pPr>
                  <w:r>
                    <w:rPr>
                      <w:rFonts w:hint="default" w:ascii="Times New Roman" w:hAnsi="Times New Roman" w:eastAsia="仿宋" w:cs="Times New Roman"/>
                      <w:color w:val="auto"/>
                      <w:sz w:val="21"/>
                      <w:szCs w:val="21"/>
                      <w:lang w:val="en-US" w:eastAsia="zh-CN"/>
                    </w:rPr>
                    <w:t>机加工</w:t>
                  </w:r>
                </w:p>
              </w:tc>
              <w:tc>
                <w:tcPr>
                  <w:tcW w:w="319" w:type="pct"/>
                  <w:vAlign w:val="center"/>
                </w:tcPr>
                <w:p w14:paraId="3B1E6BC8">
                  <w:pPr>
                    <w:adjustRightInd w:val="0"/>
                    <w:snapToGrid w:val="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sz w:val="21"/>
                      <w:szCs w:val="21"/>
                    </w:rPr>
                    <w:t>固</w:t>
                  </w:r>
                </w:p>
              </w:tc>
              <w:tc>
                <w:tcPr>
                  <w:tcW w:w="527" w:type="pct"/>
                  <w:vAlign w:val="center"/>
                </w:tcPr>
                <w:p w14:paraId="3655A46F">
                  <w:pPr>
                    <w:adjustRightInd w:val="0"/>
                    <w:snapToGrid w:val="0"/>
                    <w:jc w:val="center"/>
                    <w:rPr>
                      <w:rFonts w:hint="default" w:ascii="Times New Roman" w:hAnsi="Times New Roman" w:eastAsia="仿宋" w:cs="Times New Roman"/>
                      <w:color w:val="auto"/>
                      <w:kern w:val="2"/>
                      <w:sz w:val="21"/>
                      <w:szCs w:val="20"/>
                      <w:lang w:val="en-US" w:eastAsia="zh-CN" w:bidi="ar-SA"/>
                    </w:rPr>
                  </w:pPr>
                  <w:r>
                    <w:rPr>
                      <w:rFonts w:hint="default" w:ascii="Times New Roman" w:hAnsi="Times New Roman" w:eastAsia="仿宋" w:cs="Times New Roman"/>
                      <w:color w:val="auto"/>
                      <w:kern w:val="2"/>
                      <w:sz w:val="21"/>
                      <w:szCs w:val="21"/>
                      <w:lang w:val="en-US" w:eastAsia="zh-CN" w:bidi="ar-SA"/>
                    </w:rPr>
                    <w:t>金属</w:t>
                  </w:r>
                </w:p>
              </w:tc>
              <w:tc>
                <w:tcPr>
                  <w:tcW w:w="650" w:type="pct"/>
                  <w:vMerge w:val="continue"/>
                  <w:vAlign w:val="center"/>
                </w:tcPr>
                <w:p w14:paraId="03721C97">
                  <w:pPr>
                    <w:adjustRightInd w:val="0"/>
                    <w:snapToGrid w:val="0"/>
                    <w:jc w:val="center"/>
                    <w:rPr>
                      <w:rFonts w:hint="default" w:ascii="Times New Roman" w:hAnsi="Times New Roman" w:eastAsia="仿宋" w:cs="Times New Roman"/>
                      <w:color w:val="auto"/>
                      <w:szCs w:val="21"/>
                    </w:rPr>
                  </w:pPr>
                </w:p>
              </w:tc>
              <w:tc>
                <w:tcPr>
                  <w:tcW w:w="335" w:type="pct"/>
                  <w:vAlign w:val="center"/>
                </w:tcPr>
                <w:p w14:paraId="78C24B9B">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721" w:type="dxa"/>
                  <w:vAlign w:val="center"/>
                </w:tcPr>
                <w:p w14:paraId="5EC2BA02">
                  <w:pPr>
                    <w:pStyle w:val="101"/>
                    <w:bidi w:val="0"/>
                    <w:ind w:firstLine="0" w:firstLineChars="0"/>
                    <w:rPr>
                      <w:rFonts w:hint="default" w:ascii="Times New Roman" w:hAnsi="Times New Roman" w:eastAsia="仿宋" w:cs="Times New Roman"/>
                      <w:color w:val="auto"/>
                      <w:szCs w:val="21"/>
                      <w:lang w:eastAsia="zh-CN"/>
                    </w:rPr>
                  </w:pPr>
                  <w:r>
                    <w:rPr>
                      <w:rFonts w:hint="eastAsia"/>
                      <w:color w:val="auto"/>
                      <w:highlight w:val="none"/>
                      <w:lang w:val="en-US" w:eastAsia="zh-CN"/>
                    </w:rPr>
                    <w:t>SW17</w:t>
                  </w:r>
                </w:p>
              </w:tc>
              <w:tc>
                <w:tcPr>
                  <w:tcW w:w="1182" w:type="dxa"/>
                  <w:vAlign w:val="center"/>
                </w:tcPr>
                <w:p w14:paraId="76F6F070">
                  <w:pPr>
                    <w:pStyle w:val="101"/>
                    <w:bidi w:val="0"/>
                    <w:ind w:firstLine="0" w:firstLineChars="0"/>
                    <w:rPr>
                      <w:rFonts w:hint="default" w:ascii="Times New Roman" w:hAnsi="Times New Roman" w:eastAsia="仿宋" w:cs="Times New Roman"/>
                      <w:color w:val="auto"/>
                      <w:szCs w:val="21"/>
                      <w:lang w:val="en-US" w:eastAsia="zh-CN"/>
                    </w:rPr>
                  </w:pPr>
                  <w:r>
                    <w:rPr>
                      <w:rFonts w:hint="default"/>
                      <w:color w:val="auto"/>
                      <w:highlight w:val="none"/>
                      <w:lang w:val="en-US" w:eastAsia="zh-CN"/>
                    </w:rPr>
                    <w:t>900-001-S17</w:t>
                  </w:r>
                </w:p>
              </w:tc>
              <w:tc>
                <w:tcPr>
                  <w:tcW w:w="830" w:type="dxa"/>
                  <w:vAlign w:val="center"/>
                </w:tcPr>
                <w:p w14:paraId="57A8A58F">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 w:val="21"/>
                      <w:szCs w:val="21"/>
                      <w:lang w:val="en-US" w:eastAsia="zh-CN"/>
                    </w:rPr>
                    <w:t>80</w:t>
                  </w:r>
                </w:p>
              </w:tc>
            </w:tr>
            <w:tr w14:paraId="578362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47" w:hRule="atLeast"/>
                <w:jc w:val="center"/>
              </w:trPr>
              <w:tc>
                <w:tcPr>
                  <w:tcW w:w="200" w:type="pct"/>
                  <w:vAlign w:val="center"/>
                </w:tcPr>
                <w:p w14:paraId="2E6485F8">
                  <w:pPr>
                    <w:pStyle w:val="5"/>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b w:val="0"/>
                      <w:bCs w:val="0"/>
                      <w:color w:val="auto"/>
                      <w:sz w:val="21"/>
                      <w:szCs w:val="21"/>
                      <w:lang w:val="en-US" w:eastAsia="zh-CN"/>
                    </w:rPr>
                    <w:t>3</w:t>
                  </w:r>
                </w:p>
              </w:tc>
              <w:tc>
                <w:tcPr>
                  <w:tcW w:w="560" w:type="pct"/>
                  <w:vAlign w:val="center"/>
                </w:tcPr>
                <w:p w14:paraId="515323C9">
                  <w:pPr>
                    <w:pStyle w:val="5"/>
                    <w:adjustRightInd w:val="0"/>
                    <w:snapToGrid w:val="0"/>
                    <w:ind w:firstLine="0" w:firstLineChars="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b w:val="0"/>
                      <w:bCs w:val="0"/>
                      <w:color w:val="auto"/>
                      <w:kern w:val="2"/>
                      <w:sz w:val="21"/>
                      <w:szCs w:val="21"/>
                      <w:highlight w:val="none"/>
                      <w:lang w:val="en-US" w:eastAsia="zh-CN" w:bidi="ar-SA"/>
                    </w:rPr>
                    <w:t>焊渣</w:t>
                  </w:r>
                </w:p>
              </w:tc>
              <w:tc>
                <w:tcPr>
                  <w:tcW w:w="357" w:type="pct"/>
                  <w:vMerge w:val="continue"/>
                  <w:vAlign w:val="center"/>
                </w:tcPr>
                <w:p w14:paraId="6CA670A8">
                  <w:pPr>
                    <w:adjustRightInd w:val="0"/>
                    <w:snapToGrid w:val="0"/>
                    <w:jc w:val="center"/>
                    <w:rPr>
                      <w:rFonts w:hint="default" w:ascii="Times New Roman" w:hAnsi="Times New Roman" w:eastAsia="仿宋" w:cs="Times New Roman"/>
                      <w:color w:val="auto"/>
                      <w:szCs w:val="21"/>
                    </w:rPr>
                  </w:pPr>
                </w:p>
              </w:tc>
              <w:tc>
                <w:tcPr>
                  <w:tcW w:w="489" w:type="pct"/>
                  <w:vAlign w:val="center"/>
                </w:tcPr>
                <w:p w14:paraId="1CC04BCA">
                  <w:pPr>
                    <w:pStyle w:val="5"/>
                    <w:adjustRightInd w:val="0"/>
                    <w:snapToGrid w:val="0"/>
                    <w:ind w:firstLine="0" w:firstLineChars="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sz w:val="21"/>
                      <w:szCs w:val="21"/>
                      <w:lang w:val="en-US" w:eastAsia="zh-CN"/>
                    </w:rPr>
                    <w:t>焊接</w:t>
                  </w:r>
                </w:p>
              </w:tc>
              <w:tc>
                <w:tcPr>
                  <w:tcW w:w="319" w:type="pct"/>
                  <w:vAlign w:val="center"/>
                </w:tcPr>
                <w:p w14:paraId="30901AEA">
                  <w:pPr>
                    <w:adjustRightInd w:val="0"/>
                    <w:snapToGrid w:val="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sz w:val="21"/>
                      <w:szCs w:val="21"/>
                    </w:rPr>
                    <w:t>固</w:t>
                  </w:r>
                </w:p>
              </w:tc>
              <w:tc>
                <w:tcPr>
                  <w:tcW w:w="527" w:type="pct"/>
                  <w:vAlign w:val="center"/>
                </w:tcPr>
                <w:p w14:paraId="2E0CC3D7">
                  <w:pPr>
                    <w:adjustRightInd w:val="0"/>
                    <w:snapToGrid w:val="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b w:val="0"/>
                      <w:bCs/>
                      <w:color w:val="auto"/>
                      <w:sz w:val="21"/>
                      <w:szCs w:val="21"/>
                      <w:lang w:val="en-US" w:eastAsia="zh-CN"/>
                    </w:rPr>
                    <w:t>金属氧化物</w:t>
                  </w:r>
                </w:p>
              </w:tc>
              <w:tc>
                <w:tcPr>
                  <w:tcW w:w="650" w:type="pct"/>
                  <w:vMerge w:val="continue"/>
                  <w:vAlign w:val="center"/>
                </w:tcPr>
                <w:p w14:paraId="1D69CC9B">
                  <w:pPr>
                    <w:adjustRightInd w:val="0"/>
                    <w:snapToGrid w:val="0"/>
                    <w:jc w:val="center"/>
                    <w:rPr>
                      <w:rFonts w:hint="default" w:ascii="Times New Roman" w:hAnsi="Times New Roman" w:eastAsia="仿宋" w:cs="Times New Roman"/>
                      <w:color w:val="auto"/>
                      <w:szCs w:val="21"/>
                    </w:rPr>
                  </w:pPr>
                </w:p>
              </w:tc>
              <w:tc>
                <w:tcPr>
                  <w:tcW w:w="335" w:type="pct"/>
                  <w:vAlign w:val="center"/>
                </w:tcPr>
                <w:p w14:paraId="5549279F">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717" w:type="dxa"/>
                  <w:vAlign w:val="center"/>
                </w:tcPr>
                <w:p w14:paraId="523B019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 w:val="21"/>
                      <w:szCs w:val="21"/>
                      <w:lang w:val="en-US" w:eastAsia="zh-CN"/>
                    </w:rPr>
                    <w:t>SW59</w:t>
                  </w:r>
                </w:p>
              </w:tc>
              <w:tc>
                <w:tcPr>
                  <w:tcW w:w="1225" w:type="dxa"/>
                  <w:vAlign w:val="center"/>
                </w:tcPr>
                <w:p w14:paraId="5D33917F">
                  <w:pPr>
                    <w:pStyle w:val="101"/>
                    <w:bidi w:val="0"/>
                    <w:ind w:firstLine="0" w:firstLineChars="0"/>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900-099-S59</w:t>
                  </w:r>
                </w:p>
              </w:tc>
              <w:tc>
                <w:tcPr>
                  <w:tcW w:w="830" w:type="dxa"/>
                  <w:vAlign w:val="center"/>
                </w:tcPr>
                <w:p w14:paraId="7E780C7A">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 w:val="21"/>
                      <w:szCs w:val="21"/>
                      <w:lang w:val="en-US" w:eastAsia="zh-CN"/>
                    </w:rPr>
                    <w:t>0.8</w:t>
                  </w:r>
                </w:p>
              </w:tc>
            </w:tr>
            <w:tr w14:paraId="0FA70B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47" w:hRule="atLeast"/>
                <w:jc w:val="center"/>
              </w:trPr>
              <w:tc>
                <w:tcPr>
                  <w:tcW w:w="200" w:type="pct"/>
                  <w:vAlign w:val="center"/>
                </w:tcPr>
                <w:p w14:paraId="30A8612D">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4</w:t>
                  </w:r>
                </w:p>
              </w:tc>
              <w:tc>
                <w:tcPr>
                  <w:tcW w:w="560" w:type="pct"/>
                  <w:vAlign w:val="center"/>
                </w:tcPr>
                <w:p w14:paraId="55122D3B">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highlight w:val="none"/>
                      <w:lang w:val="en-US" w:eastAsia="zh-CN"/>
                    </w:rPr>
                    <w:t>废</w:t>
                  </w:r>
                  <w:r>
                    <w:rPr>
                      <w:rFonts w:hint="eastAsia" w:ascii="Times New Roman" w:hAnsi="Times New Roman" w:eastAsia="仿宋" w:cs="Times New Roman"/>
                      <w:color w:val="auto"/>
                      <w:sz w:val="21"/>
                      <w:szCs w:val="21"/>
                      <w:highlight w:val="none"/>
                      <w:lang w:val="en-US" w:eastAsia="zh-CN"/>
                    </w:rPr>
                    <w:t>玻璃</w:t>
                  </w:r>
                  <w:r>
                    <w:rPr>
                      <w:rFonts w:hint="default" w:ascii="Times New Roman" w:hAnsi="Times New Roman" w:eastAsia="仿宋" w:cs="Times New Roman"/>
                      <w:color w:val="auto"/>
                      <w:sz w:val="21"/>
                      <w:szCs w:val="21"/>
                      <w:highlight w:val="none"/>
                      <w:lang w:val="en-US" w:eastAsia="zh-CN"/>
                    </w:rPr>
                    <w:t>砂</w:t>
                  </w:r>
                </w:p>
              </w:tc>
              <w:tc>
                <w:tcPr>
                  <w:tcW w:w="357" w:type="pct"/>
                  <w:vMerge w:val="continue"/>
                  <w:vAlign w:val="center"/>
                </w:tcPr>
                <w:p w14:paraId="0A59430E">
                  <w:pPr>
                    <w:adjustRightInd w:val="0"/>
                    <w:snapToGrid w:val="0"/>
                    <w:jc w:val="center"/>
                    <w:rPr>
                      <w:rFonts w:hint="default" w:ascii="Times New Roman" w:hAnsi="Times New Roman" w:eastAsia="仿宋" w:cs="Times New Roman"/>
                      <w:color w:val="auto"/>
                      <w:szCs w:val="21"/>
                    </w:rPr>
                  </w:pPr>
                </w:p>
              </w:tc>
              <w:tc>
                <w:tcPr>
                  <w:tcW w:w="489" w:type="pct"/>
                  <w:vAlign w:val="center"/>
                </w:tcPr>
                <w:p w14:paraId="4852817B">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val="0"/>
                      <w:bCs/>
                      <w:color w:val="auto"/>
                      <w:kern w:val="2"/>
                      <w:sz w:val="21"/>
                      <w:szCs w:val="21"/>
                      <w:lang w:val="en-US" w:eastAsia="zh-CN" w:bidi="ar-SA"/>
                    </w:rPr>
                    <w:t>喷砂</w:t>
                  </w:r>
                </w:p>
              </w:tc>
              <w:tc>
                <w:tcPr>
                  <w:tcW w:w="319" w:type="pct"/>
                  <w:vAlign w:val="center"/>
                </w:tcPr>
                <w:p w14:paraId="714ED04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val="0"/>
                      <w:bCs/>
                      <w:color w:val="auto"/>
                      <w:sz w:val="21"/>
                      <w:szCs w:val="21"/>
                    </w:rPr>
                    <w:t>固</w:t>
                  </w:r>
                </w:p>
              </w:tc>
              <w:tc>
                <w:tcPr>
                  <w:tcW w:w="527" w:type="pct"/>
                  <w:vAlign w:val="center"/>
                </w:tcPr>
                <w:p w14:paraId="11ECF14F">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ascii="Arial" w:hAnsi="Arial" w:eastAsia="Arial" w:cs="Arial"/>
                      <w:i w:val="0"/>
                      <w:iCs w:val="0"/>
                      <w:caps w:val="0"/>
                      <w:color w:val="auto"/>
                      <w:spacing w:val="0"/>
                      <w:sz w:val="21"/>
                      <w:szCs w:val="21"/>
                      <w:shd w:val="clear" w:fill="FFFFFF"/>
                    </w:rPr>
                    <w:t>砂、石英</w:t>
                  </w:r>
                </w:p>
              </w:tc>
              <w:tc>
                <w:tcPr>
                  <w:tcW w:w="650" w:type="pct"/>
                  <w:vMerge w:val="continue"/>
                  <w:vAlign w:val="center"/>
                </w:tcPr>
                <w:p w14:paraId="47E3F14E">
                  <w:pPr>
                    <w:adjustRightInd w:val="0"/>
                    <w:snapToGrid w:val="0"/>
                    <w:jc w:val="center"/>
                    <w:rPr>
                      <w:rFonts w:hint="default" w:ascii="Times New Roman" w:hAnsi="Times New Roman" w:eastAsia="仿宋" w:cs="Times New Roman"/>
                      <w:color w:val="auto"/>
                      <w:szCs w:val="21"/>
                    </w:rPr>
                  </w:pPr>
                </w:p>
              </w:tc>
              <w:tc>
                <w:tcPr>
                  <w:tcW w:w="335" w:type="pct"/>
                  <w:vAlign w:val="center"/>
                </w:tcPr>
                <w:p w14:paraId="27180805">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717" w:type="dxa"/>
                  <w:vAlign w:val="center"/>
                </w:tcPr>
                <w:p w14:paraId="4231D12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SW59</w:t>
                  </w:r>
                </w:p>
              </w:tc>
              <w:tc>
                <w:tcPr>
                  <w:tcW w:w="1225" w:type="dxa"/>
                  <w:vAlign w:val="center"/>
                </w:tcPr>
                <w:p w14:paraId="050133BA">
                  <w:pPr>
                    <w:pStyle w:val="101"/>
                    <w:bidi w:val="0"/>
                    <w:ind w:firstLine="0" w:firstLineChars="0"/>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900-099-S59</w:t>
                  </w:r>
                </w:p>
              </w:tc>
              <w:tc>
                <w:tcPr>
                  <w:tcW w:w="830" w:type="dxa"/>
                  <w:vAlign w:val="center"/>
                </w:tcPr>
                <w:p w14:paraId="487807B2">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22.8</w:t>
                  </w:r>
                </w:p>
              </w:tc>
            </w:tr>
            <w:tr w14:paraId="4739AB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47" w:hRule="atLeast"/>
                <w:jc w:val="center"/>
              </w:trPr>
              <w:tc>
                <w:tcPr>
                  <w:tcW w:w="200" w:type="pct"/>
                  <w:vAlign w:val="center"/>
                </w:tcPr>
                <w:p w14:paraId="2A365799">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5</w:t>
                  </w:r>
                </w:p>
              </w:tc>
              <w:tc>
                <w:tcPr>
                  <w:tcW w:w="560" w:type="pct"/>
                  <w:vAlign w:val="center"/>
                </w:tcPr>
                <w:p w14:paraId="1583285D">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val="0"/>
                      <w:bCs w:val="0"/>
                      <w:color w:val="auto"/>
                      <w:kern w:val="2"/>
                      <w:sz w:val="21"/>
                      <w:szCs w:val="21"/>
                      <w:highlight w:val="none"/>
                      <w:lang w:val="en-US" w:eastAsia="zh-CN" w:bidi="ar-SA"/>
                    </w:rPr>
                    <w:t>废布袋</w:t>
                  </w:r>
                </w:p>
              </w:tc>
              <w:tc>
                <w:tcPr>
                  <w:tcW w:w="357" w:type="pct"/>
                  <w:vMerge w:val="continue"/>
                  <w:vAlign w:val="center"/>
                </w:tcPr>
                <w:p w14:paraId="26E96503">
                  <w:pPr>
                    <w:adjustRightInd w:val="0"/>
                    <w:snapToGrid w:val="0"/>
                    <w:jc w:val="center"/>
                    <w:rPr>
                      <w:rFonts w:hint="default" w:ascii="Times New Roman" w:hAnsi="Times New Roman" w:eastAsia="仿宋" w:cs="Times New Roman"/>
                      <w:color w:val="auto"/>
                      <w:szCs w:val="21"/>
                    </w:rPr>
                  </w:pPr>
                </w:p>
              </w:tc>
              <w:tc>
                <w:tcPr>
                  <w:tcW w:w="489" w:type="pct"/>
                  <w:vAlign w:val="center"/>
                </w:tcPr>
                <w:p w14:paraId="2DB26E91">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val="0"/>
                      <w:bCs/>
                      <w:color w:val="auto"/>
                      <w:kern w:val="2"/>
                      <w:sz w:val="21"/>
                      <w:szCs w:val="21"/>
                      <w:lang w:val="en-US" w:eastAsia="zh-CN" w:bidi="ar-SA"/>
                    </w:rPr>
                    <w:t>除尘</w:t>
                  </w:r>
                </w:p>
              </w:tc>
              <w:tc>
                <w:tcPr>
                  <w:tcW w:w="319" w:type="pct"/>
                  <w:vAlign w:val="center"/>
                </w:tcPr>
                <w:p w14:paraId="71766776">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val="0"/>
                      <w:bCs/>
                      <w:color w:val="auto"/>
                      <w:sz w:val="21"/>
                      <w:szCs w:val="21"/>
                    </w:rPr>
                    <w:t>固</w:t>
                  </w:r>
                </w:p>
              </w:tc>
              <w:tc>
                <w:tcPr>
                  <w:tcW w:w="527" w:type="pct"/>
                  <w:vAlign w:val="center"/>
                </w:tcPr>
                <w:p w14:paraId="4D0C9304">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纤维</w:t>
                  </w:r>
                </w:p>
              </w:tc>
              <w:tc>
                <w:tcPr>
                  <w:tcW w:w="650" w:type="pct"/>
                  <w:vMerge w:val="continue"/>
                  <w:vAlign w:val="center"/>
                </w:tcPr>
                <w:p w14:paraId="5BAA39D9">
                  <w:pPr>
                    <w:adjustRightInd w:val="0"/>
                    <w:snapToGrid w:val="0"/>
                    <w:jc w:val="center"/>
                    <w:rPr>
                      <w:rFonts w:hint="default" w:ascii="Times New Roman" w:hAnsi="Times New Roman" w:eastAsia="仿宋" w:cs="Times New Roman"/>
                      <w:color w:val="auto"/>
                      <w:szCs w:val="21"/>
                    </w:rPr>
                  </w:pPr>
                </w:p>
              </w:tc>
              <w:tc>
                <w:tcPr>
                  <w:tcW w:w="335" w:type="pct"/>
                  <w:vAlign w:val="center"/>
                </w:tcPr>
                <w:p w14:paraId="086B45CA">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721" w:type="dxa"/>
                  <w:vAlign w:val="center"/>
                </w:tcPr>
                <w:p w14:paraId="2AB2DB9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Cs w:val="21"/>
                      <w:lang w:val="en-US" w:eastAsia="zh-CN"/>
                    </w:rPr>
                  </w:pPr>
                  <w:r>
                    <w:rPr>
                      <w:rFonts w:hint="eastAsia"/>
                      <w:color w:val="auto"/>
                      <w:highlight w:val="none"/>
                      <w:lang w:val="en-US" w:eastAsia="zh-CN"/>
                    </w:rPr>
                    <w:t>SW17</w:t>
                  </w:r>
                </w:p>
              </w:tc>
              <w:tc>
                <w:tcPr>
                  <w:tcW w:w="1182" w:type="dxa"/>
                  <w:vAlign w:val="center"/>
                </w:tcPr>
                <w:p w14:paraId="7E621B2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color w:val="auto"/>
                      <w:spacing w:val="2"/>
                      <w:kern w:val="2"/>
                      <w:sz w:val="21"/>
                      <w:szCs w:val="21"/>
                      <w:highlight w:val="none"/>
                      <w:lang w:val="en-US" w:eastAsia="zh-CN" w:bidi="ar-SA"/>
                    </w:rPr>
                    <w:t>900-011-S17</w:t>
                  </w:r>
                </w:p>
              </w:tc>
              <w:tc>
                <w:tcPr>
                  <w:tcW w:w="830" w:type="dxa"/>
                  <w:vAlign w:val="center"/>
                </w:tcPr>
                <w:p w14:paraId="17CAF654">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0.5</w:t>
                  </w:r>
                </w:p>
              </w:tc>
            </w:tr>
            <w:tr w14:paraId="372D1D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47" w:hRule="atLeast"/>
                <w:jc w:val="center"/>
              </w:trPr>
              <w:tc>
                <w:tcPr>
                  <w:tcW w:w="200" w:type="pct"/>
                  <w:vAlign w:val="center"/>
                </w:tcPr>
                <w:p w14:paraId="0C8A46B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6</w:t>
                  </w:r>
                </w:p>
              </w:tc>
              <w:tc>
                <w:tcPr>
                  <w:tcW w:w="560" w:type="pct"/>
                  <w:vAlign w:val="center"/>
                </w:tcPr>
                <w:p w14:paraId="419E490F">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val="0"/>
                      <w:bCs w:val="0"/>
                      <w:color w:val="auto"/>
                      <w:kern w:val="2"/>
                      <w:sz w:val="21"/>
                      <w:szCs w:val="21"/>
                      <w:highlight w:val="none"/>
                      <w:lang w:val="en-US" w:eastAsia="zh-CN" w:bidi="ar-SA"/>
                    </w:rPr>
                    <w:t>收尘</w:t>
                  </w:r>
                </w:p>
              </w:tc>
              <w:tc>
                <w:tcPr>
                  <w:tcW w:w="357" w:type="pct"/>
                  <w:vMerge w:val="continue"/>
                  <w:vAlign w:val="center"/>
                </w:tcPr>
                <w:p w14:paraId="792FE1FD">
                  <w:pPr>
                    <w:adjustRightInd w:val="0"/>
                    <w:snapToGrid w:val="0"/>
                    <w:jc w:val="center"/>
                    <w:rPr>
                      <w:rFonts w:hint="default" w:ascii="Times New Roman" w:hAnsi="Times New Roman" w:eastAsia="仿宋" w:cs="Times New Roman"/>
                      <w:color w:val="auto"/>
                      <w:szCs w:val="21"/>
                    </w:rPr>
                  </w:pPr>
                </w:p>
              </w:tc>
              <w:tc>
                <w:tcPr>
                  <w:tcW w:w="489" w:type="pct"/>
                  <w:vAlign w:val="center"/>
                </w:tcPr>
                <w:p w14:paraId="26AC993A">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val="0"/>
                      <w:bCs/>
                      <w:color w:val="auto"/>
                      <w:kern w:val="2"/>
                      <w:sz w:val="21"/>
                      <w:szCs w:val="21"/>
                      <w:lang w:val="en-US" w:eastAsia="zh-CN" w:bidi="ar-SA"/>
                    </w:rPr>
                    <w:t>废气处理</w:t>
                  </w:r>
                </w:p>
              </w:tc>
              <w:tc>
                <w:tcPr>
                  <w:tcW w:w="319" w:type="pct"/>
                  <w:vAlign w:val="center"/>
                </w:tcPr>
                <w:p w14:paraId="3EF476AC">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val="0"/>
                      <w:bCs/>
                      <w:color w:val="auto"/>
                      <w:sz w:val="21"/>
                      <w:szCs w:val="21"/>
                    </w:rPr>
                    <w:t>固</w:t>
                  </w:r>
                </w:p>
              </w:tc>
              <w:tc>
                <w:tcPr>
                  <w:tcW w:w="527" w:type="pct"/>
                  <w:vAlign w:val="center"/>
                </w:tcPr>
                <w:p w14:paraId="640064D1">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金属</w:t>
                  </w:r>
                </w:p>
              </w:tc>
              <w:tc>
                <w:tcPr>
                  <w:tcW w:w="650" w:type="pct"/>
                  <w:vMerge w:val="continue"/>
                  <w:vAlign w:val="center"/>
                </w:tcPr>
                <w:p w14:paraId="3492D9E1">
                  <w:pPr>
                    <w:adjustRightInd w:val="0"/>
                    <w:snapToGrid w:val="0"/>
                    <w:jc w:val="center"/>
                    <w:rPr>
                      <w:rFonts w:hint="default" w:ascii="Times New Roman" w:hAnsi="Times New Roman" w:eastAsia="仿宋" w:cs="Times New Roman"/>
                      <w:color w:val="auto"/>
                      <w:szCs w:val="21"/>
                    </w:rPr>
                  </w:pPr>
                </w:p>
              </w:tc>
              <w:tc>
                <w:tcPr>
                  <w:tcW w:w="335" w:type="pct"/>
                  <w:vAlign w:val="center"/>
                </w:tcPr>
                <w:p w14:paraId="788165D3">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717" w:type="dxa"/>
                  <w:vAlign w:val="center"/>
                </w:tcPr>
                <w:p w14:paraId="3F6A2DD7">
                  <w:pPr>
                    <w:pStyle w:val="101"/>
                    <w:bidi w:val="0"/>
                    <w:ind w:firstLine="0" w:firstLineChars="0"/>
                    <w:rPr>
                      <w:rFonts w:hint="default" w:ascii="Times New Roman" w:hAnsi="Times New Roman" w:eastAsia="仿宋" w:cs="Times New Roman"/>
                      <w:color w:val="auto"/>
                      <w:szCs w:val="21"/>
                      <w:lang w:val="en-US" w:eastAsia="zh-CN"/>
                    </w:rPr>
                  </w:pPr>
                  <w:r>
                    <w:rPr>
                      <w:rFonts w:hint="eastAsia"/>
                      <w:color w:val="auto"/>
                      <w:highlight w:val="none"/>
                      <w:lang w:val="en-US" w:eastAsia="zh-CN"/>
                    </w:rPr>
                    <w:t>SW17</w:t>
                  </w:r>
                </w:p>
              </w:tc>
              <w:tc>
                <w:tcPr>
                  <w:tcW w:w="1225" w:type="dxa"/>
                  <w:vAlign w:val="center"/>
                </w:tcPr>
                <w:p w14:paraId="2295E64C">
                  <w:pPr>
                    <w:pStyle w:val="101"/>
                    <w:bidi w:val="0"/>
                    <w:ind w:firstLine="0" w:firstLineChars="0"/>
                    <w:rPr>
                      <w:rFonts w:hint="default" w:ascii="Times New Roman" w:hAnsi="Times New Roman" w:eastAsia="仿宋" w:cs="Times New Roman"/>
                      <w:color w:val="auto"/>
                      <w:szCs w:val="21"/>
                      <w:lang w:val="en-US" w:eastAsia="zh-CN"/>
                    </w:rPr>
                  </w:pPr>
                  <w:r>
                    <w:rPr>
                      <w:rFonts w:hint="default"/>
                      <w:color w:val="auto"/>
                      <w:highlight w:val="none"/>
                      <w:lang w:val="en-US" w:eastAsia="zh-CN"/>
                    </w:rPr>
                    <w:t>900-001-S17</w:t>
                  </w:r>
                </w:p>
              </w:tc>
              <w:tc>
                <w:tcPr>
                  <w:tcW w:w="830" w:type="dxa"/>
                  <w:vAlign w:val="center"/>
                </w:tcPr>
                <w:p w14:paraId="4E624D36">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13.742</w:t>
                  </w:r>
                </w:p>
              </w:tc>
            </w:tr>
            <w:tr w14:paraId="1751FE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00" w:type="pct"/>
                  <w:vAlign w:val="center"/>
                </w:tcPr>
                <w:p w14:paraId="4BFCDF80">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7</w:t>
                  </w:r>
                </w:p>
              </w:tc>
              <w:tc>
                <w:tcPr>
                  <w:tcW w:w="560" w:type="pct"/>
                  <w:vAlign w:val="center"/>
                </w:tcPr>
                <w:p w14:paraId="14A7626A">
                  <w:pPr>
                    <w:pStyle w:val="5"/>
                    <w:adjustRightInd w:val="0"/>
                    <w:snapToGrid w:val="0"/>
                    <w:ind w:firstLine="0" w:firstLineChars="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val="0"/>
                      <w:color w:val="auto"/>
                      <w:kern w:val="2"/>
                      <w:sz w:val="21"/>
                      <w:szCs w:val="21"/>
                      <w:highlight w:val="none"/>
                      <w:lang w:val="en-US" w:eastAsia="zh-CN" w:bidi="ar-SA"/>
                    </w:rPr>
                    <w:t>废</w:t>
                  </w:r>
                  <w:r>
                    <w:rPr>
                      <w:rFonts w:hint="eastAsia" w:ascii="Times New Roman" w:hAnsi="Times New Roman" w:eastAsia="仿宋" w:cs="Times New Roman"/>
                      <w:b w:val="0"/>
                      <w:bCs w:val="0"/>
                      <w:color w:val="auto"/>
                      <w:kern w:val="2"/>
                      <w:sz w:val="21"/>
                      <w:szCs w:val="21"/>
                      <w:highlight w:val="none"/>
                      <w:lang w:val="en-US" w:eastAsia="zh-CN" w:bidi="ar-SA"/>
                    </w:rPr>
                    <w:t>切削液</w:t>
                  </w:r>
                </w:p>
              </w:tc>
              <w:tc>
                <w:tcPr>
                  <w:tcW w:w="357" w:type="pct"/>
                  <w:vMerge w:val="restart"/>
                  <w:vAlign w:val="center"/>
                </w:tcPr>
                <w:p w14:paraId="2B1D93D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危险固废</w:t>
                  </w:r>
                </w:p>
              </w:tc>
              <w:tc>
                <w:tcPr>
                  <w:tcW w:w="489" w:type="pct"/>
                  <w:vAlign w:val="center"/>
                </w:tcPr>
                <w:p w14:paraId="3BE84C6D">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机加工</w:t>
                  </w:r>
                </w:p>
              </w:tc>
              <w:tc>
                <w:tcPr>
                  <w:tcW w:w="319" w:type="pct"/>
                  <w:vAlign w:val="center"/>
                </w:tcPr>
                <w:p w14:paraId="5B858104">
                  <w:pPr>
                    <w:adjustRightInd w:val="0"/>
                    <w:snapToGrid w:val="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kern w:val="2"/>
                      <w:sz w:val="21"/>
                      <w:szCs w:val="21"/>
                      <w:lang w:val="en-US" w:eastAsia="zh-CN" w:bidi="ar-SA"/>
                    </w:rPr>
                    <w:t>液</w:t>
                  </w:r>
                </w:p>
              </w:tc>
              <w:tc>
                <w:tcPr>
                  <w:tcW w:w="527" w:type="pct"/>
                  <w:vAlign w:val="center"/>
                </w:tcPr>
                <w:p w14:paraId="30FC182C">
                  <w:pPr>
                    <w:pStyle w:val="5"/>
                    <w:adjustRightInd w:val="0"/>
                    <w:snapToGrid w:val="0"/>
                    <w:ind w:firstLine="0" w:firstLineChars="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水、矿物油</w:t>
                  </w:r>
                </w:p>
              </w:tc>
              <w:tc>
                <w:tcPr>
                  <w:tcW w:w="650" w:type="pct"/>
                  <w:vMerge w:val="restart"/>
                  <w:vAlign w:val="center"/>
                </w:tcPr>
                <w:p w14:paraId="49B03F00">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《国家危险废物名录》（2021年）</w:t>
                  </w:r>
                </w:p>
              </w:tc>
              <w:tc>
                <w:tcPr>
                  <w:tcW w:w="335" w:type="pct"/>
                  <w:vAlign w:val="center"/>
                </w:tcPr>
                <w:p w14:paraId="458DEE87">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w:t>
                  </w:r>
                </w:p>
              </w:tc>
              <w:tc>
                <w:tcPr>
                  <w:tcW w:w="411" w:type="pct"/>
                  <w:vAlign w:val="center"/>
                </w:tcPr>
                <w:p w14:paraId="33FB744E">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HW0</w:t>
                  </w:r>
                  <w:r>
                    <w:rPr>
                      <w:rFonts w:hint="default" w:ascii="Times New Roman" w:hAnsi="Times New Roman" w:eastAsia="仿宋" w:cs="Times New Roman"/>
                      <w:color w:val="auto"/>
                      <w:szCs w:val="21"/>
                      <w:lang w:val="en-US" w:eastAsia="zh-CN"/>
                    </w:rPr>
                    <w:t>9</w:t>
                  </w:r>
                </w:p>
              </w:tc>
              <w:tc>
                <w:tcPr>
                  <w:tcW w:w="674" w:type="pct"/>
                  <w:vAlign w:val="center"/>
                </w:tcPr>
                <w:p w14:paraId="7E7B1428">
                  <w:pPr>
                    <w:snapToGrid w:val="0"/>
                    <w:jc w:val="center"/>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zCs w:val="21"/>
                      <w:lang w:eastAsia="zh-CN"/>
                    </w:rPr>
                    <w:t>900-</w:t>
                  </w:r>
                  <w:r>
                    <w:rPr>
                      <w:rFonts w:hint="default" w:ascii="Times New Roman" w:hAnsi="Times New Roman" w:eastAsia="仿宋" w:cs="Times New Roman"/>
                      <w:color w:val="auto"/>
                      <w:szCs w:val="21"/>
                      <w:lang w:val="en-US" w:eastAsia="zh-CN"/>
                    </w:rPr>
                    <w:t>006</w:t>
                  </w:r>
                  <w:r>
                    <w:rPr>
                      <w:rFonts w:hint="default" w:ascii="Times New Roman" w:hAnsi="Times New Roman" w:eastAsia="仿宋" w:cs="Times New Roman"/>
                      <w:color w:val="auto"/>
                      <w:szCs w:val="21"/>
                      <w:lang w:eastAsia="zh-CN"/>
                    </w:rPr>
                    <w:t>-0</w:t>
                  </w:r>
                  <w:r>
                    <w:rPr>
                      <w:rFonts w:hint="default" w:ascii="Times New Roman" w:hAnsi="Times New Roman" w:eastAsia="仿宋" w:cs="Times New Roman"/>
                      <w:color w:val="auto"/>
                      <w:szCs w:val="21"/>
                      <w:lang w:val="en-US" w:eastAsia="zh-CN"/>
                    </w:rPr>
                    <w:t>9</w:t>
                  </w:r>
                </w:p>
              </w:tc>
              <w:tc>
                <w:tcPr>
                  <w:tcW w:w="830" w:type="dxa"/>
                  <w:vAlign w:val="center"/>
                </w:tcPr>
                <w:p w14:paraId="37F803CB">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kern w:val="2"/>
                      <w:sz w:val="21"/>
                      <w:szCs w:val="21"/>
                      <w:lang w:val="en-US" w:eastAsia="zh-CN" w:bidi="ar-SA"/>
                    </w:rPr>
                    <w:t>8</w:t>
                  </w:r>
                </w:p>
              </w:tc>
            </w:tr>
            <w:tr w14:paraId="1E6B82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00" w:type="pct"/>
                  <w:vAlign w:val="center"/>
                </w:tcPr>
                <w:p w14:paraId="06530AB5">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w:t>
                  </w:r>
                </w:p>
              </w:tc>
              <w:tc>
                <w:tcPr>
                  <w:tcW w:w="560" w:type="pct"/>
                  <w:vAlign w:val="center"/>
                </w:tcPr>
                <w:p w14:paraId="4E91E308">
                  <w:pPr>
                    <w:pStyle w:val="5"/>
                    <w:adjustRightInd w:val="0"/>
                    <w:snapToGrid w:val="0"/>
                    <w:ind w:firstLine="0" w:firstLineChars="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val="0"/>
                      <w:color w:val="auto"/>
                      <w:kern w:val="2"/>
                      <w:sz w:val="21"/>
                      <w:szCs w:val="21"/>
                      <w:highlight w:val="none"/>
                      <w:lang w:val="en-US" w:eastAsia="zh-CN" w:bidi="ar-SA"/>
                    </w:rPr>
                    <w:t>废包装桶</w:t>
                  </w:r>
                </w:p>
              </w:tc>
              <w:tc>
                <w:tcPr>
                  <w:tcW w:w="357" w:type="pct"/>
                  <w:vMerge w:val="continue"/>
                  <w:vAlign w:val="center"/>
                </w:tcPr>
                <w:p w14:paraId="2FED72BA">
                  <w:pPr>
                    <w:adjustRightInd w:val="0"/>
                    <w:snapToGrid w:val="0"/>
                    <w:jc w:val="center"/>
                    <w:rPr>
                      <w:rFonts w:hint="default" w:ascii="Times New Roman" w:hAnsi="Times New Roman" w:eastAsia="仿宋" w:cs="Times New Roman"/>
                      <w:color w:val="auto"/>
                      <w:szCs w:val="21"/>
                    </w:rPr>
                  </w:pPr>
                </w:p>
              </w:tc>
              <w:tc>
                <w:tcPr>
                  <w:tcW w:w="489" w:type="pct"/>
                  <w:vAlign w:val="center"/>
                </w:tcPr>
                <w:p w14:paraId="1D0CAA5B">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原料包装</w:t>
                  </w:r>
                </w:p>
              </w:tc>
              <w:tc>
                <w:tcPr>
                  <w:tcW w:w="319" w:type="pct"/>
                  <w:vAlign w:val="center"/>
                </w:tcPr>
                <w:p w14:paraId="4400FE6C">
                  <w:pPr>
                    <w:adjustRightInd w:val="0"/>
                    <w:snapToGrid w:val="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固</w:t>
                  </w:r>
                </w:p>
              </w:tc>
              <w:tc>
                <w:tcPr>
                  <w:tcW w:w="527" w:type="pct"/>
                  <w:vAlign w:val="center"/>
                </w:tcPr>
                <w:p w14:paraId="78F50813">
                  <w:pPr>
                    <w:pStyle w:val="5"/>
                    <w:adjustRightInd w:val="0"/>
                    <w:snapToGrid w:val="0"/>
                    <w:ind w:firstLine="0" w:firstLineChars="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矿物油</w:t>
                  </w:r>
                  <w:r>
                    <w:rPr>
                      <w:rFonts w:hint="default" w:ascii="Times New Roman" w:hAnsi="Times New Roman" w:eastAsia="仿宋" w:cs="Times New Roman"/>
                      <w:b w:val="0"/>
                      <w:bCs/>
                      <w:color w:val="auto"/>
                      <w:kern w:val="2"/>
                      <w:sz w:val="21"/>
                      <w:szCs w:val="21"/>
                      <w:lang w:val="en-US" w:eastAsia="zh-CN" w:bidi="ar-SA"/>
                    </w:rPr>
                    <w:t>、铁</w:t>
                  </w:r>
                </w:p>
              </w:tc>
              <w:tc>
                <w:tcPr>
                  <w:tcW w:w="650" w:type="pct"/>
                  <w:vMerge w:val="continue"/>
                  <w:vAlign w:val="center"/>
                </w:tcPr>
                <w:p w14:paraId="5D2D82A6">
                  <w:pPr>
                    <w:adjustRightInd w:val="0"/>
                    <w:snapToGrid w:val="0"/>
                    <w:jc w:val="center"/>
                    <w:rPr>
                      <w:rFonts w:hint="default" w:ascii="Times New Roman" w:hAnsi="Times New Roman" w:eastAsia="仿宋" w:cs="Times New Roman"/>
                      <w:color w:val="auto"/>
                      <w:szCs w:val="21"/>
                    </w:rPr>
                  </w:pPr>
                </w:p>
              </w:tc>
              <w:tc>
                <w:tcPr>
                  <w:tcW w:w="335" w:type="pct"/>
                  <w:vAlign w:val="center"/>
                </w:tcPr>
                <w:p w14:paraId="5E4AE676">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T/In</w:t>
                  </w:r>
                </w:p>
              </w:tc>
              <w:tc>
                <w:tcPr>
                  <w:tcW w:w="411" w:type="pct"/>
                  <w:vAlign w:val="center"/>
                </w:tcPr>
                <w:p w14:paraId="2E9A3D63">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HW49</w:t>
                  </w:r>
                </w:p>
              </w:tc>
              <w:tc>
                <w:tcPr>
                  <w:tcW w:w="674" w:type="pct"/>
                  <w:vAlign w:val="center"/>
                </w:tcPr>
                <w:p w14:paraId="2B36BA43">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900-041-49</w:t>
                  </w:r>
                </w:p>
              </w:tc>
              <w:tc>
                <w:tcPr>
                  <w:tcW w:w="830" w:type="dxa"/>
                  <w:vAlign w:val="center"/>
                </w:tcPr>
                <w:p w14:paraId="63AF76A6">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kern w:val="2"/>
                      <w:sz w:val="21"/>
                      <w:szCs w:val="21"/>
                      <w:lang w:val="en-US" w:eastAsia="zh-CN" w:bidi="ar-SA"/>
                    </w:rPr>
                    <w:t>1.2</w:t>
                  </w:r>
                </w:p>
              </w:tc>
            </w:tr>
            <w:tr w14:paraId="33C811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00" w:type="pct"/>
                  <w:vAlign w:val="center"/>
                </w:tcPr>
                <w:p w14:paraId="2C80676A">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kern w:val="2"/>
                      <w:sz w:val="21"/>
                      <w:szCs w:val="21"/>
                      <w:lang w:val="en-US" w:eastAsia="zh-CN" w:bidi="ar-SA"/>
                    </w:rPr>
                    <w:t>9</w:t>
                  </w:r>
                </w:p>
              </w:tc>
              <w:tc>
                <w:tcPr>
                  <w:tcW w:w="560" w:type="pct"/>
                  <w:vAlign w:val="center"/>
                </w:tcPr>
                <w:p w14:paraId="25A7D240">
                  <w:pPr>
                    <w:pStyle w:val="5"/>
                    <w:adjustRightInd w:val="0"/>
                    <w:snapToGrid w:val="0"/>
                    <w:ind w:firstLine="0" w:firstLineChars="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val="0"/>
                      <w:color w:val="auto"/>
                      <w:kern w:val="2"/>
                      <w:sz w:val="21"/>
                      <w:szCs w:val="21"/>
                      <w:highlight w:val="none"/>
                      <w:lang w:val="en-US" w:eastAsia="zh-CN" w:bidi="ar-SA"/>
                    </w:rPr>
                    <w:t>漆渣</w:t>
                  </w:r>
                </w:p>
              </w:tc>
              <w:tc>
                <w:tcPr>
                  <w:tcW w:w="357" w:type="pct"/>
                  <w:vMerge w:val="continue"/>
                  <w:vAlign w:val="center"/>
                </w:tcPr>
                <w:p w14:paraId="2779C45B">
                  <w:pPr>
                    <w:adjustRightInd w:val="0"/>
                    <w:snapToGrid w:val="0"/>
                    <w:jc w:val="center"/>
                    <w:rPr>
                      <w:rFonts w:hint="default" w:ascii="Times New Roman" w:hAnsi="Times New Roman" w:eastAsia="仿宋" w:cs="Times New Roman"/>
                      <w:color w:val="auto"/>
                      <w:szCs w:val="21"/>
                    </w:rPr>
                  </w:pPr>
                </w:p>
              </w:tc>
              <w:tc>
                <w:tcPr>
                  <w:tcW w:w="489" w:type="pct"/>
                  <w:vAlign w:val="center"/>
                </w:tcPr>
                <w:p w14:paraId="5F20A83B">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喷漆</w:t>
                  </w:r>
                </w:p>
              </w:tc>
              <w:tc>
                <w:tcPr>
                  <w:tcW w:w="319" w:type="pct"/>
                  <w:vAlign w:val="center"/>
                </w:tcPr>
                <w:p w14:paraId="4368F57B">
                  <w:pPr>
                    <w:adjustRightInd w:val="0"/>
                    <w:snapToGrid w:val="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lang w:eastAsia="zh-CN"/>
                    </w:rPr>
                    <w:t>半固</w:t>
                  </w:r>
                </w:p>
              </w:tc>
              <w:tc>
                <w:tcPr>
                  <w:tcW w:w="527" w:type="pct"/>
                  <w:vAlign w:val="center"/>
                </w:tcPr>
                <w:p w14:paraId="5DE62112">
                  <w:pPr>
                    <w:pStyle w:val="5"/>
                    <w:adjustRightInd w:val="0"/>
                    <w:snapToGrid w:val="0"/>
                    <w:ind w:firstLine="0" w:firstLineChars="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有机物、水</w:t>
                  </w:r>
                </w:p>
              </w:tc>
              <w:tc>
                <w:tcPr>
                  <w:tcW w:w="650" w:type="pct"/>
                  <w:vMerge w:val="continue"/>
                  <w:vAlign w:val="center"/>
                </w:tcPr>
                <w:p w14:paraId="2ABD59CF">
                  <w:pPr>
                    <w:adjustRightInd w:val="0"/>
                    <w:snapToGrid w:val="0"/>
                    <w:jc w:val="center"/>
                    <w:rPr>
                      <w:rFonts w:hint="default" w:ascii="Times New Roman" w:hAnsi="Times New Roman" w:eastAsia="仿宋" w:cs="Times New Roman"/>
                      <w:color w:val="auto"/>
                      <w:szCs w:val="21"/>
                    </w:rPr>
                  </w:pPr>
                </w:p>
              </w:tc>
              <w:tc>
                <w:tcPr>
                  <w:tcW w:w="335" w:type="pct"/>
                  <w:vAlign w:val="center"/>
                </w:tcPr>
                <w:p w14:paraId="21AB4B84">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T/I</w:t>
                  </w:r>
                </w:p>
              </w:tc>
              <w:tc>
                <w:tcPr>
                  <w:tcW w:w="411" w:type="pct"/>
                  <w:vAlign w:val="center"/>
                </w:tcPr>
                <w:p w14:paraId="1658D506">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HW</w:t>
                  </w:r>
                  <w:r>
                    <w:rPr>
                      <w:rFonts w:hint="default" w:ascii="Times New Roman" w:hAnsi="Times New Roman" w:eastAsia="仿宋" w:cs="Times New Roman"/>
                      <w:color w:val="auto"/>
                      <w:szCs w:val="21"/>
                      <w:lang w:val="en-US" w:eastAsia="zh-CN"/>
                    </w:rPr>
                    <w:t>12</w:t>
                  </w:r>
                </w:p>
              </w:tc>
              <w:tc>
                <w:tcPr>
                  <w:tcW w:w="674" w:type="pct"/>
                  <w:vAlign w:val="center"/>
                </w:tcPr>
                <w:p w14:paraId="2FA5D4C1">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900-</w:t>
                  </w:r>
                  <w:r>
                    <w:rPr>
                      <w:rFonts w:hint="default" w:ascii="Times New Roman" w:hAnsi="Times New Roman" w:eastAsia="仿宋" w:cs="Times New Roman"/>
                      <w:color w:val="auto"/>
                      <w:szCs w:val="21"/>
                      <w:lang w:val="en-US" w:eastAsia="zh-CN"/>
                    </w:rPr>
                    <w:t>252</w:t>
                  </w:r>
                  <w:r>
                    <w:rPr>
                      <w:rFonts w:hint="default" w:ascii="Times New Roman" w:hAnsi="Times New Roman" w:eastAsia="仿宋" w:cs="Times New Roman"/>
                      <w:color w:val="auto"/>
                      <w:szCs w:val="21"/>
                    </w:rPr>
                    <w:t>-</w:t>
                  </w:r>
                  <w:r>
                    <w:rPr>
                      <w:rFonts w:hint="default" w:ascii="Times New Roman" w:hAnsi="Times New Roman" w:eastAsia="仿宋" w:cs="Times New Roman"/>
                      <w:color w:val="auto"/>
                      <w:szCs w:val="21"/>
                      <w:lang w:val="en-US" w:eastAsia="zh-CN"/>
                    </w:rPr>
                    <w:t>12</w:t>
                  </w:r>
                </w:p>
              </w:tc>
              <w:tc>
                <w:tcPr>
                  <w:tcW w:w="830" w:type="dxa"/>
                  <w:vAlign w:val="center"/>
                </w:tcPr>
                <w:p w14:paraId="16C3BDE8">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lang w:val="en-US" w:eastAsia="zh-CN" w:bidi="ar-SA"/>
                    </w:rPr>
                    <w:t>2.</w:t>
                  </w:r>
                  <w:r>
                    <w:rPr>
                      <w:rFonts w:hint="eastAsia" w:eastAsia="仿宋" w:cs="Times New Roman"/>
                      <w:color w:val="auto"/>
                      <w:kern w:val="2"/>
                      <w:sz w:val="21"/>
                      <w:szCs w:val="21"/>
                      <w:lang w:val="en-US" w:eastAsia="zh-CN" w:bidi="ar-SA"/>
                    </w:rPr>
                    <w:t>29</w:t>
                  </w:r>
                </w:p>
              </w:tc>
            </w:tr>
            <w:tr w14:paraId="4BAEA2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00" w:type="pct"/>
                  <w:vAlign w:val="center"/>
                </w:tcPr>
                <w:p w14:paraId="67DE6EA3">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10</w:t>
                  </w:r>
                </w:p>
              </w:tc>
              <w:tc>
                <w:tcPr>
                  <w:tcW w:w="560" w:type="pct"/>
                  <w:vAlign w:val="center"/>
                </w:tcPr>
                <w:p w14:paraId="512DFCDF">
                  <w:pPr>
                    <w:pStyle w:val="5"/>
                    <w:adjustRightInd w:val="0"/>
                    <w:snapToGrid w:val="0"/>
                    <w:ind w:firstLine="0" w:firstLineChars="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val="0"/>
                      <w:color w:val="auto"/>
                      <w:kern w:val="2"/>
                      <w:sz w:val="21"/>
                      <w:szCs w:val="21"/>
                      <w:highlight w:val="none"/>
                      <w:lang w:val="en-US" w:eastAsia="zh-CN" w:bidi="ar-SA"/>
                    </w:rPr>
                    <w:t>含漆废物</w:t>
                  </w:r>
                </w:p>
              </w:tc>
              <w:tc>
                <w:tcPr>
                  <w:tcW w:w="357" w:type="pct"/>
                  <w:vMerge w:val="continue"/>
                  <w:vAlign w:val="center"/>
                </w:tcPr>
                <w:p w14:paraId="24F5E40C">
                  <w:pPr>
                    <w:adjustRightInd w:val="0"/>
                    <w:snapToGrid w:val="0"/>
                    <w:jc w:val="center"/>
                    <w:rPr>
                      <w:rFonts w:hint="default" w:ascii="Times New Roman" w:hAnsi="Times New Roman" w:eastAsia="仿宋" w:cs="Times New Roman"/>
                      <w:color w:val="auto"/>
                      <w:szCs w:val="21"/>
                    </w:rPr>
                  </w:pPr>
                </w:p>
              </w:tc>
              <w:tc>
                <w:tcPr>
                  <w:tcW w:w="489" w:type="pct"/>
                  <w:vAlign w:val="center"/>
                </w:tcPr>
                <w:p w14:paraId="0E12526D">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喷漆</w:t>
                  </w:r>
                </w:p>
              </w:tc>
              <w:tc>
                <w:tcPr>
                  <w:tcW w:w="319" w:type="pct"/>
                  <w:vAlign w:val="center"/>
                </w:tcPr>
                <w:p w14:paraId="673913F8">
                  <w:pPr>
                    <w:adjustRightInd w:val="0"/>
                    <w:snapToGrid w:val="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lang w:eastAsia="zh-CN"/>
                    </w:rPr>
                    <w:t>固</w:t>
                  </w:r>
                </w:p>
              </w:tc>
              <w:tc>
                <w:tcPr>
                  <w:tcW w:w="527" w:type="pct"/>
                  <w:vAlign w:val="center"/>
                </w:tcPr>
                <w:p w14:paraId="2D3C0CB6">
                  <w:pPr>
                    <w:pStyle w:val="5"/>
                    <w:adjustRightInd w:val="0"/>
                    <w:snapToGrid w:val="0"/>
                    <w:ind w:firstLine="0" w:firstLineChars="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布料、有机物</w:t>
                  </w:r>
                </w:p>
              </w:tc>
              <w:tc>
                <w:tcPr>
                  <w:tcW w:w="650" w:type="pct"/>
                  <w:vMerge w:val="continue"/>
                  <w:vAlign w:val="center"/>
                </w:tcPr>
                <w:p w14:paraId="13D990D4">
                  <w:pPr>
                    <w:adjustRightInd w:val="0"/>
                    <w:snapToGrid w:val="0"/>
                    <w:jc w:val="center"/>
                    <w:rPr>
                      <w:rFonts w:hint="default" w:ascii="Times New Roman" w:hAnsi="Times New Roman" w:eastAsia="仿宋" w:cs="Times New Roman"/>
                      <w:color w:val="auto"/>
                      <w:szCs w:val="21"/>
                    </w:rPr>
                  </w:pPr>
                </w:p>
              </w:tc>
              <w:tc>
                <w:tcPr>
                  <w:tcW w:w="335" w:type="pct"/>
                  <w:vAlign w:val="center"/>
                </w:tcPr>
                <w:p w14:paraId="5B11BD4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T/In</w:t>
                  </w:r>
                </w:p>
              </w:tc>
              <w:tc>
                <w:tcPr>
                  <w:tcW w:w="411" w:type="pct"/>
                  <w:vAlign w:val="center"/>
                </w:tcPr>
                <w:p w14:paraId="6D44610E">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HW49</w:t>
                  </w:r>
                </w:p>
              </w:tc>
              <w:tc>
                <w:tcPr>
                  <w:tcW w:w="674" w:type="pct"/>
                  <w:vAlign w:val="center"/>
                </w:tcPr>
                <w:p w14:paraId="43F5238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900-041-49</w:t>
                  </w:r>
                </w:p>
              </w:tc>
              <w:tc>
                <w:tcPr>
                  <w:tcW w:w="830" w:type="dxa"/>
                  <w:vAlign w:val="center"/>
                </w:tcPr>
                <w:p w14:paraId="2BC5637D">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lang w:val="en-US" w:eastAsia="zh-CN" w:bidi="ar-SA"/>
                    </w:rPr>
                    <w:t>0.3</w:t>
                  </w:r>
                </w:p>
              </w:tc>
            </w:tr>
            <w:tr w14:paraId="29DDA1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00" w:type="pct"/>
                  <w:vAlign w:val="center"/>
                </w:tcPr>
                <w:p w14:paraId="3B80EA95">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11</w:t>
                  </w:r>
                </w:p>
              </w:tc>
              <w:tc>
                <w:tcPr>
                  <w:tcW w:w="560" w:type="pct"/>
                  <w:vAlign w:val="center"/>
                </w:tcPr>
                <w:p w14:paraId="490C8B5F">
                  <w:pPr>
                    <w:pStyle w:val="5"/>
                    <w:adjustRightInd w:val="0"/>
                    <w:snapToGrid w:val="0"/>
                    <w:ind w:firstLine="0" w:firstLineChars="0"/>
                    <w:jc w:val="center"/>
                    <w:rPr>
                      <w:rFonts w:hint="default" w:ascii="Times New Roman" w:hAnsi="Times New Roman" w:eastAsia="仿宋" w:cs="Times New Roman"/>
                      <w:b w:val="0"/>
                      <w:bCs/>
                      <w:color w:val="auto"/>
                      <w:sz w:val="21"/>
                      <w:szCs w:val="21"/>
                    </w:rPr>
                  </w:pPr>
                  <w:r>
                    <w:rPr>
                      <w:rFonts w:hint="eastAsia" w:ascii="Times New Roman" w:hAnsi="Times New Roman" w:eastAsia="仿宋" w:cs="Times New Roman"/>
                      <w:b w:val="0"/>
                      <w:bCs w:val="0"/>
                      <w:color w:val="auto"/>
                      <w:kern w:val="2"/>
                      <w:sz w:val="21"/>
                      <w:szCs w:val="21"/>
                      <w:highlight w:val="none"/>
                      <w:lang w:val="en-US" w:eastAsia="zh-CN" w:bidi="ar-SA"/>
                    </w:rPr>
                    <w:t>试漏废液</w:t>
                  </w:r>
                </w:p>
              </w:tc>
              <w:tc>
                <w:tcPr>
                  <w:tcW w:w="357" w:type="pct"/>
                  <w:vMerge w:val="continue"/>
                  <w:vAlign w:val="center"/>
                </w:tcPr>
                <w:p w14:paraId="407270D1">
                  <w:pPr>
                    <w:adjustRightInd w:val="0"/>
                    <w:snapToGrid w:val="0"/>
                    <w:jc w:val="center"/>
                    <w:rPr>
                      <w:rFonts w:hint="default" w:ascii="Times New Roman" w:hAnsi="Times New Roman" w:eastAsia="仿宋" w:cs="Times New Roman"/>
                      <w:color w:val="auto"/>
                      <w:szCs w:val="21"/>
                    </w:rPr>
                  </w:pPr>
                </w:p>
              </w:tc>
              <w:tc>
                <w:tcPr>
                  <w:tcW w:w="489" w:type="pct"/>
                  <w:vAlign w:val="center"/>
                </w:tcPr>
                <w:p w14:paraId="6077F1BF">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水压测试</w:t>
                  </w:r>
                </w:p>
              </w:tc>
              <w:tc>
                <w:tcPr>
                  <w:tcW w:w="319" w:type="pct"/>
                  <w:vAlign w:val="center"/>
                </w:tcPr>
                <w:p w14:paraId="3F80FBD4">
                  <w:pPr>
                    <w:adjustRightInd w:val="0"/>
                    <w:snapToGrid w:val="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kern w:val="2"/>
                      <w:sz w:val="21"/>
                      <w:szCs w:val="21"/>
                      <w:lang w:val="en-US" w:eastAsia="zh-CN" w:bidi="ar-SA"/>
                    </w:rPr>
                    <w:t>液</w:t>
                  </w:r>
                </w:p>
              </w:tc>
              <w:tc>
                <w:tcPr>
                  <w:tcW w:w="527" w:type="pct"/>
                  <w:vAlign w:val="center"/>
                </w:tcPr>
                <w:p w14:paraId="580D496F">
                  <w:pPr>
                    <w:pStyle w:val="5"/>
                    <w:adjustRightInd w:val="0"/>
                    <w:snapToGrid w:val="0"/>
                    <w:ind w:firstLine="0" w:firstLineChars="0"/>
                    <w:jc w:val="center"/>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有机物</w:t>
                  </w:r>
                  <w:r>
                    <w:rPr>
                      <w:rFonts w:hint="default" w:ascii="Times New Roman" w:hAnsi="Times New Roman" w:eastAsia="仿宋" w:cs="Times New Roman"/>
                      <w:b w:val="0"/>
                      <w:bCs/>
                      <w:color w:val="auto"/>
                      <w:sz w:val="21"/>
                      <w:szCs w:val="21"/>
                      <w:lang w:val="en-US" w:eastAsia="zh-CN"/>
                    </w:rPr>
                    <w:t>、水</w:t>
                  </w:r>
                </w:p>
              </w:tc>
              <w:tc>
                <w:tcPr>
                  <w:tcW w:w="650" w:type="pct"/>
                  <w:vMerge w:val="continue"/>
                  <w:vAlign w:val="center"/>
                </w:tcPr>
                <w:p w14:paraId="403EF178">
                  <w:pPr>
                    <w:adjustRightInd w:val="0"/>
                    <w:snapToGrid w:val="0"/>
                    <w:jc w:val="center"/>
                    <w:rPr>
                      <w:rFonts w:hint="default" w:ascii="Times New Roman" w:hAnsi="Times New Roman" w:eastAsia="仿宋" w:cs="Times New Roman"/>
                      <w:color w:val="auto"/>
                      <w:szCs w:val="21"/>
                    </w:rPr>
                  </w:pPr>
                </w:p>
              </w:tc>
              <w:tc>
                <w:tcPr>
                  <w:tcW w:w="335" w:type="pct"/>
                  <w:vAlign w:val="center"/>
                </w:tcPr>
                <w:p w14:paraId="2D2FA0DC">
                  <w:pPr>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T</w:t>
                  </w:r>
                </w:p>
              </w:tc>
              <w:tc>
                <w:tcPr>
                  <w:tcW w:w="411" w:type="pct"/>
                  <w:vAlign w:val="center"/>
                </w:tcPr>
                <w:p w14:paraId="21640FD2">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HW0</w:t>
                  </w:r>
                  <w:r>
                    <w:rPr>
                      <w:rFonts w:hint="default" w:ascii="Times New Roman" w:hAnsi="Times New Roman" w:eastAsia="仿宋" w:cs="Times New Roman"/>
                      <w:color w:val="auto"/>
                      <w:szCs w:val="21"/>
                      <w:lang w:val="en-US" w:eastAsia="zh-CN"/>
                    </w:rPr>
                    <w:t>9</w:t>
                  </w:r>
                </w:p>
              </w:tc>
              <w:tc>
                <w:tcPr>
                  <w:tcW w:w="674" w:type="pct"/>
                  <w:vAlign w:val="center"/>
                </w:tcPr>
                <w:p w14:paraId="52E2B7E8">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eastAsia="zh-CN"/>
                    </w:rPr>
                    <w:t>900-</w:t>
                  </w:r>
                  <w:r>
                    <w:rPr>
                      <w:rFonts w:hint="default" w:ascii="Times New Roman" w:hAnsi="Times New Roman" w:eastAsia="仿宋" w:cs="Times New Roman"/>
                      <w:color w:val="auto"/>
                      <w:szCs w:val="21"/>
                      <w:lang w:val="en-US" w:eastAsia="zh-CN"/>
                    </w:rPr>
                    <w:t>00</w:t>
                  </w:r>
                  <w:r>
                    <w:rPr>
                      <w:rFonts w:hint="eastAsia" w:ascii="Times New Roman" w:hAnsi="Times New Roman" w:eastAsia="仿宋" w:cs="Times New Roman"/>
                      <w:color w:val="auto"/>
                      <w:szCs w:val="21"/>
                      <w:lang w:val="en-US" w:eastAsia="zh-CN"/>
                    </w:rPr>
                    <w:t>7</w:t>
                  </w:r>
                  <w:r>
                    <w:rPr>
                      <w:rFonts w:hint="default" w:ascii="Times New Roman" w:hAnsi="Times New Roman" w:eastAsia="仿宋" w:cs="Times New Roman"/>
                      <w:color w:val="auto"/>
                      <w:szCs w:val="21"/>
                      <w:lang w:eastAsia="zh-CN"/>
                    </w:rPr>
                    <w:t>-0</w:t>
                  </w:r>
                  <w:r>
                    <w:rPr>
                      <w:rFonts w:hint="default" w:ascii="Times New Roman" w:hAnsi="Times New Roman" w:eastAsia="仿宋" w:cs="Times New Roman"/>
                      <w:color w:val="auto"/>
                      <w:szCs w:val="21"/>
                      <w:lang w:val="en-US" w:eastAsia="zh-CN"/>
                    </w:rPr>
                    <w:t>9</w:t>
                  </w:r>
                </w:p>
              </w:tc>
              <w:tc>
                <w:tcPr>
                  <w:tcW w:w="830" w:type="dxa"/>
                  <w:vAlign w:val="center"/>
                </w:tcPr>
                <w:p w14:paraId="6E4A6451">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kern w:val="2"/>
                      <w:sz w:val="21"/>
                      <w:szCs w:val="21"/>
                      <w:lang w:val="en-US" w:eastAsia="zh-CN" w:bidi="ar-SA"/>
                    </w:rPr>
                    <w:t>3.6</w:t>
                  </w:r>
                </w:p>
              </w:tc>
            </w:tr>
            <w:tr w14:paraId="13AB5B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00" w:type="pct"/>
                  <w:vAlign w:val="center"/>
                </w:tcPr>
                <w:p w14:paraId="32ECBF04">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12</w:t>
                  </w:r>
                </w:p>
              </w:tc>
              <w:tc>
                <w:tcPr>
                  <w:tcW w:w="560" w:type="pct"/>
                  <w:vAlign w:val="center"/>
                </w:tcPr>
                <w:p w14:paraId="55A839E0">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废过滤介质</w:t>
                  </w:r>
                </w:p>
              </w:tc>
              <w:tc>
                <w:tcPr>
                  <w:tcW w:w="357" w:type="pct"/>
                  <w:vMerge w:val="continue"/>
                  <w:vAlign w:val="center"/>
                </w:tcPr>
                <w:p w14:paraId="423CC4E4">
                  <w:pPr>
                    <w:adjustRightInd w:val="0"/>
                    <w:snapToGrid w:val="0"/>
                    <w:jc w:val="center"/>
                    <w:rPr>
                      <w:rFonts w:hint="default" w:ascii="Times New Roman" w:hAnsi="Times New Roman" w:eastAsia="仿宋" w:cs="Times New Roman"/>
                      <w:color w:val="auto"/>
                      <w:szCs w:val="21"/>
                    </w:rPr>
                  </w:pPr>
                </w:p>
              </w:tc>
              <w:tc>
                <w:tcPr>
                  <w:tcW w:w="489" w:type="pct"/>
                  <w:vAlign w:val="center"/>
                </w:tcPr>
                <w:p w14:paraId="3580468C">
                  <w:pPr>
                    <w:pStyle w:val="5"/>
                    <w:adjustRightInd w:val="0"/>
                    <w:snapToGrid w:val="0"/>
                    <w:ind w:firstLine="0" w:firstLineChars="0"/>
                    <w:jc w:val="center"/>
                    <w:rPr>
                      <w:rFonts w:hint="default" w:ascii="Times New Roman" w:hAnsi="Times New Roman" w:eastAsia="仿宋" w:cs="Times New Roman"/>
                      <w:color w:val="auto"/>
                      <w:kern w:val="2"/>
                      <w:sz w:val="21"/>
                      <w:szCs w:val="20"/>
                      <w:lang w:val="en-US" w:eastAsia="zh-CN" w:bidi="ar-SA"/>
                    </w:rPr>
                  </w:pPr>
                  <w:r>
                    <w:rPr>
                      <w:rFonts w:hint="default" w:ascii="Times New Roman" w:hAnsi="Times New Roman" w:eastAsia="仿宋" w:cs="Times New Roman"/>
                      <w:b w:val="0"/>
                      <w:bCs/>
                      <w:color w:val="auto"/>
                      <w:kern w:val="2"/>
                      <w:sz w:val="21"/>
                      <w:szCs w:val="21"/>
                      <w:lang w:val="en-US" w:eastAsia="zh-CN" w:bidi="ar-SA"/>
                    </w:rPr>
                    <w:t>废气处理</w:t>
                  </w:r>
                </w:p>
              </w:tc>
              <w:tc>
                <w:tcPr>
                  <w:tcW w:w="319" w:type="pct"/>
                  <w:vAlign w:val="center"/>
                </w:tcPr>
                <w:p w14:paraId="751F6D22">
                  <w:pPr>
                    <w:adjustRightInd w:val="0"/>
                    <w:snapToGrid w:val="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b w:val="0"/>
                      <w:bCs/>
                      <w:color w:val="auto"/>
                      <w:sz w:val="21"/>
                      <w:szCs w:val="21"/>
                      <w:lang w:eastAsia="zh-CN"/>
                    </w:rPr>
                    <w:t>固</w:t>
                  </w:r>
                </w:p>
              </w:tc>
              <w:tc>
                <w:tcPr>
                  <w:tcW w:w="527" w:type="pct"/>
                  <w:vAlign w:val="center"/>
                </w:tcPr>
                <w:p w14:paraId="65DA5065">
                  <w:pPr>
                    <w:pStyle w:val="5"/>
                    <w:adjustRightInd w:val="0"/>
                    <w:snapToGrid w:val="0"/>
                    <w:ind w:firstLine="0" w:firstLineChars="0"/>
                    <w:jc w:val="center"/>
                    <w:rPr>
                      <w:rFonts w:hint="default" w:ascii="Times New Roman" w:hAnsi="Times New Roman" w:eastAsia="仿宋" w:cs="Times New Roman"/>
                      <w:color w:val="auto"/>
                      <w:kern w:val="2"/>
                      <w:sz w:val="21"/>
                      <w:szCs w:val="20"/>
                      <w:lang w:val="en-US" w:eastAsia="zh-CN" w:bidi="ar-SA"/>
                    </w:rPr>
                  </w:pPr>
                  <w:r>
                    <w:rPr>
                      <w:rFonts w:hint="default" w:ascii="Times New Roman" w:hAnsi="Times New Roman" w:eastAsia="仿宋" w:cs="Times New Roman"/>
                      <w:b w:val="0"/>
                      <w:bCs/>
                      <w:color w:val="auto"/>
                      <w:sz w:val="21"/>
                      <w:szCs w:val="21"/>
                      <w:lang w:val="en-US" w:eastAsia="zh-CN"/>
                    </w:rPr>
                    <w:t>有机物、纸</w:t>
                  </w:r>
                </w:p>
              </w:tc>
              <w:tc>
                <w:tcPr>
                  <w:tcW w:w="650" w:type="pct"/>
                  <w:vMerge w:val="continue"/>
                  <w:vAlign w:val="center"/>
                </w:tcPr>
                <w:p w14:paraId="7CF180DB">
                  <w:pPr>
                    <w:adjustRightInd w:val="0"/>
                    <w:snapToGrid w:val="0"/>
                    <w:jc w:val="center"/>
                    <w:rPr>
                      <w:rFonts w:hint="default" w:ascii="Times New Roman" w:hAnsi="Times New Roman" w:eastAsia="仿宋" w:cs="Times New Roman"/>
                      <w:color w:val="auto"/>
                      <w:szCs w:val="21"/>
                    </w:rPr>
                  </w:pPr>
                </w:p>
              </w:tc>
              <w:tc>
                <w:tcPr>
                  <w:tcW w:w="335" w:type="pct"/>
                  <w:vAlign w:val="center"/>
                </w:tcPr>
                <w:p w14:paraId="37762B04">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T/In</w:t>
                  </w:r>
                </w:p>
              </w:tc>
              <w:tc>
                <w:tcPr>
                  <w:tcW w:w="411" w:type="pct"/>
                  <w:vAlign w:val="center"/>
                </w:tcPr>
                <w:p w14:paraId="5F059563">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HW49</w:t>
                  </w:r>
                </w:p>
              </w:tc>
              <w:tc>
                <w:tcPr>
                  <w:tcW w:w="674" w:type="pct"/>
                  <w:vAlign w:val="center"/>
                </w:tcPr>
                <w:p w14:paraId="4989908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900-041-49</w:t>
                  </w:r>
                </w:p>
              </w:tc>
              <w:tc>
                <w:tcPr>
                  <w:tcW w:w="830" w:type="dxa"/>
                  <w:vAlign w:val="center"/>
                </w:tcPr>
                <w:p w14:paraId="31489AB7">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kern w:val="2"/>
                      <w:sz w:val="21"/>
                      <w:szCs w:val="21"/>
                      <w:lang w:val="en-US" w:eastAsia="zh-CN" w:bidi="ar-SA"/>
                    </w:rPr>
                    <w:t>0.6</w:t>
                  </w:r>
                  <w:r>
                    <w:rPr>
                      <w:rFonts w:hint="eastAsia" w:eastAsia="仿宋" w:cs="Times New Roman"/>
                      <w:color w:val="auto"/>
                      <w:kern w:val="2"/>
                      <w:sz w:val="21"/>
                      <w:szCs w:val="21"/>
                      <w:lang w:val="en-US" w:eastAsia="zh-CN" w:bidi="ar-SA"/>
                    </w:rPr>
                    <w:t>4</w:t>
                  </w:r>
                </w:p>
              </w:tc>
            </w:tr>
            <w:tr w14:paraId="0D914E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00" w:type="pct"/>
                  <w:vAlign w:val="center"/>
                </w:tcPr>
                <w:p w14:paraId="03605B7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13</w:t>
                  </w:r>
                </w:p>
              </w:tc>
              <w:tc>
                <w:tcPr>
                  <w:tcW w:w="560" w:type="pct"/>
                  <w:vAlign w:val="center"/>
                </w:tcPr>
                <w:p w14:paraId="73916873">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废活性炭</w:t>
                  </w:r>
                </w:p>
              </w:tc>
              <w:tc>
                <w:tcPr>
                  <w:tcW w:w="357" w:type="pct"/>
                  <w:vMerge w:val="continue"/>
                  <w:vAlign w:val="center"/>
                </w:tcPr>
                <w:p w14:paraId="47E49A1D">
                  <w:pPr>
                    <w:adjustRightInd w:val="0"/>
                    <w:snapToGrid w:val="0"/>
                    <w:jc w:val="center"/>
                    <w:rPr>
                      <w:rFonts w:hint="default" w:ascii="Times New Roman" w:hAnsi="Times New Roman" w:eastAsia="仿宋" w:cs="Times New Roman"/>
                      <w:color w:val="auto"/>
                      <w:szCs w:val="21"/>
                    </w:rPr>
                  </w:pPr>
                </w:p>
              </w:tc>
              <w:tc>
                <w:tcPr>
                  <w:tcW w:w="489" w:type="pct"/>
                  <w:vAlign w:val="center"/>
                </w:tcPr>
                <w:p w14:paraId="0473F4C7">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废气处理</w:t>
                  </w:r>
                </w:p>
              </w:tc>
              <w:tc>
                <w:tcPr>
                  <w:tcW w:w="319" w:type="pct"/>
                  <w:vAlign w:val="center"/>
                </w:tcPr>
                <w:p w14:paraId="1D9CA4AC">
                  <w:pPr>
                    <w:adjustRightInd w:val="0"/>
                    <w:snapToGrid w:val="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b w:val="0"/>
                      <w:bCs/>
                      <w:color w:val="auto"/>
                      <w:sz w:val="21"/>
                      <w:szCs w:val="21"/>
                    </w:rPr>
                    <w:t>固</w:t>
                  </w:r>
                </w:p>
              </w:tc>
              <w:tc>
                <w:tcPr>
                  <w:tcW w:w="527" w:type="pct"/>
                  <w:vAlign w:val="center"/>
                </w:tcPr>
                <w:p w14:paraId="2CC23131">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color w:val="auto"/>
                      <w:sz w:val="21"/>
                      <w:szCs w:val="21"/>
                    </w:rPr>
                    <w:t>活性炭</w:t>
                  </w:r>
                  <w:r>
                    <w:rPr>
                      <w:rFonts w:hint="default" w:ascii="Times New Roman" w:hAnsi="Times New Roman" w:eastAsia="仿宋" w:cs="Times New Roman"/>
                      <w:b w:val="0"/>
                      <w:bCs/>
                      <w:color w:val="auto"/>
                      <w:sz w:val="21"/>
                      <w:szCs w:val="21"/>
                      <w:lang w:eastAsia="zh-CN"/>
                    </w:rPr>
                    <w:t>、有机物</w:t>
                  </w:r>
                </w:p>
              </w:tc>
              <w:tc>
                <w:tcPr>
                  <w:tcW w:w="650" w:type="pct"/>
                  <w:vMerge w:val="continue"/>
                  <w:vAlign w:val="center"/>
                </w:tcPr>
                <w:p w14:paraId="0204A876">
                  <w:pPr>
                    <w:adjustRightInd w:val="0"/>
                    <w:snapToGrid w:val="0"/>
                    <w:jc w:val="center"/>
                    <w:rPr>
                      <w:rFonts w:hint="default" w:ascii="Times New Roman" w:hAnsi="Times New Roman" w:eastAsia="仿宋" w:cs="Times New Roman"/>
                      <w:color w:val="auto"/>
                      <w:szCs w:val="21"/>
                    </w:rPr>
                  </w:pPr>
                </w:p>
              </w:tc>
              <w:tc>
                <w:tcPr>
                  <w:tcW w:w="335" w:type="pct"/>
                  <w:vAlign w:val="center"/>
                </w:tcPr>
                <w:p w14:paraId="1FFFEE9C">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w:t>
                  </w:r>
                </w:p>
              </w:tc>
              <w:tc>
                <w:tcPr>
                  <w:tcW w:w="411" w:type="pct"/>
                  <w:vAlign w:val="center"/>
                </w:tcPr>
                <w:p w14:paraId="26372851">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HW49</w:t>
                  </w:r>
                </w:p>
              </w:tc>
              <w:tc>
                <w:tcPr>
                  <w:tcW w:w="674" w:type="pct"/>
                  <w:vAlign w:val="center"/>
                </w:tcPr>
                <w:p w14:paraId="445E96C1">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900-039-49</w:t>
                  </w:r>
                </w:p>
              </w:tc>
              <w:tc>
                <w:tcPr>
                  <w:tcW w:w="830" w:type="dxa"/>
                  <w:vAlign w:val="center"/>
                </w:tcPr>
                <w:p w14:paraId="7F5B8B8C">
                  <w:pPr>
                    <w:adjustRightInd w:val="0"/>
                    <w:snapToGrid w:val="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bCs/>
                      <w:color w:val="auto"/>
                      <w:sz w:val="21"/>
                      <w:szCs w:val="21"/>
                      <w:lang w:val="en-US" w:eastAsia="zh-CN"/>
                    </w:rPr>
                    <w:t>3.09</w:t>
                  </w:r>
                </w:p>
              </w:tc>
            </w:tr>
            <w:tr w14:paraId="3B8730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2" w:hRule="atLeast"/>
                <w:jc w:val="center"/>
              </w:trPr>
              <w:tc>
                <w:tcPr>
                  <w:tcW w:w="200" w:type="pct"/>
                  <w:vAlign w:val="center"/>
                </w:tcPr>
                <w:p w14:paraId="776DD2A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14</w:t>
                  </w:r>
                </w:p>
              </w:tc>
              <w:tc>
                <w:tcPr>
                  <w:tcW w:w="560" w:type="pct"/>
                  <w:vAlign w:val="center"/>
                </w:tcPr>
                <w:p w14:paraId="5D895956">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含油抹布手套</w:t>
                  </w:r>
                </w:p>
              </w:tc>
              <w:tc>
                <w:tcPr>
                  <w:tcW w:w="357" w:type="pct"/>
                  <w:vMerge w:val="continue"/>
                  <w:vAlign w:val="center"/>
                </w:tcPr>
                <w:p w14:paraId="3078E1B8">
                  <w:pPr>
                    <w:adjustRightInd w:val="0"/>
                    <w:snapToGrid w:val="0"/>
                    <w:jc w:val="center"/>
                    <w:rPr>
                      <w:rFonts w:hint="default" w:ascii="Times New Roman" w:hAnsi="Times New Roman" w:eastAsia="仿宋" w:cs="Times New Roman"/>
                      <w:color w:val="auto"/>
                      <w:szCs w:val="21"/>
                    </w:rPr>
                  </w:pPr>
                </w:p>
              </w:tc>
              <w:tc>
                <w:tcPr>
                  <w:tcW w:w="489" w:type="pct"/>
                  <w:vAlign w:val="center"/>
                </w:tcPr>
                <w:p w14:paraId="17D6A0A9">
                  <w:pPr>
                    <w:adjustRightInd w:val="0"/>
                    <w:snapToGrid w:val="0"/>
                    <w:jc w:val="center"/>
                    <w:rPr>
                      <w:rFonts w:hint="default" w:ascii="Times New Roman" w:hAnsi="Times New Roman" w:eastAsia="仿宋" w:cs="Times New Roman"/>
                      <w:color w:val="auto"/>
                      <w:kern w:val="2"/>
                      <w:sz w:val="21"/>
                      <w:szCs w:val="20"/>
                      <w:lang w:val="en-US" w:eastAsia="zh-CN" w:bidi="ar-SA"/>
                    </w:rPr>
                  </w:pPr>
                  <w:r>
                    <w:rPr>
                      <w:rFonts w:hint="default" w:ascii="Times New Roman" w:hAnsi="Times New Roman" w:eastAsia="仿宋" w:cs="Times New Roman"/>
                      <w:color w:val="auto"/>
                      <w:sz w:val="21"/>
                      <w:szCs w:val="21"/>
                    </w:rPr>
                    <w:t>全程</w:t>
                  </w:r>
                </w:p>
              </w:tc>
              <w:tc>
                <w:tcPr>
                  <w:tcW w:w="319" w:type="pct"/>
                  <w:vAlign w:val="center"/>
                </w:tcPr>
                <w:p w14:paraId="57E04007">
                  <w:pPr>
                    <w:adjustRightInd w:val="0"/>
                    <w:snapToGrid w:val="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sz w:val="21"/>
                      <w:szCs w:val="21"/>
                    </w:rPr>
                    <w:t>固</w:t>
                  </w:r>
                </w:p>
              </w:tc>
              <w:tc>
                <w:tcPr>
                  <w:tcW w:w="527" w:type="pct"/>
                  <w:vAlign w:val="center"/>
                </w:tcPr>
                <w:p w14:paraId="77148C80">
                  <w:pPr>
                    <w:pStyle w:val="5"/>
                    <w:adjustRightInd w:val="0"/>
                    <w:snapToGrid w:val="0"/>
                    <w:ind w:firstLine="0" w:firstLineChars="0"/>
                    <w:jc w:val="center"/>
                    <w:rPr>
                      <w:rFonts w:hint="default" w:ascii="Times New Roman" w:hAnsi="Times New Roman" w:eastAsia="仿宋" w:cs="Times New Roman"/>
                      <w:color w:val="auto"/>
                      <w:kern w:val="2"/>
                      <w:sz w:val="21"/>
                      <w:szCs w:val="20"/>
                      <w:lang w:val="en-US" w:eastAsia="zh-CN" w:bidi="ar-SA"/>
                    </w:rPr>
                  </w:pPr>
                  <w:r>
                    <w:rPr>
                      <w:rFonts w:hint="default" w:ascii="Times New Roman" w:hAnsi="Times New Roman" w:eastAsia="仿宋" w:cs="Times New Roman"/>
                      <w:color w:val="auto"/>
                      <w:sz w:val="21"/>
                      <w:szCs w:val="21"/>
                    </w:rPr>
                    <w:t>油、布</w:t>
                  </w:r>
                </w:p>
              </w:tc>
              <w:tc>
                <w:tcPr>
                  <w:tcW w:w="650" w:type="pct"/>
                  <w:vMerge w:val="continue"/>
                  <w:vAlign w:val="center"/>
                </w:tcPr>
                <w:p w14:paraId="6A5F0075">
                  <w:pPr>
                    <w:adjustRightInd w:val="0"/>
                    <w:snapToGrid w:val="0"/>
                    <w:jc w:val="center"/>
                    <w:rPr>
                      <w:rFonts w:hint="default" w:ascii="Times New Roman" w:hAnsi="Times New Roman" w:eastAsia="仿宋" w:cs="Times New Roman"/>
                      <w:color w:val="auto"/>
                      <w:szCs w:val="21"/>
                    </w:rPr>
                  </w:pPr>
                </w:p>
              </w:tc>
              <w:tc>
                <w:tcPr>
                  <w:tcW w:w="335" w:type="pct"/>
                  <w:vAlign w:val="center"/>
                </w:tcPr>
                <w:p w14:paraId="38A73802">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T/In</w:t>
                  </w:r>
                </w:p>
              </w:tc>
              <w:tc>
                <w:tcPr>
                  <w:tcW w:w="411" w:type="pct"/>
                  <w:vAlign w:val="center"/>
                </w:tcPr>
                <w:p w14:paraId="3C9AFB3D">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HW49</w:t>
                  </w:r>
                </w:p>
              </w:tc>
              <w:tc>
                <w:tcPr>
                  <w:tcW w:w="674" w:type="pct"/>
                  <w:vAlign w:val="center"/>
                </w:tcPr>
                <w:p w14:paraId="2BADB37A">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900-041-49</w:t>
                  </w:r>
                </w:p>
              </w:tc>
              <w:tc>
                <w:tcPr>
                  <w:tcW w:w="830" w:type="dxa"/>
                  <w:vAlign w:val="center"/>
                </w:tcPr>
                <w:p w14:paraId="645EBBDE">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kern w:val="2"/>
                      <w:sz w:val="21"/>
                      <w:szCs w:val="21"/>
                      <w:lang w:val="en-US" w:eastAsia="zh-CN" w:bidi="ar-SA"/>
                    </w:rPr>
                    <w:t>0.05</w:t>
                  </w:r>
                </w:p>
              </w:tc>
            </w:tr>
          </w:tbl>
          <w:p w14:paraId="4E8F86F8">
            <w:pPr>
              <w:adjustRightInd w:val="0"/>
              <w:snapToGrid w:val="0"/>
              <w:spacing w:line="500" w:lineRule="exact"/>
              <w:ind w:firstLine="482" w:firstLineChars="200"/>
              <w:rPr>
                <w:rFonts w:hint="default" w:ascii="Times New Roman" w:hAnsi="Times New Roman" w:eastAsia="仿宋" w:cs="Times New Roman"/>
                <w:b/>
                <w:bCs/>
                <w:color w:val="auto"/>
                <w:sz w:val="24"/>
                <w:lang w:val="en-US" w:eastAsia="zh-CN"/>
              </w:rPr>
            </w:pPr>
            <w:r>
              <w:rPr>
                <w:rFonts w:hint="default" w:ascii="Times New Roman" w:hAnsi="Times New Roman" w:eastAsia="仿宋" w:cs="Times New Roman"/>
                <w:b/>
                <w:bCs/>
                <w:color w:val="auto"/>
                <w:sz w:val="24"/>
                <w:lang w:val="en-US" w:eastAsia="zh-CN"/>
              </w:rPr>
              <w:t>2、处置利用情况</w:t>
            </w:r>
          </w:p>
          <w:p w14:paraId="4666B109">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本项目固废均得到合理有效处置，不直接排向外环境。</w:t>
            </w:r>
          </w:p>
          <w:p w14:paraId="3E37D50C">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按照《建设项目危险废物环境影响评价指南》（环保部公告【2017】43号）要求，本项目建成后全厂固废产生及处理处置措施汇总表见</w:t>
            </w:r>
            <w:r>
              <w:rPr>
                <w:rFonts w:hint="default" w:ascii="Times New Roman" w:hAnsi="Times New Roman" w:eastAsia="仿宋" w:cs="Times New Roman"/>
                <w:color w:val="auto"/>
                <w:sz w:val="24"/>
                <w:lang w:val="en-US" w:eastAsia="zh-CN"/>
              </w:rPr>
              <w:t>下</w:t>
            </w:r>
            <w:r>
              <w:rPr>
                <w:rFonts w:hint="default" w:ascii="Times New Roman" w:hAnsi="Times New Roman" w:eastAsia="仿宋" w:cs="Times New Roman"/>
                <w:color w:val="auto"/>
                <w:sz w:val="24"/>
              </w:rPr>
              <w:t>表。</w:t>
            </w:r>
          </w:p>
          <w:p w14:paraId="7A3D639D">
            <w:pPr>
              <w:pStyle w:val="59"/>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表4-22 本项目固废产生及处理处置措施汇总表</w:t>
            </w:r>
          </w:p>
          <w:tbl>
            <w:tblPr>
              <w:tblStyle w:val="27"/>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47"/>
              <w:gridCol w:w="1150"/>
              <w:gridCol w:w="692"/>
              <w:gridCol w:w="968"/>
              <w:gridCol w:w="668"/>
              <w:gridCol w:w="695"/>
              <w:gridCol w:w="1271"/>
              <w:gridCol w:w="1089"/>
              <w:gridCol w:w="805"/>
              <w:gridCol w:w="879"/>
            </w:tblGrid>
            <w:tr w14:paraId="30DEE4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09CD62EF">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序号</w:t>
                  </w:r>
                </w:p>
              </w:tc>
              <w:tc>
                <w:tcPr>
                  <w:tcW w:w="663" w:type="pct"/>
                  <w:vAlign w:val="center"/>
                </w:tcPr>
                <w:p w14:paraId="48CFB6F2">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固废名称</w:t>
                  </w:r>
                </w:p>
              </w:tc>
              <w:tc>
                <w:tcPr>
                  <w:tcW w:w="399" w:type="pct"/>
                  <w:tcBorders>
                    <w:bottom w:val="single" w:color="auto" w:sz="4" w:space="0"/>
                  </w:tcBorders>
                  <w:vAlign w:val="center"/>
                </w:tcPr>
                <w:p w14:paraId="22779FB6">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属性</w:t>
                  </w:r>
                </w:p>
              </w:tc>
              <w:tc>
                <w:tcPr>
                  <w:tcW w:w="558" w:type="pct"/>
                  <w:vAlign w:val="center"/>
                </w:tcPr>
                <w:p w14:paraId="6F7F0B0D">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产生来源</w:t>
                  </w:r>
                </w:p>
              </w:tc>
              <w:tc>
                <w:tcPr>
                  <w:tcW w:w="385" w:type="pct"/>
                  <w:vAlign w:val="center"/>
                </w:tcPr>
                <w:p w14:paraId="1750C1FC">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危废毒性</w:t>
                  </w:r>
                </w:p>
              </w:tc>
              <w:tc>
                <w:tcPr>
                  <w:tcW w:w="401" w:type="pct"/>
                  <w:vAlign w:val="center"/>
                </w:tcPr>
                <w:p w14:paraId="30734E37">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废物类别</w:t>
                  </w:r>
                </w:p>
              </w:tc>
              <w:tc>
                <w:tcPr>
                  <w:tcW w:w="733" w:type="pct"/>
                  <w:vAlign w:val="center"/>
                </w:tcPr>
                <w:p w14:paraId="141F8531">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废物代码</w:t>
                  </w:r>
                </w:p>
              </w:tc>
              <w:tc>
                <w:tcPr>
                  <w:tcW w:w="628" w:type="pct"/>
                  <w:vAlign w:val="center"/>
                </w:tcPr>
                <w:p w14:paraId="1E6DD4C8">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估算产生量（t/a）</w:t>
                  </w:r>
                </w:p>
              </w:tc>
              <w:tc>
                <w:tcPr>
                  <w:tcW w:w="464" w:type="pct"/>
                  <w:vAlign w:val="center"/>
                </w:tcPr>
                <w:p w14:paraId="3FAC8613">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利用处置方式</w:t>
                  </w:r>
                </w:p>
              </w:tc>
              <w:tc>
                <w:tcPr>
                  <w:tcW w:w="506" w:type="pct"/>
                  <w:vAlign w:val="center"/>
                </w:tcPr>
                <w:p w14:paraId="3C5FB889">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利用处置单位</w:t>
                  </w:r>
                </w:p>
              </w:tc>
            </w:tr>
            <w:tr w14:paraId="79629F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43257638">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663" w:type="pct"/>
                  <w:vAlign w:val="center"/>
                </w:tcPr>
                <w:p w14:paraId="5E186A36">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边角料</w:t>
                  </w:r>
                </w:p>
              </w:tc>
              <w:tc>
                <w:tcPr>
                  <w:tcW w:w="399" w:type="pct"/>
                  <w:vMerge w:val="restart"/>
                  <w:tcBorders>
                    <w:top w:val="single" w:color="auto" w:sz="4" w:space="0"/>
                  </w:tcBorders>
                  <w:vAlign w:val="center"/>
                </w:tcPr>
                <w:p w14:paraId="0D4FD51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一般固废</w:t>
                  </w:r>
                </w:p>
              </w:tc>
              <w:tc>
                <w:tcPr>
                  <w:tcW w:w="558" w:type="pct"/>
                  <w:vAlign w:val="center"/>
                </w:tcPr>
                <w:p w14:paraId="7EDEAD28">
                  <w:pPr>
                    <w:pStyle w:val="5"/>
                    <w:adjustRightInd w:val="0"/>
                    <w:snapToGrid w:val="0"/>
                    <w:ind w:firstLine="0" w:firstLineChars="0"/>
                    <w:jc w:val="center"/>
                    <w:rPr>
                      <w:rFonts w:hint="default" w:ascii="Times New Roman" w:hAnsi="Times New Roman" w:eastAsia="仿宋" w:cs="Times New Roman"/>
                      <w:color w:val="auto"/>
                      <w:kern w:val="2"/>
                      <w:sz w:val="21"/>
                      <w:szCs w:val="20"/>
                      <w:lang w:val="en-US" w:eastAsia="zh-CN" w:bidi="ar-SA"/>
                    </w:rPr>
                  </w:pPr>
                  <w:r>
                    <w:rPr>
                      <w:rFonts w:hint="default" w:ascii="Times New Roman" w:hAnsi="Times New Roman" w:eastAsia="仿宋" w:cs="Times New Roman"/>
                      <w:color w:val="auto"/>
                      <w:sz w:val="21"/>
                      <w:szCs w:val="21"/>
                      <w:lang w:val="en-US" w:eastAsia="zh-CN"/>
                    </w:rPr>
                    <w:t>机加工</w:t>
                  </w:r>
                </w:p>
              </w:tc>
              <w:tc>
                <w:tcPr>
                  <w:tcW w:w="385" w:type="pct"/>
                  <w:vAlign w:val="center"/>
                </w:tcPr>
                <w:p w14:paraId="0F5AA075">
                  <w:pPr>
                    <w:pStyle w:val="5"/>
                    <w:adjustRightInd w:val="0"/>
                    <w:snapToGrid w:val="0"/>
                    <w:ind w:firstLine="0" w:firstLineChars="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w:t>
                  </w:r>
                </w:p>
              </w:tc>
              <w:tc>
                <w:tcPr>
                  <w:tcW w:w="401" w:type="pct"/>
                  <w:vAlign w:val="center"/>
                </w:tcPr>
                <w:p w14:paraId="4E481256">
                  <w:pPr>
                    <w:pStyle w:val="101"/>
                    <w:bidi w:val="0"/>
                    <w:ind w:firstLine="0" w:firstLineChars="0"/>
                    <w:rPr>
                      <w:rFonts w:hint="default" w:ascii="Times New Roman" w:hAnsi="Times New Roman" w:eastAsia="仿宋" w:cs="Times New Roman"/>
                      <w:bCs/>
                      <w:color w:val="auto"/>
                      <w:szCs w:val="21"/>
                      <w:lang w:val="en-US" w:eastAsia="zh-CN"/>
                    </w:rPr>
                  </w:pPr>
                  <w:r>
                    <w:rPr>
                      <w:rFonts w:hint="eastAsia"/>
                      <w:color w:val="auto"/>
                      <w:highlight w:val="none"/>
                      <w:lang w:val="en-US" w:eastAsia="zh-CN"/>
                    </w:rPr>
                    <w:t>SW17</w:t>
                  </w:r>
                </w:p>
              </w:tc>
              <w:tc>
                <w:tcPr>
                  <w:tcW w:w="733" w:type="pct"/>
                  <w:vAlign w:val="center"/>
                </w:tcPr>
                <w:p w14:paraId="4D6232E9">
                  <w:pPr>
                    <w:pStyle w:val="101"/>
                    <w:bidi w:val="0"/>
                    <w:ind w:firstLine="0" w:firstLineChars="0"/>
                    <w:rPr>
                      <w:rFonts w:hint="default" w:ascii="Times New Roman" w:hAnsi="Times New Roman" w:eastAsia="仿宋" w:cs="Times New Roman"/>
                      <w:bCs/>
                      <w:color w:val="auto"/>
                      <w:szCs w:val="21"/>
                      <w:lang w:val="en-US" w:eastAsia="zh-CN"/>
                    </w:rPr>
                  </w:pPr>
                  <w:r>
                    <w:rPr>
                      <w:rFonts w:hint="default"/>
                      <w:color w:val="auto"/>
                      <w:highlight w:val="none"/>
                      <w:lang w:val="en-US" w:eastAsia="zh-CN"/>
                    </w:rPr>
                    <w:t>900-001-S17</w:t>
                  </w:r>
                </w:p>
              </w:tc>
              <w:tc>
                <w:tcPr>
                  <w:tcW w:w="628" w:type="pct"/>
                  <w:vAlign w:val="center"/>
                </w:tcPr>
                <w:p w14:paraId="3F8AB44B">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color w:val="auto"/>
                      <w:sz w:val="21"/>
                      <w:szCs w:val="21"/>
                      <w:lang w:val="en-US" w:eastAsia="zh-CN"/>
                    </w:rPr>
                    <w:t>80</w:t>
                  </w:r>
                </w:p>
              </w:tc>
              <w:tc>
                <w:tcPr>
                  <w:tcW w:w="464" w:type="pct"/>
                  <w:vMerge w:val="restart"/>
                  <w:vAlign w:val="center"/>
                </w:tcPr>
                <w:p w14:paraId="7E61EB0B">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Cs/>
                      <w:color w:val="auto"/>
                      <w:szCs w:val="21"/>
                    </w:rPr>
                    <w:t>外售综合利用</w:t>
                  </w:r>
                </w:p>
              </w:tc>
              <w:tc>
                <w:tcPr>
                  <w:tcW w:w="506" w:type="pct"/>
                  <w:vMerge w:val="restart"/>
                  <w:vAlign w:val="center"/>
                </w:tcPr>
                <w:p w14:paraId="707B28C8">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Cs/>
                      <w:color w:val="auto"/>
                      <w:szCs w:val="21"/>
                    </w:rPr>
                    <w:t>物资回收单位</w:t>
                  </w:r>
                </w:p>
              </w:tc>
            </w:tr>
            <w:tr w14:paraId="6F6CF3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492BD277">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2</w:t>
                  </w:r>
                </w:p>
              </w:tc>
              <w:tc>
                <w:tcPr>
                  <w:tcW w:w="663" w:type="pct"/>
                  <w:vAlign w:val="center"/>
                </w:tcPr>
                <w:p w14:paraId="45B06A6B">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焊渣</w:t>
                  </w:r>
                </w:p>
              </w:tc>
              <w:tc>
                <w:tcPr>
                  <w:tcW w:w="399" w:type="pct"/>
                  <w:vMerge w:val="continue"/>
                  <w:vAlign w:val="center"/>
                </w:tcPr>
                <w:p w14:paraId="7BD2BAE2">
                  <w:pPr>
                    <w:adjustRightInd w:val="0"/>
                    <w:snapToGrid w:val="0"/>
                    <w:jc w:val="center"/>
                    <w:rPr>
                      <w:rFonts w:hint="default" w:ascii="Times New Roman" w:hAnsi="Times New Roman" w:eastAsia="仿宋" w:cs="Times New Roman"/>
                      <w:color w:val="auto"/>
                      <w:szCs w:val="21"/>
                    </w:rPr>
                  </w:pPr>
                </w:p>
              </w:tc>
              <w:tc>
                <w:tcPr>
                  <w:tcW w:w="558" w:type="pct"/>
                  <w:vAlign w:val="center"/>
                </w:tcPr>
                <w:p w14:paraId="46083CAC">
                  <w:pPr>
                    <w:pStyle w:val="5"/>
                    <w:adjustRightInd w:val="0"/>
                    <w:snapToGrid w:val="0"/>
                    <w:ind w:firstLine="0" w:firstLineChars="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sz w:val="21"/>
                      <w:szCs w:val="21"/>
                      <w:lang w:val="en-US" w:eastAsia="zh-CN"/>
                    </w:rPr>
                    <w:t>焊接</w:t>
                  </w:r>
                </w:p>
              </w:tc>
              <w:tc>
                <w:tcPr>
                  <w:tcW w:w="385" w:type="pct"/>
                  <w:vAlign w:val="center"/>
                </w:tcPr>
                <w:p w14:paraId="6E17F71B">
                  <w:pPr>
                    <w:pStyle w:val="5"/>
                    <w:adjustRightInd w:val="0"/>
                    <w:snapToGrid w:val="0"/>
                    <w:ind w:firstLine="0" w:firstLineChars="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w:t>
                  </w:r>
                </w:p>
              </w:tc>
              <w:tc>
                <w:tcPr>
                  <w:tcW w:w="401" w:type="pct"/>
                  <w:vAlign w:val="center"/>
                </w:tcPr>
                <w:p w14:paraId="562C90C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 w:val="21"/>
                      <w:szCs w:val="21"/>
                      <w:lang w:val="en-US" w:eastAsia="zh-CN"/>
                    </w:rPr>
                    <w:t>SW59</w:t>
                  </w:r>
                </w:p>
              </w:tc>
              <w:tc>
                <w:tcPr>
                  <w:tcW w:w="733" w:type="pct"/>
                  <w:vAlign w:val="center"/>
                </w:tcPr>
                <w:p w14:paraId="173153D4">
                  <w:pPr>
                    <w:pStyle w:val="101"/>
                    <w:bidi w:val="0"/>
                    <w:ind w:firstLine="0" w:firstLineChars="0"/>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 w:val="21"/>
                      <w:szCs w:val="21"/>
                      <w:lang w:val="en-US" w:eastAsia="zh-CN"/>
                    </w:rPr>
                    <w:t>900-099-S59</w:t>
                  </w:r>
                </w:p>
              </w:tc>
              <w:tc>
                <w:tcPr>
                  <w:tcW w:w="628" w:type="pct"/>
                  <w:vAlign w:val="center"/>
                </w:tcPr>
                <w:p w14:paraId="384A9981">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color w:val="auto"/>
                      <w:sz w:val="21"/>
                      <w:szCs w:val="21"/>
                      <w:lang w:val="en-US" w:eastAsia="zh-CN"/>
                    </w:rPr>
                    <w:t>0.8</w:t>
                  </w:r>
                </w:p>
              </w:tc>
              <w:tc>
                <w:tcPr>
                  <w:tcW w:w="464" w:type="pct"/>
                  <w:vMerge w:val="continue"/>
                  <w:vAlign w:val="center"/>
                </w:tcPr>
                <w:p w14:paraId="19BEE79E">
                  <w:pPr>
                    <w:adjustRightInd w:val="0"/>
                    <w:snapToGrid w:val="0"/>
                    <w:jc w:val="center"/>
                    <w:rPr>
                      <w:rFonts w:hint="default" w:ascii="Times New Roman" w:hAnsi="Times New Roman" w:eastAsia="仿宋" w:cs="Times New Roman"/>
                      <w:color w:val="auto"/>
                      <w:szCs w:val="21"/>
                    </w:rPr>
                  </w:pPr>
                </w:p>
              </w:tc>
              <w:tc>
                <w:tcPr>
                  <w:tcW w:w="506" w:type="pct"/>
                  <w:vMerge w:val="continue"/>
                  <w:vAlign w:val="center"/>
                </w:tcPr>
                <w:p w14:paraId="338A6776">
                  <w:pPr>
                    <w:adjustRightInd w:val="0"/>
                    <w:snapToGrid w:val="0"/>
                    <w:jc w:val="center"/>
                    <w:rPr>
                      <w:rFonts w:hint="default" w:ascii="Times New Roman" w:hAnsi="Times New Roman" w:eastAsia="仿宋" w:cs="Times New Roman"/>
                      <w:color w:val="auto"/>
                      <w:szCs w:val="21"/>
                    </w:rPr>
                  </w:pPr>
                </w:p>
              </w:tc>
            </w:tr>
            <w:tr w14:paraId="214755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71A463B4">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663" w:type="pct"/>
                  <w:vAlign w:val="center"/>
                </w:tcPr>
                <w:p w14:paraId="72582F47">
                  <w:pPr>
                    <w:pStyle w:val="5"/>
                    <w:adjustRightInd w:val="0"/>
                    <w:snapToGrid w:val="0"/>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highlight w:val="none"/>
                      <w:lang w:val="en-US" w:eastAsia="zh-CN"/>
                    </w:rPr>
                    <w:t>废</w:t>
                  </w:r>
                  <w:r>
                    <w:rPr>
                      <w:rFonts w:hint="eastAsia" w:ascii="Times New Roman" w:hAnsi="Times New Roman" w:eastAsia="仿宋" w:cs="Times New Roman"/>
                      <w:color w:val="auto"/>
                      <w:sz w:val="21"/>
                      <w:szCs w:val="21"/>
                      <w:highlight w:val="none"/>
                      <w:lang w:val="en-US" w:eastAsia="zh-CN"/>
                    </w:rPr>
                    <w:t>玻璃</w:t>
                  </w:r>
                  <w:r>
                    <w:rPr>
                      <w:rFonts w:hint="default" w:ascii="Times New Roman" w:hAnsi="Times New Roman" w:eastAsia="仿宋" w:cs="Times New Roman"/>
                      <w:color w:val="auto"/>
                      <w:sz w:val="21"/>
                      <w:szCs w:val="21"/>
                      <w:highlight w:val="none"/>
                      <w:lang w:val="en-US" w:eastAsia="zh-CN"/>
                    </w:rPr>
                    <w:t>砂</w:t>
                  </w:r>
                </w:p>
              </w:tc>
              <w:tc>
                <w:tcPr>
                  <w:tcW w:w="399" w:type="pct"/>
                  <w:vMerge w:val="continue"/>
                  <w:vAlign w:val="center"/>
                </w:tcPr>
                <w:p w14:paraId="20DB9AB9">
                  <w:pPr>
                    <w:adjustRightInd w:val="0"/>
                    <w:snapToGrid w:val="0"/>
                    <w:jc w:val="center"/>
                    <w:rPr>
                      <w:rFonts w:hint="default" w:ascii="Times New Roman" w:hAnsi="Times New Roman" w:eastAsia="仿宋" w:cs="Times New Roman"/>
                      <w:color w:val="auto"/>
                      <w:szCs w:val="21"/>
                    </w:rPr>
                  </w:pPr>
                </w:p>
              </w:tc>
              <w:tc>
                <w:tcPr>
                  <w:tcW w:w="558" w:type="pct"/>
                  <w:vAlign w:val="center"/>
                </w:tcPr>
                <w:p w14:paraId="69016A14">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val="0"/>
                      <w:bCs/>
                      <w:color w:val="auto"/>
                      <w:kern w:val="2"/>
                      <w:sz w:val="21"/>
                      <w:szCs w:val="21"/>
                      <w:lang w:val="en-US" w:eastAsia="zh-CN" w:bidi="ar-SA"/>
                    </w:rPr>
                    <w:t>喷砂</w:t>
                  </w:r>
                </w:p>
              </w:tc>
              <w:tc>
                <w:tcPr>
                  <w:tcW w:w="385" w:type="pct"/>
                  <w:vAlign w:val="center"/>
                </w:tcPr>
                <w:p w14:paraId="1FEB0279">
                  <w:pPr>
                    <w:pStyle w:val="5"/>
                    <w:adjustRightInd w:val="0"/>
                    <w:snapToGrid w:val="0"/>
                    <w:ind w:firstLine="0" w:firstLineChars="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w:t>
                  </w:r>
                </w:p>
              </w:tc>
              <w:tc>
                <w:tcPr>
                  <w:tcW w:w="401" w:type="pct"/>
                  <w:vAlign w:val="center"/>
                </w:tcPr>
                <w:p w14:paraId="6E7F28D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 w:val="21"/>
                      <w:szCs w:val="21"/>
                      <w:lang w:val="en-US" w:eastAsia="zh-CN"/>
                    </w:rPr>
                    <w:t>SW59</w:t>
                  </w:r>
                </w:p>
              </w:tc>
              <w:tc>
                <w:tcPr>
                  <w:tcW w:w="733" w:type="pct"/>
                  <w:vAlign w:val="center"/>
                </w:tcPr>
                <w:p w14:paraId="58B0CF75">
                  <w:pPr>
                    <w:pStyle w:val="101"/>
                    <w:bidi w:val="0"/>
                    <w:ind w:firstLine="0" w:firstLineChars="0"/>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 w:val="21"/>
                      <w:szCs w:val="21"/>
                      <w:lang w:val="en-US" w:eastAsia="zh-CN"/>
                    </w:rPr>
                    <w:t>900-099-S59</w:t>
                  </w:r>
                </w:p>
              </w:tc>
              <w:tc>
                <w:tcPr>
                  <w:tcW w:w="628" w:type="pct"/>
                  <w:vAlign w:val="center"/>
                </w:tcPr>
                <w:p w14:paraId="1E9D05D2">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22.8</w:t>
                  </w:r>
                </w:p>
              </w:tc>
              <w:tc>
                <w:tcPr>
                  <w:tcW w:w="464" w:type="pct"/>
                  <w:vMerge w:val="continue"/>
                  <w:vAlign w:val="center"/>
                </w:tcPr>
                <w:p w14:paraId="6C0BD5CE">
                  <w:pPr>
                    <w:adjustRightInd w:val="0"/>
                    <w:snapToGrid w:val="0"/>
                    <w:jc w:val="center"/>
                    <w:rPr>
                      <w:rFonts w:hint="default" w:ascii="Times New Roman" w:hAnsi="Times New Roman" w:eastAsia="仿宋" w:cs="Times New Roman"/>
                      <w:color w:val="auto"/>
                      <w:szCs w:val="21"/>
                    </w:rPr>
                  </w:pPr>
                </w:p>
              </w:tc>
              <w:tc>
                <w:tcPr>
                  <w:tcW w:w="506" w:type="pct"/>
                  <w:vMerge w:val="continue"/>
                  <w:vAlign w:val="center"/>
                </w:tcPr>
                <w:p w14:paraId="03EF087C">
                  <w:pPr>
                    <w:adjustRightInd w:val="0"/>
                    <w:snapToGrid w:val="0"/>
                    <w:jc w:val="center"/>
                    <w:rPr>
                      <w:rFonts w:hint="default" w:ascii="Times New Roman" w:hAnsi="Times New Roman" w:eastAsia="仿宋" w:cs="Times New Roman"/>
                      <w:color w:val="auto"/>
                      <w:szCs w:val="21"/>
                    </w:rPr>
                  </w:pPr>
                </w:p>
              </w:tc>
            </w:tr>
            <w:tr w14:paraId="10DB59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24A6174D">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4</w:t>
                  </w:r>
                </w:p>
              </w:tc>
              <w:tc>
                <w:tcPr>
                  <w:tcW w:w="663" w:type="pct"/>
                  <w:vAlign w:val="center"/>
                </w:tcPr>
                <w:p w14:paraId="555838C4">
                  <w:pPr>
                    <w:pStyle w:val="5"/>
                    <w:adjustRightInd w:val="0"/>
                    <w:snapToGrid w:val="0"/>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b w:val="0"/>
                      <w:bCs w:val="0"/>
                      <w:color w:val="auto"/>
                      <w:kern w:val="2"/>
                      <w:sz w:val="21"/>
                      <w:szCs w:val="21"/>
                      <w:highlight w:val="none"/>
                      <w:lang w:val="en-US" w:eastAsia="zh-CN" w:bidi="ar-SA"/>
                    </w:rPr>
                    <w:t>废布袋</w:t>
                  </w:r>
                </w:p>
              </w:tc>
              <w:tc>
                <w:tcPr>
                  <w:tcW w:w="399" w:type="pct"/>
                  <w:vMerge w:val="continue"/>
                  <w:vAlign w:val="center"/>
                </w:tcPr>
                <w:p w14:paraId="10440895">
                  <w:pPr>
                    <w:adjustRightInd w:val="0"/>
                    <w:snapToGrid w:val="0"/>
                    <w:jc w:val="center"/>
                    <w:rPr>
                      <w:rFonts w:hint="default" w:ascii="Times New Roman" w:hAnsi="Times New Roman" w:eastAsia="仿宋" w:cs="Times New Roman"/>
                      <w:color w:val="auto"/>
                      <w:szCs w:val="21"/>
                    </w:rPr>
                  </w:pPr>
                </w:p>
              </w:tc>
              <w:tc>
                <w:tcPr>
                  <w:tcW w:w="558" w:type="pct"/>
                  <w:vAlign w:val="center"/>
                </w:tcPr>
                <w:p w14:paraId="456CF6AD">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val="0"/>
                      <w:bCs/>
                      <w:color w:val="auto"/>
                      <w:kern w:val="2"/>
                      <w:sz w:val="21"/>
                      <w:szCs w:val="21"/>
                      <w:lang w:val="en-US" w:eastAsia="zh-CN" w:bidi="ar-SA"/>
                    </w:rPr>
                    <w:t>除尘</w:t>
                  </w:r>
                </w:p>
              </w:tc>
              <w:tc>
                <w:tcPr>
                  <w:tcW w:w="385" w:type="pct"/>
                  <w:vAlign w:val="center"/>
                </w:tcPr>
                <w:p w14:paraId="4F29C3DA">
                  <w:pPr>
                    <w:pStyle w:val="5"/>
                    <w:adjustRightInd w:val="0"/>
                    <w:snapToGrid w:val="0"/>
                    <w:ind w:firstLine="0" w:firstLineChars="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w:t>
                  </w:r>
                </w:p>
              </w:tc>
              <w:tc>
                <w:tcPr>
                  <w:tcW w:w="401" w:type="pct"/>
                  <w:vAlign w:val="center"/>
                </w:tcPr>
                <w:p w14:paraId="3B6BB46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Cs/>
                      <w:color w:val="auto"/>
                      <w:szCs w:val="21"/>
                      <w:lang w:val="en-US" w:eastAsia="zh-CN"/>
                    </w:rPr>
                  </w:pPr>
                  <w:r>
                    <w:rPr>
                      <w:rFonts w:hint="eastAsia"/>
                      <w:color w:val="auto"/>
                      <w:highlight w:val="none"/>
                      <w:lang w:val="en-US" w:eastAsia="zh-CN"/>
                    </w:rPr>
                    <w:t>SW17</w:t>
                  </w:r>
                </w:p>
              </w:tc>
              <w:tc>
                <w:tcPr>
                  <w:tcW w:w="733" w:type="pct"/>
                  <w:vAlign w:val="center"/>
                </w:tcPr>
                <w:p w14:paraId="3EF7909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Cs/>
                      <w:color w:val="auto"/>
                      <w:szCs w:val="21"/>
                      <w:lang w:val="en-US" w:eastAsia="zh-CN"/>
                    </w:rPr>
                  </w:pPr>
                  <w:r>
                    <w:rPr>
                      <w:rFonts w:hint="default" w:ascii="Times New Roman" w:hAnsi="Times New Roman" w:eastAsia="宋体" w:cs="Times New Roman"/>
                      <w:color w:val="auto"/>
                      <w:spacing w:val="2"/>
                      <w:kern w:val="2"/>
                      <w:sz w:val="21"/>
                      <w:szCs w:val="21"/>
                      <w:highlight w:val="none"/>
                      <w:lang w:val="en-US" w:eastAsia="zh-CN" w:bidi="ar-SA"/>
                    </w:rPr>
                    <w:t>900-011-S17</w:t>
                  </w:r>
                </w:p>
              </w:tc>
              <w:tc>
                <w:tcPr>
                  <w:tcW w:w="628" w:type="pct"/>
                  <w:vAlign w:val="center"/>
                </w:tcPr>
                <w:p w14:paraId="4008A427">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0.5</w:t>
                  </w:r>
                </w:p>
              </w:tc>
              <w:tc>
                <w:tcPr>
                  <w:tcW w:w="464" w:type="pct"/>
                  <w:vMerge w:val="continue"/>
                  <w:vAlign w:val="center"/>
                </w:tcPr>
                <w:p w14:paraId="71FDBE88">
                  <w:pPr>
                    <w:adjustRightInd w:val="0"/>
                    <w:snapToGrid w:val="0"/>
                    <w:jc w:val="center"/>
                    <w:rPr>
                      <w:rFonts w:hint="default" w:ascii="Times New Roman" w:hAnsi="Times New Roman" w:eastAsia="仿宋" w:cs="Times New Roman"/>
                      <w:color w:val="auto"/>
                      <w:szCs w:val="21"/>
                    </w:rPr>
                  </w:pPr>
                </w:p>
              </w:tc>
              <w:tc>
                <w:tcPr>
                  <w:tcW w:w="506" w:type="pct"/>
                  <w:vMerge w:val="continue"/>
                  <w:vAlign w:val="center"/>
                </w:tcPr>
                <w:p w14:paraId="41D7AF14">
                  <w:pPr>
                    <w:adjustRightInd w:val="0"/>
                    <w:snapToGrid w:val="0"/>
                    <w:jc w:val="center"/>
                    <w:rPr>
                      <w:rFonts w:hint="default" w:ascii="Times New Roman" w:hAnsi="Times New Roman" w:eastAsia="仿宋" w:cs="Times New Roman"/>
                      <w:color w:val="auto"/>
                      <w:szCs w:val="21"/>
                    </w:rPr>
                  </w:pPr>
                </w:p>
              </w:tc>
            </w:tr>
            <w:tr w14:paraId="0A9563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5E59DC8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5</w:t>
                  </w:r>
                </w:p>
              </w:tc>
              <w:tc>
                <w:tcPr>
                  <w:tcW w:w="663" w:type="pct"/>
                  <w:vAlign w:val="center"/>
                </w:tcPr>
                <w:p w14:paraId="7749B122">
                  <w:pPr>
                    <w:pStyle w:val="5"/>
                    <w:adjustRightInd w:val="0"/>
                    <w:snapToGrid w:val="0"/>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b w:val="0"/>
                      <w:bCs w:val="0"/>
                      <w:color w:val="auto"/>
                      <w:kern w:val="2"/>
                      <w:sz w:val="21"/>
                      <w:szCs w:val="21"/>
                      <w:highlight w:val="none"/>
                      <w:lang w:val="en-US" w:eastAsia="zh-CN" w:bidi="ar-SA"/>
                    </w:rPr>
                    <w:t>收尘</w:t>
                  </w:r>
                </w:p>
              </w:tc>
              <w:tc>
                <w:tcPr>
                  <w:tcW w:w="399" w:type="pct"/>
                  <w:vMerge w:val="continue"/>
                  <w:vAlign w:val="center"/>
                </w:tcPr>
                <w:p w14:paraId="5096EBE9">
                  <w:pPr>
                    <w:adjustRightInd w:val="0"/>
                    <w:snapToGrid w:val="0"/>
                    <w:jc w:val="center"/>
                    <w:rPr>
                      <w:rFonts w:hint="default" w:ascii="Times New Roman" w:hAnsi="Times New Roman" w:eastAsia="仿宋" w:cs="Times New Roman"/>
                      <w:color w:val="auto"/>
                      <w:szCs w:val="21"/>
                    </w:rPr>
                  </w:pPr>
                </w:p>
              </w:tc>
              <w:tc>
                <w:tcPr>
                  <w:tcW w:w="558" w:type="pct"/>
                  <w:vAlign w:val="center"/>
                </w:tcPr>
                <w:p w14:paraId="70FFBFF8">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val="0"/>
                      <w:bCs/>
                      <w:color w:val="auto"/>
                      <w:kern w:val="2"/>
                      <w:sz w:val="21"/>
                      <w:szCs w:val="21"/>
                      <w:lang w:val="en-US" w:eastAsia="zh-CN" w:bidi="ar-SA"/>
                    </w:rPr>
                    <w:t>废气处理</w:t>
                  </w:r>
                </w:p>
              </w:tc>
              <w:tc>
                <w:tcPr>
                  <w:tcW w:w="385" w:type="pct"/>
                  <w:vAlign w:val="center"/>
                </w:tcPr>
                <w:p w14:paraId="5879CE2D">
                  <w:pPr>
                    <w:pStyle w:val="5"/>
                    <w:adjustRightInd w:val="0"/>
                    <w:snapToGrid w:val="0"/>
                    <w:ind w:firstLine="0" w:firstLineChars="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w:t>
                  </w:r>
                </w:p>
              </w:tc>
              <w:tc>
                <w:tcPr>
                  <w:tcW w:w="401" w:type="pct"/>
                  <w:vAlign w:val="center"/>
                </w:tcPr>
                <w:p w14:paraId="6D13AB3D">
                  <w:pPr>
                    <w:pStyle w:val="101"/>
                    <w:bidi w:val="0"/>
                    <w:ind w:firstLine="0" w:firstLineChars="0"/>
                    <w:rPr>
                      <w:rFonts w:hint="default" w:ascii="Times New Roman" w:hAnsi="Times New Roman" w:eastAsia="仿宋" w:cs="Times New Roman"/>
                      <w:bCs/>
                      <w:color w:val="auto"/>
                      <w:szCs w:val="21"/>
                      <w:lang w:val="en-US" w:eastAsia="zh-CN"/>
                    </w:rPr>
                  </w:pPr>
                  <w:r>
                    <w:rPr>
                      <w:rFonts w:hint="eastAsia"/>
                      <w:color w:val="auto"/>
                      <w:highlight w:val="none"/>
                      <w:lang w:val="en-US" w:eastAsia="zh-CN"/>
                    </w:rPr>
                    <w:t>SW17</w:t>
                  </w:r>
                </w:p>
              </w:tc>
              <w:tc>
                <w:tcPr>
                  <w:tcW w:w="733" w:type="pct"/>
                  <w:vAlign w:val="center"/>
                </w:tcPr>
                <w:p w14:paraId="3C415B5F">
                  <w:pPr>
                    <w:pStyle w:val="101"/>
                    <w:bidi w:val="0"/>
                    <w:ind w:firstLine="0" w:firstLineChars="0"/>
                    <w:rPr>
                      <w:rFonts w:hint="default" w:ascii="Times New Roman" w:hAnsi="Times New Roman" w:eastAsia="仿宋" w:cs="Times New Roman"/>
                      <w:bCs/>
                      <w:color w:val="auto"/>
                      <w:szCs w:val="21"/>
                      <w:lang w:val="en-US" w:eastAsia="zh-CN"/>
                    </w:rPr>
                  </w:pPr>
                  <w:r>
                    <w:rPr>
                      <w:rFonts w:hint="default"/>
                      <w:color w:val="auto"/>
                      <w:highlight w:val="none"/>
                      <w:lang w:val="en-US" w:eastAsia="zh-CN"/>
                    </w:rPr>
                    <w:t>900-001-S17</w:t>
                  </w:r>
                </w:p>
              </w:tc>
              <w:tc>
                <w:tcPr>
                  <w:tcW w:w="628" w:type="pct"/>
                  <w:vAlign w:val="center"/>
                </w:tcPr>
                <w:p w14:paraId="25591C5B">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13.742</w:t>
                  </w:r>
                </w:p>
              </w:tc>
              <w:tc>
                <w:tcPr>
                  <w:tcW w:w="464" w:type="pct"/>
                  <w:vMerge w:val="continue"/>
                  <w:vAlign w:val="center"/>
                </w:tcPr>
                <w:p w14:paraId="3ABFD559">
                  <w:pPr>
                    <w:adjustRightInd w:val="0"/>
                    <w:snapToGrid w:val="0"/>
                    <w:jc w:val="center"/>
                    <w:rPr>
                      <w:rFonts w:hint="default" w:ascii="Times New Roman" w:hAnsi="Times New Roman" w:eastAsia="仿宋" w:cs="Times New Roman"/>
                      <w:color w:val="auto"/>
                      <w:szCs w:val="21"/>
                    </w:rPr>
                  </w:pPr>
                </w:p>
              </w:tc>
              <w:tc>
                <w:tcPr>
                  <w:tcW w:w="506" w:type="pct"/>
                  <w:vMerge w:val="continue"/>
                  <w:vAlign w:val="center"/>
                </w:tcPr>
                <w:p w14:paraId="7CF79452">
                  <w:pPr>
                    <w:adjustRightInd w:val="0"/>
                    <w:snapToGrid w:val="0"/>
                    <w:jc w:val="center"/>
                    <w:rPr>
                      <w:rFonts w:hint="default" w:ascii="Times New Roman" w:hAnsi="Times New Roman" w:eastAsia="仿宋" w:cs="Times New Roman"/>
                      <w:color w:val="auto"/>
                      <w:szCs w:val="21"/>
                    </w:rPr>
                  </w:pPr>
                </w:p>
              </w:tc>
            </w:tr>
            <w:tr w14:paraId="2C935F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4926B18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6</w:t>
                  </w:r>
                </w:p>
              </w:tc>
              <w:tc>
                <w:tcPr>
                  <w:tcW w:w="663" w:type="pct"/>
                  <w:vAlign w:val="center"/>
                </w:tcPr>
                <w:p w14:paraId="1D35FFBE">
                  <w:pPr>
                    <w:pStyle w:val="5"/>
                    <w:adjustRightInd w:val="0"/>
                    <w:snapToGrid w:val="0"/>
                    <w:ind w:firstLine="0" w:firstLineChars="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val="0"/>
                      <w:color w:val="auto"/>
                      <w:kern w:val="2"/>
                      <w:sz w:val="21"/>
                      <w:szCs w:val="21"/>
                      <w:highlight w:val="none"/>
                      <w:lang w:val="en-US" w:eastAsia="zh-CN" w:bidi="ar-SA"/>
                    </w:rPr>
                    <w:t>废</w:t>
                  </w:r>
                  <w:r>
                    <w:rPr>
                      <w:rFonts w:hint="eastAsia" w:ascii="Times New Roman" w:hAnsi="Times New Roman" w:eastAsia="仿宋" w:cs="Times New Roman"/>
                      <w:b w:val="0"/>
                      <w:bCs w:val="0"/>
                      <w:color w:val="auto"/>
                      <w:kern w:val="2"/>
                      <w:sz w:val="21"/>
                      <w:szCs w:val="21"/>
                      <w:highlight w:val="none"/>
                      <w:lang w:val="en-US" w:eastAsia="zh-CN" w:bidi="ar-SA"/>
                    </w:rPr>
                    <w:t>切削液</w:t>
                  </w:r>
                </w:p>
              </w:tc>
              <w:tc>
                <w:tcPr>
                  <w:tcW w:w="399" w:type="pct"/>
                  <w:vMerge w:val="restart"/>
                  <w:vAlign w:val="center"/>
                </w:tcPr>
                <w:p w14:paraId="0AC800C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危险固废</w:t>
                  </w:r>
                </w:p>
              </w:tc>
              <w:tc>
                <w:tcPr>
                  <w:tcW w:w="558" w:type="pct"/>
                  <w:vAlign w:val="center"/>
                </w:tcPr>
                <w:p w14:paraId="65573573">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机加工</w:t>
                  </w:r>
                </w:p>
              </w:tc>
              <w:tc>
                <w:tcPr>
                  <w:tcW w:w="385" w:type="pct"/>
                  <w:vAlign w:val="center"/>
                </w:tcPr>
                <w:p w14:paraId="78C5D588">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w:t>
                  </w:r>
                </w:p>
              </w:tc>
              <w:tc>
                <w:tcPr>
                  <w:tcW w:w="401" w:type="pct"/>
                  <w:vAlign w:val="center"/>
                </w:tcPr>
                <w:p w14:paraId="0749F2C6">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HW0</w:t>
                  </w:r>
                  <w:r>
                    <w:rPr>
                      <w:rFonts w:hint="default" w:ascii="Times New Roman" w:hAnsi="Times New Roman" w:eastAsia="仿宋" w:cs="Times New Roman"/>
                      <w:color w:val="auto"/>
                      <w:szCs w:val="21"/>
                      <w:lang w:val="en-US" w:eastAsia="zh-CN"/>
                    </w:rPr>
                    <w:t>9</w:t>
                  </w:r>
                </w:p>
              </w:tc>
              <w:tc>
                <w:tcPr>
                  <w:tcW w:w="733" w:type="pct"/>
                  <w:vAlign w:val="center"/>
                </w:tcPr>
                <w:p w14:paraId="0D27A978">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900-</w:t>
                  </w:r>
                  <w:r>
                    <w:rPr>
                      <w:rFonts w:hint="default" w:ascii="Times New Roman" w:hAnsi="Times New Roman" w:eastAsia="仿宋" w:cs="Times New Roman"/>
                      <w:color w:val="auto"/>
                      <w:szCs w:val="21"/>
                      <w:lang w:val="en-US" w:eastAsia="zh-CN"/>
                    </w:rPr>
                    <w:t>006</w:t>
                  </w:r>
                  <w:r>
                    <w:rPr>
                      <w:rFonts w:hint="default" w:ascii="Times New Roman" w:hAnsi="Times New Roman" w:eastAsia="仿宋" w:cs="Times New Roman"/>
                      <w:color w:val="auto"/>
                      <w:szCs w:val="21"/>
                      <w:lang w:eastAsia="zh-CN"/>
                    </w:rPr>
                    <w:t>-0</w:t>
                  </w:r>
                  <w:r>
                    <w:rPr>
                      <w:rFonts w:hint="default" w:ascii="Times New Roman" w:hAnsi="Times New Roman" w:eastAsia="仿宋" w:cs="Times New Roman"/>
                      <w:color w:val="auto"/>
                      <w:szCs w:val="21"/>
                      <w:lang w:val="en-US" w:eastAsia="zh-CN"/>
                    </w:rPr>
                    <w:t>9</w:t>
                  </w:r>
                </w:p>
              </w:tc>
              <w:tc>
                <w:tcPr>
                  <w:tcW w:w="628" w:type="pct"/>
                  <w:vAlign w:val="center"/>
                </w:tcPr>
                <w:p w14:paraId="52BB5738">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kern w:val="2"/>
                      <w:sz w:val="21"/>
                      <w:szCs w:val="21"/>
                      <w:lang w:val="en-US" w:eastAsia="zh-CN" w:bidi="ar-SA"/>
                    </w:rPr>
                    <w:t>8</w:t>
                  </w:r>
                </w:p>
              </w:tc>
              <w:tc>
                <w:tcPr>
                  <w:tcW w:w="464" w:type="pct"/>
                  <w:vMerge w:val="restart"/>
                  <w:vAlign w:val="center"/>
                </w:tcPr>
                <w:p w14:paraId="78126870">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bCs/>
                      <w:color w:val="auto"/>
                      <w:szCs w:val="21"/>
                      <w:lang w:val="en-US" w:eastAsia="zh-CN"/>
                    </w:rPr>
                    <w:t>委托处置</w:t>
                  </w:r>
                </w:p>
              </w:tc>
              <w:tc>
                <w:tcPr>
                  <w:tcW w:w="506" w:type="pct"/>
                  <w:vMerge w:val="restart"/>
                  <w:vAlign w:val="center"/>
                </w:tcPr>
                <w:p w14:paraId="60F497BE">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Cs/>
                      <w:color w:val="auto"/>
                      <w:szCs w:val="21"/>
                    </w:rPr>
                    <w:t>有资质单位</w:t>
                  </w:r>
                </w:p>
              </w:tc>
            </w:tr>
            <w:tr w14:paraId="2A0BFC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3796A978">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7</w:t>
                  </w:r>
                </w:p>
              </w:tc>
              <w:tc>
                <w:tcPr>
                  <w:tcW w:w="663" w:type="pct"/>
                  <w:vAlign w:val="center"/>
                </w:tcPr>
                <w:p w14:paraId="2E9F9E18">
                  <w:pPr>
                    <w:pStyle w:val="5"/>
                    <w:adjustRightInd w:val="0"/>
                    <w:snapToGrid w:val="0"/>
                    <w:ind w:firstLine="0" w:firstLineChars="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val="0"/>
                      <w:color w:val="auto"/>
                      <w:kern w:val="2"/>
                      <w:sz w:val="21"/>
                      <w:szCs w:val="21"/>
                      <w:highlight w:val="none"/>
                      <w:lang w:val="en-US" w:eastAsia="zh-CN" w:bidi="ar-SA"/>
                    </w:rPr>
                    <w:t>废包装桶</w:t>
                  </w:r>
                </w:p>
              </w:tc>
              <w:tc>
                <w:tcPr>
                  <w:tcW w:w="399" w:type="pct"/>
                  <w:vMerge w:val="continue"/>
                  <w:vAlign w:val="center"/>
                </w:tcPr>
                <w:p w14:paraId="3DE8FFD3">
                  <w:pPr>
                    <w:adjustRightInd w:val="0"/>
                    <w:snapToGrid w:val="0"/>
                    <w:jc w:val="center"/>
                    <w:rPr>
                      <w:rFonts w:hint="default" w:ascii="Times New Roman" w:hAnsi="Times New Roman" w:eastAsia="仿宋" w:cs="Times New Roman"/>
                      <w:color w:val="auto"/>
                      <w:szCs w:val="21"/>
                    </w:rPr>
                  </w:pPr>
                </w:p>
              </w:tc>
              <w:tc>
                <w:tcPr>
                  <w:tcW w:w="558" w:type="pct"/>
                  <w:vAlign w:val="center"/>
                </w:tcPr>
                <w:p w14:paraId="23FD3555">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原料包装</w:t>
                  </w:r>
                </w:p>
              </w:tc>
              <w:tc>
                <w:tcPr>
                  <w:tcW w:w="385" w:type="pct"/>
                  <w:vAlign w:val="center"/>
                </w:tcPr>
                <w:p w14:paraId="012D7BF1">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T/In</w:t>
                  </w:r>
                </w:p>
              </w:tc>
              <w:tc>
                <w:tcPr>
                  <w:tcW w:w="401" w:type="pct"/>
                  <w:vAlign w:val="center"/>
                </w:tcPr>
                <w:p w14:paraId="522FD26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HW49</w:t>
                  </w:r>
                </w:p>
              </w:tc>
              <w:tc>
                <w:tcPr>
                  <w:tcW w:w="733" w:type="pct"/>
                  <w:vAlign w:val="center"/>
                </w:tcPr>
                <w:p w14:paraId="43984686">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900-041-49</w:t>
                  </w:r>
                </w:p>
              </w:tc>
              <w:tc>
                <w:tcPr>
                  <w:tcW w:w="628" w:type="pct"/>
                  <w:vAlign w:val="center"/>
                </w:tcPr>
                <w:p w14:paraId="3CBAECA8">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kern w:val="2"/>
                      <w:sz w:val="21"/>
                      <w:szCs w:val="21"/>
                      <w:lang w:val="en-US" w:eastAsia="zh-CN" w:bidi="ar-SA"/>
                    </w:rPr>
                    <w:t>1.2</w:t>
                  </w:r>
                </w:p>
              </w:tc>
              <w:tc>
                <w:tcPr>
                  <w:tcW w:w="464" w:type="pct"/>
                  <w:vMerge w:val="continue"/>
                  <w:vAlign w:val="center"/>
                </w:tcPr>
                <w:p w14:paraId="1FED3B74">
                  <w:pPr>
                    <w:adjustRightInd w:val="0"/>
                    <w:snapToGrid w:val="0"/>
                    <w:jc w:val="center"/>
                    <w:rPr>
                      <w:rFonts w:hint="default" w:ascii="Times New Roman" w:hAnsi="Times New Roman" w:eastAsia="仿宋" w:cs="Times New Roman"/>
                      <w:bCs/>
                      <w:color w:val="auto"/>
                      <w:szCs w:val="21"/>
                      <w:lang w:val="en-US" w:eastAsia="zh-CN"/>
                    </w:rPr>
                  </w:pPr>
                </w:p>
              </w:tc>
              <w:tc>
                <w:tcPr>
                  <w:tcW w:w="506" w:type="pct"/>
                  <w:vMerge w:val="continue"/>
                  <w:vAlign w:val="center"/>
                </w:tcPr>
                <w:p w14:paraId="71876CEE">
                  <w:pPr>
                    <w:adjustRightInd w:val="0"/>
                    <w:snapToGrid w:val="0"/>
                    <w:jc w:val="center"/>
                    <w:rPr>
                      <w:rFonts w:hint="default" w:ascii="Times New Roman" w:hAnsi="Times New Roman" w:eastAsia="仿宋" w:cs="Times New Roman"/>
                      <w:bCs/>
                      <w:color w:val="auto"/>
                      <w:szCs w:val="21"/>
                    </w:rPr>
                  </w:pPr>
                </w:p>
              </w:tc>
            </w:tr>
            <w:tr w14:paraId="4F879B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5F5DA219">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w:t>
                  </w:r>
                </w:p>
              </w:tc>
              <w:tc>
                <w:tcPr>
                  <w:tcW w:w="663" w:type="pct"/>
                  <w:vAlign w:val="center"/>
                </w:tcPr>
                <w:p w14:paraId="0867850F">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漆渣</w:t>
                  </w:r>
                </w:p>
              </w:tc>
              <w:tc>
                <w:tcPr>
                  <w:tcW w:w="399" w:type="pct"/>
                  <w:vMerge w:val="continue"/>
                  <w:vAlign w:val="center"/>
                </w:tcPr>
                <w:p w14:paraId="5A0C7C77">
                  <w:pPr>
                    <w:adjustRightInd w:val="0"/>
                    <w:snapToGrid w:val="0"/>
                    <w:jc w:val="center"/>
                    <w:rPr>
                      <w:rFonts w:hint="default" w:ascii="Times New Roman" w:hAnsi="Times New Roman" w:eastAsia="仿宋" w:cs="Times New Roman"/>
                      <w:color w:val="auto"/>
                      <w:szCs w:val="21"/>
                    </w:rPr>
                  </w:pPr>
                </w:p>
              </w:tc>
              <w:tc>
                <w:tcPr>
                  <w:tcW w:w="558" w:type="pct"/>
                  <w:vAlign w:val="center"/>
                </w:tcPr>
                <w:p w14:paraId="2B7CACD6">
                  <w:pPr>
                    <w:pStyle w:val="5"/>
                    <w:adjustRightInd w:val="0"/>
                    <w:snapToGrid w:val="0"/>
                    <w:ind w:firstLine="0" w:firstLineChars="0"/>
                    <w:jc w:val="center"/>
                    <w:rPr>
                      <w:rFonts w:hint="default" w:ascii="Times New Roman" w:hAnsi="Times New Roman" w:eastAsia="仿宋" w:cs="Times New Roman"/>
                      <w:color w:val="auto"/>
                      <w:kern w:val="2"/>
                      <w:sz w:val="21"/>
                      <w:szCs w:val="20"/>
                      <w:lang w:val="en-US" w:eastAsia="zh-CN" w:bidi="ar-SA"/>
                    </w:rPr>
                  </w:pPr>
                  <w:r>
                    <w:rPr>
                      <w:rFonts w:hint="default" w:ascii="Times New Roman" w:hAnsi="Times New Roman" w:eastAsia="仿宋" w:cs="Times New Roman"/>
                      <w:b w:val="0"/>
                      <w:bCs/>
                      <w:color w:val="auto"/>
                      <w:kern w:val="2"/>
                      <w:sz w:val="21"/>
                      <w:szCs w:val="21"/>
                      <w:lang w:val="en-US" w:eastAsia="zh-CN" w:bidi="ar-SA"/>
                    </w:rPr>
                    <w:t>喷漆</w:t>
                  </w:r>
                </w:p>
              </w:tc>
              <w:tc>
                <w:tcPr>
                  <w:tcW w:w="385" w:type="pct"/>
                  <w:vAlign w:val="center"/>
                </w:tcPr>
                <w:p w14:paraId="13259C50">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Cs w:val="21"/>
                    </w:rPr>
                    <w:t>T/I</w:t>
                  </w:r>
                </w:p>
              </w:tc>
              <w:tc>
                <w:tcPr>
                  <w:tcW w:w="401" w:type="pct"/>
                  <w:vAlign w:val="center"/>
                </w:tcPr>
                <w:p w14:paraId="7A905211">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Cs w:val="21"/>
                    </w:rPr>
                    <w:t>HW</w:t>
                  </w:r>
                  <w:r>
                    <w:rPr>
                      <w:rFonts w:hint="default" w:ascii="Times New Roman" w:hAnsi="Times New Roman" w:eastAsia="仿宋" w:cs="Times New Roman"/>
                      <w:color w:val="auto"/>
                      <w:szCs w:val="21"/>
                      <w:lang w:val="en-US" w:eastAsia="zh-CN"/>
                    </w:rPr>
                    <w:t>12</w:t>
                  </w:r>
                </w:p>
              </w:tc>
              <w:tc>
                <w:tcPr>
                  <w:tcW w:w="733" w:type="pct"/>
                  <w:vAlign w:val="center"/>
                </w:tcPr>
                <w:p w14:paraId="12F9BA8D">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Cs w:val="21"/>
                    </w:rPr>
                    <w:t>900-</w:t>
                  </w:r>
                  <w:r>
                    <w:rPr>
                      <w:rFonts w:hint="default" w:ascii="Times New Roman" w:hAnsi="Times New Roman" w:eastAsia="仿宋" w:cs="Times New Roman"/>
                      <w:color w:val="auto"/>
                      <w:szCs w:val="21"/>
                      <w:lang w:val="en-US" w:eastAsia="zh-CN"/>
                    </w:rPr>
                    <w:t>252</w:t>
                  </w:r>
                  <w:r>
                    <w:rPr>
                      <w:rFonts w:hint="default" w:ascii="Times New Roman" w:hAnsi="Times New Roman" w:eastAsia="仿宋" w:cs="Times New Roman"/>
                      <w:color w:val="auto"/>
                      <w:szCs w:val="21"/>
                    </w:rPr>
                    <w:t>-</w:t>
                  </w:r>
                  <w:r>
                    <w:rPr>
                      <w:rFonts w:hint="default" w:ascii="Times New Roman" w:hAnsi="Times New Roman" w:eastAsia="仿宋" w:cs="Times New Roman"/>
                      <w:color w:val="auto"/>
                      <w:szCs w:val="21"/>
                      <w:lang w:val="en-US" w:eastAsia="zh-CN"/>
                    </w:rPr>
                    <w:t>12</w:t>
                  </w:r>
                </w:p>
              </w:tc>
              <w:tc>
                <w:tcPr>
                  <w:tcW w:w="628" w:type="pct"/>
                  <w:vAlign w:val="center"/>
                </w:tcPr>
                <w:p w14:paraId="486255B4">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kern w:val="2"/>
                      <w:sz w:val="21"/>
                      <w:szCs w:val="21"/>
                      <w:lang w:val="en-US" w:eastAsia="zh-CN" w:bidi="ar-SA"/>
                    </w:rPr>
                    <w:t>2.</w:t>
                  </w:r>
                  <w:r>
                    <w:rPr>
                      <w:rFonts w:hint="eastAsia" w:eastAsia="仿宋" w:cs="Times New Roman"/>
                      <w:color w:val="auto"/>
                      <w:kern w:val="2"/>
                      <w:sz w:val="21"/>
                      <w:szCs w:val="21"/>
                      <w:lang w:val="en-US" w:eastAsia="zh-CN" w:bidi="ar-SA"/>
                    </w:rPr>
                    <w:t>29</w:t>
                  </w:r>
                </w:p>
              </w:tc>
              <w:tc>
                <w:tcPr>
                  <w:tcW w:w="464" w:type="pct"/>
                  <w:vMerge w:val="continue"/>
                  <w:vAlign w:val="center"/>
                </w:tcPr>
                <w:p w14:paraId="3891756B">
                  <w:pPr>
                    <w:adjustRightInd w:val="0"/>
                    <w:snapToGrid w:val="0"/>
                    <w:jc w:val="center"/>
                    <w:rPr>
                      <w:rFonts w:hint="default" w:ascii="Times New Roman" w:hAnsi="Times New Roman" w:eastAsia="仿宋" w:cs="Times New Roman"/>
                      <w:color w:val="auto"/>
                      <w:szCs w:val="21"/>
                      <w:lang w:eastAsia="zh-CN"/>
                    </w:rPr>
                  </w:pPr>
                </w:p>
              </w:tc>
              <w:tc>
                <w:tcPr>
                  <w:tcW w:w="506" w:type="pct"/>
                  <w:vMerge w:val="continue"/>
                  <w:vAlign w:val="center"/>
                </w:tcPr>
                <w:p w14:paraId="2E20B7C4">
                  <w:pPr>
                    <w:adjustRightInd w:val="0"/>
                    <w:snapToGrid w:val="0"/>
                    <w:jc w:val="center"/>
                    <w:rPr>
                      <w:rFonts w:hint="default" w:ascii="Times New Roman" w:hAnsi="Times New Roman" w:eastAsia="仿宋" w:cs="Times New Roman"/>
                      <w:color w:val="auto"/>
                      <w:szCs w:val="21"/>
                    </w:rPr>
                  </w:pPr>
                </w:p>
              </w:tc>
            </w:tr>
            <w:tr w14:paraId="21E158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3F12D273">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w:t>
                  </w:r>
                </w:p>
              </w:tc>
              <w:tc>
                <w:tcPr>
                  <w:tcW w:w="663" w:type="pct"/>
                  <w:vAlign w:val="center"/>
                </w:tcPr>
                <w:p w14:paraId="15B73B98">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含漆废物</w:t>
                  </w:r>
                </w:p>
              </w:tc>
              <w:tc>
                <w:tcPr>
                  <w:tcW w:w="399" w:type="pct"/>
                  <w:vMerge w:val="continue"/>
                  <w:vAlign w:val="center"/>
                </w:tcPr>
                <w:p w14:paraId="02DF0DF7">
                  <w:pPr>
                    <w:adjustRightInd w:val="0"/>
                    <w:snapToGrid w:val="0"/>
                    <w:jc w:val="center"/>
                    <w:rPr>
                      <w:rFonts w:hint="default" w:ascii="Times New Roman" w:hAnsi="Times New Roman" w:eastAsia="仿宋" w:cs="Times New Roman"/>
                      <w:color w:val="auto"/>
                      <w:szCs w:val="21"/>
                    </w:rPr>
                  </w:pPr>
                </w:p>
              </w:tc>
              <w:tc>
                <w:tcPr>
                  <w:tcW w:w="558" w:type="pct"/>
                  <w:vAlign w:val="center"/>
                </w:tcPr>
                <w:p w14:paraId="414EF9B0">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喷漆</w:t>
                  </w:r>
                </w:p>
              </w:tc>
              <w:tc>
                <w:tcPr>
                  <w:tcW w:w="385" w:type="pct"/>
                  <w:vAlign w:val="center"/>
                </w:tcPr>
                <w:p w14:paraId="68EFCC76">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Cs w:val="21"/>
                    </w:rPr>
                    <w:t>T/In</w:t>
                  </w:r>
                </w:p>
              </w:tc>
              <w:tc>
                <w:tcPr>
                  <w:tcW w:w="401" w:type="pct"/>
                  <w:vAlign w:val="center"/>
                </w:tcPr>
                <w:p w14:paraId="1624121E">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Cs w:val="21"/>
                    </w:rPr>
                    <w:t>HW49</w:t>
                  </w:r>
                </w:p>
              </w:tc>
              <w:tc>
                <w:tcPr>
                  <w:tcW w:w="733" w:type="pct"/>
                  <w:vAlign w:val="center"/>
                </w:tcPr>
                <w:p w14:paraId="0F843FCE">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Cs w:val="21"/>
                    </w:rPr>
                    <w:t>900-041-49</w:t>
                  </w:r>
                </w:p>
              </w:tc>
              <w:tc>
                <w:tcPr>
                  <w:tcW w:w="628" w:type="pct"/>
                  <w:vAlign w:val="center"/>
                </w:tcPr>
                <w:p w14:paraId="40F45B54">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kern w:val="2"/>
                      <w:sz w:val="21"/>
                      <w:szCs w:val="21"/>
                      <w:lang w:val="en-US" w:eastAsia="zh-CN" w:bidi="ar-SA"/>
                    </w:rPr>
                    <w:t>0.3</w:t>
                  </w:r>
                </w:p>
              </w:tc>
              <w:tc>
                <w:tcPr>
                  <w:tcW w:w="464" w:type="pct"/>
                  <w:vMerge w:val="continue"/>
                  <w:vAlign w:val="center"/>
                </w:tcPr>
                <w:p w14:paraId="0EBD2A97">
                  <w:pPr>
                    <w:adjustRightInd w:val="0"/>
                    <w:snapToGrid w:val="0"/>
                    <w:jc w:val="center"/>
                    <w:rPr>
                      <w:rFonts w:hint="default" w:ascii="Times New Roman" w:hAnsi="Times New Roman" w:eastAsia="仿宋" w:cs="Times New Roman"/>
                      <w:color w:val="auto"/>
                      <w:szCs w:val="21"/>
                    </w:rPr>
                  </w:pPr>
                </w:p>
              </w:tc>
              <w:tc>
                <w:tcPr>
                  <w:tcW w:w="506" w:type="pct"/>
                  <w:vMerge w:val="continue"/>
                  <w:vAlign w:val="center"/>
                </w:tcPr>
                <w:p w14:paraId="5BA564CC">
                  <w:pPr>
                    <w:adjustRightInd w:val="0"/>
                    <w:snapToGrid w:val="0"/>
                    <w:jc w:val="center"/>
                    <w:rPr>
                      <w:rFonts w:hint="default" w:ascii="Times New Roman" w:hAnsi="Times New Roman" w:eastAsia="仿宋" w:cs="Times New Roman"/>
                      <w:color w:val="auto"/>
                      <w:szCs w:val="21"/>
                    </w:rPr>
                  </w:pPr>
                </w:p>
              </w:tc>
            </w:tr>
            <w:tr w14:paraId="2836DF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0274D0C8">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10</w:t>
                  </w:r>
                </w:p>
              </w:tc>
              <w:tc>
                <w:tcPr>
                  <w:tcW w:w="663" w:type="pct"/>
                  <w:vAlign w:val="center"/>
                </w:tcPr>
                <w:p w14:paraId="6737C449">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试漏废液</w:t>
                  </w:r>
                </w:p>
              </w:tc>
              <w:tc>
                <w:tcPr>
                  <w:tcW w:w="399" w:type="pct"/>
                  <w:vMerge w:val="continue"/>
                  <w:vAlign w:val="center"/>
                </w:tcPr>
                <w:p w14:paraId="774A4FE4">
                  <w:pPr>
                    <w:adjustRightInd w:val="0"/>
                    <w:snapToGrid w:val="0"/>
                    <w:jc w:val="center"/>
                    <w:rPr>
                      <w:rFonts w:hint="default" w:ascii="Times New Roman" w:hAnsi="Times New Roman" w:eastAsia="仿宋" w:cs="Times New Roman"/>
                      <w:color w:val="auto"/>
                      <w:szCs w:val="21"/>
                    </w:rPr>
                  </w:pPr>
                </w:p>
              </w:tc>
              <w:tc>
                <w:tcPr>
                  <w:tcW w:w="558" w:type="pct"/>
                  <w:vAlign w:val="center"/>
                </w:tcPr>
                <w:p w14:paraId="681CBDCC">
                  <w:pPr>
                    <w:pStyle w:val="5"/>
                    <w:adjustRightInd w:val="0"/>
                    <w:snapToGrid w:val="0"/>
                    <w:ind w:firstLine="0" w:firstLineChars="0"/>
                    <w:jc w:val="center"/>
                    <w:rPr>
                      <w:rFonts w:hint="default" w:ascii="Times New Roman" w:hAnsi="Times New Roman" w:eastAsia="仿宋" w:cs="Times New Roman"/>
                      <w:color w:val="auto"/>
                      <w:kern w:val="2"/>
                      <w:sz w:val="21"/>
                      <w:szCs w:val="20"/>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水压测试</w:t>
                  </w:r>
                </w:p>
              </w:tc>
              <w:tc>
                <w:tcPr>
                  <w:tcW w:w="385" w:type="pct"/>
                  <w:vAlign w:val="center"/>
                </w:tcPr>
                <w:p w14:paraId="0D3BFCDE">
                  <w:pPr>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Cs w:val="21"/>
                    </w:rPr>
                    <w:t>T</w:t>
                  </w:r>
                </w:p>
              </w:tc>
              <w:tc>
                <w:tcPr>
                  <w:tcW w:w="401" w:type="pct"/>
                  <w:vAlign w:val="center"/>
                </w:tcPr>
                <w:p w14:paraId="19504AF2">
                  <w:pPr>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Cs w:val="21"/>
                    </w:rPr>
                    <w:t>HW0</w:t>
                  </w:r>
                  <w:r>
                    <w:rPr>
                      <w:rFonts w:hint="default" w:ascii="Times New Roman" w:hAnsi="Times New Roman" w:eastAsia="仿宋" w:cs="Times New Roman"/>
                      <w:color w:val="auto"/>
                      <w:szCs w:val="21"/>
                      <w:lang w:val="en-US" w:eastAsia="zh-CN"/>
                    </w:rPr>
                    <w:t>9</w:t>
                  </w:r>
                </w:p>
              </w:tc>
              <w:tc>
                <w:tcPr>
                  <w:tcW w:w="733" w:type="pct"/>
                  <w:vAlign w:val="center"/>
                </w:tcPr>
                <w:p w14:paraId="4A9CBF9C">
                  <w:pPr>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Cs w:val="21"/>
                      <w:lang w:eastAsia="zh-CN"/>
                    </w:rPr>
                    <w:t>900-</w:t>
                  </w:r>
                  <w:r>
                    <w:rPr>
                      <w:rFonts w:hint="default" w:ascii="Times New Roman" w:hAnsi="Times New Roman" w:eastAsia="仿宋" w:cs="Times New Roman"/>
                      <w:color w:val="auto"/>
                      <w:szCs w:val="21"/>
                      <w:lang w:val="en-US" w:eastAsia="zh-CN"/>
                    </w:rPr>
                    <w:t>00</w:t>
                  </w:r>
                  <w:r>
                    <w:rPr>
                      <w:rFonts w:hint="eastAsia" w:ascii="Times New Roman" w:hAnsi="Times New Roman" w:eastAsia="仿宋" w:cs="Times New Roman"/>
                      <w:color w:val="auto"/>
                      <w:szCs w:val="21"/>
                      <w:lang w:val="en-US" w:eastAsia="zh-CN"/>
                    </w:rPr>
                    <w:t>7</w:t>
                  </w:r>
                  <w:r>
                    <w:rPr>
                      <w:rFonts w:hint="default" w:ascii="Times New Roman" w:hAnsi="Times New Roman" w:eastAsia="仿宋" w:cs="Times New Roman"/>
                      <w:color w:val="auto"/>
                      <w:szCs w:val="21"/>
                      <w:lang w:eastAsia="zh-CN"/>
                    </w:rPr>
                    <w:t>-0</w:t>
                  </w:r>
                  <w:r>
                    <w:rPr>
                      <w:rFonts w:hint="default" w:ascii="Times New Roman" w:hAnsi="Times New Roman" w:eastAsia="仿宋" w:cs="Times New Roman"/>
                      <w:color w:val="auto"/>
                      <w:szCs w:val="21"/>
                      <w:lang w:val="en-US" w:eastAsia="zh-CN"/>
                    </w:rPr>
                    <w:t>9</w:t>
                  </w:r>
                </w:p>
              </w:tc>
              <w:tc>
                <w:tcPr>
                  <w:tcW w:w="628" w:type="pct"/>
                  <w:vAlign w:val="center"/>
                </w:tcPr>
                <w:p w14:paraId="7C01330F">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color w:val="auto"/>
                      <w:kern w:val="2"/>
                      <w:sz w:val="21"/>
                      <w:szCs w:val="21"/>
                      <w:lang w:val="en-US" w:eastAsia="zh-CN" w:bidi="ar-SA"/>
                    </w:rPr>
                    <w:t>3.6</w:t>
                  </w:r>
                </w:p>
              </w:tc>
              <w:tc>
                <w:tcPr>
                  <w:tcW w:w="464" w:type="pct"/>
                  <w:vMerge w:val="continue"/>
                  <w:vAlign w:val="center"/>
                </w:tcPr>
                <w:p w14:paraId="1FEB65B2">
                  <w:pPr>
                    <w:adjustRightInd w:val="0"/>
                    <w:snapToGrid w:val="0"/>
                    <w:jc w:val="center"/>
                    <w:rPr>
                      <w:rFonts w:hint="default" w:ascii="Times New Roman" w:hAnsi="Times New Roman" w:eastAsia="仿宋" w:cs="Times New Roman"/>
                      <w:color w:val="auto"/>
                      <w:szCs w:val="21"/>
                    </w:rPr>
                  </w:pPr>
                </w:p>
              </w:tc>
              <w:tc>
                <w:tcPr>
                  <w:tcW w:w="506" w:type="pct"/>
                  <w:vMerge w:val="continue"/>
                  <w:vAlign w:val="center"/>
                </w:tcPr>
                <w:p w14:paraId="26FE6000">
                  <w:pPr>
                    <w:adjustRightInd w:val="0"/>
                    <w:snapToGrid w:val="0"/>
                    <w:jc w:val="center"/>
                    <w:rPr>
                      <w:rFonts w:hint="default" w:ascii="Times New Roman" w:hAnsi="Times New Roman" w:eastAsia="仿宋" w:cs="Times New Roman"/>
                      <w:color w:val="auto"/>
                      <w:szCs w:val="21"/>
                    </w:rPr>
                  </w:pPr>
                </w:p>
              </w:tc>
            </w:tr>
            <w:tr w14:paraId="2247CE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0C7445D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11</w:t>
                  </w:r>
                </w:p>
              </w:tc>
              <w:tc>
                <w:tcPr>
                  <w:tcW w:w="663" w:type="pct"/>
                  <w:vAlign w:val="center"/>
                </w:tcPr>
                <w:p w14:paraId="2CE34969">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废过滤介质</w:t>
                  </w:r>
                </w:p>
              </w:tc>
              <w:tc>
                <w:tcPr>
                  <w:tcW w:w="399" w:type="pct"/>
                  <w:vMerge w:val="continue"/>
                  <w:vAlign w:val="center"/>
                </w:tcPr>
                <w:p w14:paraId="019F1AA4">
                  <w:pPr>
                    <w:adjustRightInd w:val="0"/>
                    <w:snapToGrid w:val="0"/>
                    <w:jc w:val="center"/>
                    <w:rPr>
                      <w:rFonts w:hint="default" w:ascii="Times New Roman" w:hAnsi="Times New Roman" w:eastAsia="仿宋" w:cs="Times New Roman"/>
                      <w:color w:val="auto"/>
                      <w:szCs w:val="21"/>
                    </w:rPr>
                  </w:pPr>
                </w:p>
              </w:tc>
              <w:tc>
                <w:tcPr>
                  <w:tcW w:w="558" w:type="pct"/>
                  <w:vAlign w:val="center"/>
                </w:tcPr>
                <w:p w14:paraId="45B6C1EF">
                  <w:pPr>
                    <w:pStyle w:val="5"/>
                    <w:adjustRightInd w:val="0"/>
                    <w:snapToGrid w:val="0"/>
                    <w:ind w:firstLine="0" w:firstLineChars="0"/>
                    <w:jc w:val="center"/>
                    <w:rPr>
                      <w:rFonts w:hint="default" w:ascii="Times New Roman" w:hAnsi="Times New Roman" w:eastAsia="仿宋" w:cs="Times New Roman"/>
                      <w:color w:val="auto"/>
                      <w:kern w:val="2"/>
                      <w:sz w:val="21"/>
                      <w:szCs w:val="20"/>
                      <w:lang w:val="en-US" w:eastAsia="zh-CN" w:bidi="ar-SA"/>
                    </w:rPr>
                  </w:pPr>
                  <w:r>
                    <w:rPr>
                      <w:rFonts w:hint="default" w:ascii="Times New Roman" w:hAnsi="Times New Roman" w:eastAsia="仿宋" w:cs="Times New Roman"/>
                      <w:b w:val="0"/>
                      <w:bCs/>
                      <w:color w:val="auto"/>
                      <w:kern w:val="2"/>
                      <w:sz w:val="21"/>
                      <w:szCs w:val="21"/>
                      <w:lang w:val="en-US" w:eastAsia="zh-CN" w:bidi="ar-SA"/>
                    </w:rPr>
                    <w:t>废气处理</w:t>
                  </w:r>
                </w:p>
              </w:tc>
              <w:tc>
                <w:tcPr>
                  <w:tcW w:w="385" w:type="pct"/>
                  <w:vAlign w:val="center"/>
                </w:tcPr>
                <w:p w14:paraId="03F23329">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T/In</w:t>
                  </w:r>
                </w:p>
              </w:tc>
              <w:tc>
                <w:tcPr>
                  <w:tcW w:w="401" w:type="pct"/>
                  <w:vAlign w:val="center"/>
                </w:tcPr>
                <w:p w14:paraId="2BCD877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HW49</w:t>
                  </w:r>
                </w:p>
              </w:tc>
              <w:tc>
                <w:tcPr>
                  <w:tcW w:w="733" w:type="pct"/>
                  <w:vAlign w:val="center"/>
                </w:tcPr>
                <w:p w14:paraId="7C50DEE1">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900-041-49</w:t>
                  </w:r>
                </w:p>
              </w:tc>
              <w:tc>
                <w:tcPr>
                  <w:tcW w:w="628" w:type="pct"/>
                  <w:vAlign w:val="center"/>
                </w:tcPr>
                <w:p w14:paraId="4F54F1B2">
                  <w:pPr>
                    <w:adjustRightInd w:val="0"/>
                    <w:snapToGrid w:val="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kern w:val="2"/>
                      <w:sz w:val="21"/>
                      <w:szCs w:val="21"/>
                      <w:lang w:val="en-US" w:eastAsia="zh-CN" w:bidi="ar-SA"/>
                    </w:rPr>
                    <w:t>0.6</w:t>
                  </w:r>
                  <w:r>
                    <w:rPr>
                      <w:rFonts w:hint="eastAsia" w:eastAsia="仿宋" w:cs="Times New Roman"/>
                      <w:color w:val="auto"/>
                      <w:kern w:val="2"/>
                      <w:sz w:val="21"/>
                      <w:szCs w:val="21"/>
                      <w:lang w:val="en-US" w:eastAsia="zh-CN" w:bidi="ar-SA"/>
                    </w:rPr>
                    <w:t>4</w:t>
                  </w:r>
                </w:p>
              </w:tc>
              <w:tc>
                <w:tcPr>
                  <w:tcW w:w="464" w:type="pct"/>
                  <w:vMerge w:val="continue"/>
                  <w:vAlign w:val="center"/>
                </w:tcPr>
                <w:p w14:paraId="16D91FAC">
                  <w:pPr>
                    <w:adjustRightInd w:val="0"/>
                    <w:snapToGrid w:val="0"/>
                    <w:jc w:val="center"/>
                    <w:rPr>
                      <w:rFonts w:hint="default" w:ascii="Times New Roman" w:hAnsi="Times New Roman" w:eastAsia="仿宋" w:cs="Times New Roman"/>
                      <w:color w:val="auto"/>
                      <w:szCs w:val="21"/>
                    </w:rPr>
                  </w:pPr>
                </w:p>
              </w:tc>
              <w:tc>
                <w:tcPr>
                  <w:tcW w:w="506" w:type="pct"/>
                  <w:vMerge w:val="continue"/>
                  <w:vAlign w:val="center"/>
                </w:tcPr>
                <w:p w14:paraId="4AC8B688">
                  <w:pPr>
                    <w:adjustRightInd w:val="0"/>
                    <w:snapToGrid w:val="0"/>
                    <w:jc w:val="center"/>
                    <w:rPr>
                      <w:rFonts w:hint="default" w:ascii="Times New Roman" w:hAnsi="Times New Roman" w:eastAsia="仿宋" w:cs="Times New Roman"/>
                      <w:color w:val="auto"/>
                      <w:szCs w:val="21"/>
                    </w:rPr>
                  </w:pPr>
                </w:p>
              </w:tc>
            </w:tr>
            <w:tr w14:paraId="72F486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2E98D921">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w:t>
                  </w:r>
                </w:p>
              </w:tc>
              <w:tc>
                <w:tcPr>
                  <w:tcW w:w="663" w:type="pct"/>
                  <w:vAlign w:val="center"/>
                </w:tcPr>
                <w:p w14:paraId="36F5FFD9">
                  <w:pPr>
                    <w:pStyle w:val="5"/>
                    <w:adjustRightInd w:val="0"/>
                    <w:snapToGrid w:val="0"/>
                    <w:ind w:firstLine="0" w:firstLineChars="0"/>
                    <w:jc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废活性炭</w:t>
                  </w:r>
                </w:p>
              </w:tc>
              <w:tc>
                <w:tcPr>
                  <w:tcW w:w="399" w:type="pct"/>
                  <w:vMerge w:val="continue"/>
                  <w:vAlign w:val="center"/>
                </w:tcPr>
                <w:p w14:paraId="3B67A13A">
                  <w:pPr>
                    <w:adjustRightInd w:val="0"/>
                    <w:snapToGrid w:val="0"/>
                    <w:jc w:val="center"/>
                    <w:rPr>
                      <w:rFonts w:hint="default" w:ascii="Times New Roman" w:hAnsi="Times New Roman" w:eastAsia="仿宋" w:cs="Times New Roman"/>
                      <w:color w:val="auto"/>
                      <w:szCs w:val="21"/>
                    </w:rPr>
                  </w:pPr>
                </w:p>
              </w:tc>
              <w:tc>
                <w:tcPr>
                  <w:tcW w:w="558" w:type="pct"/>
                  <w:vAlign w:val="center"/>
                </w:tcPr>
                <w:p w14:paraId="68140FAC">
                  <w:pPr>
                    <w:pStyle w:val="5"/>
                    <w:adjustRightInd w:val="0"/>
                    <w:snapToGrid w:val="0"/>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仿宋" w:cs="Times New Roman"/>
                      <w:b w:val="0"/>
                      <w:bCs/>
                      <w:color w:val="auto"/>
                      <w:kern w:val="2"/>
                      <w:sz w:val="21"/>
                      <w:szCs w:val="21"/>
                      <w:lang w:val="en-US" w:eastAsia="zh-CN" w:bidi="ar-SA"/>
                    </w:rPr>
                    <w:t>废气处理</w:t>
                  </w:r>
                </w:p>
              </w:tc>
              <w:tc>
                <w:tcPr>
                  <w:tcW w:w="385" w:type="pct"/>
                  <w:vAlign w:val="center"/>
                </w:tcPr>
                <w:p w14:paraId="668A49F2">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w:t>
                  </w:r>
                </w:p>
              </w:tc>
              <w:tc>
                <w:tcPr>
                  <w:tcW w:w="401" w:type="pct"/>
                  <w:vAlign w:val="center"/>
                </w:tcPr>
                <w:p w14:paraId="37869875">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HW49</w:t>
                  </w:r>
                </w:p>
              </w:tc>
              <w:tc>
                <w:tcPr>
                  <w:tcW w:w="733" w:type="pct"/>
                  <w:vAlign w:val="center"/>
                </w:tcPr>
                <w:p w14:paraId="4EE7E912">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900-039-49</w:t>
                  </w:r>
                </w:p>
              </w:tc>
              <w:tc>
                <w:tcPr>
                  <w:tcW w:w="628" w:type="pct"/>
                  <w:vAlign w:val="center"/>
                </w:tcPr>
                <w:p w14:paraId="4D01AAE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bCs/>
                      <w:color w:val="auto"/>
                      <w:sz w:val="21"/>
                      <w:szCs w:val="21"/>
                      <w:lang w:val="en-US" w:eastAsia="zh-CN"/>
                    </w:rPr>
                    <w:t>3.09</w:t>
                  </w:r>
                </w:p>
              </w:tc>
              <w:tc>
                <w:tcPr>
                  <w:tcW w:w="464" w:type="pct"/>
                  <w:vMerge w:val="continue"/>
                  <w:vAlign w:val="center"/>
                </w:tcPr>
                <w:p w14:paraId="7400B96D">
                  <w:pPr>
                    <w:adjustRightInd w:val="0"/>
                    <w:snapToGrid w:val="0"/>
                    <w:jc w:val="center"/>
                    <w:rPr>
                      <w:rFonts w:hint="default" w:ascii="Times New Roman" w:hAnsi="Times New Roman" w:eastAsia="仿宋" w:cs="Times New Roman"/>
                      <w:color w:val="auto"/>
                      <w:szCs w:val="21"/>
                    </w:rPr>
                  </w:pPr>
                </w:p>
              </w:tc>
              <w:tc>
                <w:tcPr>
                  <w:tcW w:w="506" w:type="pct"/>
                  <w:vMerge w:val="continue"/>
                  <w:vAlign w:val="center"/>
                </w:tcPr>
                <w:p w14:paraId="5C414F49">
                  <w:pPr>
                    <w:adjustRightInd w:val="0"/>
                    <w:snapToGrid w:val="0"/>
                    <w:jc w:val="center"/>
                    <w:rPr>
                      <w:rFonts w:hint="default" w:ascii="Times New Roman" w:hAnsi="Times New Roman" w:eastAsia="仿宋" w:cs="Times New Roman"/>
                      <w:color w:val="auto"/>
                      <w:szCs w:val="21"/>
                    </w:rPr>
                  </w:pPr>
                </w:p>
              </w:tc>
            </w:tr>
            <w:tr w14:paraId="0B4A4B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6E15039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13</w:t>
                  </w:r>
                </w:p>
              </w:tc>
              <w:tc>
                <w:tcPr>
                  <w:tcW w:w="663" w:type="pct"/>
                  <w:vAlign w:val="center"/>
                </w:tcPr>
                <w:p w14:paraId="75521F0E">
                  <w:pPr>
                    <w:pStyle w:val="5"/>
                    <w:adjustRightInd w:val="0"/>
                    <w:snapToGrid w:val="0"/>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含油抹布手套</w:t>
                  </w:r>
                </w:p>
              </w:tc>
              <w:tc>
                <w:tcPr>
                  <w:tcW w:w="399" w:type="pct"/>
                  <w:vMerge w:val="continue"/>
                  <w:vAlign w:val="center"/>
                </w:tcPr>
                <w:p w14:paraId="55CD7AF1">
                  <w:pPr>
                    <w:adjustRightInd w:val="0"/>
                    <w:snapToGrid w:val="0"/>
                    <w:jc w:val="center"/>
                    <w:rPr>
                      <w:rFonts w:hint="default" w:ascii="Times New Roman" w:hAnsi="Times New Roman" w:eastAsia="仿宋" w:cs="Times New Roman"/>
                      <w:color w:val="auto"/>
                      <w:szCs w:val="21"/>
                    </w:rPr>
                  </w:pPr>
                </w:p>
              </w:tc>
              <w:tc>
                <w:tcPr>
                  <w:tcW w:w="558" w:type="pct"/>
                  <w:vAlign w:val="center"/>
                </w:tcPr>
                <w:p w14:paraId="59C13FE0">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全程</w:t>
                  </w:r>
                </w:p>
              </w:tc>
              <w:tc>
                <w:tcPr>
                  <w:tcW w:w="385" w:type="pct"/>
                  <w:vAlign w:val="center"/>
                </w:tcPr>
                <w:p w14:paraId="0C31600A">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T/In</w:t>
                  </w:r>
                </w:p>
              </w:tc>
              <w:tc>
                <w:tcPr>
                  <w:tcW w:w="401" w:type="pct"/>
                  <w:vAlign w:val="center"/>
                </w:tcPr>
                <w:p w14:paraId="139E1C86">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HW49</w:t>
                  </w:r>
                </w:p>
              </w:tc>
              <w:tc>
                <w:tcPr>
                  <w:tcW w:w="733" w:type="pct"/>
                  <w:vAlign w:val="center"/>
                </w:tcPr>
                <w:p w14:paraId="3856A67C">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900-041-49</w:t>
                  </w:r>
                </w:p>
              </w:tc>
              <w:tc>
                <w:tcPr>
                  <w:tcW w:w="628" w:type="pct"/>
                  <w:vAlign w:val="center"/>
                </w:tcPr>
                <w:p w14:paraId="724F574F">
                  <w:pPr>
                    <w:adjustRightInd w:val="0"/>
                    <w:snapToGrid w:val="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kern w:val="2"/>
                      <w:sz w:val="21"/>
                      <w:szCs w:val="21"/>
                      <w:lang w:val="en-US" w:eastAsia="zh-CN" w:bidi="ar-SA"/>
                    </w:rPr>
                    <w:t>0.05</w:t>
                  </w:r>
                </w:p>
              </w:tc>
              <w:tc>
                <w:tcPr>
                  <w:tcW w:w="464" w:type="pct"/>
                  <w:vMerge w:val="continue"/>
                  <w:vAlign w:val="center"/>
                </w:tcPr>
                <w:p w14:paraId="53032812">
                  <w:pPr>
                    <w:adjustRightInd w:val="0"/>
                    <w:snapToGrid w:val="0"/>
                    <w:jc w:val="center"/>
                    <w:rPr>
                      <w:rFonts w:hint="default" w:ascii="Times New Roman" w:hAnsi="Times New Roman" w:eastAsia="仿宋" w:cs="Times New Roman"/>
                      <w:color w:val="auto"/>
                      <w:szCs w:val="21"/>
                    </w:rPr>
                  </w:pPr>
                </w:p>
              </w:tc>
              <w:tc>
                <w:tcPr>
                  <w:tcW w:w="506" w:type="pct"/>
                  <w:vMerge w:val="continue"/>
                  <w:vAlign w:val="center"/>
                </w:tcPr>
                <w:p w14:paraId="633B0934">
                  <w:pPr>
                    <w:adjustRightInd w:val="0"/>
                    <w:snapToGrid w:val="0"/>
                    <w:jc w:val="center"/>
                    <w:rPr>
                      <w:rFonts w:hint="default" w:ascii="Times New Roman" w:hAnsi="Times New Roman" w:eastAsia="仿宋" w:cs="Times New Roman"/>
                      <w:bCs/>
                      <w:color w:val="auto"/>
                      <w:szCs w:val="21"/>
                    </w:rPr>
                  </w:pPr>
                </w:p>
              </w:tc>
            </w:tr>
            <w:tr w14:paraId="4E840E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8" w:type="pct"/>
                  <w:vAlign w:val="center"/>
                </w:tcPr>
                <w:p w14:paraId="7E10E5DB">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14</w:t>
                  </w:r>
                </w:p>
              </w:tc>
              <w:tc>
                <w:tcPr>
                  <w:tcW w:w="663" w:type="pct"/>
                  <w:vAlign w:val="center"/>
                </w:tcPr>
                <w:p w14:paraId="7244F5F8">
                  <w:pPr>
                    <w:pStyle w:val="5"/>
                    <w:adjustRightInd w:val="0"/>
                    <w:snapToGrid w:val="0"/>
                    <w:ind w:firstLine="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生活垃圾</w:t>
                  </w:r>
                </w:p>
              </w:tc>
              <w:tc>
                <w:tcPr>
                  <w:tcW w:w="399" w:type="pct"/>
                  <w:vAlign w:val="center"/>
                </w:tcPr>
                <w:p w14:paraId="27307D4D">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一般固废</w:t>
                  </w:r>
                </w:p>
              </w:tc>
              <w:tc>
                <w:tcPr>
                  <w:tcW w:w="558" w:type="pct"/>
                  <w:vAlign w:val="center"/>
                </w:tcPr>
                <w:p w14:paraId="5EC34EC7">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办公生活</w:t>
                  </w:r>
                </w:p>
              </w:tc>
              <w:tc>
                <w:tcPr>
                  <w:tcW w:w="385" w:type="pct"/>
                  <w:vAlign w:val="center"/>
                </w:tcPr>
                <w:p w14:paraId="10A2E85C">
                  <w:pPr>
                    <w:pStyle w:val="5"/>
                    <w:adjustRightInd w:val="0"/>
                    <w:snapToGrid w:val="0"/>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bCs/>
                      <w:color w:val="auto"/>
                      <w:szCs w:val="21"/>
                      <w:lang w:val="en-US" w:eastAsia="zh-CN"/>
                    </w:rPr>
                    <w:t>/</w:t>
                  </w:r>
                </w:p>
              </w:tc>
              <w:tc>
                <w:tcPr>
                  <w:tcW w:w="401" w:type="pct"/>
                  <w:vAlign w:val="center"/>
                </w:tcPr>
                <w:p w14:paraId="2C1EFF9D">
                  <w:pPr>
                    <w:pStyle w:val="101"/>
                    <w:bidi w:val="0"/>
                    <w:ind w:firstLine="0" w:firstLineChars="0"/>
                    <w:rPr>
                      <w:rFonts w:hint="default" w:ascii="Times New Roman" w:hAnsi="Times New Roman" w:eastAsia="仿宋" w:cs="Times New Roman"/>
                      <w:color w:val="auto"/>
                      <w:szCs w:val="21"/>
                    </w:rPr>
                  </w:pPr>
                  <w:r>
                    <w:rPr>
                      <w:rFonts w:hint="eastAsia"/>
                      <w:color w:val="auto"/>
                      <w:highlight w:val="none"/>
                      <w:lang w:val="en-US" w:eastAsia="zh-CN"/>
                    </w:rPr>
                    <w:t>SW</w:t>
                  </w:r>
                  <w:r>
                    <w:rPr>
                      <w:rFonts w:hint="default"/>
                      <w:color w:val="auto"/>
                      <w:lang w:val="en-US" w:eastAsia="zh-CN"/>
                    </w:rPr>
                    <w:t>64</w:t>
                  </w:r>
                </w:p>
              </w:tc>
              <w:tc>
                <w:tcPr>
                  <w:tcW w:w="733" w:type="pct"/>
                  <w:vAlign w:val="center"/>
                </w:tcPr>
                <w:p w14:paraId="2D395F39">
                  <w:pPr>
                    <w:pStyle w:val="101"/>
                    <w:bidi w:val="0"/>
                    <w:ind w:firstLine="0" w:firstLineChars="0"/>
                    <w:rPr>
                      <w:rFonts w:hint="default" w:ascii="Times New Roman" w:hAnsi="Times New Roman" w:eastAsia="仿宋" w:cs="Times New Roman"/>
                      <w:color w:val="auto"/>
                      <w:szCs w:val="21"/>
                    </w:rPr>
                  </w:pPr>
                  <w:r>
                    <w:rPr>
                      <w:rFonts w:hint="default"/>
                      <w:color w:val="auto"/>
                      <w:lang w:val="en-US" w:eastAsia="zh-CN"/>
                    </w:rPr>
                    <w:t>900-099-S64</w:t>
                  </w:r>
                </w:p>
              </w:tc>
              <w:tc>
                <w:tcPr>
                  <w:tcW w:w="628" w:type="pct"/>
                  <w:vAlign w:val="center"/>
                </w:tcPr>
                <w:p w14:paraId="18BA9C1A">
                  <w:pPr>
                    <w:adjustRightInd w:val="0"/>
                    <w:snapToGrid w:val="0"/>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kern w:val="2"/>
                      <w:sz w:val="21"/>
                      <w:szCs w:val="24"/>
                      <w:lang w:val="en-US" w:eastAsia="zh-CN" w:bidi="ar-SA"/>
                    </w:rPr>
                    <w:t>13.5</w:t>
                  </w:r>
                </w:p>
              </w:tc>
              <w:tc>
                <w:tcPr>
                  <w:tcW w:w="971" w:type="pct"/>
                  <w:gridSpan w:val="2"/>
                  <w:vAlign w:val="center"/>
                </w:tcPr>
                <w:p w14:paraId="0CF8D307">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环卫清运</w:t>
                  </w:r>
                </w:p>
              </w:tc>
            </w:tr>
          </w:tbl>
          <w:p w14:paraId="70E1544B">
            <w:pPr>
              <w:adjustRightInd w:val="0"/>
              <w:snapToGrid w:val="0"/>
              <w:spacing w:line="500" w:lineRule="exact"/>
              <w:ind w:firstLine="482" w:firstLineChars="200"/>
              <w:rPr>
                <w:rFonts w:hint="default" w:ascii="Times New Roman" w:hAnsi="Times New Roman" w:eastAsia="仿宋" w:cs="Times New Roman"/>
                <w:b/>
                <w:bCs/>
                <w:color w:val="auto"/>
                <w:sz w:val="24"/>
                <w:highlight w:val="none"/>
                <w:lang w:val="en-US" w:eastAsia="zh-CN"/>
              </w:rPr>
            </w:pPr>
            <w:r>
              <w:rPr>
                <w:rFonts w:hint="default" w:ascii="Times New Roman" w:hAnsi="Times New Roman" w:eastAsia="仿宋" w:cs="Times New Roman"/>
                <w:b/>
                <w:bCs/>
                <w:color w:val="auto"/>
                <w:sz w:val="24"/>
                <w:highlight w:val="none"/>
                <w:lang w:val="en-US" w:eastAsia="zh-CN"/>
              </w:rPr>
              <w:t>4、固废环境影响分析</w:t>
            </w:r>
          </w:p>
          <w:p w14:paraId="2EA0B022">
            <w:pPr>
              <w:adjustRightInd w:val="0"/>
              <w:snapToGrid w:val="0"/>
              <w:spacing w:line="50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临时贮存可行性分析：</w:t>
            </w:r>
          </w:p>
          <w:p w14:paraId="2172EF6E">
            <w:pPr>
              <w:adjustRightInd w:val="0"/>
              <w:snapToGrid w:val="0"/>
              <w:spacing w:line="50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项目产生的废物应分类收集、分类贮存，并张贴标签储存在专门的场所内，一般固废、生活垃圾、危险废物应分开储存，不得混放。危废每季度周转一次，危废暂存场所按照《危险废物贮存污染控制标准》规范要求设置，设有防风、防雨、防晒、防渗漏等措施，并设置危险废物标识和警示牌。各堆场场所按照《环境保护图形标志-固体废物贮存（处置场）》设置标示牌。</w:t>
            </w:r>
          </w:p>
          <w:p w14:paraId="6F2EA7E0">
            <w:pPr>
              <w:adjustRightInd w:val="0"/>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根据《省生态环境厅关于进一步加强危险废物污染防治工作的实施意见》（苏环办</w:t>
            </w:r>
            <w:r>
              <w:rPr>
                <w:rFonts w:hint="eastAsia" w:eastAsia="仿宋" w:cs="Times New Roman"/>
                <w:bCs/>
                <w:color w:val="auto"/>
                <w:sz w:val="24"/>
                <w:lang w:eastAsia="zh-CN"/>
              </w:rPr>
              <w:t>〔2019〕327号</w:t>
            </w:r>
            <w:r>
              <w:rPr>
                <w:rFonts w:hint="default" w:ascii="Times New Roman" w:hAnsi="Times New Roman" w:eastAsia="仿宋" w:cs="Times New Roman"/>
                <w:bCs/>
                <w:color w:val="auto"/>
                <w:sz w:val="24"/>
              </w:rPr>
              <w:t>）要求，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w:t>
            </w:r>
            <w:r>
              <w:rPr>
                <w:rFonts w:hint="default" w:ascii="Times New Roman" w:hAnsi="Times New Roman" w:eastAsia="仿宋" w:cs="Times New Roman"/>
                <w:bCs/>
                <w:color w:val="auto"/>
                <w:sz w:val="24"/>
                <w:lang w:val="en-US" w:eastAsia="zh-CN"/>
              </w:rPr>
              <w:t>危险废物经营单位需制定废物入场控制措施，并不得接受核准经营许可以外的种类；贮存设施周转的累积贮存量不得超过年许可经营能力的六分之一，贮存期限原则上不得超过三个月。</w:t>
            </w:r>
          </w:p>
          <w:p w14:paraId="3804062C">
            <w:pPr>
              <w:adjustRightInd w:val="0"/>
              <w:snapToGrid w:val="0"/>
              <w:spacing w:line="500" w:lineRule="exact"/>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危废库房内暂存期限不超过3个月，则暂存期本项目</w:t>
            </w:r>
            <w:r>
              <w:rPr>
                <w:rFonts w:hint="default" w:ascii="Times New Roman" w:hAnsi="Times New Roman" w:eastAsia="仿宋" w:cs="Times New Roman"/>
                <w:color w:val="auto"/>
                <w:sz w:val="24"/>
                <w:szCs w:val="24"/>
                <w:highlight w:val="none"/>
                <w:lang w:val="en-US" w:eastAsia="zh-CN"/>
              </w:rPr>
              <w:t>危废</w:t>
            </w:r>
            <w:r>
              <w:rPr>
                <w:rFonts w:hint="default" w:ascii="Times New Roman" w:hAnsi="Times New Roman" w:eastAsia="仿宋" w:cs="Times New Roman"/>
                <w:color w:val="auto"/>
                <w:sz w:val="24"/>
                <w:szCs w:val="24"/>
                <w:highlight w:val="none"/>
              </w:rPr>
              <w:t>最大存放量</w:t>
            </w:r>
            <w:r>
              <w:rPr>
                <w:rFonts w:hint="default" w:ascii="Times New Roman" w:hAnsi="Times New Roman" w:eastAsia="仿宋" w:cs="Times New Roman"/>
                <w:b w:val="0"/>
                <w:bCs w:val="0"/>
                <w:color w:val="auto"/>
                <w:kern w:val="2"/>
                <w:sz w:val="24"/>
                <w:szCs w:val="24"/>
                <w:highlight w:val="none"/>
                <w:lang w:val="en-US" w:eastAsia="zh-CN" w:bidi="ar-SA"/>
              </w:rPr>
              <w:t>废</w:t>
            </w:r>
            <w:r>
              <w:rPr>
                <w:rFonts w:hint="eastAsia" w:ascii="Times New Roman" w:hAnsi="Times New Roman" w:eastAsia="仿宋" w:cs="Times New Roman"/>
                <w:b w:val="0"/>
                <w:bCs w:val="0"/>
                <w:color w:val="auto"/>
                <w:kern w:val="2"/>
                <w:sz w:val="24"/>
                <w:szCs w:val="24"/>
                <w:highlight w:val="none"/>
                <w:lang w:val="en-US" w:eastAsia="zh-CN" w:bidi="ar-SA"/>
              </w:rPr>
              <w:t>切削液</w:t>
            </w:r>
            <w:r>
              <w:rPr>
                <w:rFonts w:hint="default" w:ascii="Times New Roman" w:hAnsi="Times New Roman" w:eastAsia="仿宋" w:cs="Times New Roman"/>
                <w:color w:val="auto"/>
                <w:sz w:val="24"/>
                <w:szCs w:val="24"/>
                <w:highlight w:val="none"/>
              </w:rPr>
              <w:t>最大约为</w:t>
            </w:r>
            <w:r>
              <w:rPr>
                <w:rFonts w:hint="eastAsia"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t，</w:t>
            </w:r>
            <w:r>
              <w:rPr>
                <w:rFonts w:hint="default" w:ascii="Times New Roman" w:hAnsi="Times New Roman" w:eastAsia="仿宋" w:cs="Times New Roman"/>
                <w:b w:val="0"/>
                <w:bCs/>
                <w:color w:val="auto"/>
                <w:sz w:val="24"/>
                <w:szCs w:val="24"/>
              </w:rPr>
              <w:t>废包装桶</w:t>
            </w:r>
            <w:r>
              <w:rPr>
                <w:rFonts w:hint="default" w:ascii="Times New Roman" w:hAnsi="Times New Roman" w:eastAsia="仿宋" w:cs="Times New Roman"/>
                <w:color w:val="auto"/>
                <w:sz w:val="24"/>
                <w:szCs w:val="24"/>
                <w:highlight w:val="none"/>
              </w:rPr>
              <w:t>最大约为</w:t>
            </w:r>
            <w:r>
              <w:rPr>
                <w:rFonts w:hint="default" w:ascii="Times New Roman" w:hAnsi="Times New Roman" w:eastAsia="仿宋" w:cs="Times New Roman"/>
                <w:color w:val="auto"/>
                <w:sz w:val="24"/>
                <w:szCs w:val="24"/>
                <w:highlight w:val="none"/>
                <w:lang w:val="en-US" w:eastAsia="zh-CN"/>
              </w:rPr>
              <w:t>0.</w:t>
            </w:r>
            <w:r>
              <w:rPr>
                <w:rFonts w:hint="eastAsia"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rPr>
              <w:t>t</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b w:val="0"/>
                <w:bCs w:val="0"/>
                <w:color w:val="auto"/>
                <w:kern w:val="2"/>
                <w:sz w:val="24"/>
                <w:szCs w:val="24"/>
                <w:highlight w:val="none"/>
                <w:lang w:val="en-US" w:eastAsia="zh-CN" w:bidi="ar-SA"/>
              </w:rPr>
              <w:t>漆渣</w:t>
            </w:r>
            <w:r>
              <w:rPr>
                <w:rFonts w:hint="default" w:ascii="Times New Roman" w:hAnsi="Times New Roman" w:eastAsia="仿宋" w:cs="Times New Roman"/>
                <w:color w:val="auto"/>
                <w:sz w:val="24"/>
                <w:szCs w:val="24"/>
                <w:highlight w:val="none"/>
              </w:rPr>
              <w:t>最大约为</w:t>
            </w:r>
            <w:r>
              <w:rPr>
                <w:rFonts w:hint="default" w:ascii="Times New Roman" w:hAnsi="Times New Roman" w:eastAsia="仿宋" w:cs="Times New Roman"/>
                <w:color w:val="auto"/>
                <w:sz w:val="24"/>
                <w:szCs w:val="24"/>
                <w:highlight w:val="none"/>
                <w:lang w:val="en-US" w:eastAsia="zh-CN"/>
              </w:rPr>
              <w:t>0.</w:t>
            </w:r>
            <w:r>
              <w:rPr>
                <w:rFonts w:hint="eastAsia" w:eastAsia="仿宋" w:cs="Times New Roman"/>
                <w:color w:val="auto"/>
                <w:sz w:val="24"/>
                <w:szCs w:val="24"/>
                <w:highlight w:val="none"/>
                <w:lang w:val="en-US" w:eastAsia="zh-CN"/>
              </w:rPr>
              <w:t>57</w:t>
            </w:r>
            <w:r>
              <w:rPr>
                <w:rFonts w:hint="default" w:ascii="Times New Roman" w:hAnsi="Times New Roman" w:eastAsia="仿宋" w:cs="Times New Roman"/>
                <w:color w:val="auto"/>
                <w:sz w:val="24"/>
                <w:szCs w:val="24"/>
                <w:highlight w:val="none"/>
              </w:rPr>
              <w:t>t</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b w:val="0"/>
                <w:bCs w:val="0"/>
                <w:color w:val="auto"/>
                <w:kern w:val="2"/>
                <w:sz w:val="24"/>
                <w:szCs w:val="24"/>
                <w:highlight w:val="none"/>
                <w:lang w:val="en-US" w:eastAsia="zh-CN" w:bidi="ar-SA"/>
              </w:rPr>
              <w:t>含漆废物</w:t>
            </w:r>
            <w:r>
              <w:rPr>
                <w:rFonts w:hint="default" w:ascii="Times New Roman" w:hAnsi="Times New Roman" w:eastAsia="仿宋" w:cs="Times New Roman"/>
                <w:color w:val="auto"/>
                <w:sz w:val="24"/>
                <w:szCs w:val="24"/>
                <w:highlight w:val="none"/>
              </w:rPr>
              <w:t>最大约为</w:t>
            </w:r>
            <w:r>
              <w:rPr>
                <w:rFonts w:hint="default" w:ascii="Times New Roman" w:hAnsi="Times New Roman" w:eastAsia="仿宋" w:cs="Times New Roman"/>
                <w:color w:val="auto"/>
                <w:sz w:val="24"/>
                <w:szCs w:val="24"/>
                <w:highlight w:val="none"/>
                <w:lang w:val="en-US" w:eastAsia="zh-CN"/>
              </w:rPr>
              <w:t>0.075</w:t>
            </w:r>
            <w:r>
              <w:rPr>
                <w:rFonts w:hint="default" w:ascii="Times New Roman" w:hAnsi="Times New Roman" w:eastAsia="仿宋" w:cs="Times New Roman"/>
                <w:color w:val="auto"/>
                <w:sz w:val="24"/>
                <w:szCs w:val="24"/>
                <w:highlight w:val="none"/>
              </w:rPr>
              <w:t>t</w:t>
            </w:r>
            <w:r>
              <w:rPr>
                <w:rFonts w:hint="default" w:ascii="Times New Roman" w:hAnsi="Times New Roman" w:eastAsia="仿宋" w:cs="Times New Roman"/>
                <w:color w:val="auto"/>
                <w:sz w:val="24"/>
                <w:szCs w:val="24"/>
                <w:highlight w:val="none"/>
                <w:lang w:eastAsia="zh-CN"/>
              </w:rPr>
              <w:t>，</w:t>
            </w:r>
            <w:r>
              <w:rPr>
                <w:rFonts w:hint="eastAsia" w:ascii="Times New Roman" w:hAnsi="Times New Roman" w:eastAsia="仿宋" w:cs="Times New Roman"/>
                <w:b w:val="0"/>
                <w:bCs w:val="0"/>
                <w:color w:val="auto"/>
                <w:kern w:val="2"/>
                <w:sz w:val="21"/>
                <w:szCs w:val="21"/>
                <w:highlight w:val="none"/>
                <w:lang w:val="en-US" w:eastAsia="zh-CN" w:bidi="ar-SA"/>
              </w:rPr>
              <w:t>试漏废液</w:t>
            </w:r>
            <w:r>
              <w:rPr>
                <w:rFonts w:hint="default" w:ascii="Times New Roman" w:hAnsi="Times New Roman" w:eastAsia="仿宋" w:cs="Times New Roman"/>
                <w:color w:val="auto"/>
                <w:sz w:val="24"/>
                <w:szCs w:val="24"/>
                <w:highlight w:val="none"/>
              </w:rPr>
              <w:t>最大约为</w:t>
            </w:r>
            <w:r>
              <w:rPr>
                <w:rFonts w:hint="eastAsia"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lang w:val="en-US" w:eastAsia="zh-CN"/>
              </w:rPr>
              <w:t>6</w:t>
            </w:r>
            <w:r>
              <w:rPr>
                <w:rFonts w:hint="default" w:ascii="Times New Roman" w:hAnsi="Times New Roman" w:eastAsia="仿宋" w:cs="Times New Roman"/>
                <w:color w:val="auto"/>
                <w:sz w:val="24"/>
                <w:szCs w:val="24"/>
                <w:highlight w:val="none"/>
              </w:rPr>
              <w:t>t</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b w:val="0"/>
                <w:bCs w:val="0"/>
                <w:color w:val="auto"/>
                <w:kern w:val="2"/>
                <w:sz w:val="24"/>
                <w:szCs w:val="24"/>
                <w:highlight w:val="none"/>
                <w:lang w:val="en-US" w:eastAsia="zh-CN" w:bidi="ar-SA"/>
              </w:rPr>
              <w:t>废过滤介质</w:t>
            </w:r>
            <w:r>
              <w:rPr>
                <w:rFonts w:hint="default" w:ascii="Times New Roman" w:hAnsi="Times New Roman" w:eastAsia="仿宋" w:cs="Times New Roman"/>
                <w:color w:val="auto"/>
                <w:sz w:val="24"/>
                <w:szCs w:val="24"/>
                <w:highlight w:val="none"/>
              </w:rPr>
              <w:t>最大约为</w:t>
            </w:r>
            <w:r>
              <w:rPr>
                <w:rFonts w:hint="default" w:ascii="Times New Roman" w:hAnsi="Times New Roman" w:eastAsia="仿宋" w:cs="Times New Roman"/>
                <w:color w:val="auto"/>
                <w:sz w:val="24"/>
                <w:szCs w:val="24"/>
                <w:highlight w:val="none"/>
                <w:lang w:val="en-US" w:eastAsia="zh-CN"/>
              </w:rPr>
              <w:t>0.1</w:t>
            </w:r>
            <w:r>
              <w:rPr>
                <w:rFonts w:hint="eastAsia" w:eastAsia="仿宋" w:cs="Times New Roman"/>
                <w:color w:val="auto"/>
                <w:sz w:val="24"/>
                <w:szCs w:val="24"/>
                <w:highlight w:val="none"/>
                <w:lang w:val="en-US" w:eastAsia="zh-CN"/>
              </w:rPr>
              <w:t>6</w:t>
            </w:r>
            <w:r>
              <w:rPr>
                <w:rFonts w:hint="default" w:ascii="Times New Roman" w:hAnsi="Times New Roman" w:eastAsia="仿宋" w:cs="Times New Roman"/>
                <w:color w:val="auto"/>
                <w:sz w:val="24"/>
                <w:szCs w:val="24"/>
                <w:highlight w:val="none"/>
              </w:rPr>
              <w:t>t</w:t>
            </w:r>
            <w:r>
              <w:rPr>
                <w:rFonts w:hint="default" w:ascii="Times New Roman" w:hAnsi="Times New Roman" w:eastAsia="仿宋" w:cs="Times New Roman"/>
                <w:color w:val="auto"/>
                <w:sz w:val="24"/>
                <w:szCs w:val="24"/>
                <w:highlight w:val="none"/>
                <w:lang w:eastAsia="zh-CN"/>
              </w:rPr>
              <w:t>，废活性炭</w:t>
            </w:r>
            <w:r>
              <w:rPr>
                <w:rFonts w:hint="default" w:ascii="Times New Roman" w:hAnsi="Times New Roman" w:eastAsia="仿宋" w:cs="Times New Roman"/>
                <w:color w:val="auto"/>
                <w:sz w:val="24"/>
                <w:szCs w:val="24"/>
                <w:highlight w:val="none"/>
              </w:rPr>
              <w:t>最大约为</w:t>
            </w:r>
            <w:r>
              <w:rPr>
                <w:rFonts w:hint="eastAsia" w:eastAsia="仿宋" w:cs="Times New Roman"/>
                <w:color w:val="auto"/>
                <w:sz w:val="24"/>
                <w:szCs w:val="24"/>
                <w:highlight w:val="none"/>
                <w:lang w:val="en-US" w:eastAsia="zh-CN"/>
              </w:rPr>
              <w:t>0.77</w:t>
            </w:r>
            <w:r>
              <w:rPr>
                <w:rFonts w:hint="default" w:ascii="Times New Roman" w:hAnsi="Times New Roman" w:eastAsia="仿宋" w:cs="Times New Roman"/>
                <w:color w:val="auto"/>
                <w:sz w:val="24"/>
                <w:szCs w:val="24"/>
                <w:highlight w:val="none"/>
              </w:rPr>
              <w:t>t</w:t>
            </w:r>
            <w:r>
              <w:rPr>
                <w:rFonts w:hint="eastAsia" w:eastAsia="仿宋" w:cs="Times New Roman"/>
                <w:color w:val="auto"/>
                <w:sz w:val="24"/>
                <w:szCs w:val="24"/>
                <w:highlight w:val="none"/>
                <w:lang w:eastAsia="zh-CN"/>
              </w:rPr>
              <w:t>，</w:t>
            </w:r>
            <w:r>
              <w:rPr>
                <w:rFonts w:hint="default" w:ascii="Times New Roman" w:hAnsi="Times New Roman" w:eastAsia="仿宋" w:cs="Times New Roman"/>
                <w:color w:val="auto"/>
                <w:sz w:val="24"/>
                <w:szCs w:val="24"/>
              </w:rPr>
              <w:t>含油抹布手套</w:t>
            </w:r>
            <w:r>
              <w:rPr>
                <w:rFonts w:hint="default" w:ascii="Times New Roman" w:hAnsi="Times New Roman" w:eastAsia="仿宋" w:cs="Times New Roman"/>
                <w:color w:val="auto"/>
                <w:sz w:val="24"/>
                <w:szCs w:val="24"/>
                <w:highlight w:val="none"/>
              </w:rPr>
              <w:t>最大约为</w:t>
            </w:r>
            <w:r>
              <w:rPr>
                <w:rFonts w:hint="eastAsia" w:eastAsia="仿宋" w:cs="Times New Roman"/>
                <w:color w:val="auto"/>
                <w:sz w:val="24"/>
                <w:szCs w:val="24"/>
                <w:highlight w:val="none"/>
                <w:lang w:val="en-US" w:eastAsia="zh-CN"/>
              </w:rPr>
              <w:t>0.05</w:t>
            </w:r>
            <w:r>
              <w:rPr>
                <w:rFonts w:hint="default" w:ascii="Times New Roman" w:hAnsi="Times New Roman" w:eastAsia="仿宋" w:cs="Times New Roman"/>
                <w:color w:val="auto"/>
                <w:sz w:val="24"/>
                <w:szCs w:val="24"/>
                <w:highlight w:val="none"/>
              </w:rPr>
              <w:t>t。危险废物采用吨袋、吨桶或塑料桶存放，不同危险废物分开存放，每个托盘尺寸为1m*1m，占地面积1m</w:t>
            </w:r>
            <w:r>
              <w:rPr>
                <w:rFonts w:hint="default" w:ascii="Times New Roman" w:hAnsi="Times New Roman" w:eastAsia="仿宋" w:cs="Times New Roman"/>
                <w:color w:val="auto"/>
                <w:sz w:val="24"/>
                <w:szCs w:val="24"/>
                <w:highlight w:val="none"/>
                <w:vertAlign w:val="superscript"/>
              </w:rPr>
              <w:t>2</w:t>
            </w:r>
            <w:r>
              <w:rPr>
                <w:rFonts w:hint="default" w:ascii="Times New Roman" w:hAnsi="Times New Roman" w:eastAsia="仿宋" w:cs="Times New Roman"/>
                <w:color w:val="auto"/>
                <w:sz w:val="24"/>
                <w:szCs w:val="24"/>
                <w:highlight w:val="none"/>
              </w:rPr>
              <w:t>，则本项目</w:t>
            </w:r>
            <w:r>
              <w:rPr>
                <w:rFonts w:hint="default" w:ascii="Times New Roman" w:hAnsi="Times New Roman" w:eastAsia="仿宋" w:cs="Times New Roman"/>
                <w:b w:val="0"/>
                <w:bCs/>
                <w:color w:val="auto"/>
                <w:sz w:val="24"/>
                <w:szCs w:val="24"/>
                <w:lang w:eastAsia="zh-CN"/>
              </w:rPr>
              <w:t>危废</w:t>
            </w:r>
            <w:r>
              <w:rPr>
                <w:rFonts w:hint="default" w:ascii="Times New Roman" w:hAnsi="Times New Roman" w:eastAsia="仿宋" w:cs="Times New Roman"/>
                <w:color w:val="auto"/>
                <w:sz w:val="24"/>
                <w:szCs w:val="24"/>
                <w:highlight w:val="none"/>
              </w:rPr>
              <w:t>最大贮存面积需</w:t>
            </w:r>
            <w:r>
              <w:rPr>
                <w:rFonts w:hint="eastAsia" w:eastAsia="仿宋" w:cs="Times New Roman"/>
                <w:color w:val="auto"/>
                <w:sz w:val="24"/>
                <w:szCs w:val="24"/>
                <w:highlight w:val="none"/>
                <w:lang w:val="en-US" w:eastAsia="zh-CN"/>
              </w:rPr>
              <w:t>11</w:t>
            </w:r>
            <w:r>
              <w:rPr>
                <w:rFonts w:hint="default" w:ascii="Times New Roman" w:hAnsi="Times New Roman" w:eastAsia="仿宋" w:cs="Times New Roman"/>
                <w:color w:val="auto"/>
                <w:sz w:val="24"/>
                <w:szCs w:val="24"/>
                <w:highlight w:val="none"/>
              </w:rPr>
              <w:t>m</w:t>
            </w:r>
            <w:r>
              <w:rPr>
                <w:rFonts w:hint="default" w:ascii="Times New Roman" w:hAnsi="Times New Roman" w:eastAsia="仿宋" w:cs="Times New Roman"/>
                <w:color w:val="auto"/>
                <w:sz w:val="24"/>
                <w:szCs w:val="24"/>
                <w:highlight w:val="none"/>
                <w:vertAlign w:val="superscript"/>
              </w:rPr>
              <w:t>2</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en-US" w:eastAsia="zh-CN"/>
              </w:rPr>
              <w:t>本项目拟扩建厂区内现有的</w:t>
            </w:r>
            <w:r>
              <w:rPr>
                <w:rFonts w:hint="default" w:ascii="Times New Roman" w:hAnsi="Times New Roman" w:eastAsia="仿宋" w:cs="Times New Roman"/>
                <w:color w:val="auto"/>
                <w:sz w:val="24"/>
                <w:szCs w:val="24"/>
                <w:highlight w:val="none"/>
                <w:lang w:eastAsia="zh-CN"/>
              </w:rPr>
              <w:t>危废仓库至</w:t>
            </w:r>
            <w:r>
              <w:rPr>
                <w:rFonts w:hint="eastAsia"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lang w:val="en-US" w:eastAsia="zh-CN"/>
              </w:rPr>
              <w:t>0</w:t>
            </w:r>
            <w:r>
              <w:rPr>
                <w:rFonts w:hint="default" w:ascii="Times New Roman" w:hAnsi="Times New Roman" w:eastAsia="仿宋" w:cs="Times New Roman"/>
                <w:color w:val="auto"/>
                <w:sz w:val="24"/>
                <w:szCs w:val="24"/>
                <w:highlight w:val="none"/>
              </w:rPr>
              <w:t>m</w:t>
            </w:r>
            <w:r>
              <w:rPr>
                <w:rFonts w:hint="default" w:ascii="Times New Roman" w:hAnsi="Times New Roman" w:eastAsia="仿宋" w:cs="Times New Roman"/>
                <w:color w:val="auto"/>
                <w:sz w:val="24"/>
                <w:szCs w:val="24"/>
                <w:highlight w:val="none"/>
                <w:vertAlign w:val="superscript"/>
              </w:rPr>
              <w:t>2</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eastAsia="zh-CN"/>
              </w:rPr>
              <w:t>扩建后的</w:t>
            </w:r>
            <w:r>
              <w:rPr>
                <w:rFonts w:hint="default" w:ascii="Times New Roman" w:hAnsi="Times New Roman" w:eastAsia="仿宋" w:cs="Times New Roman"/>
                <w:color w:val="auto"/>
                <w:sz w:val="24"/>
                <w:szCs w:val="24"/>
                <w:highlight w:val="none"/>
                <w:lang w:val="en-US" w:eastAsia="zh-CN"/>
              </w:rPr>
              <w:t>危废仓库贮存能力</w:t>
            </w:r>
            <w:r>
              <w:rPr>
                <w:rFonts w:hint="default" w:ascii="Times New Roman" w:hAnsi="Times New Roman" w:eastAsia="仿宋" w:cs="Times New Roman"/>
                <w:color w:val="auto"/>
                <w:sz w:val="24"/>
                <w:szCs w:val="24"/>
                <w:highlight w:val="none"/>
              </w:rPr>
              <w:t>可以满足本项目的需要。</w:t>
            </w:r>
          </w:p>
          <w:p w14:paraId="6F5CA9A6">
            <w:pPr>
              <w:adjustRightInd w:val="0"/>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本项目危险废物贮存场所基本情况详见</w:t>
            </w:r>
            <w:r>
              <w:rPr>
                <w:rFonts w:hint="default" w:ascii="Times New Roman" w:hAnsi="Times New Roman" w:eastAsia="仿宋" w:cs="Times New Roman"/>
                <w:bCs/>
                <w:color w:val="auto"/>
                <w:sz w:val="24"/>
              </w:rPr>
              <w:t>下</w:t>
            </w:r>
            <w:r>
              <w:rPr>
                <w:rFonts w:hint="default" w:ascii="Times New Roman" w:hAnsi="Times New Roman" w:eastAsia="仿宋" w:cs="Times New Roman"/>
                <w:bCs/>
                <w:color w:val="auto"/>
                <w:sz w:val="24"/>
                <w:lang w:val="en-US" w:eastAsia="zh-CN"/>
              </w:rPr>
              <w:t>表。</w:t>
            </w:r>
          </w:p>
          <w:p w14:paraId="3CE6D878">
            <w:pPr>
              <w:pStyle w:val="85"/>
              <w:keepNext w:val="0"/>
              <w:keepLines w:val="0"/>
              <w:pageBreakBefore w:val="0"/>
              <w:widowControl w:val="0"/>
              <w:kinsoku/>
              <w:wordWrap/>
              <w:overflowPunct/>
              <w:topLinePunct w:val="0"/>
              <w:autoSpaceDE w:val="0"/>
              <w:autoSpaceDN w:val="0"/>
              <w:bidi w:val="0"/>
              <w:adjustRightInd w:val="0"/>
              <w:snapToGrid w:val="0"/>
              <w:spacing w:beforeLines="0" w:line="500" w:lineRule="exact"/>
              <w:ind w:firstLine="0" w:firstLineChars="0"/>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表4-23  本项目危险废物贮存场所（设施）基本情况表</w:t>
            </w:r>
          </w:p>
          <w:tbl>
            <w:tblPr>
              <w:tblStyle w:val="27"/>
              <w:tblW w:w="495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79" w:type="dxa"/>
                <w:bottom w:w="0" w:type="dxa"/>
                <w:right w:w="79" w:type="dxa"/>
              </w:tblCellMar>
            </w:tblPr>
            <w:tblGrid>
              <w:gridCol w:w="418"/>
              <w:gridCol w:w="930"/>
              <w:gridCol w:w="1057"/>
              <w:gridCol w:w="867"/>
              <w:gridCol w:w="1306"/>
              <w:gridCol w:w="595"/>
              <w:gridCol w:w="823"/>
              <w:gridCol w:w="911"/>
              <w:gridCol w:w="967"/>
              <w:gridCol w:w="896"/>
            </w:tblGrid>
            <w:tr w14:paraId="260CBA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38" w:type="pct"/>
                  <w:tcBorders>
                    <w:tl2br w:val="nil"/>
                    <w:tr2bl w:val="nil"/>
                  </w:tcBorders>
                  <w:vAlign w:val="center"/>
                </w:tcPr>
                <w:p w14:paraId="016B4F7B">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序号</w:t>
                  </w:r>
                </w:p>
              </w:tc>
              <w:tc>
                <w:tcPr>
                  <w:tcW w:w="530" w:type="pct"/>
                  <w:tcBorders>
                    <w:tl2br w:val="nil"/>
                    <w:tr2bl w:val="nil"/>
                  </w:tcBorders>
                  <w:vAlign w:val="center"/>
                </w:tcPr>
                <w:p w14:paraId="6BF98363">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贮存场所名称</w:t>
                  </w:r>
                </w:p>
              </w:tc>
              <w:tc>
                <w:tcPr>
                  <w:tcW w:w="602" w:type="pct"/>
                  <w:tcBorders>
                    <w:tl2br w:val="nil"/>
                    <w:tr2bl w:val="nil"/>
                  </w:tcBorders>
                  <w:vAlign w:val="center"/>
                </w:tcPr>
                <w:p w14:paraId="7156DB8A">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危险废物名称</w:t>
                  </w:r>
                </w:p>
              </w:tc>
              <w:tc>
                <w:tcPr>
                  <w:tcW w:w="494" w:type="pct"/>
                  <w:tcBorders>
                    <w:tl2br w:val="nil"/>
                    <w:tr2bl w:val="nil"/>
                  </w:tcBorders>
                  <w:vAlign w:val="center"/>
                </w:tcPr>
                <w:p w14:paraId="39B84C8F">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危险废物类别</w:t>
                  </w:r>
                </w:p>
              </w:tc>
              <w:tc>
                <w:tcPr>
                  <w:tcW w:w="744" w:type="pct"/>
                  <w:tcBorders>
                    <w:tl2br w:val="nil"/>
                    <w:tr2bl w:val="nil"/>
                  </w:tcBorders>
                  <w:vAlign w:val="center"/>
                </w:tcPr>
                <w:p w14:paraId="525F8F10">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危险废物代码</w:t>
                  </w:r>
                </w:p>
              </w:tc>
              <w:tc>
                <w:tcPr>
                  <w:tcW w:w="339" w:type="pct"/>
                  <w:tcBorders>
                    <w:tl2br w:val="nil"/>
                    <w:tr2bl w:val="nil"/>
                  </w:tcBorders>
                  <w:vAlign w:val="center"/>
                </w:tcPr>
                <w:p w14:paraId="3ED7D6BE">
                  <w:pPr>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位置</w:t>
                  </w:r>
                </w:p>
              </w:tc>
              <w:tc>
                <w:tcPr>
                  <w:tcW w:w="469" w:type="pct"/>
                  <w:tcBorders>
                    <w:tl2br w:val="nil"/>
                    <w:tr2bl w:val="nil"/>
                  </w:tcBorders>
                  <w:vAlign w:val="center"/>
                </w:tcPr>
                <w:p w14:paraId="5A6F1CE7">
                  <w:pPr>
                    <w:pStyle w:val="89"/>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占地面积（m</w:t>
                  </w:r>
                  <w:r>
                    <w:rPr>
                      <w:rFonts w:hint="default" w:ascii="Times New Roman" w:hAnsi="Times New Roman" w:eastAsia="仿宋" w:cs="Times New Roman"/>
                      <w:b/>
                      <w:bCs/>
                      <w:color w:val="auto"/>
                      <w:sz w:val="21"/>
                      <w:szCs w:val="21"/>
                      <w:vertAlign w:val="superscript"/>
                    </w:rPr>
                    <w:t>2</w:t>
                  </w:r>
                  <w:r>
                    <w:rPr>
                      <w:rFonts w:hint="default" w:ascii="Times New Roman" w:hAnsi="Times New Roman" w:eastAsia="仿宋" w:cs="Times New Roman"/>
                      <w:b/>
                      <w:bCs/>
                      <w:color w:val="auto"/>
                      <w:sz w:val="21"/>
                      <w:szCs w:val="21"/>
                    </w:rPr>
                    <w:t>）</w:t>
                  </w:r>
                </w:p>
              </w:tc>
              <w:tc>
                <w:tcPr>
                  <w:tcW w:w="519" w:type="pct"/>
                  <w:tcBorders>
                    <w:tl2br w:val="nil"/>
                    <w:tr2bl w:val="nil"/>
                  </w:tcBorders>
                  <w:vAlign w:val="center"/>
                </w:tcPr>
                <w:p w14:paraId="37EAE15F">
                  <w:pPr>
                    <w:pStyle w:val="89"/>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贮存方式</w:t>
                  </w:r>
                </w:p>
              </w:tc>
              <w:tc>
                <w:tcPr>
                  <w:tcW w:w="551" w:type="pct"/>
                  <w:tcBorders>
                    <w:tl2br w:val="nil"/>
                    <w:tr2bl w:val="nil"/>
                  </w:tcBorders>
                  <w:vAlign w:val="center"/>
                </w:tcPr>
                <w:p w14:paraId="15B2264B">
                  <w:pPr>
                    <w:pStyle w:val="89"/>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贮存</w:t>
                  </w:r>
                </w:p>
                <w:p w14:paraId="4C825DE1">
                  <w:pPr>
                    <w:pStyle w:val="89"/>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能力（t）</w:t>
                  </w:r>
                </w:p>
              </w:tc>
              <w:tc>
                <w:tcPr>
                  <w:tcW w:w="510" w:type="pct"/>
                  <w:tcBorders>
                    <w:tl2br w:val="nil"/>
                    <w:tr2bl w:val="nil"/>
                  </w:tcBorders>
                  <w:vAlign w:val="center"/>
                </w:tcPr>
                <w:p w14:paraId="0A182A6A">
                  <w:pPr>
                    <w:pStyle w:val="89"/>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贮存</w:t>
                  </w:r>
                </w:p>
                <w:p w14:paraId="30B5E8C5">
                  <w:pPr>
                    <w:pStyle w:val="89"/>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周期</w:t>
                  </w:r>
                </w:p>
              </w:tc>
            </w:tr>
            <w:tr w14:paraId="5E628D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38" w:type="pct"/>
                  <w:tcBorders>
                    <w:tl2br w:val="nil"/>
                    <w:tr2bl w:val="nil"/>
                  </w:tcBorders>
                  <w:vAlign w:val="center"/>
                </w:tcPr>
                <w:p w14:paraId="05BD39AB">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w:t>
                  </w:r>
                </w:p>
              </w:tc>
              <w:tc>
                <w:tcPr>
                  <w:tcW w:w="530" w:type="pct"/>
                  <w:vMerge w:val="restart"/>
                  <w:tcBorders>
                    <w:tl2br w:val="nil"/>
                    <w:tr2bl w:val="nil"/>
                  </w:tcBorders>
                  <w:vAlign w:val="center"/>
                </w:tcPr>
                <w:p w14:paraId="2F1D605B">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危废</w:t>
                  </w:r>
                </w:p>
                <w:p w14:paraId="12B35010">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仓库</w:t>
                  </w:r>
                </w:p>
              </w:tc>
              <w:tc>
                <w:tcPr>
                  <w:tcW w:w="602" w:type="pct"/>
                  <w:tcBorders>
                    <w:tl2br w:val="nil"/>
                    <w:tr2bl w:val="nil"/>
                  </w:tcBorders>
                  <w:vAlign w:val="center"/>
                </w:tcPr>
                <w:p w14:paraId="5E6F425C">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w:t>
                  </w:r>
                  <w:r>
                    <w:rPr>
                      <w:rFonts w:hint="eastAsia" w:ascii="Times New Roman" w:hAnsi="Times New Roman" w:eastAsia="仿宋" w:cs="Times New Roman"/>
                      <w:b w:val="0"/>
                      <w:bCs w:val="0"/>
                      <w:color w:val="auto"/>
                      <w:kern w:val="2"/>
                      <w:sz w:val="21"/>
                      <w:szCs w:val="21"/>
                      <w:highlight w:val="none"/>
                      <w:lang w:val="en-US" w:eastAsia="zh-CN" w:bidi="ar-SA"/>
                    </w:rPr>
                    <w:t>切削液</w:t>
                  </w:r>
                </w:p>
              </w:tc>
              <w:tc>
                <w:tcPr>
                  <w:tcW w:w="494" w:type="pct"/>
                  <w:tcBorders>
                    <w:tl2br w:val="nil"/>
                    <w:tr2bl w:val="nil"/>
                  </w:tcBorders>
                  <w:vAlign w:val="center"/>
                </w:tcPr>
                <w:p w14:paraId="57875AA8">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HW0</w:t>
                  </w:r>
                  <w:r>
                    <w:rPr>
                      <w:rFonts w:hint="default" w:ascii="Times New Roman" w:hAnsi="Times New Roman" w:eastAsia="仿宋" w:cs="Times New Roman"/>
                      <w:color w:val="auto"/>
                      <w:szCs w:val="21"/>
                      <w:lang w:val="en-US" w:eastAsia="zh-CN"/>
                    </w:rPr>
                    <w:t>9</w:t>
                  </w:r>
                </w:p>
              </w:tc>
              <w:tc>
                <w:tcPr>
                  <w:tcW w:w="744" w:type="pct"/>
                  <w:tcBorders>
                    <w:tl2br w:val="nil"/>
                    <w:tr2bl w:val="nil"/>
                  </w:tcBorders>
                  <w:vAlign w:val="center"/>
                </w:tcPr>
                <w:p w14:paraId="6BE89E8D">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eastAsia="zh-CN"/>
                    </w:rPr>
                    <w:t>900-</w:t>
                  </w:r>
                  <w:r>
                    <w:rPr>
                      <w:rFonts w:hint="default" w:ascii="Times New Roman" w:hAnsi="Times New Roman" w:eastAsia="仿宋" w:cs="Times New Roman"/>
                      <w:color w:val="auto"/>
                      <w:szCs w:val="21"/>
                      <w:lang w:val="en-US" w:eastAsia="zh-CN"/>
                    </w:rPr>
                    <w:t>006</w:t>
                  </w:r>
                  <w:r>
                    <w:rPr>
                      <w:rFonts w:hint="default" w:ascii="Times New Roman" w:hAnsi="Times New Roman" w:eastAsia="仿宋" w:cs="Times New Roman"/>
                      <w:color w:val="auto"/>
                      <w:szCs w:val="21"/>
                      <w:lang w:eastAsia="zh-CN"/>
                    </w:rPr>
                    <w:t>-0</w:t>
                  </w:r>
                  <w:r>
                    <w:rPr>
                      <w:rFonts w:hint="default" w:ascii="Times New Roman" w:hAnsi="Times New Roman" w:eastAsia="仿宋" w:cs="Times New Roman"/>
                      <w:color w:val="auto"/>
                      <w:szCs w:val="21"/>
                      <w:lang w:val="en-US" w:eastAsia="zh-CN"/>
                    </w:rPr>
                    <w:t>9</w:t>
                  </w:r>
                </w:p>
              </w:tc>
              <w:tc>
                <w:tcPr>
                  <w:tcW w:w="339" w:type="pct"/>
                  <w:vMerge w:val="restart"/>
                  <w:tcBorders>
                    <w:tl2br w:val="nil"/>
                    <w:tr2bl w:val="nil"/>
                  </w:tcBorders>
                  <w:vAlign w:val="center"/>
                </w:tcPr>
                <w:p w14:paraId="6832DF0B">
                  <w:pPr>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sz w:val="21"/>
                      <w:szCs w:val="21"/>
                      <w:lang w:val="en-US" w:eastAsia="zh-CN"/>
                    </w:rPr>
                    <w:t>车间内</w:t>
                  </w:r>
                </w:p>
              </w:tc>
              <w:tc>
                <w:tcPr>
                  <w:tcW w:w="469" w:type="pct"/>
                  <w:vMerge w:val="restart"/>
                  <w:tcBorders>
                    <w:tl2br w:val="nil"/>
                    <w:tr2bl w:val="nil"/>
                  </w:tcBorders>
                  <w:vAlign w:val="center"/>
                </w:tcPr>
                <w:p w14:paraId="58D0C3EF">
                  <w:pPr>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20</w:t>
                  </w:r>
                </w:p>
              </w:tc>
              <w:tc>
                <w:tcPr>
                  <w:tcW w:w="519" w:type="pct"/>
                  <w:vMerge w:val="restart"/>
                  <w:tcBorders>
                    <w:tl2br w:val="nil"/>
                    <w:tr2bl w:val="nil"/>
                  </w:tcBorders>
                  <w:vAlign w:val="center"/>
                </w:tcPr>
                <w:p w14:paraId="2DEE7D31">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贴上标签，密封桶/袋装，分区放置</w:t>
                  </w:r>
                </w:p>
              </w:tc>
              <w:tc>
                <w:tcPr>
                  <w:tcW w:w="551" w:type="pct"/>
                  <w:tcBorders>
                    <w:tl2br w:val="nil"/>
                    <w:tr2bl w:val="nil"/>
                  </w:tcBorders>
                  <w:vAlign w:val="center"/>
                </w:tcPr>
                <w:p w14:paraId="28F7256B">
                  <w:pPr>
                    <w:adjustRightInd w:val="0"/>
                    <w:snapToGrid w:val="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1"/>
                      <w:lang w:val="en-US" w:eastAsia="zh-CN" w:bidi="ar-SA"/>
                    </w:rPr>
                    <w:t>2</w:t>
                  </w:r>
                </w:p>
              </w:tc>
              <w:tc>
                <w:tcPr>
                  <w:tcW w:w="510" w:type="pct"/>
                  <w:tcBorders>
                    <w:tl2br w:val="nil"/>
                    <w:tr2bl w:val="nil"/>
                  </w:tcBorders>
                  <w:vAlign w:val="center"/>
                </w:tcPr>
                <w:p w14:paraId="395E7AFC">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3个月</w:t>
                  </w:r>
                </w:p>
              </w:tc>
            </w:tr>
            <w:tr w14:paraId="76CF78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38" w:type="pct"/>
                  <w:tcBorders>
                    <w:tl2br w:val="nil"/>
                    <w:tr2bl w:val="nil"/>
                  </w:tcBorders>
                  <w:vAlign w:val="center"/>
                </w:tcPr>
                <w:p w14:paraId="5F732CF3">
                  <w:pPr>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2</w:t>
                  </w:r>
                </w:p>
              </w:tc>
              <w:tc>
                <w:tcPr>
                  <w:tcW w:w="530" w:type="pct"/>
                  <w:vMerge w:val="continue"/>
                  <w:tcBorders>
                    <w:tl2br w:val="nil"/>
                    <w:tr2bl w:val="nil"/>
                  </w:tcBorders>
                  <w:vAlign w:val="center"/>
                </w:tcPr>
                <w:p w14:paraId="7C75DFF3">
                  <w:pPr>
                    <w:jc w:val="center"/>
                    <w:rPr>
                      <w:rFonts w:hint="default" w:ascii="Times New Roman" w:hAnsi="Times New Roman" w:eastAsia="仿宋" w:cs="Times New Roman"/>
                      <w:color w:val="auto"/>
                      <w:kern w:val="0"/>
                      <w:szCs w:val="21"/>
                    </w:rPr>
                  </w:pPr>
                </w:p>
              </w:tc>
              <w:tc>
                <w:tcPr>
                  <w:tcW w:w="602" w:type="pct"/>
                  <w:tcBorders>
                    <w:tl2br w:val="nil"/>
                    <w:tr2bl w:val="nil"/>
                  </w:tcBorders>
                  <w:vAlign w:val="center"/>
                </w:tcPr>
                <w:p w14:paraId="75D00E13">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废包装桶</w:t>
                  </w:r>
                </w:p>
              </w:tc>
              <w:tc>
                <w:tcPr>
                  <w:tcW w:w="494" w:type="pct"/>
                  <w:tcBorders>
                    <w:tl2br w:val="nil"/>
                    <w:tr2bl w:val="nil"/>
                  </w:tcBorders>
                  <w:vAlign w:val="center"/>
                </w:tcPr>
                <w:p w14:paraId="1A509135">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Cs w:val="21"/>
                    </w:rPr>
                    <w:t>HW49</w:t>
                  </w:r>
                </w:p>
              </w:tc>
              <w:tc>
                <w:tcPr>
                  <w:tcW w:w="744" w:type="pct"/>
                  <w:tcBorders>
                    <w:tl2br w:val="nil"/>
                    <w:tr2bl w:val="nil"/>
                  </w:tcBorders>
                  <w:vAlign w:val="center"/>
                </w:tcPr>
                <w:p w14:paraId="129070E8">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Cs w:val="21"/>
                    </w:rPr>
                    <w:t>900-041-49</w:t>
                  </w:r>
                </w:p>
              </w:tc>
              <w:tc>
                <w:tcPr>
                  <w:tcW w:w="339" w:type="pct"/>
                  <w:vMerge w:val="continue"/>
                  <w:tcBorders>
                    <w:tl2br w:val="nil"/>
                    <w:tr2bl w:val="nil"/>
                  </w:tcBorders>
                  <w:vAlign w:val="center"/>
                </w:tcPr>
                <w:p w14:paraId="4C02CA26">
                  <w:pPr>
                    <w:jc w:val="center"/>
                    <w:rPr>
                      <w:rFonts w:hint="default" w:ascii="Times New Roman" w:hAnsi="Times New Roman" w:eastAsia="仿宋" w:cs="Times New Roman"/>
                      <w:color w:val="auto"/>
                      <w:kern w:val="0"/>
                      <w:szCs w:val="21"/>
                    </w:rPr>
                  </w:pPr>
                </w:p>
              </w:tc>
              <w:tc>
                <w:tcPr>
                  <w:tcW w:w="469" w:type="pct"/>
                  <w:vMerge w:val="continue"/>
                  <w:tcBorders>
                    <w:tl2br w:val="nil"/>
                    <w:tr2bl w:val="nil"/>
                  </w:tcBorders>
                  <w:vAlign w:val="center"/>
                </w:tcPr>
                <w:p w14:paraId="0977E3C2">
                  <w:pPr>
                    <w:jc w:val="center"/>
                    <w:rPr>
                      <w:rFonts w:hint="default" w:ascii="Times New Roman" w:hAnsi="Times New Roman" w:eastAsia="仿宋" w:cs="Times New Roman"/>
                      <w:color w:val="auto"/>
                      <w:kern w:val="0"/>
                      <w:szCs w:val="21"/>
                    </w:rPr>
                  </w:pPr>
                </w:p>
              </w:tc>
              <w:tc>
                <w:tcPr>
                  <w:tcW w:w="519" w:type="pct"/>
                  <w:vMerge w:val="continue"/>
                  <w:tcBorders>
                    <w:tl2br w:val="nil"/>
                    <w:tr2bl w:val="nil"/>
                  </w:tcBorders>
                  <w:vAlign w:val="center"/>
                </w:tcPr>
                <w:p w14:paraId="019AC8ED">
                  <w:pPr>
                    <w:jc w:val="center"/>
                    <w:rPr>
                      <w:rFonts w:hint="default" w:ascii="Times New Roman" w:hAnsi="Times New Roman" w:eastAsia="仿宋" w:cs="Times New Roman"/>
                      <w:color w:val="auto"/>
                      <w:kern w:val="0"/>
                      <w:szCs w:val="21"/>
                    </w:rPr>
                  </w:pPr>
                </w:p>
              </w:tc>
              <w:tc>
                <w:tcPr>
                  <w:tcW w:w="551" w:type="pct"/>
                  <w:tcBorders>
                    <w:tl2br w:val="nil"/>
                    <w:tr2bl w:val="nil"/>
                  </w:tcBorders>
                  <w:vAlign w:val="center"/>
                </w:tcPr>
                <w:p w14:paraId="1605654A">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color w:val="auto"/>
                      <w:kern w:val="2"/>
                      <w:sz w:val="21"/>
                      <w:szCs w:val="21"/>
                      <w:lang w:val="en-US" w:eastAsia="zh-CN" w:bidi="ar-SA"/>
                    </w:rPr>
                    <w:t>0.3</w:t>
                  </w:r>
                </w:p>
              </w:tc>
              <w:tc>
                <w:tcPr>
                  <w:tcW w:w="510" w:type="pct"/>
                  <w:tcBorders>
                    <w:tl2br w:val="nil"/>
                    <w:tr2bl w:val="nil"/>
                  </w:tcBorders>
                  <w:vAlign w:val="center"/>
                </w:tcPr>
                <w:p w14:paraId="47853D32">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3个月</w:t>
                  </w:r>
                </w:p>
              </w:tc>
            </w:tr>
            <w:tr w14:paraId="58DBD4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38" w:type="pct"/>
                  <w:tcBorders>
                    <w:tl2br w:val="nil"/>
                    <w:tr2bl w:val="nil"/>
                  </w:tcBorders>
                  <w:vAlign w:val="center"/>
                </w:tcPr>
                <w:p w14:paraId="290FF1AD">
                  <w:pPr>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3</w:t>
                  </w:r>
                </w:p>
              </w:tc>
              <w:tc>
                <w:tcPr>
                  <w:tcW w:w="530" w:type="pct"/>
                  <w:vMerge w:val="continue"/>
                  <w:tcBorders>
                    <w:tl2br w:val="nil"/>
                    <w:tr2bl w:val="nil"/>
                  </w:tcBorders>
                  <w:vAlign w:val="center"/>
                </w:tcPr>
                <w:p w14:paraId="57520CAD">
                  <w:pPr>
                    <w:jc w:val="center"/>
                    <w:rPr>
                      <w:rFonts w:hint="default" w:ascii="Times New Roman" w:hAnsi="Times New Roman" w:eastAsia="仿宋" w:cs="Times New Roman"/>
                      <w:color w:val="auto"/>
                      <w:kern w:val="0"/>
                      <w:szCs w:val="21"/>
                    </w:rPr>
                  </w:pPr>
                </w:p>
              </w:tc>
              <w:tc>
                <w:tcPr>
                  <w:tcW w:w="602" w:type="pct"/>
                  <w:tcBorders>
                    <w:tl2br w:val="nil"/>
                    <w:tr2bl w:val="nil"/>
                  </w:tcBorders>
                  <w:vAlign w:val="center"/>
                </w:tcPr>
                <w:p w14:paraId="169BC906">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漆渣</w:t>
                  </w:r>
                </w:p>
              </w:tc>
              <w:tc>
                <w:tcPr>
                  <w:tcW w:w="494" w:type="pct"/>
                  <w:tcBorders>
                    <w:tl2br w:val="nil"/>
                    <w:tr2bl w:val="nil"/>
                  </w:tcBorders>
                  <w:vAlign w:val="center"/>
                </w:tcPr>
                <w:p w14:paraId="41C0678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HW</w:t>
                  </w:r>
                  <w:r>
                    <w:rPr>
                      <w:rFonts w:hint="default" w:ascii="Times New Roman" w:hAnsi="Times New Roman" w:eastAsia="仿宋" w:cs="Times New Roman"/>
                      <w:color w:val="auto"/>
                      <w:szCs w:val="21"/>
                      <w:lang w:val="en-US" w:eastAsia="zh-CN"/>
                    </w:rPr>
                    <w:t>12</w:t>
                  </w:r>
                </w:p>
              </w:tc>
              <w:tc>
                <w:tcPr>
                  <w:tcW w:w="744" w:type="pct"/>
                  <w:tcBorders>
                    <w:tl2br w:val="nil"/>
                    <w:tr2bl w:val="nil"/>
                  </w:tcBorders>
                  <w:vAlign w:val="center"/>
                </w:tcPr>
                <w:p w14:paraId="67F1749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900-</w:t>
                  </w:r>
                  <w:r>
                    <w:rPr>
                      <w:rFonts w:hint="default" w:ascii="Times New Roman" w:hAnsi="Times New Roman" w:eastAsia="仿宋" w:cs="Times New Roman"/>
                      <w:color w:val="auto"/>
                      <w:szCs w:val="21"/>
                      <w:lang w:val="en-US" w:eastAsia="zh-CN"/>
                    </w:rPr>
                    <w:t>252</w:t>
                  </w:r>
                  <w:r>
                    <w:rPr>
                      <w:rFonts w:hint="default" w:ascii="Times New Roman" w:hAnsi="Times New Roman" w:eastAsia="仿宋" w:cs="Times New Roman"/>
                      <w:color w:val="auto"/>
                      <w:szCs w:val="21"/>
                    </w:rPr>
                    <w:t>-</w:t>
                  </w:r>
                  <w:r>
                    <w:rPr>
                      <w:rFonts w:hint="default" w:ascii="Times New Roman" w:hAnsi="Times New Roman" w:eastAsia="仿宋" w:cs="Times New Roman"/>
                      <w:color w:val="auto"/>
                      <w:szCs w:val="21"/>
                      <w:lang w:val="en-US" w:eastAsia="zh-CN"/>
                    </w:rPr>
                    <w:t>12</w:t>
                  </w:r>
                </w:p>
              </w:tc>
              <w:tc>
                <w:tcPr>
                  <w:tcW w:w="339" w:type="pct"/>
                  <w:vMerge w:val="continue"/>
                  <w:tcBorders>
                    <w:tl2br w:val="nil"/>
                    <w:tr2bl w:val="nil"/>
                  </w:tcBorders>
                  <w:vAlign w:val="center"/>
                </w:tcPr>
                <w:p w14:paraId="4AF6AC06">
                  <w:pPr>
                    <w:jc w:val="center"/>
                    <w:rPr>
                      <w:rFonts w:hint="default" w:ascii="Times New Roman" w:hAnsi="Times New Roman" w:eastAsia="仿宋" w:cs="Times New Roman"/>
                      <w:color w:val="auto"/>
                      <w:kern w:val="0"/>
                      <w:szCs w:val="21"/>
                    </w:rPr>
                  </w:pPr>
                </w:p>
              </w:tc>
              <w:tc>
                <w:tcPr>
                  <w:tcW w:w="469" w:type="pct"/>
                  <w:vMerge w:val="continue"/>
                  <w:tcBorders>
                    <w:tl2br w:val="nil"/>
                    <w:tr2bl w:val="nil"/>
                  </w:tcBorders>
                  <w:vAlign w:val="center"/>
                </w:tcPr>
                <w:p w14:paraId="1AF284A5">
                  <w:pPr>
                    <w:jc w:val="center"/>
                    <w:rPr>
                      <w:rFonts w:hint="default" w:ascii="Times New Roman" w:hAnsi="Times New Roman" w:eastAsia="仿宋" w:cs="Times New Roman"/>
                      <w:color w:val="auto"/>
                      <w:kern w:val="0"/>
                      <w:szCs w:val="21"/>
                    </w:rPr>
                  </w:pPr>
                </w:p>
              </w:tc>
              <w:tc>
                <w:tcPr>
                  <w:tcW w:w="519" w:type="pct"/>
                  <w:vMerge w:val="continue"/>
                  <w:tcBorders>
                    <w:tl2br w:val="nil"/>
                    <w:tr2bl w:val="nil"/>
                  </w:tcBorders>
                  <w:vAlign w:val="center"/>
                </w:tcPr>
                <w:p w14:paraId="18E973FF">
                  <w:pPr>
                    <w:jc w:val="center"/>
                    <w:rPr>
                      <w:rFonts w:hint="default" w:ascii="Times New Roman" w:hAnsi="Times New Roman" w:eastAsia="仿宋" w:cs="Times New Roman"/>
                      <w:color w:val="auto"/>
                      <w:kern w:val="0"/>
                      <w:szCs w:val="21"/>
                    </w:rPr>
                  </w:pPr>
                </w:p>
              </w:tc>
              <w:tc>
                <w:tcPr>
                  <w:tcW w:w="551" w:type="pct"/>
                  <w:tcBorders>
                    <w:tl2br w:val="nil"/>
                    <w:tr2bl w:val="nil"/>
                  </w:tcBorders>
                  <w:vAlign w:val="center"/>
                </w:tcPr>
                <w:p w14:paraId="00D0D7B3">
                  <w:pPr>
                    <w:adjustRightInd w:val="0"/>
                    <w:snapToGrid w:val="0"/>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1"/>
                      <w:lang w:val="en-US" w:eastAsia="zh-CN" w:bidi="ar-SA"/>
                    </w:rPr>
                    <w:t>0.57</w:t>
                  </w:r>
                </w:p>
              </w:tc>
              <w:tc>
                <w:tcPr>
                  <w:tcW w:w="510" w:type="pct"/>
                  <w:tcBorders>
                    <w:tl2br w:val="nil"/>
                    <w:tr2bl w:val="nil"/>
                  </w:tcBorders>
                  <w:vAlign w:val="center"/>
                </w:tcPr>
                <w:p w14:paraId="0E93A510">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3个月</w:t>
                  </w:r>
                </w:p>
              </w:tc>
            </w:tr>
            <w:tr w14:paraId="19C7A4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38" w:type="pct"/>
                  <w:tcBorders>
                    <w:tl2br w:val="nil"/>
                    <w:tr2bl w:val="nil"/>
                  </w:tcBorders>
                  <w:vAlign w:val="center"/>
                </w:tcPr>
                <w:p w14:paraId="7F98D865">
                  <w:pPr>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4</w:t>
                  </w:r>
                </w:p>
              </w:tc>
              <w:tc>
                <w:tcPr>
                  <w:tcW w:w="530" w:type="pct"/>
                  <w:vMerge w:val="continue"/>
                  <w:tcBorders>
                    <w:tl2br w:val="nil"/>
                    <w:tr2bl w:val="nil"/>
                  </w:tcBorders>
                  <w:vAlign w:val="center"/>
                </w:tcPr>
                <w:p w14:paraId="7E74E47E">
                  <w:pPr>
                    <w:jc w:val="center"/>
                    <w:rPr>
                      <w:rFonts w:hint="default" w:ascii="Times New Roman" w:hAnsi="Times New Roman" w:eastAsia="仿宋" w:cs="Times New Roman"/>
                      <w:color w:val="auto"/>
                      <w:kern w:val="0"/>
                      <w:szCs w:val="21"/>
                    </w:rPr>
                  </w:pPr>
                </w:p>
              </w:tc>
              <w:tc>
                <w:tcPr>
                  <w:tcW w:w="602" w:type="pct"/>
                  <w:tcBorders>
                    <w:tl2br w:val="nil"/>
                    <w:tr2bl w:val="nil"/>
                  </w:tcBorders>
                  <w:vAlign w:val="center"/>
                </w:tcPr>
                <w:p w14:paraId="4A1E54BF">
                  <w:pPr>
                    <w:pStyle w:val="5"/>
                    <w:adjustRightInd w:val="0"/>
                    <w:snapToGrid w:val="0"/>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b w:val="0"/>
                      <w:bCs w:val="0"/>
                      <w:color w:val="auto"/>
                      <w:kern w:val="2"/>
                      <w:sz w:val="21"/>
                      <w:szCs w:val="21"/>
                      <w:highlight w:val="none"/>
                      <w:lang w:val="en-US" w:eastAsia="zh-CN" w:bidi="ar-SA"/>
                    </w:rPr>
                    <w:t>含漆废物</w:t>
                  </w:r>
                </w:p>
              </w:tc>
              <w:tc>
                <w:tcPr>
                  <w:tcW w:w="494" w:type="pct"/>
                  <w:tcBorders>
                    <w:tl2br w:val="nil"/>
                    <w:tr2bl w:val="nil"/>
                  </w:tcBorders>
                  <w:vAlign w:val="center"/>
                </w:tcPr>
                <w:p w14:paraId="064D2331">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HW49</w:t>
                  </w:r>
                </w:p>
              </w:tc>
              <w:tc>
                <w:tcPr>
                  <w:tcW w:w="744" w:type="pct"/>
                  <w:tcBorders>
                    <w:tl2br w:val="nil"/>
                    <w:tr2bl w:val="nil"/>
                  </w:tcBorders>
                  <w:vAlign w:val="center"/>
                </w:tcPr>
                <w:p w14:paraId="38BE124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900-041-49</w:t>
                  </w:r>
                </w:p>
              </w:tc>
              <w:tc>
                <w:tcPr>
                  <w:tcW w:w="339" w:type="pct"/>
                  <w:vMerge w:val="continue"/>
                  <w:tcBorders>
                    <w:tl2br w:val="nil"/>
                    <w:tr2bl w:val="nil"/>
                  </w:tcBorders>
                  <w:vAlign w:val="center"/>
                </w:tcPr>
                <w:p w14:paraId="15E9B87E">
                  <w:pPr>
                    <w:jc w:val="center"/>
                    <w:rPr>
                      <w:rFonts w:hint="default" w:ascii="Times New Roman" w:hAnsi="Times New Roman" w:eastAsia="仿宋" w:cs="Times New Roman"/>
                      <w:color w:val="auto"/>
                      <w:kern w:val="0"/>
                      <w:szCs w:val="21"/>
                    </w:rPr>
                  </w:pPr>
                </w:p>
              </w:tc>
              <w:tc>
                <w:tcPr>
                  <w:tcW w:w="469" w:type="pct"/>
                  <w:vMerge w:val="continue"/>
                  <w:tcBorders>
                    <w:tl2br w:val="nil"/>
                    <w:tr2bl w:val="nil"/>
                  </w:tcBorders>
                  <w:vAlign w:val="center"/>
                </w:tcPr>
                <w:p w14:paraId="32255286">
                  <w:pPr>
                    <w:jc w:val="center"/>
                    <w:rPr>
                      <w:rFonts w:hint="default" w:ascii="Times New Roman" w:hAnsi="Times New Roman" w:eastAsia="仿宋" w:cs="Times New Roman"/>
                      <w:color w:val="auto"/>
                      <w:kern w:val="0"/>
                      <w:szCs w:val="21"/>
                    </w:rPr>
                  </w:pPr>
                </w:p>
              </w:tc>
              <w:tc>
                <w:tcPr>
                  <w:tcW w:w="519" w:type="pct"/>
                  <w:vMerge w:val="continue"/>
                  <w:tcBorders>
                    <w:tl2br w:val="nil"/>
                    <w:tr2bl w:val="nil"/>
                  </w:tcBorders>
                  <w:vAlign w:val="center"/>
                </w:tcPr>
                <w:p w14:paraId="738764B3">
                  <w:pPr>
                    <w:jc w:val="center"/>
                    <w:rPr>
                      <w:rFonts w:hint="default" w:ascii="Times New Roman" w:hAnsi="Times New Roman" w:eastAsia="仿宋" w:cs="Times New Roman"/>
                      <w:color w:val="auto"/>
                      <w:kern w:val="0"/>
                      <w:szCs w:val="21"/>
                    </w:rPr>
                  </w:pPr>
                </w:p>
              </w:tc>
              <w:tc>
                <w:tcPr>
                  <w:tcW w:w="551" w:type="pct"/>
                  <w:tcBorders>
                    <w:tl2br w:val="nil"/>
                    <w:tr2bl w:val="nil"/>
                  </w:tcBorders>
                  <w:vAlign w:val="center"/>
                </w:tcPr>
                <w:p w14:paraId="7E5B1CD6">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0.075</w:t>
                  </w:r>
                </w:p>
              </w:tc>
              <w:tc>
                <w:tcPr>
                  <w:tcW w:w="510" w:type="pct"/>
                  <w:tcBorders>
                    <w:tl2br w:val="nil"/>
                    <w:tr2bl w:val="nil"/>
                  </w:tcBorders>
                  <w:vAlign w:val="center"/>
                </w:tcPr>
                <w:p w14:paraId="5972B00F">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3个月</w:t>
                  </w:r>
                </w:p>
              </w:tc>
            </w:tr>
            <w:tr w14:paraId="0E5D11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38" w:type="pct"/>
                  <w:tcBorders>
                    <w:tl2br w:val="nil"/>
                    <w:tr2bl w:val="nil"/>
                  </w:tcBorders>
                  <w:vAlign w:val="center"/>
                </w:tcPr>
                <w:p w14:paraId="287C8FDA">
                  <w:pPr>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5</w:t>
                  </w:r>
                </w:p>
              </w:tc>
              <w:tc>
                <w:tcPr>
                  <w:tcW w:w="530" w:type="pct"/>
                  <w:vMerge w:val="continue"/>
                  <w:tcBorders>
                    <w:tl2br w:val="nil"/>
                    <w:tr2bl w:val="nil"/>
                  </w:tcBorders>
                  <w:vAlign w:val="center"/>
                </w:tcPr>
                <w:p w14:paraId="365750D3">
                  <w:pPr>
                    <w:jc w:val="center"/>
                    <w:rPr>
                      <w:rFonts w:hint="default" w:ascii="Times New Roman" w:hAnsi="Times New Roman" w:eastAsia="仿宋" w:cs="Times New Roman"/>
                      <w:color w:val="auto"/>
                      <w:kern w:val="0"/>
                      <w:szCs w:val="21"/>
                    </w:rPr>
                  </w:pPr>
                </w:p>
              </w:tc>
              <w:tc>
                <w:tcPr>
                  <w:tcW w:w="602" w:type="pct"/>
                  <w:tcBorders>
                    <w:tl2br w:val="nil"/>
                    <w:tr2bl w:val="nil"/>
                  </w:tcBorders>
                  <w:vAlign w:val="center"/>
                </w:tcPr>
                <w:p w14:paraId="4E363EDA">
                  <w:pPr>
                    <w:pStyle w:val="5"/>
                    <w:adjustRightInd w:val="0"/>
                    <w:snapToGrid w:val="0"/>
                    <w:ind w:firstLine="0" w:firstLineChars="0"/>
                    <w:jc w:val="center"/>
                    <w:rPr>
                      <w:rFonts w:hint="default" w:ascii="Times New Roman" w:hAnsi="Times New Roman" w:eastAsia="仿宋" w:cs="Times New Roman"/>
                      <w:color w:val="auto"/>
                      <w:szCs w:val="21"/>
                    </w:rPr>
                  </w:pPr>
                  <w:r>
                    <w:rPr>
                      <w:rFonts w:hint="eastAsia" w:ascii="Times New Roman" w:hAnsi="Times New Roman" w:eastAsia="仿宋" w:cs="Times New Roman"/>
                      <w:b w:val="0"/>
                      <w:bCs w:val="0"/>
                      <w:color w:val="auto"/>
                      <w:kern w:val="2"/>
                      <w:sz w:val="21"/>
                      <w:szCs w:val="21"/>
                      <w:highlight w:val="none"/>
                      <w:lang w:val="en-US" w:eastAsia="zh-CN" w:bidi="ar-SA"/>
                    </w:rPr>
                    <w:t>试漏废液</w:t>
                  </w:r>
                </w:p>
              </w:tc>
              <w:tc>
                <w:tcPr>
                  <w:tcW w:w="494" w:type="pct"/>
                  <w:tcBorders>
                    <w:tl2br w:val="nil"/>
                    <w:tr2bl w:val="nil"/>
                  </w:tcBorders>
                  <w:vAlign w:val="center"/>
                </w:tcPr>
                <w:p w14:paraId="10AA472A">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HW0</w:t>
                  </w:r>
                  <w:r>
                    <w:rPr>
                      <w:rFonts w:hint="default" w:ascii="Times New Roman" w:hAnsi="Times New Roman" w:eastAsia="仿宋" w:cs="Times New Roman"/>
                      <w:color w:val="auto"/>
                      <w:szCs w:val="21"/>
                      <w:lang w:val="en-US" w:eastAsia="zh-CN"/>
                    </w:rPr>
                    <w:t>9</w:t>
                  </w:r>
                </w:p>
              </w:tc>
              <w:tc>
                <w:tcPr>
                  <w:tcW w:w="744" w:type="pct"/>
                  <w:tcBorders>
                    <w:tl2br w:val="nil"/>
                    <w:tr2bl w:val="nil"/>
                  </w:tcBorders>
                  <w:vAlign w:val="center"/>
                </w:tcPr>
                <w:p w14:paraId="100B4708">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900-</w:t>
                  </w:r>
                  <w:r>
                    <w:rPr>
                      <w:rFonts w:hint="default" w:ascii="Times New Roman" w:hAnsi="Times New Roman" w:eastAsia="仿宋" w:cs="Times New Roman"/>
                      <w:color w:val="auto"/>
                      <w:szCs w:val="21"/>
                      <w:lang w:val="en-US" w:eastAsia="zh-CN"/>
                    </w:rPr>
                    <w:t>00</w:t>
                  </w:r>
                  <w:r>
                    <w:rPr>
                      <w:rFonts w:hint="eastAsia" w:ascii="Times New Roman" w:hAnsi="Times New Roman" w:eastAsia="仿宋" w:cs="Times New Roman"/>
                      <w:color w:val="auto"/>
                      <w:szCs w:val="21"/>
                      <w:lang w:val="en-US" w:eastAsia="zh-CN"/>
                    </w:rPr>
                    <w:t>7</w:t>
                  </w:r>
                  <w:r>
                    <w:rPr>
                      <w:rFonts w:hint="default" w:ascii="Times New Roman" w:hAnsi="Times New Roman" w:eastAsia="仿宋" w:cs="Times New Roman"/>
                      <w:color w:val="auto"/>
                      <w:szCs w:val="21"/>
                      <w:lang w:eastAsia="zh-CN"/>
                    </w:rPr>
                    <w:t>-0</w:t>
                  </w:r>
                  <w:r>
                    <w:rPr>
                      <w:rFonts w:hint="default" w:ascii="Times New Roman" w:hAnsi="Times New Roman" w:eastAsia="仿宋" w:cs="Times New Roman"/>
                      <w:color w:val="auto"/>
                      <w:szCs w:val="21"/>
                      <w:lang w:val="en-US" w:eastAsia="zh-CN"/>
                    </w:rPr>
                    <w:t>9</w:t>
                  </w:r>
                </w:p>
              </w:tc>
              <w:tc>
                <w:tcPr>
                  <w:tcW w:w="339" w:type="pct"/>
                  <w:vMerge w:val="continue"/>
                  <w:tcBorders>
                    <w:tl2br w:val="nil"/>
                    <w:tr2bl w:val="nil"/>
                  </w:tcBorders>
                  <w:vAlign w:val="center"/>
                </w:tcPr>
                <w:p w14:paraId="341BF253">
                  <w:pPr>
                    <w:jc w:val="center"/>
                    <w:rPr>
                      <w:rFonts w:hint="default" w:ascii="Times New Roman" w:hAnsi="Times New Roman" w:eastAsia="仿宋" w:cs="Times New Roman"/>
                      <w:color w:val="auto"/>
                      <w:kern w:val="0"/>
                      <w:szCs w:val="21"/>
                    </w:rPr>
                  </w:pPr>
                </w:p>
              </w:tc>
              <w:tc>
                <w:tcPr>
                  <w:tcW w:w="469" w:type="pct"/>
                  <w:vMerge w:val="continue"/>
                  <w:tcBorders>
                    <w:tl2br w:val="nil"/>
                    <w:tr2bl w:val="nil"/>
                  </w:tcBorders>
                  <w:vAlign w:val="center"/>
                </w:tcPr>
                <w:p w14:paraId="7827A183">
                  <w:pPr>
                    <w:jc w:val="center"/>
                    <w:rPr>
                      <w:rFonts w:hint="default" w:ascii="Times New Roman" w:hAnsi="Times New Roman" w:eastAsia="仿宋" w:cs="Times New Roman"/>
                      <w:color w:val="auto"/>
                      <w:kern w:val="0"/>
                      <w:szCs w:val="21"/>
                    </w:rPr>
                  </w:pPr>
                </w:p>
              </w:tc>
              <w:tc>
                <w:tcPr>
                  <w:tcW w:w="519" w:type="pct"/>
                  <w:vMerge w:val="continue"/>
                  <w:tcBorders>
                    <w:tl2br w:val="nil"/>
                    <w:tr2bl w:val="nil"/>
                  </w:tcBorders>
                  <w:vAlign w:val="center"/>
                </w:tcPr>
                <w:p w14:paraId="32ECA558">
                  <w:pPr>
                    <w:jc w:val="center"/>
                    <w:rPr>
                      <w:rFonts w:hint="default" w:ascii="Times New Roman" w:hAnsi="Times New Roman" w:eastAsia="仿宋" w:cs="Times New Roman"/>
                      <w:color w:val="auto"/>
                      <w:kern w:val="0"/>
                      <w:szCs w:val="21"/>
                    </w:rPr>
                  </w:pPr>
                </w:p>
              </w:tc>
              <w:tc>
                <w:tcPr>
                  <w:tcW w:w="551" w:type="pct"/>
                  <w:tcBorders>
                    <w:tl2br w:val="nil"/>
                    <w:tr2bl w:val="nil"/>
                  </w:tcBorders>
                  <w:vAlign w:val="center"/>
                </w:tcPr>
                <w:p w14:paraId="0412DE23">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3.6</w:t>
                  </w:r>
                </w:p>
              </w:tc>
              <w:tc>
                <w:tcPr>
                  <w:tcW w:w="510" w:type="pct"/>
                  <w:tcBorders>
                    <w:tl2br w:val="nil"/>
                    <w:tr2bl w:val="nil"/>
                  </w:tcBorders>
                  <w:vAlign w:val="center"/>
                </w:tcPr>
                <w:p w14:paraId="51621C1E">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3个月</w:t>
                  </w:r>
                </w:p>
              </w:tc>
            </w:tr>
            <w:tr w14:paraId="132CA7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38" w:type="pct"/>
                  <w:tcBorders>
                    <w:tl2br w:val="nil"/>
                    <w:tr2bl w:val="nil"/>
                  </w:tcBorders>
                  <w:vAlign w:val="center"/>
                </w:tcPr>
                <w:p w14:paraId="244D9AD0">
                  <w:pPr>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6</w:t>
                  </w:r>
                </w:p>
              </w:tc>
              <w:tc>
                <w:tcPr>
                  <w:tcW w:w="530" w:type="pct"/>
                  <w:vMerge w:val="continue"/>
                  <w:tcBorders>
                    <w:tl2br w:val="nil"/>
                    <w:tr2bl w:val="nil"/>
                  </w:tcBorders>
                  <w:vAlign w:val="center"/>
                </w:tcPr>
                <w:p w14:paraId="5D4CF329">
                  <w:pPr>
                    <w:jc w:val="center"/>
                    <w:rPr>
                      <w:rFonts w:hint="default" w:ascii="Times New Roman" w:hAnsi="Times New Roman" w:eastAsia="仿宋" w:cs="Times New Roman"/>
                      <w:color w:val="auto"/>
                      <w:kern w:val="0"/>
                      <w:szCs w:val="21"/>
                    </w:rPr>
                  </w:pPr>
                </w:p>
              </w:tc>
              <w:tc>
                <w:tcPr>
                  <w:tcW w:w="602" w:type="pct"/>
                  <w:tcBorders>
                    <w:tl2br w:val="nil"/>
                    <w:tr2bl w:val="nil"/>
                  </w:tcBorders>
                  <w:vAlign w:val="center"/>
                </w:tcPr>
                <w:p w14:paraId="412E4519">
                  <w:pPr>
                    <w:pStyle w:val="5"/>
                    <w:adjustRightInd w:val="0"/>
                    <w:snapToGrid w:val="0"/>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b w:val="0"/>
                      <w:bCs w:val="0"/>
                      <w:color w:val="auto"/>
                      <w:kern w:val="2"/>
                      <w:sz w:val="21"/>
                      <w:szCs w:val="21"/>
                      <w:highlight w:val="none"/>
                      <w:lang w:val="en-US" w:eastAsia="zh-CN" w:bidi="ar-SA"/>
                    </w:rPr>
                    <w:t>废过滤介质</w:t>
                  </w:r>
                </w:p>
              </w:tc>
              <w:tc>
                <w:tcPr>
                  <w:tcW w:w="494" w:type="pct"/>
                  <w:tcBorders>
                    <w:tl2br w:val="nil"/>
                    <w:tr2bl w:val="nil"/>
                  </w:tcBorders>
                  <w:vAlign w:val="center"/>
                </w:tcPr>
                <w:p w14:paraId="0D93A1D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HW49</w:t>
                  </w:r>
                </w:p>
              </w:tc>
              <w:tc>
                <w:tcPr>
                  <w:tcW w:w="744" w:type="pct"/>
                  <w:tcBorders>
                    <w:tl2br w:val="nil"/>
                    <w:tr2bl w:val="nil"/>
                  </w:tcBorders>
                  <w:vAlign w:val="center"/>
                </w:tcPr>
                <w:p w14:paraId="40BD08B9">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900-041-49</w:t>
                  </w:r>
                </w:p>
              </w:tc>
              <w:tc>
                <w:tcPr>
                  <w:tcW w:w="339" w:type="pct"/>
                  <w:vMerge w:val="continue"/>
                  <w:tcBorders>
                    <w:tl2br w:val="nil"/>
                    <w:tr2bl w:val="nil"/>
                  </w:tcBorders>
                  <w:vAlign w:val="center"/>
                </w:tcPr>
                <w:p w14:paraId="439C682D">
                  <w:pPr>
                    <w:jc w:val="center"/>
                    <w:rPr>
                      <w:rFonts w:hint="default" w:ascii="Times New Roman" w:hAnsi="Times New Roman" w:eastAsia="仿宋" w:cs="Times New Roman"/>
                      <w:color w:val="auto"/>
                      <w:kern w:val="0"/>
                      <w:szCs w:val="21"/>
                    </w:rPr>
                  </w:pPr>
                </w:p>
              </w:tc>
              <w:tc>
                <w:tcPr>
                  <w:tcW w:w="469" w:type="pct"/>
                  <w:vMerge w:val="continue"/>
                  <w:tcBorders>
                    <w:tl2br w:val="nil"/>
                    <w:tr2bl w:val="nil"/>
                  </w:tcBorders>
                  <w:vAlign w:val="center"/>
                </w:tcPr>
                <w:p w14:paraId="380641C7">
                  <w:pPr>
                    <w:jc w:val="center"/>
                    <w:rPr>
                      <w:rFonts w:hint="default" w:ascii="Times New Roman" w:hAnsi="Times New Roman" w:eastAsia="仿宋" w:cs="Times New Roman"/>
                      <w:color w:val="auto"/>
                      <w:kern w:val="0"/>
                      <w:szCs w:val="21"/>
                    </w:rPr>
                  </w:pPr>
                </w:p>
              </w:tc>
              <w:tc>
                <w:tcPr>
                  <w:tcW w:w="519" w:type="pct"/>
                  <w:vMerge w:val="continue"/>
                  <w:tcBorders>
                    <w:tl2br w:val="nil"/>
                    <w:tr2bl w:val="nil"/>
                  </w:tcBorders>
                  <w:vAlign w:val="center"/>
                </w:tcPr>
                <w:p w14:paraId="7FF703E9">
                  <w:pPr>
                    <w:jc w:val="center"/>
                    <w:rPr>
                      <w:rFonts w:hint="default" w:ascii="Times New Roman" w:hAnsi="Times New Roman" w:eastAsia="仿宋" w:cs="Times New Roman"/>
                      <w:color w:val="auto"/>
                      <w:kern w:val="0"/>
                      <w:szCs w:val="21"/>
                    </w:rPr>
                  </w:pPr>
                </w:p>
              </w:tc>
              <w:tc>
                <w:tcPr>
                  <w:tcW w:w="551" w:type="pct"/>
                  <w:tcBorders>
                    <w:tl2br w:val="nil"/>
                    <w:tr2bl w:val="nil"/>
                  </w:tcBorders>
                  <w:vAlign w:val="center"/>
                </w:tcPr>
                <w:p w14:paraId="15F3516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0.16</w:t>
                  </w:r>
                </w:p>
              </w:tc>
              <w:tc>
                <w:tcPr>
                  <w:tcW w:w="510" w:type="pct"/>
                  <w:tcBorders>
                    <w:tl2br w:val="nil"/>
                    <w:tr2bl w:val="nil"/>
                  </w:tcBorders>
                  <w:vAlign w:val="center"/>
                </w:tcPr>
                <w:p w14:paraId="13C08FD2">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3个月</w:t>
                  </w:r>
                </w:p>
              </w:tc>
            </w:tr>
            <w:tr w14:paraId="23A3AD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38" w:type="pct"/>
                  <w:tcBorders>
                    <w:tl2br w:val="nil"/>
                    <w:tr2bl w:val="nil"/>
                  </w:tcBorders>
                  <w:vAlign w:val="center"/>
                </w:tcPr>
                <w:p w14:paraId="6F28FD87">
                  <w:pPr>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7</w:t>
                  </w:r>
                </w:p>
              </w:tc>
              <w:tc>
                <w:tcPr>
                  <w:tcW w:w="530" w:type="pct"/>
                  <w:vMerge w:val="continue"/>
                  <w:tcBorders>
                    <w:tl2br w:val="nil"/>
                    <w:tr2bl w:val="nil"/>
                  </w:tcBorders>
                  <w:vAlign w:val="center"/>
                </w:tcPr>
                <w:p w14:paraId="242ECC8B">
                  <w:pPr>
                    <w:jc w:val="center"/>
                    <w:rPr>
                      <w:rFonts w:hint="default" w:ascii="Times New Roman" w:hAnsi="Times New Roman" w:eastAsia="仿宋" w:cs="Times New Roman"/>
                      <w:color w:val="auto"/>
                      <w:kern w:val="0"/>
                      <w:szCs w:val="21"/>
                    </w:rPr>
                  </w:pPr>
                </w:p>
              </w:tc>
              <w:tc>
                <w:tcPr>
                  <w:tcW w:w="602" w:type="pct"/>
                  <w:tcBorders>
                    <w:tl2br w:val="nil"/>
                    <w:tr2bl w:val="nil"/>
                  </w:tcBorders>
                  <w:vAlign w:val="center"/>
                </w:tcPr>
                <w:p w14:paraId="37491847">
                  <w:pPr>
                    <w:pStyle w:val="5"/>
                    <w:adjustRightInd w:val="0"/>
                    <w:snapToGrid w:val="0"/>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b w:val="0"/>
                      <w:bCs w:val="0"/>
                      <w:color w:val="auto"/>
                      <w:kern w:val="2"/>
                      <w:sz w:val="21"/>
                      <w:szCs w:val="21"/>
                      <w:highlight w:val="none"/>
                      <w:lang w:val="en-US" w:eastAsia="zh-CN" w:bidi="ar-SA"/>
                    </w:rPr>
                    <w:t>废活性炭</w:t>
                  </w:r>
                </w:p>
              </w:tc>
              <w:tc>
                <w:tcPr>
                  <w:tcW w:w="494" w:type="pct"/>
                  <w:tcBorders>
                    <w:tl2br w:val="nil"/>
                    <w:tr2bl w:val="nil"/>
                  </w:tcBorders>
                  <w:vAlign w:val="center"/>
                </w:tcPr>
                <w:p w14:paraId="712D9400">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HW49</w:t>
                  </w:r>
                </w:p>
              </w:tc>
              <w:tc>
                <w:tcPr>
                  <w:tcW w:w="744" w:type="pct"/>
                  <w:tcBorders>
                    <w:tl2br w:val="nil"/>
                    <w:tr2bl w:val="nil"/>
                  </w:tcBorders>
                  <w:vAlign w:val="center"/>
                </w:tcPr>
                <w:p w14:paraId="46E27B69">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900-039-49</w:t>
                  </w:r>
                </w:p>
              </w:tc>
              <w:tc>
                <w:tcPr>
                  <w:tcW w:w="339" w:type="pct"/>
                  <w:vMerge w:val="continue"/>
                  <w:tcBorders>
                    <w:tl2br w:val="nil"/>
                    <w:tr2bl w:val="nil"/>
                  </w:tcBorders>
                  <w:vAlign w:val="center"/>
                </w:tcPr>
                <w:p w14:paraId="6B269A60">
                  <w:pPr>
                    <w:jc w:val="center"/>
                    <w:rPr>
                      <w:rFonts w:hint="default" w:ascii="Times New Roman" w:hAnsi="Times New Roman" w:eastAsia="仿宋" w:cs="Times New Roman"/>
                      <w:color w:val="auto"/>
                      <w:kern w:val="0"/>
                      <w:szCs w:val="21"/>
                    </w:rPr>
                  </w:pPr>
                </w:p>
              </w:tc>
              <w:tc>
                <w:tcPr>
                  <w:tcW w:w="469" w:type="pct"/>
                  <w:vMerge w:val="continue"/>
                  <w:tcBorders>
                    <w:tl2br w:val="nil"/>
                    <w:tr2bl w:val="nil"/>
                  </w:tcBorders>
                  <w:vAlign w:val="center"/>
                </w:tcPr>
                <w:p w14:paraId="23C05F09">
                  <w:pPr>
                    <w:jc w:val="center"/>
                    <w:rPr>
                      <w:rFonts w:hint="default" w:ascii="Times New Roman" w:hAnsi="Times New Roman" w:eastAsia="仿宋" w:cs="Times New Roman"/>
                      <w:color w:val="auto"/>
                      <w:kern w:val="0"/>
                      <w:szCs w:val="21"/>
                    </w:rPr>
                  </w:pPr>
                </w:p>
              </w:tc>
              <w:tc>
                <w:tcPr>
                  <w:tcW w:w="519" w:type="pct"/>
                  <w:vMerge w:val="continue"/>
                  <w:tcBorders>
                    <w:tl2br w:val="nil"/>
                    <w:tr2bl w:val="nil"/>
                  </w:tcBorders>
                  <w:vAlign w:val="center"/>
                </w:tcPr>
                <w:p w14:paraId="0EAD3296">
                  <w:pPr>
                    <w:jc w:val="center"/>
                    <w:rPr>
                      <w:rFonts w:hint="default" w:ascii="Times New Roman" w:hAnsi="Times New Roman" w:eastAsia="仿宋" w:cs="Times New Roman"/>
                      <w:color w:val="auto"/>
                      <w:kern w:val="0"/>
                      <w:szCs w:val="21"/>
                    </w:rPr>
                  </w:pPr>
                </w:p>
              </w:tc>
              <w:tc>
                <w:tcPr>
                  <w:tcW w:w="551" w:type="pct"/>
                  <w:tcBorders>
                    <w:tl2br w:val="nil"/>
                    <w:tr2bl w:val="nil"/>
                  </w:tcBorders>
                  <w:vAlign w:val="center"/>
                </w:tcPr>
                <w:p w14:paraId="77BEAB37">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bCs/>
                      <w:color w:val="auto"/>
                      <w:sz w:val="21"/>
                      <w:szCs w:val="21"/>
                      <w:lang w:val="en-US" w:eastAsia="zh-CN"/>
                    </w:rPr>
                    <w:t>0.77</w:t>
                  </w:r>
                </w:p>
              </w:tc>
              <w:tc>
                <w:tcPr>
                  <w:tcW w:w="510" w:type="pct"/>
                  <w:tcBorders>
                    <w:tl2br w:val="nil"/>
                    <w:tr2bl w:val="nil"/>
                  </w:tcBorders>
                  <w:vAlign w:val="center"/>
                </w:tcPr>
                <w:p w14:paraId="3FB52F0F">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3个月</w:t>
                  </w:r>
                </w:p>
              </w:tc>
            </w:tr>
            <w:tr w14:paraId="0FDECE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38" w:type="pct"/>
                  <w:tcBorders>
                    <w:tl2br w:val="nil"/>
                    <w:tr2bl w:val="nil"/>
                  </w:tcBorders>
                  <w:vAlign w:val="center"/>
                </w:tcPr>
                <w:p w14:paraId="5A655E8C">
                  <w:pPr>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8</w:t>
                  </w:r>
                </w:p>
              </w:tc>
              <w:tc>
                <w:tcPr>
                  <w:tcW w:w="530" w:type="pct"/>
                  <w:vMerge w:val="continue"/>
                  <w:tcBorders>
                    <w:tl2br w:val="nil"/>
                    <w:tr2bl w:val="nil"/>
                  </w:tcBorders>
                  <w:vAlign w:val="center"/>
                </w:tcPr>
                <w:p w14:paraId="777268B7">
                  <w:pPr>
                    <w:jc w:val="center"/>
                    <w:rPr>
                      <w:rFonts w:hint="default" w:ascii="Times New Roman" w:hAnsi="Times New Roman" w:eastAsia="仿宋" w:cs="Times New Roman"/>
                      <w:color w:val="auto"/>
                      <w:kern w:val="0"/>
                      <w:szCs w:val="21"/>
                    </w:rPr>
                  </w:pPr>
                </w:p>
              </w:tc>
              <w:tc>
                <w:tcPr>
                  <w:tcW w:w="602" w:type="pct"/>
                  <w:tcBorders>
                    <w:tl2br w:val="nil"/>
                    <w:tr2bl w:val="nil"/>
                  </w:tcBorders>
                  <w:vAlign w:val="center"/>
                </w:tcPr>
                <w:p w14:paraId="3E5885B4">
                  <w:pPr>
                    <w:pStyle w:val="5"/>
                    <w:adjustRightInd w:val="0"/>
                    <w:snapToGrid w:val="0"/>
                    <w:ind w:firstLine="0" w:firstLineChars="0"/>
                    <w:jc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color w:val="auto"/>
                      <w:sz w:val="21"/>
                      <w:szCs w:val="21"/>
                    </w:rPr>
                    <w:t>含油抹布手套</w:t>
                  </w:r>
                </w:p>
              </w:tc>
              <w:tc>
                <w:tcPr>
                  <w:tcW w:w="494" w:type="pct"/>
                  <w:tcBorders>
                    <w:tl2br w:val="nil"/>
                    <w:tr2bl w:val="nil"/>
                  </w:tcBorders>
                  <w:vAlign w:val="center"/>
                </w:tcPr>
                <w:p w14:paraId="2B5EC6B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HW49</w:t>
                  </w:r>
                </w:p>
              </w:tc>
              <w:tc>
                <w:tcPr>
                  <w:tcW w:w="744" w:type="pct"/>
                  <w:tcBorders>
                    <w:tl2br w:val="nil"/>
                    <w:tr2bl w:val="nil"/>
                  </w:tcBorders>
                  <w:vAlign w:val="center"/>
                </w:tcPr>
                <w:p w14:paraId="6EC0374B">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900-041-49</w:t>
                  </w:r>
                </w:p>
              </w:tc>
              <w:tc>
                <w:tcPr>
                  <w:tcW w:w="339" w:type="pct"/>
                  <w:vMerge w:val="continue"/>
                  <w:tcBorders>
                    <w:tl2br w:val="nil"/>
                    <w:tr2bl w:val="nil"/>
                  </w:tcBorders>
                  <w:vAlign w:val="center"/>
                </w:tcPr>
                <w:p w14:paraId="7ECBB1EB">
                  <w:pPr>
                    <w:jc w:val="center"/>
                    <w:rPr>
                      <w:rFonts w:hint="default" w:ascii="Times New Roman" w:hAnsi="Times New Roman" w:eastAsia="仿宋" w:cs="Times New Roman"/>
                      <w:color w:val="auto"/>
                      <w:kern w:val="0"/>
                      <w:szCs w:val="21"/>
                    </w:rPr>
                  </w:pPr>
                </w:p>
              </w:tc>
              <w:tc>
                <w:tcPr>
                  <w:tcW w:w="469" w:type="pct"/>
                  <w:vMerge w:val="continue"/>
                  <w:tcBorders>
                    <w:tl2br w:val="nil"/>
                    <w:tr2bl w:val="nil"/>
                  </w:tcBorders>
                  <w:vAlign w:val="center"/>
                </w:tcPr>
                <w:p w14:paraId="55E47D49">
                  <w:pPr>
                    <w:jc w:val="center"/>
                    <w:rPr>
                      <w:rFonts w:hint="default" w:ascii="Times New Roman" w:hAnsi="Times New Roman" w:eastAsia="仿宋" w:cs="Times New Roman"/>
                      <w:color w:val="auto"/>
                      <w:kern w:val="0"/>
                      <w:szCs w:val="21"/>
                    </w:rPr>
                  </w:pPr>
                </w:p>
              </w:tc>
              <w:tc>
                <w:tcPr>
                  <w:tcW w:w="519" w:type="pct"/>
                  <w:vMerge w:val="continue"/>
                  <w:tcBorders>
                    <w:tl2br w:val="nil"/>
                    <w:tr2bl w:val="nil"/>
                  </w:tcBorders>
                  <w:vAlign w:val="center"/>
                </w:tcPr>
                <w:p w14:paraId="3AF18B95">
                  <w:pPr>
                    <w:jc w:val="center"/>
                    <w:rPr>
                      <w:rFonts w:hint="default" w:ascii="Times New Roman" w:hAnsi="Times New Roman" w:eastAsia="仿宋" w:cs="Times New Roman"/>
                      <w:color w:val="auto"/>
                      <w:kern w:val="0"/>
                      <w:szCs w:val="21"/>
                    </w:rPr>
                  </w:pPr>
                </w:p>
              </w:tc>
              <w:tc>
                <w:tcPr>
                  <w:tcW w:w="551" w:type="pct"/>
                  <w:tcBorders>
                    <w:tl2br w:val="nil"/>
                    <w:tr2bl w:val="nil"/>
                  </w:tcBorders>
                  <w:vAlign w:val="center"/>
                </w:tcPr>
                <w:p w14:paraId="28F3C22E">
                  <w:pPr>
                    <w:adjustRightInd w:val="0"/>
                    <w:snapToGrid w:val="0"/>
                    <w:jc w:val="center"/>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0.5</w:t>
                  </w:r>
                </w:p>
              </w:tc>
              <w:tc>
                <w:tcPr>
                  <w:tcW w:w="510" w:type="pct"/>
                  <w:tcBorders>
                    <w:tl2br w:val="nil"/>
                    <w:tr2bl w:val="nil"/>
                  </w:tcBorders>
                  <w:vAlign w:val="center"/>
                </w:tcPr>
                <w:p w14:paraId="6A7A34B4">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3个月</w:t>
                  </w:r>
                </w:p>
              </w:tc>
            </w:tr>
          </w:tbl>
          <w:p w14:paraId="39DB760B">
            <w:pPr>
              <w:pStyle w:val="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val="en-US" w:eastAsia="zh-CN"/>
              </w:rPr>
              <w:t>5、</w:t>
            </w:r>
            <w:r>
              <w:rPr>
                <w:rFonts w:hint="default" w:ascii="Times New Roman" w:hAnsi="Times New Roman" w:eastAsia="仿宋" w:cs="Times New Roman"/>
                <w:b/>
                <w:bCs/>
                <w:color w:val="auto"/>
                <w:sz w:val="24"/>
              </w:rPr>
              <w:t>环境管理要求</w:t>
            </w:r>
          </w:p>
          <w:p w14:paraId="46667F6F">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eastAsia="仿宋"/>
                <w:b/>
                <w:bCs/>
                <w:color w:val="auto"/>
                <w:kern w:val="0"/>
                <w:sz w:val="24"/>
                <w:lang w:bidi="ar"/>
              </w:rPr>
            </w:pPr>
            <w:r>
              <w:rPr>
                <w:rFonts w:hint="default" w:ascii="Times New Roman" w:hAnsi="Times New Roman" w:eastAsia="仿宋" w:cs="Times New Roman"/>
                <w:bCs/>
                <w:color w:val="auto"/>
                <w:sz w:val="24"/>
                <w:lang w:val="en-US" w:eastAsia="zh-CN"/>
              </w:rPr>
              <w:t>①</w:t>
            </w:r>
            <w:r>
              <w:rPr>
                <w:rFonts w:ascii="Times New Roman" w:hAnsi="Times New Roman" w:eastAsia="仿宋" w:cs="Times New Roman"/>
                <w:color w:val="auto"/>
                <w:kern w:val="0"/>
                <w:sz w:val="24"/>
                <w:lang w:bidi="ar"/>
              </w:rPr>
              <w:t>与</w:t>
            </w:r>
            <w:r>
              <w:rPr>
                <w:rFonts w:hint="default" w:ascii="Times New Roman" w:hAnsi="Times New Roman" w:eastAsia="仿宋" w:cs="Times New Roman"/>
                <w:color w:val="auto"/>
                <w:kern w:val="0"/>
                <w:sz w:val="24"/>
                <w:lang w:bidi="ar"/>
              </w:rPr>
              <w:t>《</w:t>
            </w:r>
            <w:r>
              <w:rPr>
                <w:rFonts w:hint="eastAsia" w:ascii="Times New Roman" w:hAnsi="Times New Roman" w:eastAsia="仿宋" w:cs="Times New Roman"/>
                <w:color w:val="auto"/>
                <w:kern w:val="0"/>
                <w:sz w:val="24"/>
                <w:lang w:val="en-US" w:eastAsia="zh-CN" w:bidi="ar"/>
              </w:rPr>
              <w:t>江苏省固体废物全过程环境监管工作意见</w:t>
            </w:r>
            <w:r>
              <w:rPr>
                <w:rFonts w:hint="default" w:ascii="Times New Roman" w:hAnsi="Times New Roman" w:eastAsia="仿宋" w:cs="Times New Roman"/>
                <w:color w:val="auto"/>
                <w:kern w:val="0"/>
                <w:sz w:val="24"/>
                <w:lang w:bidi="ar"/>
              </w:rPr>
              <w:t>》（</w:t>
            </w:r>
            <w:r>
              <w:rPr>
                <w:rFonts w:hint="default" w:ascii="Times New Roman" w:hAnsi="Times New Roman" w:eastAsia="仿宋" w:cs="Times New Roman"/>
                <w:color w:val="auto"/>
                <w:kern w:val="0"/>
                <w:sz w:val="24"/>
                <w:lang w:eastAsia="zh-CN" w:bidi="ar"/>
              </w:rPr>
              <w:t>苏环办</w:t>
            </w:r>
            <w:r>
              <w:rPr>
                <w:rFonts w:hint="eastAsia" w:eastAsia="仿宋" w:cs="Times New Roman"/>
                <w:color w:val="auto"/>
                <w:kern w:val="0"/>
                <w:sz w:val="24"/>
                <w:lang w:eastAsia="zh-CN" w:bidi="ar"/>
              </w:rPr>
              <w:t>〔2024〕16号</w:t>
            </w:r>
            <w:r>
              <w:rPr>
                <w:rFonts w:hint="default" w:ascii="Times New Roman" w:hAnsi="Times New Roman" w:eastAsia="仿宋" w:cs="Times New Roman"/>
                <w:color w:val="auto"/>
                <w:kern w:val="0"/>
                <w:sz w:val="24"/>
                <w:lang w:eastAsia="zh-CN" w:bidi="ar"/>
              </w:rPr>
              <w:t>）</w:t>
            </w:r>
            <w:r>
              <w:rPr>
                <w:rFonts w:ascii="Times New Roman" w:hAnsi="Times New Roman" w:eastAsia="仿宋" w:cs="Times New Roman"/>
                <w:color w:val="auto"/>
                <w:kern w:val="0"/>
                <w:sz w:val="24"/>
                <w:lang w:bidi="ar"/>
              </w:rPr>
              <w:t xml:space="preserve">相符性分析 </w:t>
            </w:r>
          </w:p>
          <w:p w14:paraId="50F68D4B">
            <w:pPr>
              <w:widowControl/>
              <w:jc w:val="center"/>
              <w:rPr>
                <w:rFonts w:eastAsia="仿宋"/>
                <w:b/>
                <w:bCs/>
                <w:color w:val="auto"/>
                <w:kern w:val="0"/>
                <w:szCs w:val="21"/>
                <w:lang w:bidi="ar"/>
              </w:rPr>
            </w:pPr>
          </w:p>
          <w:p w14:paraId="7A88CE54">
            <w:pPr>
              <w:widowControl/>
              <w:jc w:val="center"/>
              <w:rPr>
                <w:rFonts w:eastAsia="仿宋"/>
                <w:b/>
                <w:bCs/>
                <w:color w:val="auto"/>
                <w:kern w:val="0"/>
                <w:szCs w:val="21"/>
                <w:lang w:bidi="ar"/>
              </w:rPr>
            </w:pPr>
          </w:p>
          <w:p w14:paraId="6EEE8777">
            <w:pPr>
              <w:widowControl/>
              <w:jc w:val="center"/>
              <w:rPr>
                <w:rFonts w:eastAsia="仿宋"/>
                <w:b/>
                <w:bCs/>
                <w:color w:val="auto"/>
                <w:kern w:val="0"/>
                <w:szCs w:val="21"/>
                <w:lang w:bidi="ar"/>
              </w:rPr>
            </w:pPr>
          </w:p>
          <w:p w14:paraId="194E6DC1">
            <w:pPr>
              <w:widowControl/>
              <w:jc w:val="center"/>
              <w:rPr>
                <w:rFonts w:eastAsia="仿宋"/>
                <w:color w:val="auto"/>
                <w:szCs w:val="21"/>
              </w:rPr>
            </w:pPr>
            <w:r>
              <w:rPr>
                <w:rFonts w:eastAsia="仿宋"/>
                <w:b/>
                <w:bCs/>
                <w:color w:val="auto"/>
                <w:kern w:val="0"/>
                <w:szCs w:val="21"/>
                <w:lang w:bidi="ar"/>
              </w:rPr>
              <w:t>表4-</w:t>
            </w:r>
            <w:r>
              <w:rPr>
                <w:rFonts w:hint="eastAsia" w:eastAsia="仿宋"/>
                <w:b/>
                <w:bCs/>
                <w:color w:val="auto"/>
                <w:kern w:val="0"/>
                <w:szCs w:val="21"/>
                <w:lang w:val="en-US" w:eastAsia="zh-CN" w:bidi="ar"/>
              </w:rPr>
              <w:t>20</w:t>
            </w:r>
            <w:r>
              <w:rPr>
                <w:rFonts w:eastAsia="仿宋"/>
                <w:b/>
                <w:bCs/>
                <w:color w:val="auto"/>
                <w:kern w:val="0"/>
                <w:szCs w:val="21"/>
                <w:lang w:bidi="ar"/>
              </w:rPr>
              <w:t xml:space="preserve"> 项</w:t>
            </w:r>
            <w:r>
              <w:rPr>
                <w:rFonts w:ascii="Times New Roman" w:hAnsi="Times New Roman" w:eastAsia="仿宋" w:cs="Times New Roman"/>
                <w:b/>
                <w:bCs/>
                <w:color w:val="auto"/>
                <w:kern w:val="0"/>
                <w:szCs w:val="21"/>
                <w:lang w:bidi="ar"/>
              </w:rPr>
              <w:t>目与</w:t>
            </w:r>
            <w:r>
              <w:rPr>
                <w:rFonts w:hint="default" w:ascii="Times New Roman" w:hAnsi="Times New Roman" w:eastAsia="仿宋" w:cs="Times New Roman"/>
                <w:b/>
                <w:bCs/>
                <w:color w:val="auto"/>
                <w:kern w:val="0"/>
                <w:szCs w:val="21"/>
                <w:lang w:eastAsia="zh-CN" w:bidi="ar"/>
              </w:rPr>
              <w:t>苏环办</w:t>
            </w:r>
            <w:r>
              <w:rPr>
                <w:rFonts w:hint="eastAsia" w:eastAsia="仿宋" w:cs="Times New Roman"/>
                <w:b/>
                <w:bCs/>
                <w:color w:val="auto"/>
                <w:kern w:val="0"/>
                <w:szCs w:val="21"/>
                <w:lang w:eastAsia="zh-CN" w:bidi="ar"/>
              </w:rPr>
              <w:t>〔2024〕16号</w:t>
            </w:r>
            <w:r>
              <w:rPr>
                <w:rFonts w:ascii="Times New Roman" w:hAnsi="Times New Roman" w:eastAsia="仿宋" w:cs="Times New Roman"/>
                <w:b/>
                <w:bCs/>
                <w:color w:val="auto"/>
                <w:kern w:val="0"/>
                <w:szCs w:val="21"/>
                <w:lang w:bidi="ar"/>
              </w:rPr>
              <w:t>文相</w:t>
            </w:r>
            <w:r>
              <w:rPr>
                <w:rFonts w:eastAsia="仿宋"/>
                <w:b/>
                <w:bCs/>
                <w:color w:val="auto"/>
                <w:kern w:val="0"/>
                <w:szCs w:val="21"/>
                <w:lang w:bidi="ar"/>
              </w:rPr>
              <w:t>符性分析一览表</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791"/>
              <w:gridCol w:w="3158"/>
              <w:gridCol w:w="891"/>
            </w:tblGrid>
            <w:tr w14:paraId="32F8F6A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40" w:hRule="atLeast"/>
              </w:trPr>
              <w:tc>
                <w:tcPr>
                  <w:tcW w:w="2709" w:type="pct"/>
                  <w:noWrap w:val="0"/>
                  <w:vAlign w:val="center"/>
                </w:tcPr>
                <w:p w14:paraId="2896279C">
                  <w:pPr>
                    <w:adjustRightInd w:val="0"/>
                    <w:snapToGrid w:val="0"/>
                    <w:jc w:val="center"/>
                    <w:rPr>
                      <w:rFonts w:eastAsia="仿宋"/>
                      <w:b/>
                      <w:color w:val="auto"/>
                      <w:spacing w:val="-10"/>
                      <w:szCs w:val="21"/>
                    </w:rPr>
                  </w:pPr>
                  <w:r>
                    <w:rPr>
                      <w:rFonts w:eastAsia="仿宋"/>
                      <w:b/>
                      <w:color w:val="auto"/>
                      <w:spacing w:val="-10"/>
                      <w:szCs w:val="21"/>
                    </w:rPr>
                    <w:t>文件规定要求</w:t>
                  </w:r>
                </w:p>
              </w:tc>
              <w:tc>
                <w:tcPr>
                  <w:tcW w:w="1786" w:type="pct"/>
                  <w:noWrap w:val="0"/>
                  <w:vAlign w:val="center"/>
                </w:tcPr>
                <w:p w14:paraId="727245D1">
                  <w:pPr>
                    <w:adjustRightInd w:val="0"/>
                    <w:snapToGrid w:val="0"/>
                    <w:jc w:val="center"/>
                    <w:rPr>
                      <w:rFonts w:eastAsia="仿宋"/>
                      <w:b/>
                      <w:color w:val="auto"/>
                      <w:spacing w:val="-10"/>
                      <w:szCs w:val="21"/>
                    </w:rPr>
                  </w:pPr>
                  <w:r>
                    <w:rPr>
                      <w:rFonts w:eastAsia="仿宋"/>
                      <w:b/>
                      <w:color w:val="auto"/>
                      <w:spacing w:val="-10"/>
                      <w:szCs w:val="21"/>
                    </w:rPr>
                    <w:t>项目概况</w:t>
                  </w:r>
                </w:p>
              </w:tc>
              <w:tc>
                <w:tcPr>
                  <w:tcW w:w="504" w:type="pct"/>
                  <w:noWrap w:val="0"/>
                  <w:vAlign w:val="center"/>
                </w:tcPr>
                <w:p w14:paraId="18114276">
                  <w:pPr>
                    <w:adjustRightInd w:val="0"/>
                    <w:snapToGrid w:val="0"/>
                    <w:jc w:val="center"/>
                    <w:rPr>
                      <w:rFonts w:eastAsia="仿宋"/>
                      <w:b/>
                      <w:color w:val="auto"/>
                      <w:spacing w:val="-10"/>
                      <w:szCs w:val="21"/>
                    </w:rPr>
                  </w:pPr>
                  <w:r>
                    <w:rPr>
                      <w:rFonts w:eastAsia="仿宋"/>
                      <w:b/>
                      <w:color w:val="auto"/>
                      <w:spacing w:val="-10"/>
                      <w:szCs w:val="21"/>
                    </w:rPr>
                    <w:t>相符性</w:t>
                  </w:r>
                </w:p>
              </w:tc>
            </w:tr>
            <w:tr w14:paraId="23B8526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noWrap w:val="0"/>
                  <w:vAlign w:val="center"/>
                </w:tcPr>
                <w:p w14:paraId="3D60A6C6">
                  <w:pPr>
                    <w:adjustRightInd w:val="0"/>
                    <w:snapToGrid w:val="0"/>
                    <w:rPr>
                      <w:rFonts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w:t>
                  </w:r>
                  <w:r>
                    <w:rPr>
                      <w:rFonts w:hint="eastAsia" w:eastAsia="仿宋" w:cs="Times New Roman"/>
                      <w:color w:val="auto"/>
                      <w:szCs w:val="21"/>
                      <w:lang w:val="en-US" w:eastAsia="zh-CN"/>
                    </w:rPr>
                    <w:t>〔2021〕290号</w:t>
                  </w:r>
                  <w:r>
                    <w:rPr>
                      <w:rFonts w:hint="default" w:ascii="Times New Roman" w:hAnsi="Times New Roman" w:eastAsia="仿宋" w:cs="Times New Roman"/>
                      <w:color w:val="auto"/>
                      <w:szCs w:val="21"/>
                      <w:lang w:val="en-US" w:eastAsia="zh-CN"/>
                    </w:rPr>
                    <w:t>)中关于贮存周期和贮存量的要求，I级、II级、</w:t>
                  </w:r>
                  <w:r>
                    <w:rPr>
                      <w:rFonts w:hint="default" w:ascii="Times New Roman" w:hAnsi="Times New Roman" w:eastAsia="仿宋" w:cs="Times New Roman"/>
                      <w:color w:val="auto"/>
                      <w:szCs w:val="21"/>
                      <w:lang w:val="en-US" w:eastAsia="zh-CN"/>
                    </w:rPr>
                    <w:fldChar w:fldCharType="begin"/>
                  </w:r>
                  <w:r>
                    <w:rPr>
                      <w:rFonts w:hint="default" w:ascii="Times New Roman" w:hAnsi="Times New Roman" w:eastAsia="仿宋" w:cs="Times New Roman"/>
                      <w:color w:val="auto"/>
                      <w:szCs w:val="21"/>
                      <w:lang w:val="en-US" w:eastAsia="zh-CN"/>
                    </w:rPr>
                    <w:instrText xml:space="preserve"> = 3 \* ROMAN \* MERGEFORMAT </w:instrText>
                  </w:r>
                  <w:r>
                    <w:rPr>
                      <w:rFonts w:hint="default" w:ascii="Times New Roman" w:hAnsi="Times New Roman" w:eastAsia="仿宋" w:cs="Times New Roman"/>
                      <w:color w:val="auto"/>
                      <w:szCs w:val="21"/>
                      <w:lang w:val="en-US" w:eastAsia="zh-CN"/>
                    </w:rPr>
                    <w:fldChar w:fldCharType="separate"/>
                  </w:r>
                  <w:r>
                    <w:rPr>
                      <w:color w:val="auto"/>
                    </w:rPr>
                    <w:t>III</w:t>
                  </w:r>
                  <w:r>
                    <w:rPr>
                      <w:rFonts w:hint="default" w:ascii="Times New Roman" w:hAnsi="Times New Roman" w:eastAsia="仿宋" w:cs="Times New Roman"/>
                      <w:color w:val="auto"/>
                      <w:szCs w:val="21"/>
                      <w:lang w:val="en-US" w:eastAsia="zh-CN"/>
                    </w:rPr>
                    <w:fldChar w:fldCharType="end"/>
                  </w:r>
                  <w:r>
                    <w:rPr>
                      <w:rFonts w:hint="default" w:ascii="Times New Roman" w:hAnsi="Times New Roman" w:eastAsia="仿宋" w:cs="Times New Roman"/>
                      <w:color w:val="auto"/>
                      <w:szCs w:val="21"/>
                      <w:lang w:val="en-US" w:eastAsia="zh-CN"/>
                    </w:rPr>
                    <w:t>级危险废物贮存时间分别不得超过30天、60天、90天，最大贮存量不得超过1吨。</w:t>
                  </w:r>
                </w:p>
              </w:tc>
              <w:tc>
                <w:tcPr>
                  <w:tcW w:w="1786" w:type="pct"/>
                  <w:noWrap w:val="0"/>
                  <w:vAlign w:val="center"/>
                </w:tcPr>
                <w:p w14:paraId="77C75F36">
                  <w:pPr>
                    <w:adjustRightInd w:val="0"/>
                    <w:snapToGrid w:val="0"/>
                    <w:rPr>
                      <w:rFonts w:eastAsia="仿宋"/>
                      <w:color w:val="auto"/>
                      <w:szCs w:val="21"/>
                    </w:rPr>
                  </w:pPr>
                  <w:r>
                    <w:rPr>
                      <w:rFonts w:eastAsia="仿宋"/>
                      <w:color w:val="auto"/>
                      <w:szCs w:val="21"/>
                    </w:rPr>
                    <w:t>本项目</w:t>
                  </w:r>
                  <w:r>
                    <w:rPr>
                      <w:rFonts w:hint="eastAsia" w:eastAsia="仿宋"/>
                      <w:color w:val="auto"/>
                      <w:szCs w:val="21"/>
                      <w:lang w:val="en-US" w:eastAsia="zh-CN"/>
                    </w:rPr>
                    <w:t>危废仓库按照</w:t>
                  </w:r>
                  <w:r>
                    <w:rPr>
                      <w:rFonts w:hint="default" w:ascii="Times New Roman" w:hAnsi="Times New Roman" w:eastAsia="仿宋" w:cs="Times New Roman"/>
                      <w:color w:val="auto"/>
                      <w:szCs w:val="21"/>
                      <w:lang w:val="en-US" w:eastAsia="zh-CN"/>
                    </w:rPr>
                    <w:t>《危险废物贮存污染控制标准》(GB18597-2023)</w:t>
                  </w:r>
                  <w:r>
                    <w:rPr>
                      <w:rFonts w:hint="eastAsia" w:ascii="Times New Roman" w:hAnsi="Times New Roman" w:eastAsia="仿宋" w:cs="Times New Roman"/>
                      <w:color w:val="auto"/>
                      <w:szCs w:val="21"/>
                      <w:lang w:val="en-US" w:eastAsia="zh-CN"/>
                    </w:rPr>
                    <w:t>要求建设，项目危废</w:t>
                  </w:r>
                  <w:r>
                    <w:rPr>
                      <w:rFonts w:hint="default" w:ascii="Times New Roman" w:hAnsi="Times New Roman" w:eastAsia="仿宋" w:cs="Times New Roman"/>
                      <w:color w:val="auto"/>
                      <w:szCs w:val="21"/>
                      <w:lang w:val="en-US" w:eastAsia="zh-CN"/>
                    </w:rPr>
                    <w:t>贮存时间不超过90天</w:t>
                  </w:r>
                  <w:r>
                    <w:rPr>
                      <w:rFonts w:eastAsia="仿宋"/>
                      <w:color w:val="auto"/>
                      <w:szCs w:val="21"/>
                    </w:rPr>
                    <w:t>。</w:t>
                  </w:r>
                </w:p>
              </w:tc>
              <w:tc>
                <w:tcPr>
                  <w:tcW w:w="504" w:type="pct"/>
                  <w:noWrap w:val="0"/>
                  <w:vAlign w:val="center"/>
                </w:tcPr>
                <w:p w14:paraId="196D29CA">
                  <w:pPr>
                    <w:adjustRightInd w:val="0"/>
                    <w:snapToGrid w:val="0"/>
                    <w:rPr>
                      <w:rFonts w:eastAsia="仿宋"/>
                      <w:color w:val="auto"/>
                      <w:szCs w:val="21"/>
                    </w:rPr>
                  </w:pPr>
                  <w:r>
                    <w:rPr>
                      <w:rFonts w:eastAsia="仿宋"/>
                      <w:color w:val="auto"/>
                      <w:szCs w:val="21"/>
                    </w:rPr>
                    <w:t>符合</w:t>
                  </w:r>
                </w:p>
              </w:tc>
            </w:tr>
            <w:tr w14:paraId="696E890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noWrap w:val="0"/>
                  <w:vAlign w:val="center"/>
                </w:tcPr>
                <w:p w14:paraId="5A4D7B69">
                  <w:pPr>
                    <w:adjustRightInd w:val="0"/>
                    <w:snapToGrid w:val="0"/>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强化转移过程管理。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w:t>
                  </w:r>
                </w:p>
              </w:tc>
              <w:tc>
                <w:tcPr>
                  <w:tcW w:w="1786" w:type="pct"/>
                  <w:noWrap w:val="0"/>
                  <w:vAlign w:val="center"/>
                </w:tcPr>
                <w:p w14:paraId="59BE4E2A">
                  <w:pPr>
                    <w:adjustRightInd w:val="0"/>
                    <w:snapToGrid w:val="0"/>
                    <w:rPr>
                      <w:rFonts w:eastAsia="仿宋"/>
                      <w:color w:val="auto"/>
                      <w:szCs w:val="21"/>
                    </w:rPr>
                  </w:pPr>
                  <w:r>
                    <w:rPr>
                      <w:rFonts w:eastAsia="仿宋"/>
                      <w:color w:val="auto"/>
                      <w:szCs w:val="21"/>
                    </w:rPr>
                    <w:t>本项目</w:t>
                  </w:r>
                  <w:r>
                    <w:rPr>
                      <w:rFonts w:hint="eastAsia" w:eastAsia="仿宋"/>
                      <w:color w:val="auto"/>
                      <w:szCs w:val="21"/>
                      <w:lang w:val="en-US" w:eastAsia="zh-CN"/>
                    </w:rPr>
                    <w:t>建成后将</w:t>
                  </w:r>
                  <w:r>
                    <w:rPr>
                      <w:rFonts w:eastAsia="仿宋"/>
                      <w:color w:val="auto"/>
                      <w:szCs w:val="21"/>
                    </w:rPr>
                    <w:t>严格执行危险废物转移电子联单制度，建立电子档案，做好危废相关的手续及存档。</w:t>
                  </w:r>
                </w:p>
                <w:p w14:paraId="512552FF">
                  <w:pPr>
                    <w:adjustRightInd w:val="0"/>
                    <w:snapToGrid w:val="0"/>
                    <w:rPr>
                      <w:rFonts w:eastAsia="仿宋"/>
                      <w:color w:val="auto"/>
                      <w:szCs w:val="21"/>
                    </w:rPr>
                  </w:pPr>
                </w:p>
              </w:tc>
              <w:tc>
                <w:tcPr>
                  <w:tcW w:w="504" w:type="pct"/>
                  <w:noWrap w:val="0"/>
                  <w:vAlign w:val="center"/>
                </w:tcPr>
                <w:p w14:paraId="203DD5EF">
                  <w:pPr>
                    <w:adjustRightInd w:val="0"/>
                    <w:snapToGrid w:val="0"/>
                    <w:rPr>
                      <w:rFonts w:eastAsia="仿宋"/>
                      <w:color w:val="auto"/>
                      <w:szCs w:val="21"/>
                    </w:rPr>
                  </w:pPr>
                  <w:r>
                    <w:rPr>
                      <w:rFonts w:eastAsia="仿宋"/>
                      <w:color w:val="auto"/>
                      <w:szCs w:val="21"/>
                    </w:rPr>
                    <w:t>符合</w:t>
                  </w:r>
                </w:p>
              </w:tc>
            </w:tr>
            <w:tr w14:paraId="091B8D8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2" w:hRule="atLeast"/>
              </w:trPr>
              <w:tc>
                <w:tcPr>
                  <w:tcW w:w="2709" w:type="pct"/>
                  <w:noWrap w:val="0"/>
                  <w:vAlign w:val="center"/>
                </w:tcPr>
                <w:p w14:paraId="3037F67A">
                  <w:pPr>
                    <w:adjustRightInd w:val="0"/>
                    <w:snapToGrid w:val="0"/>
                    <w:rPr>
                      <w:rFonts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落实信息公开制度。危险废物环境重点监管单位要在出入口、设施内部、危险废物运输车辆通道等关键位置设置视频监控并与中控室联网，通过设立公开栏、标志牌等方式，主动公开危险废物产生和利用处置等有关信息。</w:t>
                  </w:r>
                </w:p>
              </w:tc>
              <w:tc>
                <w:tcPr>
                  <w:tcW w:w="1786" w:type="pct"/>
                  <w:noWrap w:val="0"/>
                  <w:vAlign w:val="center"/>
                </w:tcPr>
                <w:p w14:paraId="1D7432B2">
                  <w:pPr>
                    <w:adjustRightInd w:val="0"/>
                    <w:snapToGrid w:val="0"/>
                    <w:rPr>
                      <w:rFonts w:eastAsia="仿宋"/>
                      <w:color w:val="auto"/>
                      <w:szCs w:val="21"/>
                    </w:rPr>
                  </w:pPr>
                  <w:r>
                    <w:rPr>
                      <w:rFonts w:eastAsia="仿宋"/>
                      <w:color w:val="auto"/>
                      <w:szCs w:val="21"/>
                    </w:rPr>
                    <w:t>本项目</w:t>
                  </w:r>
                  <w:r>
                    <w:rPr>
                      <w:rFonts w:hint="eastAsia" w:eastAsia="仿宋"/>
                      <w:color w:val="auto"/>
                      <w:szCs w:val="21"/>
                      <w:lang w:val="en-US" w:eastAsia="zh-CN"/>
                    </w:rPr>
                    <w:t>危废仓库内外均设置视频监控</w:t>
                  </w:r>
                  <w:r>
                    <w:rPr>
                      <w:rFonts w:hint="default" w:ascii="Times New Roman" w:hAnsi="Times New Roman" w:eastAsia="仿宋" w:cs="Times New Roman"/>
                      <w:color w:val="auto"/>
                      <w:szCs w:val="21"/>
                      <w:lang w:val="en-US" w:eastAsia="zh-CN"/>
                    </w:rPr>
                    <w:t>并与中控室联网</w:t>
                  </w:r>
                  <w:r>
                    <w:rPr>
                      <w:rFonts w:eastAsia="仿宋"/>
                      <w:color w:val="auto"/>
                      <w:szCs w:val="21"/>
                    </w:rPr>
                    <w:t>。本项目</w:t>
                  </w:r>
                  <w:r>
                    <w:rPr>
                      <w:rFonts w:hint="eastAsia" w:eastAsia="仿宋"/>
                      <w:color w:val="auto"/>
                      <w:szCs w:val="21"/>
                      <w:lang w:val="en-US" w:eastAsia="zh-CN"/>
                    </w:rPr>
                    <w:t>建成后将</w:t>
                  </w:r>
                  <w:r>
                    <w:rPr>
                      <w:rFonts w:hint="default" w:ascii="Times New Roman" w:hAnsi="Times New Roman" w:eastAsia="仿宋" w:cs="Times New Roman"/>
                      <w:color w:val="auto"/>
                      <w:szCs w:val="21"/>
                      <w:lang w:val="en-US" w:eastAsia="zh-CN"/>
                    </w:rPr>
                    <w:t>通过设立公开栏、标志牌等方式，主动公开危险废物产生和利用处置等有关信息</w:t>
                  </w:r>
                  <w:r>
                    <w:rPr>
                      <w:rFonts w:hint="eastAsia" w:ascii="Times New Roman" w:hAnsi="Times New Roman" w:eastAsia="仿宋" w:cs="Times New Roman"/>
                      <w:color w:val="auto"/>
                      <w:szCs w:val="21"/>
                      <w:lang w:val="en-US" w:eastAsia="zh-CN"/>
                    </w:rPr>
                    <w:t>。</w:t>
                  </w:r>
                </w:p>
                <w:p w14:paraId="03459F6D">
                  <w:pPr>
                    <w:adjustRightInd w:val="0"/>
                    <w:snapToGrid w:val="0"/>
                    <w:rPr>
                      <w:rFonts w:eastAsia="仿宋"/>
                      <w:color w:val="auto"/>
                      <w:szCs w:val="21"/>
                    </w:rPr>
                  </w:pPr>
                </w:p>
              </w:tc>
              <w:tc>
                <w:tcPr>
                  <w:tcW w:w="504" w:type="pct"/>
                  <w:noWrap w:val="0"/>
                  <w:vAlign w:val="center"/>
                </w:tcPr>
                <w:p w14:paraId="56A30E0D">
                  <w:pPr>
                    <w:adjustRightInd w:val="0"/>
                    <w:snapToGrid w:val="0"/>
                    <w:rPr>
                      <w:rFonts w:eastAsia="仿宋"/>
                      <w:color w:val="auto"/>
                      <w:szCs w:val="21"/>
                    </w:rPr>
                  </w:pPr>
                  <w:r>
                    <w:rPr>
                      <w:rFonts w:eastAsia="仿宋"/>
                      <w:color w:val="auto"/>
                      <w:szCs w:val="21"/>
                    </w:rPr>
                    <w:t>符合</w:t>
                  </w:r>
                </w:p>
              </w:tc>
            </w:tr>
          </w:tbl>
          <w:p w14:paraId="0423ED27">
            <w:pPr>
              <w:adjustRightInd w:val="0"/>
              <w:snapToGrid w:val="0"/>
              <w:spacing w:line="360" w:lineRule="auto"/>
              <w:ind w:left="63" w:leftChars="30" w:firstLine="480" w:firstLineChars="200"/>
              <w:rPr>
                <w:rFonts w:eastAsia="仿宋"/>
                <w:color w:val="auto"/>
                <w:sz w:val="24"/>
              </w:rPr>
            </w:pPr>
            <w:r>
              <w:rPr>
                <w:rFonts w:eastAsia="仿宋"/>
                <w:color w:val="auto"/>
                <w:sz w:val="24"/>
              </w:rPr>
              <w:t>由上表可知，本项目建设符合</w:t>
            </w:r>
            <w:r>
              <w:rPr>
                <w:rFonts w:hint="default" w:ascii="Times New Roman" w:hAnsi="Times New Roman" w:eastAsia="仿宋" w:cs="Times New Roman"/>
                <w:color w:val="auto"/>
                <w:kern w:val="0"/>
                <w:sz w:val="24"/>
                <w:lang w:bidi="ar"/>
              </w:rPr>
              <w:t>《</w:t>
            </w:r>
            <w:r>
              <w:rPr>
                <w:rFonts w:hint="eastAsia" w:ascii="Times New Roman" w:hAnsi="Times New Roman" w:eastAsia="仿宋" w:cs="Times New Roman"/>
                <w:color w:val="auto"/>
                <w:kern w:val="0"/>
                <w:sz w:val="24"/>
                <w:lang w:val="en-US" w:eastAsia="zh-CN" w:bidi="ar"/>
              </w:rPr>
              <w:t>江苏省固体废物全过程环境监管工作意见</w:t>
            </w:r>
            <w:r>
              <w:rPr>
                <w:rFonts w:hint="default" w:ascii="Times New Roman" w:hAnsi="Times New Roman" w:eastAsia="仿宋" w:cs="Times New Roman"/>
                <w:color w:val="auto"/>
                <w:kern w:val="0"/>
                <w:sz w:val="24"/>
                <w:lang w:bidi="ar"/>
              </w:rPr>
              <w:t>》（</w:t>
            </w:r>
            <w:r>
              <w:rPr>
                <w:rFonts w:hint="default" w:ascii="Times New Roman" w:hAnsi="Times New Roman" w:eastAsia="仿宋" w:cs="Times New Roman"/>
                <w:color w:val="auto"/>
                <w:kern w:val="0"/>
                <w:sz w:val="24"/>
                <w:lang w:eastAsia="zh-CN" w:bidi="ar"/>
              </w:rPr>
              <w:t>苏环办</w:t>
            </w:r>
            <w:r>
              <w:rPr>
                <w:rFonts w:hint="eastAsia" w:eastAsia="仿宋" w:cs="Times New Roman"/>
                <w:color w:val="auto"/>
                <w:kern w:val="0"/>
                <w:sz w:val="24"/>
                <w:lang w:eastAsia="zh-CN" w:bidi="ar"/>
              </w:rPr>
              <w:t>〔2024〕16号</w:t>
            </w:r>
            <w:r>
              <w:rPr>
                <w:rFonts w:hint="default" w:ascii="Times New Roman" w:hAnsi="Times New Roman" w:eastAsia="仿宋" w:cs="Times New Roman"/>
                <w:color w:val="auto"/>
                <w:kern w:val="0"/>
                <w:sz w:val="24"/>
                <w:lang w:eastAsia="zh-CN" w:bidi="ar"/>
              </w:rPr>
              <w:t>）</w:t>
            </w:r>
            <w:r>
              <w:rPr>
                <w:rFonts w:eastAsia="仿宋"/>
                <w:color w:val="auto"/>
                <w:sz w:val="24"/>
              </w:rPr>
              <w:t xml:space="preserve">相关要求。 </w:t>
            </w:r>
          </w:p>
          <w:p w14:paraId="6968A603">
            <w:pPr>
              <w:adjustRightInd w:val="0"/>
              <w:snapToGrid w:val="0"/>
              <w:spacing w:line="360" w:lineRule="auto"/>
              <w:ind w:left="63" w:leftChars="30" w:firstLine="480" w:firstLineChars="200"/>
              <w:rPr>
                <w:rFonts w:eastAsia="仿宋"/>
                <w:color w:val="auto"/>
                <w:sz w:val="24"/>
              </w:rPr>
            </w:pPr>
            <w:r>
              <w:rPr>
                <w:rFonts w:hint="default" w:ascii="Times New Roman" w:hAnsi="Times New Roman" w:eastAsia="宋体" w:cs="Times New Roman"/>
                <w:bCs/>
                <w:color w:val="auto"/>
                <w:sz w:val="24"/>
                <w:lang w:val="en-US" w:eastAsia="zh-CN"/>
              </w:rPr>
              <w:t>②</w:t>
            </w:r>
            <w:r>
              <w:rPr>
                <w:rFonts w:eastAsia="仿宋"/>
                <w:color w:val="auto"/>
                <w:kern w:val="0"/>
                <w:sz w:val="24"/>
                <w:lang w:bidi="ar"/>
              </w:rPr>
              <w:t>与《关于进一步加强危险废物环境管理工作的通知》（苏环办</w:t>
            </w:r>
            <w:r>
              <w:rPr>
                <w:rFonts w:hint="eastAsia" w:eastAsia="仿宋"/>
                <w:color w:val="auto"/>
                <w:kern w:val="0"/>
                <w:sz w:val="24"/>
                <w:lang w:eastAsia="zh-CN" w:bidi="ar"/>
              </w:rPr>
              <w:t>〔2021〕207号</w:t>
            </w:r>
            <w:r>
              <w:rPr>
                <w:rFonts w:eastAsia="仿宋"/>
                <w:color w:val="auto"/>
                <w:kern w:val="0"/>
                <w:sz w:val="24"/>
                <w:lang w:bidi="ar"/>
              </w:rPr>
              <w:t>）相符性分析</w:t>
            </w:r>
          </w:p>
          <w:p w14:paraId="5EC6E5D0">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b/>
                <w:bCs/>
                <w:color w:val="auto"/>
                <w:kern w:val="0"/>
                <w:szCs w:val="21"/>
                <w:lang w:bidi="ar"/>
              </w:rPr>
              <w:t>表4-</w:t>
            </w:r>
            <w:r>
              <w:rPr>
                <w:rFonts w:hint="default" w:ascii="Times New Roman" w:hAnsi="Times New Roman" w:eastAsia="仿宋" w:cs="Times New Roman"/>
                <w:b/>
                <w:bCs/>
                <w:color w:val="auto"/>
                <w:kern w:val="0"/>
                <w:szCs w:val="21"/>
                <w:lang w:val="en-US" w:eastAsia="zh-CN" w:bidi="ar"/>
              </w:rPr>
              <w:t>25</w:t>
            </w:r>
            <w:r>
              <w:rPr>
                <w:rFonts w:hint="default" w:ascii="Times New Roman" w:hAnsi="Times New Roman" w:eastAsia="仿宋" w:cs="Times New Roman"/>
                <w:b/>
                <w:bCs/>
                <w:color w:val="auto"/>
                <w:kern w:val="0"/>
                <w:szCs w:val="21"/>
                <w:lang w:bidi="ar"/>
              </w:rPr>
              <w:t xml:space="preserve"> 项目与苏环办</w:t>
            </w:r>
            <w:r>
              <w:rPr>
                <w:rFonts w:hint="eastAsia" w:eastAsia="仿宋" w:cs="Times New Roman"/>
                <w:b/>
                <w:bCs/>
                <w:color w:val="auto"/>
                <w:kern w:val="0"/>
                <w:szCs w:val="21"/>
                <w:lang w:eastAsia="zh-CN" w:bidi="ar"/>
              </w:rPr>
              <w:t>〔2021〕207号</w:t>
            </w:r>
            <w:r>
              <w:rPr>
                <w:rFonts w:hint="default" w:ascii="Times New Roman" w:hAnsi="Times New Roman" w:eastAsia="仿宋" w:cs="Times New Roman"/>
                <w:b/>
                <w:bCs/>
                <w:color w:val="auto"/>
                <w:kern w:val="0"/>
                <w:szCs w:val="21"/>
                <w:lang w:bidi="ar"/>
              </w:rPr>
              <w:t>文相符性分析一览表</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791"/>
              <w:gridCol w:w="3158"/>
              <w:gridCol w:w="891"/>
            </w:tblGrid>
            <w:tr w14:paraId="6A0ADF6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noWrap w:val="0"/>
                  <w:vAlign w:val="center"/>
                </w:tcPr>
                <w:p w14:paraId="34085549">
                  <w:pPr>
                    <w:adjustRightInd w:val="0"/>
                    <w:snapToGrid w:val="0"/>
                    <w:jc w:val="center"/>
                    <w:rPr>
                      <w:rFonts w:hint="default" w:ascii="Times New Roman" w:hAnsi="Times New Roman" w:eastAsia="仿宋" w:cs="Times New Roman"/>
                      <w:b/>
                      <w:color w:val="auto"/>
                      <w:spacing w:val="-10"/>
                      <w:szCs w:val="21"/>
                    </w:rPr>
                  </w:pPr>
                  <w:r>
                    <w:rPr>
                      <w:rFonts w:hint="default" w:ascii="Times New Roman" w:hAnsi="Times New Roman" w:eastAsia="仿宋" w:cs="Times New Roman"/>
                      <w:b/>
                      <w:color w:val="auto"/>
                      <w:spacing w:val="-10"/>
                      <w:szCs w:val="21"/>
                    </w:rPr>
                    <w:t>文件规定要求</w:t>
                  </w:r>
                </w:p>
              </w:tc>
              <w:tc>
                <w:tcPr>
                  <w:tcW w:w="1786" w:type="pct"/>
                  <w:noWrap w:val="0"/>
                  <w:vAlign w:val="center"/>
                </w:tcPr>
                <w:p w14:paraId="0748B116">
                  <w:pPr>
                    <w:adjustRightInd w:val="0"/>
                    <w:snapToGrid w:val="0"/>
                    <w:jc w:val="center"/>
                    <w:rPr>
                      <w:rFonts w:hint="default" w:ascii="Times New Roman" w:hAnsi="Times New Roman" w:eastAsia="仿宋" w:cs="Times New Roman"/>
                      <w:b/>
                      <w:color w:val="auto"/>
                      <w:spacing w:val="-10"/>
                      <w:szCs w:val="21"/>
                    </w:rPr>
                  </w:pPr>
                  <w:r>
                    <w:rPr>
                      <w:rFonts w:hint="default" w:ascii="Times New Roman" w:hAnsi="Times New Roman" w:eastAsia="仿宋" w:cs="Times New Roman"/>
                      <w:b/>
                      <w:color w:val="auto"/>
                      <w:spacing w:val="-10"/>
                      <w:szCs w:val="21"/>
                    </w:rPr>
                    <w:t>项目概况</w:t>
                  </w:r>
                </w:p>
              </w:tc>
              <w:tc>
                <w:tcPr>
                  <w:tcW w:w="504" w:type="pct"/>
                  <w:noWrap w:val="0"/>
                  <w:vAlign w:val="center"/>
                </w:tcPr>
                <w:p w14:paraId="32E65A5D">
                  <w:pPr>
                    <w:adjustRightInd w:val="0"/>
                    <w:snapToGrid w:val="0"/>
                    <w:jc w:val="center"/>
                    <w:rPr>
                      <w:rFonts w:hint="default" w:ascii="Times New Roman" w:hAnsi="Times New Roman" w:eastAsia="仿宋" w:cs="Times New Roman"/>
                      <w:b/>
                      <w:color w:val="auto"/>
                      <w:spacing w:val="-10"/>
                      <w:szCs w:val="21"/>
                    </w:rPr>
                  </w:pPr>
                  <w:r>
                    <w:rPr>
                      <w:rFonts w:hint="default" w:ascii="Times New Roman" w:hAnsi="Times New Roman" w:eastAsia="仿宋" w:cs="Times New Roman"/>
                      <w:b/>
                      <w:color w:val="auto"/>
                      <w:spacing w:val="-10"/>
                      <w:szCs w:val="21"/>
                    </w:rPr>
                    <w:t>相符性</w:t>
                  </w:r>
                </w:p>
              </w:tc>
            </w:tr>
            <w:tr w14:paraId="5616323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noWrap w:val="0"/>
                  <w:vAlign w:val="center"/>
                </w:tcPr>
                <w:p w14:paraId="33D02287">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严格落实产废单位危险废物污染环境防治主体责任。产废单位必须将危险废物提供或者委托给有资质单位从事收集、贮存、利用处置活动，并有危险废物利用处置合同、资金往来、废物交接等相关证明材料。严禁产废单位委托第三方中介机构运输和利用处置危险废物；严禁将危险废物提供或者委托给无资质单位进行收集、贮存和利用处置。</w:t>
                  </w:r>
                </w:p>
              </w:tc>
              <w:tc>
                <w:tcPr>
                  <w:tcW w:w="1786" w:type="pct"/>
                  <w:noWrap w:val="0"/>
                  <w:vAlign w:val="center"/>
                </w:tcPr>
                <w:p w14:paraId="5770CD97">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本项目拟将产生的危废委托有资质单位进行运输和利用处置。</w:t>
                  </w:r>
                </w:p>
              </w:tc>
              <w:tc>
                <w:tcPr>
                  <w:tcW w:w="504" w:type="pct"/>
                  <w:noWrap w:val="0"/>
                  <w:vAlign w:val="center"/>
                </w:tcPr>
                <w:p w14:paraId="4B0E6C75">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14:paraId="10100DF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64" w:hRule="atLeast"/>
              </w:trPr>
              <w:tc>
                <w:tcPr>
                  <w:tcW w:w="2709" w:type="pct"/>
                  <w:noWrap w:val="0"/>
                  <w:vAlign w:val="center"/>
                </w:tcPr>
                <w:p w14:paraId="7B081218">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严格危险废物产生贮存环境监管。通过“江苏环保脸谱”，全面推行产生和贮存现场实时申报，自动生成二维码包装标识，实现危险废物从产生到贮存信息化监管。严禁任何企业、供应商、经销商等以生态环境部门名义向产废单位、收集单位、利用处置单位推销购买任何与全生命周期监控系统相关的智能设备；严禁任何第三方在全生命周期监控系统推广使用、宣传、培训过程中以夸大、捆绑、谎称、垄断等方式借机推销相关设备和软件系统。</w:t>
                  </w:r>
                </w:p>
              </w:tc>
              <w:tc>
                <w:tcPr>
                  <w:tcW w:w="1786" w:type="pct"/>
                  <w:noWrap w:val="0"/>
                  <w:vAlign w:val="center"/>
                </w:tcPr>
                <w:p w14:paraId="025EC848">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本项目在日常的运营管理过程中</w:t>
                  </w:r>
                  <w:r>
                    <w:rPr>
                      <w:rFonts w:hint="eastAsia" w:eastAsia="仿宋" w:cs="Times New Roman"/>
                      <w:color w:val="auto"/>
                      <w:szCs w:val="21"/>
                      <w:lang w:eastAsia="zh-CN"/>
                    </w:rPr>
                    <w:t>，通</w:t>
                  </w:r>
                  <w:r>
                    <w:rPr>
                      <w:rFonts w:hint="default" w:ascii="Times New Roman" w:hAnsi="Times New Roman" w:eastAsia="仿宋" w:cs="Times New Roman"/>
                      <w:color w:val="auto"/>
                      <w:szCs w:val="21"/>
                    </w:rPr>
                    <w:t>过“江苏环保脸谱” 实现危险废物从产生到贮存信息化监管。不接受其他单位推销的任何与全生命周期监控系统相关的智能设备。</w:t>
                  </w:r>
                </w:p>
                <w:p w14:paraId="2085117E">
                  <w:pPr>
                    <w:adjustRightInd w:val="0"/>
                    <w:snapToGrid w:val="0"/>
                    <w:rPr>
                      <w:rFonts w:hint="default" w:ascii="Times New Roman" w:hAnsi="Times New Roman" w:eastAsia="仿宋" w:cs="Times New Roman"/>
                      <w:color w:val="auto"/>
                      <w:szCs w:val="21"/>
                    </w:rPr>
                  </w:pPr>
                </w:p>
              </w:tc>
              <w:tc>
                <w:tcPr>
                  <w:tcW w:w="504" w:type="pct"/>
                  <w:noWrap w:val="0"/>
                  <w:vAlign w:val="center"/>
                </w:tcPr>
                <w:p w14:paraId="43A95530">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14:paraId="3AD379C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noWrap w:val="0"/>
                  <w:vAlign w:val="center"/>
                </w:tcPr>
                <w:p w14:paraId="4430374B">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严格危险废物转移环境监管。全面推行危险废物转移电子联单，自2021年7月10日起，危险废物通过全生命周期监控系统扫描二维码转移，严禁无二维码转移行为（槽罐车、管道等除外）。各地要加强危险废物流向监控，建立电子档案，严厉打击危险废物转移过程中的环境违法行为。 </w:t>
                  </w:r>
                </w:p>
                <w:p w14:paraId="6A199125">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严禁生态环境系统人员直接或间接为产废单位指定或介绍收集、转运、利用处置单位。违反上述要求的，各地生态环境部门可关闭相关企业危险废物转移系统功能，禁止其危险废物转移，</w:t>
                  </w:r>
                  <w:r>
                    <w:rPr>
                      <w:rFonts w:hint="eastAsia" w:eastAsia="仿宋" w:cs="Times New Roman"/>
                      <w:color w:val="auto"/>
                      <w:szCs w:val="21"/>
                      <w:lang w:eastAsia="zh-CN"/>
                    </w:rPr>
                    <w:t>并追究</w:t>
                  </w:r>
                  <w:r>
                    <w:rPr>
                      <w:rFonts w:hint="default" w:ascii="Times New Roman" w:hAnsi="Times New Roman" w:eastAsia="仿宋" w:cs="Times New Roman"/>
                      <w:color w:val="auto"/>
                      <w:szCs w:val="21"/>
                    </w:rPr>
                    <w:t>相关责任人责任。</w:t>
                  </w:r>
                </w:p>
              </w:tc>
              <w:tc>
                <w:tcPr>
                  <w:tcW w:w="1786" w:type="pct"/>
                  <w:noWrap w:val="0"/>
                  <w:vAlign w:val="center"/>
                </w:tcPr>
                <w:p w14:paraId="6B129452">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本项目严格执行危险废物转移电子联单制度，建立电子档案，做好危废相关的手续及存档。</w:t>
                  </w:r>
                </w:p>
                <w:p w14:paraId="68428457">
                  <w:pPr>
                    <w:adjustRightInd w:val="0"/>
                    <w:snapToGrid w:val="0"/>
                    <w:rPr>
                      <w:rFonts w:hint="default" w:ascii="Times New Roman" w:hAnsi="Times New Roman" w:eastAsia="仿宋" w:cs="Times New Roman"/>
                      <w:color w:val="auto"/>
                      <w:szCs w:val="21"/>
                    </w:rPr>
                  </w:pPr>
                </w:p>
              </w:tc>
              <w:tc>
                <w:tcPr>
                  <w:tcW w:w="504" w:type="pct"/>
                  <w:noWrap w:val="0"/>
                  <w:vAlign w:val="center"/>
                </w:tcPr>
                <w:p w14:paraId="4AA1B95B">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14:paraId="4A06658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noWrap w:val="0"/>
                  <w:vAlign w:val="center"/>
                </w:tcPr>
                <w:p w14:paraId="740E44D4">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严格执行危险废物豁免管理清单。各设区市生态环境部门要对照国家危险废物豁免管理清单，梳理本辖区符合豁免管理条件的利用处置单位（非持证单位），在设区市生态环境部门官网公开，实施动态管理。各地生态环境部门要加强危险废物豁免管理单位的日常监管，将豁免管理危险废物产生、贮存、运输、利用、处置等情况纳入全生命周期监控系统，严格落实危险废物相关管理制度，加强业务培训，提升危险废物规范化管理水平。</w:t>
                  </w:r>
                </w:p>
              </w:tc>
              <w:tc>
                <w:tcPr>
                  <w:tcW w:w="1786" w:type="pct"/>
                  <w:noWrap w:val="0"/>
                  <w:vAlign w:val="center"/>
                </w:tcPr>
                <w:p w14:paraId="4ED6B4DB">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本项目危废不涉及豁免管理。</w:t>
                  </w:r>
                </w:p>
                <w:p w14:paraId="00F9A734">
                  <w:pPr>
                    <w:adjustRightInd w:val="0"/>
                    <w:snapToGrid w:val="0"/>
                    <w:rPr>
                      <w:rFonts w:hint="default" w:ascii="Times New Roman" w:hAnsi="Times New Roman" w:eastAsia="仿宋" w:cs="Times New Roman"/>
                      <w:color w:val="auto"/>
                      <w:szCs w:val="21"/>
                    </w:rPr>
                  </w:pPr>
                </w:p>
              </w:tc>
              <w:tc>
                <w:tcPr>
                  <w:tcW w:w="504" w:type="pct"/>
                  <w:noWrap w:val="0"/>
                  <w:vAlign w:val="center"/>
                </w:tcPr>
                <w:p w14:paraId="7D9F8A10">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14:paraId="4343B4A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noWrap w:val="0"/>
                  <w:vAlign w:val="center"/>
                </w:tcPr>
                <w:p w14:paraId="6327F08E">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严格危险废物应急处置和行政代处置管理。各地要结合实际制定危险废物应急处置和行政代处置管理方案，明确适用范围、各方职责、执行程序和监管措施等内容。按照《固体废物污染环境防治法》《国家危险废物名录》（2021 版） </w:t>
                  </w:r>
                </w:p>
                <w:p w14:paraId="66510946">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等要求，需采取应急处置或行政代处置的相关部门和单位，要科学制定处置方案并按要求向有关生态环境部门和地方政府报备。严禁借应急处置和行政代处置名义逃避监管，违法处置危险废物。</w:t>
                  </w:r>
                </w:p>
              </w:tc>
              <w:tc>
                <w:tcPr>
                  <w:tcW w:w="1786" w:type="pct"/>
                  <w:noWrap w:val="0"/>
                  <w:vAlign w:val="center"/>
                </w:tcPr>
                <w:p w14:paraId="3549B9B7">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本项目危废均交由有资质单 </w:t>
                  </w:r>
                </w:p>
                <w:p w14:paraId="1093B48F">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位处置，不涉及危险废物应 </w:t>
                  </w:r>
                </w:p>
                <w:p w14:paraId="1E1F7B59">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急处置和行政代处置管理。</w:t>
                  </w:r>
                </w:p>
                <w:p w14:paraId="095B8DF6">
                  <w:pPr>
                    <w:adjustRightInd w:val="0"/>
                    <w:snapToGrid w:val="0"/>
                    <w:rPr>
                      <w:rFonts w:hint="default" w:ascii="Times New Roman" w:hAnsi="Times New Roman" w:eastAsia="仿宋" w:cs="Times New Roman"/>
                      <w:color w:val="auto"/>
                      <w:szCs w:val="21"/>
                    </w:rPr>
                  </w:pPr>
                </w:p>
              </w:tc>
              <w:tc>
                <w:tcPr>
                  <w:tcW w:w="504" w:type="pct"/>
                  <w:noWrap w:val="0"/>
                  <w:vAlign w:val="center"/>
                </w:tcPr>
                <w:p w14:paraId="367A68F2">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bl>
          <w:p w14:paraId="4FD39DE9">
            <w:pPr>
              <w:pStyle w:val="5"/>
              <w:adjustRightInd w:val="0"/>
              <w:snapToGrid w:val="0"/>
              <w:spacing w:line="500" w:lineRule="exact"/>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由上表可知，本项目建设符合《关于进一步加强危险废物环境管理工作的通知》（苏环办</w:t>
            </w:r>
            <w:r>
              <w:rPr>
                <w:rFonts w:hint="eastAsia" w:ascii="Times New Roman" w:hAnsi="Times New Roman" w:eastAsia="仿宋" w:cs="Times New Roman"/>
                <w:color w:val="auto"/>
                <w:kern w:val="0"/>
                <w:sz w:val="24"/>
                <w:lang w:eastAsia="zh-CN"/>
              </w:rPr>
              <w:t>〔2021〕207号</w:t>
            </w:r>
            <w:r>
              <w:rPr>
                <w:rFonts w:hint="default" w:ascii="Times New Roman" w:hAnsi="Times New Roman" w:eastAsia="仿宋" w:cs="Times New Roman"/>
                <w:color w:val="auto"/>
                <w:kern w:val="0"/>
                <w:sz w:val="24"/>
              </w:rPr>
              <w:t xml:space="preserve">）相关要求。 </w:t>
            </w:r>
          </w:p>
          <w:p w14:paraId="1541E9D8">
            <w:pPr>
              <w:adjustRightInd w:val="0"/>
              <w:snapToGrid w:val="0"/>
              <w:spacing w:line="500" w:lineRule="exact"/>
              <w:ind w:firstLine="480" w:firstLineChars="200"/>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lang w:val="en-US" w:eastAsia="zh-CN"/>
              </w:rPr>
              <w:t>②</w:t>
            </w:r>
            <w:r>
              <w:rPr>
                <w:rFonts w:hint="default" w:ascii="Times New Roman" w:hAnsi="Times New Roman" w:eastAsia="仿宋" w:cs="Times New Roman"/>
                <w:bCs/>
                <w:color w:val="auto"/>
                <w:sz w:val="24"/>
                <w:lang w:eastAsia="zh-CN"/>
              </w:rPr>
              <w:t>一般工业固废管理要求</w:t>
            </w:r>
          </w:p>
          <w:p w14:paraId="6DBEE928">
            <w:pPr>
              <w:pStyle w:val="5"/>
              <w:adjustRightInd w:val="0"/>
              <w:snapToGrid w:val="0"/>
              <w:spacing w:line="500" w:lineRule="exact"/>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建设单位应严格执行《</w:t>
            </w:r>
            <w:r>
              <w:rPr>
                <w:rFonts w:hint="default" w:ascii="Times New Roman" w:hAnsi="Times New Roman" w:eastAsia="仿宋" w:cs="Times New Roman"/>
                <w:color w:val="auto"/>
                <w:kern w:val="0"/>
                <w:sz w:val="24"/>
                <w:lang w:val="en-US" w:eastAsia="zh-CN"/>
              </w:rPr>
              <w:t>一般工业固体废物贮存和填埋污染控制标准</w:t>
            </w:r>
            <w:r>
              <w:rPr>
                <w:rFonts w:hint="default" w:ascii="Times New Roman" w:hAnsi="Times New Roman" w:eastAsia="仿宋" w:cs="Times New Roman"/>
                <w:color w:val="auto"/>
                <w:kern w:val="0"/>
                <w:sz w:val="24"/>
              </w:rPr>
              <w:t>》（GB18599-2020），</w:t>
            </w:r>
            <w:r>
              <w:rPr>
                <w:rFonts w:hint="default" w:ascii="Times New Roman" w:hAnsi="Times New Roman" w:eastAsia="仿宋" w:cs="Times New Roman"/>
                <w:b w:val="0"/>
                <w:bCs w:val="0"/>
                <w:color w:val="auto"/>
                <w:sz w:val="24"/>
                <w:highlight w:val="none"/>
                <w:lang w:val="en-US" w:eastAsia="zh-CN"/>
              </w:rPr>
              <w:t>边角料、焊渣、收尘、废布袋</w:t>
            </w:r>
            <w:r>
              <w:rPr>
                <w:rFonts w:hint="eastAsia" w:ascii="Times New Roman" w:hAnsi="Times New Roman" w:eastAsia="仿宋" w:cs="Times New Roman"/>
                <w:b w:val="0"/>
                <w:bCs w:val="0"/>
                <w:color w:val="auto"/>
                <w:sz w:val="24"/>
                <w:highlight w:val="none"/>
                <w:lang w:val="en-US" w:eastAsia="zh-CN"/>
              </w:rPr>
              <w:t>等一般固废</w:t>
            </w:r>
            <w:r>
              <w:rPr>
                <w:rFonts w:hint="default" w:ascii="Times New Roman" w:hAnsi="Times New Roman" w:eastAsia="仿宋" w:cs="Times New Roman"/>
                <w:color w:val="auto"/>
                <w:kern w:val="0"/>
                <w:sz w:val="24"/>
              </w:rPr>
              <w:t>收集后分别送至现有一般固废暂存场所进行分类暂存，杜绝混合存放。</w:t>
            </w:r>
          </w:p>
          <w:p w14:paraId="4FDFA8FC">
            <w:pPr>
              <w:pStyle w:val="5"/>
              <w:adjustRightInd w:val="0"/>
              <w:snapToGrid w:val="0"/>
              <w:spacing w:line="500" w:lineRule="exact"/>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lang w:val="en-US" w:eastAsia="zh-CN"/>
              </w:rPr>
              <w:t>企业在做好废物产生、收集、贮运、处置各环节的措施及厂内管理后，固废均能得到合理、有效</w:t>
            </w:r>
            <w:r>
              <w:rPr>
                <w:rFonts w:hint="eastAsia" w:ascii="Times New Roman" w:hAnsi="Times New Roman" w:eastAsia="仿宋" w:cs="Times New Roman"/>
                <w:color w:val="auto"/>
                <w:kern w:val="0"/>
                <w:sz w:val="24"/>
                <w:lang w:val="en-US" w:eastAsia="zh-CN"/>
              </w:rPr>
              <w:t>地</w:t>
            </w:r>
            <w:r>
              <w:rPr>
                <w:rFonts w:hint="default" w:ascii="Times New Roman" w:hAnsi="Times New Roman" w:eastAsia="仿宋" w:cs="Times New Roman"/>
                <w:color w:val="auto"/>
                <w:kern w:val="0"/>
                <w:sz w:val="24"/>
                <w:lang w:val="en-US" w:eastAsia="zh-CN"/>
              </w:rPr>
              <w:t>处置。因此，厂内产生的固体废物经有效处理和处置后对环境影响较小。</w:t>
            </w:r>
          </w:p>
          <w:p w14:paraId="3F258537">
            <w:pPr>
              <w:pStyle w:val="5"/>
              <w:adjustRightInd w:val="0"/>
              <w:snapToGrid w:val="0"/>
              <w:spacing w:line="500" w:lineRule="exact"/>
              <w:ind w:firstLine="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eastAsia="zh-CN"/>
              </w:rPr>
              <w:t>五</w:t>
            </w:r>
            <w:r>
              <w:rPr>
                <w:rFonts w:hint="default" w:ascii="Times New Roman" w:hAnsi="Times New Roman" w:eastAsia="仿宋" w:cs="Times New Roman"/>
                <w:b/>
                <w:bCs/>
                <w:color w:val="auto"/>
                <w:sz w:val="24"/>
                <w:szCs w:val="24"/>
              </w:rPr>
              <w:t>、土壤、地下水</w:t>
            </w:r>
          </w:p>
          <w:p w14:paraId="23CC39C9">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（1）土壤、地下水环境影响分析</w:t>
            </w:r>
          </w:p>
          <w:p w14:paraId="22069831">
            <w:pPr>
              <w:spacing w:line="48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color w:val="auto"/>
                <w:sz w:val="24"/>
              </w:rPr>
              <w:t>本项目生活污水接入市政污水管网，进入</w:t>
            </w:r>
            <w:r>
              <w:rPr>
                <w:rFonts w:hint="default" w:ascii="Times New Roman" w:hAnsi="Times New Roman" w:eastAsia="仿宋" w:cs="Times New Roman"/>
                <w:color w:val="auto"/>
                <w:sz w:val="24"/>
                <w:lang w:eastAsia="zh-CN"/>
              </w:rPr>
              <w:t>常州金坛区茅东污水处理厂</w:t>
            </w:r>
            <w:r>
              <w:rPr>
                <w:rFonts w:hint="default" w:ascii="Times New Roman" w:hAnsi="Times New Roman" w:eastAsia="仿宋" w:cs="Times New Roman"/>
                <w:color w:val="auto"/>
                <w:sz w:val="24"/>
              </w:rPr>
              <w:t>集中处理。在建设项目正常运行过程中，落实各项污染防渗措施的情况下，本项目不会对当地</w:t>
            </w:r>
            <w:r>
              <w:rPr>
                <w:rFonts w:hint="default" w:ascii="Times New Roman" w:hAnsi="Times New Roman" w:eastAsia="仿宋" w:cs="Times New Roman"/>
                <w:color w:val="auto"/>
                <w:sz w:val="24"/>
                <w:lang w:val="en-US" w:eastAsia="zh-CN"/>
              </w:rPr>
              <w:t>土壤及</w:t>
            </w:r>
            <w:r>
              <w:rPr>
                <w:rFonts w:hint="default" w:ascii="Times New Roman" w:hAnsi="Times New Roman" w:eastAsia="仿宋" w:cs="Times New Roman"/>
                <w:color w:val="auto"/>
                <w:sz w:val="24"/>
              </w:rPr>
              <w:t>地下水水质产生影响。若产生泄漏，污染物下渗则可能会在厂区及周边较小范围内造成</w:t>
            </w:r>
            <w:r>
              <w:rPr>
                <w:rFonts w:hint="default" w:ascii="Times New Roman" w:hAnsi="Times New Roman" w:eastAsia="仿宋" w:cs="Times New Roman"/>
                <w:color w:val="auto"/>
                <w:sz w:val="24"/>
                <w:lang w:val="en-US" w:eastAsia="zh-CN"/>
              </w:rPr>
              <w:t>土壤及地下水</w:t>
            </w:r>
            <w:r>
              <w:rPr>
                <w:rFonts w:hint="default" w:ascii="Times New Roman" w:hAnsi="Times New Roman" w:eastAsia="仿宋" w:cs="Times New Roman"/>
                <w:color w:val="auto"/>
                <w:sz w:val="24"/>
              </w:rPr>
              <w:t>水质污染。项目所在地水文地质单元内水力梯度小，水流速度较慢，污染物不易随水流迁移。区域地层以风化基岩为主，透水性较小，污染物在其中迁移距离较小，对地下水基本无影响。</w:t>
            </w:r>
          </w:p>
          <w:p w14:paraId="2DF9805F">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若固体废物不考虑设置废物堆放处或者没有适当的防漏措施，其中的有害组分很容易经过风化、雨水淋溶、地表径流的侵蚀，产生有毒液体渗入土壤，</w:t>
            </w:r>
            <w:r>
              <w:rPr>
                <w:rFonts w:hint="default" w:ascii="Times New Roman" w:hAnsi="Times New Roman" w:eastAsia="仿宋" w:cs="Times New Roman"/>
                <w:color w:val="auto"/>
                <w:sz w:val="24"/>
                <w:lang w:val="en-US" w:eastAsia="zh-CN"/>
              </w:rPr>
              <w:t>对土壤环境造成污染</w:t>
            </w:r>
            <w:r>
              <w:rPr>
                <w:rFonts w:hint="default" w:ascii="Times New Roman" w:hAnsi="Times New Roman" w:eastAsia="仿宋" w:cs="Times New Roman"/>
                <w:color w:val="auto"/>
                <w:sz w:val="24"/>
              </w:rPr>
              <w:t>。同时这些水分经土壤渗入地下水，对地下水水质也造成污染。本项目设置有危废仓库暂存危险废物，且危险废物仓库采取 “三防”（防扬散、防流失、防渗漏）和防腐措施。因此，项目运行期可有效避免由于固废的泄露而造成土壤环境的污染。</w:t>
            </w:r>
          </w:p>
          <w:p w14:paraId="19A10EBC">
            <w:pPr>
              <w:adjustRightInd w:val="0"/>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大气沉降主要考虑重点重金属</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color w:val="auto"/>
                <w:sz w:val="24"/>
              </w:rPr>
              <w:t>铅、汞、镉、铬、砷和铊</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bCs/>
                <w:color w:val="auto"/>
                <w:sz w:val="24"/>
              </w:rPr>
              <w:t>、持久性有机污染物（特别是二噁英，典型行业有铅蓄电池和危废焚烧等）、难降解有机污染物（苯系物等）以及最高法司法解释中规定的（主要有危废、剧毒化合物、重金属、农药等持久性有机污染物）。本项目废气不属于重点重金属、持久性有机污染物或难降解有机污染物，大气沉降对土壤基本无影响。</w:t>
            </w:r>
          </w:p>
          <w:p w14:paraId="1FA79780">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color w:val="auto"/>
                <w:sz w:val="24"/>
              </w:rPr>
              <w:t>（2）</w:t>
            </w:r>
            <w:r>
              <w:rPr>
                <w:rFonts w:hint="default" w:ascii="Times New Roman" w:hAnsi="Times New Roman" w:eastAsia="仿宋" w:cs="Times New Roman"/>
                <w:bCs/>
                <w:color w:val="auto"/>
                <w:sz w:val="24"/>
              </w:rPr>
              <w:t>土壤</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地下水污染防治措施</w:t>
            </w:r>
          </w:p>
          <w:p w14:paraId="22E84794">
            <w:pPr>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本项目土壤地下水污染防治措施按照“源头控制、分区防治、污染监控、应急响应”相结合的原则，从污染物的产生、入渗、扩散、应急响应进行控制。</w:t>
            </w:r>
          </w:p>
          <w:p w14:paraId="2730AE91">
            <w:pPr>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①源头控制措施</w:t>
            </w:r>
          </w:p>
          <w:p w14:paraId="0AAF06A0">
            <w:pPr>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w:t>
            </w:r>
          </w:p>
          <w:p w14:paraId="0E3B313D">
            <w:pPr>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②分区防渗措施</w:t>
            </w:r>
          </w:p>
          <w:p w14:paraId="285AB20B">
            <w:pPr>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根据防渗参照的标准和规范，结合目前施工过程中的可操作性和技术水平，针对不同的防渗区域采用典型防渗措施，在具体设计中将根据实际情况在满足防渗标准的前提下做必要的调整。</w:t>
            </w:r>
          </w:p>
          <w:p w14:paraId="51DCF33F">
            <w:pPr>
              <w:spacing w:line="500" w:lineRule="exact"/>
              <w:ind w:firstLine="480" w:firstLineChars="200"/>
              <w:rPr>
                <w:rFonts w:hint="default" w:ascii="Times New Roman" w:hAnsi="Times New Roman" w:eastAsia="仿宋" w:cs="Times New Roman"/>
                <w:bCs/>
                <w:color w:val="auto"/>
                <w:sz w:val="24"/>
              </w:rPr>
            </w:pPr>
            <w:bookmarkStart w:id="6" w:name="OLE_LINK23"/>
            <w:r>
              <w:rPr>
                <w:rFonts w:hint="default" w:ascii="Times New Roman" w:hAnsi="Times New Roman" w:eastAsia="仿宋" w:cs="Times New Roman"/>
                <w:bCs/>
                <w:color w:val="auto"/>
                <w:sz w:val="24"/>
                <w:lang w:val="en-US" w:eastAsia="zh-CN"/>
              </w:rPr>
              <w:t>A、</w:t>
            </w:r>
            <w:r>
              <w:rPr>
                <w:rFonts w:hint="default" w:ascii="Times New Roman" w:hAnsi="Times New Roman" w:eastAsia="仿宋" w:cs="Times New Roman"/>
                <w:bCs/>
                <w:color w:val="auto"/>
                <w:sz w:val="24"/>
              </w:rPr>
              <w:t>重点防渗区</w:t>
            </w:r>
            <w:bookmarkEnd w:id="6"/>
          </w:p>
          <w:p w14:paraId="3586AE86">
            <w:pPr>
              <w:spacing w:line="500" w:lineRule="exact"/>
              <w:ind w:firstLine="480" w:firstLineChars="20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rPr>
              <w:t>本项目建成后，重</w:t>
            </w:r>
            <w:r>
              <w:rPr>
                <w:rFonts w:hint="default" w:ascii="Times New Roman" w:hAnsi="Times New Roman" w:eastAsia="仿宋" w:cs="Times New Roman"/>
                <w:color w:val="auto"/>
                <w:sz w:val="24"/>
                <w:szCs w:val="24"/>
                <w:highlight w:val="none"/>
              </w:rPr>
              <w:t>点防渗区包括事故应急池、</w:t>
            </w:r>
            <w:r>
              <w:rPr>
                <w:rFonts w:hint="default" w:ascii="Times New Roman" w:hAnsi="Times New Roman" w:eastAsia="仿宋" w:cs="Times New Roman"/>
                <w:color w:val="auto"/>
                <w:sz w:val="24"/>
                <w:szCs w:val="24"/>
                <w:highlight w:val="none"/>
                <w:lang w:eastAsia="zh-CN"/>
              </w:rPr>
              <w:t>油品暂存间、化学品暂存间、</w:t>
            </w:r>
            <w:r>
              <w:rPr>
                <w:rFonts w:hint="eastAsia" w:eastAsia="仿宋" w:cs="Times New Roman"/>
                <w:color w:val="auto"/>
                <w:sz w:val="24"/>
                <w:szCs w:val="24"/>
                <w:highlight w:val="none"/>
                <w:lang w:val="en-US" w:eastAsia="zh-CN"/>
              </w:rPr>
              <w:t>试漏区</w:t>
            </w:r>
            <w:r>
              <w:rPr>
                <w:rFonts w:hint="default" w:ascii="Times New Roman" w:hAnsi="Times New Roman"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机加工区、</w:t>
            </w:r>
            <w:r>
              <w:rPr>
                <w:rFonts w:hint="default" w:ascii="Times New Roman" w:hAnsi="Times New Roman" w:eastAsia="仿宋" w:cs="Times New Roman"/>
                <w:color w:val="auto"/>
                <w:sz w:val="24"/>
                <w:szCs w:val="24"/>
                <w:highlight w:val="none"/>
                <w:lang w:eastAsia="zh-CN"/>
              </w:rPr>
              <w:t>喷漆</w:t>
            </w:r>
            <w:r>
              <w:rPr>
                <w:rFonts w:hint="eastAsia" w:eastAsia="仿宋" w:cs="Times New Roman"/>
                <w:color w:val="auto"/>
                <w:sz w:val="24"/>
                <w:szCs w:val="24"/>
                <w:highlight w:val="none"/>
                <w:lang w:val="en-US" w:eastAsia="zh-CN"/>
              </w:rPr>
              <w:t>房</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危废仓库等。</w:t>
            </w:r>
          </w:p>
          <w:p w14:paraId="310FFC4E">
            <w:pPr>
              <w:spacing w:line="500" w:lineRule="exact"/>
              <w:ind w:firstLine="480" w:firstLineChars="200"/>
              <w:rPr>
                <w:rFonts w:hint="default" w:ascii="Times New Roman" w:hAnsi="Times New Roman" w:eastAsia="仿宋" w:cs="Times New Roman"/>
                <w:color w:val="auto"/>
                <w:sz w:val="24"/>
                <w:szCs w:val="24"/>
                <w:highlight w:val="none"/>
                <w:lang w:eastAsia="zh-CN"/>
              </w:rPr>
            </w:pPr>
            <w:r>
              <w:rPr>
                <w:rFonts w:hint="eastAsia" w:eastAsia="仿宋" w:cs="Times New Roman"/>
                <w:color w:val="auto"/>
                <w:sz w:val="24"/>
                <w:szCs w:val="24"/>
                <w:highlight w:val="none"/>
                <w:lang w:val="en-US" w:eastAsia="zh-CN"/>
              </w:rPr>
              <w:t>机加工区、</w:t>
            </w:r>
            <w:r>
              <w:rPr>
                <w:rFonts w:hint="default" w:ascii="Times New Roman" w:hAnsi="Times New Roman" w:eastAsia="仿宋" w:cs="Times New Roman"/>
                <w:color w:val="auto"/>
                <w:sz w:val="24"/>
                <w:szCs w:val="24"/>
                <w:highlight w:val="none"/>
                <w:lang w:eastAsia="zh-CN"/>
              </w:rPr>
              <w:t>油品暂存间、</w:t>
            </w:r>
            <w:r>
              <w:rPr>
                <w:rFonts w:hint="default" w:ascii="Times New Roman" w:hAnsi="Times New Roman" w:eastAsia="仿宋" w:cs="Times New Roman"/>
                <w:color w:val="auto"/>
                <w:sz w:val="24"/>
                <w:szCs w:val="24"/>
                <w:highlight w:val="none"/>
              </w:rPr>
              <w:t>危废仓库</w:t>
            </w:r>
            <w:r>
              <w:rPr>
                <w:rFonts w:hint="default" w:ascii="Times New Roman" w:hAnsi="Times New Roman" w:eastAsia="仿宋" w:cs="Times New Roman"/>
                <w:bCs/>
                <w:color w:val="auto"/>
                <w:sz w:val="24"/>
                <w:lang w:eastAsia="zh-CN"/>
              </w:rPr>
              <w:t>为现有建筑，但不符合</w:t>
            </w:r>
            <w:r>
              <w:rPr>
                <w:rFonts w:hint="default" w:ascii="Times New Roman" w:hAnsi="Times New Roman" w:eastAsia="仿宋" w:cs="Times New Roman"/>
                <w:bCs/>
                <w:color w:val="auto"/>
                <w:sz w:val="24"/>
              </w:rPr>
              <w:t>重</w:t>
            </w:r>
            <w:r>
              <w:rPr>
                <w:rFonts w:hint="default" w:ascii="Times New Roman" w:hAnsi="Times New Roman" w:eastAsia="仿宋" w:cs="Times New Roman"/>
                <w:color w:val="auto"/>
                <w:sz w:val="24"/>
                <w:szCs w:val="24"/>
                <w:highlight w:val="none"/>
              </w:rPr>
              <w:t>点防渗区</w:t>
            </w:r>
            <w:r>
              <w:rPr>
                <w:rFonts w:hint="default" w:ascii="Times New Roman" w:hAnsi="Times New Roman" w:eastAsia="仿宋" w:cs="Times New Roman"/>
                <w:color w:val="auto"/>
                <w:sz w:val="24"/>
                <w:szCs w:val="24"/>
                <w:highlight w:val="none"/>
                <w:lang w:eastAsia="zh-CN"/>
              </w:rPr>
              <w:t>要求，需</w:t>
            </w:r>
            <w:r>
              <w:rPr>
                <w:rFonts w:hint="default" w:ascii="Times New Roman" w:hAnsi="Times New Roman" w:eastAsia="仿宋" w:cs="Times New Roman"/>
                <w:bCs/>
                <w:color w:val="auto"/>
                <w:sz w:val="24"/>
                <w:lang w:eastAsia="zh-CN"/>
              </w:rPr>
              <w:t>参照</w:t>
            </w:r>
            <w:r>
              <w:rPr>
                <w:rFonts w:hint="default" w:ascii="Times New Roman" w:hAnsi="Times New Roman" w:eastAsia="仿宋" w:cs="Times New Roman"/>
                <w:bCs/>
                <w:color w:val="auto"/>
                <w:sz w:val="24"/>
              </w:rPr>
              <w:t>《危险废物贮存污染控制标准》（GB18597-2023）进行防渗设计，具备耐腐蚀的硬化地面和基础防渗层</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渗透系数小于1.0×10</w:t>
            </w:r>
            <w:r>
              <w:rPr>
                <w:rFonts w:hint="default" w:ascii="Times New Roman" w:hAnsi="Times New Roman" w:eastAsia="仿宋" w:cs="Times New Roman"/>
                <w:bCs/>
                <w:color w:val="auto"/>
                <w:sz w:val="24"/>
                <w:vertAlign w:val="superscript"/>
              </w:rPr>
              <w:t>-10</w:t>
            </w:r>
            <w:r>
              <w:rPr>
                <w:rFonts w:hint="default" w:ascii="Times New Roman" w:hAnsi="Times New Roman" w:eastAsia="仿宋" w:cs="Times New Roman"/>
                <w:bCs/>
                <w:color w:val="auto"/>
                <w:sz w:val="24"/>
              </w:rPr>
              <w:t>厘米/秒</w:t>
            </w:r>
            <w:r>
              <w:rPr>
                <w:rFonts w:hint="default" w:ascii="Times New Roman" w:hAnsi="Times New Roman" w:eastAsia="仿宋" w:cs="Times New Roman"/>
                <w:bCs/>
                <w:color w:val="auto"/>
                <w:sz w:val="24"/>
                <w:lang w:eastAsia="zh-CN"/>
              </w:rPr>
              <w:t>；</w:t>
            </w:r>
          </w:p>
          <w:p w14:paraId="03012E89">
            <w:pPr>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color w:val="auto"/>
                <w:sz w:val="24"/>
                <w:szCs w:val="24"/>
                <w:highlight w:val="none"/>
              </w:rPr>
              <w:t>事故应急池、</w:t>
            </w:r>
            <w:r>
              <w:rPr>
                <w:rFonts w:hint="default" w:ascii="Times New Roman" w:hAnsi="Times New Roman" w:eastAsia="仿宋" w:cs="Times New Roman"/>
                <w:color w:val="auto"/>
                <w:sz w:val="24"/>
                <w:szCs w:val="24"/>
                <w:highlight w:val="none"/>
                <w:lang w:eastAsia="zh-CN"/>
              </w:rPr>
              <w:t>化学品暂存间、</w:t>
            </w:r>
            <w:r>
              <w:rPr>
                <w:rFonts w:hint="eastAsia" w:eastAsia="仿宋" w:cs="Times New Roman"/>
                <w:color w:val="auto"/>
                <w:sz w:val="24"/>
                <w:szCs w:val="24"/>
                <w:highlight w:val="none"/>
                <w:lang w:val="en-US" w:eastAsia="zh-CN"/>
              </w:rPr>
              <w:t>试漏区</w:t>
            </w:r>
            <w:r>
              <w:rPr>
                <w:rFonts w:hint="default" w:ascii="Times New Roman" w:hAnsi="Times New Roman" w:eastAsia="仿宋" w:cs="Times New Roman"/>
                <w:color w:val="auto"/>
                <w:sz w:val="24"/>
                <w:szCs w:val="24"/>
                <w:highlight w:val="none"/>
                <w:lang w:eastAsia="zh-CN"/>
              </w:rPr>
              <w:t>、喷漆线为新增建筑，需</w:t>
            </w:r>
            <w:r>
              <w:rPr>
                <w:rFonts w:hint="default" w:ascii="Times New Roman" w:hAnsi="Times New Roman" w:eastAsia="仿宋" w:cs="Times New Roman"/>
                <w:bCs/>
                <w:color w:val="auto"/>
                <w:sz w:val="24"/>
                <w:lang w:eastAsia="zh-CN"/>
              </w:rPr>
              <w:t>参照</w:t>
            </w:r>
            <w:r>
              <w:rPr>
                <w:rFonts w:hint="default" w:ascii="Times New Roman" w:hAnsi="Times New Roman" w:eastAsia="仿宋" w:cs="Times New Roman"/>
                <w:bCs/>
                <w:color w:val="auto"/>
                <w:sz w:val="24"/>
              </w:rPr>
              <w:t>《危险废物贮存污染控制标准》（GB18597-2023）进行防渗设计，具备耐腐蚀的硬化地面和基础防渗层</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渗透系数小于1.0×10</w:t>
            </w:r>
            <w:r>
              <w:rPr>
                <w:rFonts w:hint="default" w:ascii="Times New Roman" w:hAnsi="Times New Roman" w:eastAsia="仿宋" w:cs="Times New Roman"/>
                <w:bCs/>
                <w:color w:val="auto"/>
                <w:sz w:val="24"/>
                <w:vertAlign w:val="superscript"/>
              </w:rPr>
              <w:t>-10</w:t>
            </w:r>
            <w:r>
              <w:rPr>
                <w:rFonts w:hint="default" w:ascii="Times New Roman" w:hAnsi="Times New Roman" w:eastAsia="仿宋" w:cs="Times New Roman"/>
                <w:bCs/>
                <w:color w:val="auto"/>
                <w:sz w:val="24"/>
              </w:rPr>
              <w:t>厘米/秒。</w:t>
            </w:r>
          </w:p>
          <w:p w14:paraId="22F55F83">
            <w:pPr>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B、</w:t>
            </w:r>
            <w:r>
              <w:rPr>
                <w:rFonts w:hint="default" w:ascii="Times New Roman" w:hAnsi="Times New Roman" w:eastAsia="仿宋" w:cs="Times New Roman"/>
                <w:bCs/>
                <w:color w:val="auto"/>
                <w:sz w:val="24"/>
              </w:rPr>
              <w:t>一般防渗区</w:t>
            </w:r>
          </w:p>
          <w:p w14:paraId="5A9372A1">
            <w:pPr>
              <w:spacing w:line="500" w:lineRule="exact"/>
              <w:ind w:firstLine="480" w:firstLineChars="200"/>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Cs/>
                <w:color w:val="auto"/>
                <w:sz w:val="24"/>
              </w:rPr>
              <w:t>本项目建成后，一般防渗区主要为</w:t>
            </w:r>
            <w:r>
              <w:rPr>
                <w:rFonts w:hint="eastAsia" w:eastAsia="仿宋" w:cs="Times New Roman"/>
                <w:bCs/>
                <w:color w:val="auto"/>
                <w:sz w:val="24"/>
                <w:lang w:val="en-US" w:eastAsia="zh-CN"/>
              </w:rPr>
              <w:t>车间其他生产区域、仓库</w:t>
            </w: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eastAsia="zh-CN"/>
              </w:rPr>
              <w:t>一般固废库房</w:t>
            </w:r>
            <w:r>
              <w:rPr>
                <w:rFonts w:hint="default" w:ascii="Times New Roman" w:hAnsi="Times New Roman" w:eastAsia="仿宋" w:cs="Times New Roman"/>
                <w:bCs/>
                <w:color w:val="auto"/>
                <w:sz w:val="24"/>
              </w:rPr>
              <w:t>等。</w:t>
            </w:r>
            <w:r>
              <w:rPr>
                <w:rFonts w:hint="default" w:ascii="Times New Roman" w:hAnsi="Times New Roman" w:eastAsia="仿宋" w:cs="Times New Roman"/>
                <w:bCs/>
                <w:color w:val="auto"/>
                <w:sz w:val="24"/>
                <w:lang w:eastAsia="zh-CN"/>
              </w:rPr>
              <w:t>厂区</w:t>
            </w:r>
            <w:r>
              <w:rPr>
                <w:rFonts w:hint="eastAsia" w:eastAsia="仿宋" w:cs="Times New Roman"/>
                <w:bCs/>
                <w:color w:val="auto"/>
                <w:sz w:val="24"/>
                <w:lang w:val="en-US" w:eastAsia="zh-CN"/>
              </w:rPr>
              <w:t>仓库</w:t>
            </w: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eastAsia="zh-CN"/>
              </w:rPr>
              <w:t>一般固废库房已</w:t>
            </w:r>
            <w:r>
              <w:rPr>
                <w:rFonts w:hint="default" w:ascii="Times New Roman" w:hAnsi="Times New Roman" w:eastAsia="仿宋" w:cs="Times New Roman"/>
                <w:bCs/>
                <w:color w:val="auto"/>
                <w:sz w:val="24"/>
              </w:rPr>
              <w:t>进行水泥硬化处理，确保渗透系数≤10</w:t>
            </w:r>
            <w:r>
              <w:rPr>
                <w:rFonts w:hint="default" w:ascii="Times New Roman" w:hAnsi="Times New Roman" w:eastAsia="仿宋" w:cs="Times New Roman"/>
                <w:bCs/>
                <w:color w:val="auto"/>
                <w:sz w:val="24"/>
                <w:vertAlign w:val="superscript"/>
              </w:rPr>
              <w:t>-7</w:t>
            </w:r>
            <w:r>
              <w:rPr>
                <w:rFonts w:hint="default" w:ascii="Times New Roman" w:hAnsi="Times New Roman" w:eastAsia="仿宋" w:cs="Times New Roman"/>
                <w:bCs/>
                <w:color w:val="auto"/>
                <w:sz w:val="24"/>
              </w:rPr>
              <w:t>cm/s</w:t>
            </w:r>
            <w:r>
              <w:rPr>
                <w:rFonts w:hint="default" w:ascii="Times New Roman" w:hAnsi="Times New Roman" w:eastAsia="仿宋" w:cs="Times New Roman"/>
                <w:bCs/>
                <w:color w:val="auto"/>
                <w:sz w:val="24"/>
                <w:lang w:eastAsia="zh-CN"/>
              </w:rPr>
              <w:t>。</w:t>
            </w:r>
          </w:p>
          <w:p w14:paraId="73459865">
            <w:pPr>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③应急处置</w:t>
            </w:r>
          </w:p>
          <w:p w14:paraId="538D3CE3">
            <w:pPr>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当发生异常情况，需要马上采取紧急措施。按照装置制定的环境事故应急预案，启动应急预案。在第一时间内尽快上报主管领导，启动周围社会预案，密切关注地下水水质变化情况。组织专业队伍负责查找环境事故发生地点，分析事故原因，尽量将紧急</w:t>
            </w:r>
            <w:r>
              <w:rPr>
                <w:rFonts w:hint="eastAsia" w:eastAsia="仿宋" w:cs="Times New Roman"/>
                <w:bCs/>
                <w:color w:val="auto"/>
                <w:sz w:val="24"/>
                <w:lang w:eastAsia="zh-CN"/>
              </w:rPr>
              <w:t>事件</w:t>
            </w:r>
            <w:r>
              <w:rPr>
                <w:rFonts w:hint="default" w:ascii="Times New Roman" w:hAnsi="Times New Roman" w:eastAsia="仿宋" w:cs="Times New Roman"/>
                <w:bCs/>
                <w:color w:val="auto"/>
                <w:sz w:val="24"/>
              </w:rPr>
              <w:t>局部化，如可能应予以消除，尽量缩小环境事故对人和财产的影响，减低事故后果的手段，包括切断生产装置或设施。对事故现场进</w:t>
            </w:r>
            <w:r>
              <w:rPr>
                <w:rFonts w:hint="eastAsia" w:eastAsia="仿宋" w:cs="Times New Roman"/>
                <w:bCs/>
                <w:color w:val="auto"/>
                <w:sz w:val="24"/>
                <w:lang w:eastAsia="zh-CN"/>
              </w:rPr>
              <w:t>行</w:t>
            </w:r>
            <w:r>
              <w:rPr>
                <w:rFonts w:hint="default" w:ascii="Times New Roman" w:hAnsi="Times New Roman" w:eastAsia="仿宋" w:cs="Times New Roman"/>
                <w:bCs/>
                <w:color w:val="auto"/>
                <w:sz w:val="24"/>
              </w:rPr>
              <w:t>调查、监测、处理。对事故后果进行评估，采取紧急措施制止事故的扩散、扩大，并制定防止类似事件发生的措施。如果本公司力量不足，需要请求社会应急力量协助。</w:t>
            </w:r>
          </w:p>
          <w:p w14:paraId="227CC568">
            <w:pPr>
              <w:adjustRightInd w:val="0"/>
              <w:snapToGrid w:val="0"/>
              <w:spacing w:line="500" w:lineRule="exac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六</w:t>
            </w:r>
            <w:r>
              <w:rPr>
                <w:rFonts w:hint="default" w:ascii="Times New Roman" w:hAnsi="Times New Roman" w:eastAsia="仿宋" w:cs="Times New Roman"/>
                <w:b/>
                <w:bCs/>
                <w:color w:val="auto"/>
                <w:sz w:val="24"/>
              </w:rPr>
              <w:t>、生态</w:t>
            </w:r>
          </w:p>
          <w:p w14:paraId="75FD5E58">
            <w:pPr>
              <w:adjustRightInd w:val="0"/>
              <w:snapToGrid w:val="0"/>
              <w:spacing w:line="500" w:lineRule="exact"/>
              <w:ind w:firstLine="480" w:firstLineChars="200"/>
              <w:rPr>
                <w:rFonts w:hint="default" w:ascii="Times New Roman" w:hAnsi="Times New Roman" w:eastAsia="仿宋" w:cs="Times New Roman"/>
                <w:bCs/>
                <w:color w:val="auto"/>
                <w:sz w:val="24"/>
                <w:szCs w:val="22"/>
              </w:rPr>
            </w:pPr>
            <w:r>
              <w:rPr>
                <w:rFonts w:hint="default" w:ascii="Times New Roman" w:hAnsi="Times New Roman" w:eastAsia="仿宋" w:cs="Times New Roman"/>
                <w:bCs/>
                <w:color w:val="auto"/>
                <w:sz w:val="24"/>
                <w:szCs w:val="22"/>
              </w:rPr>
              <w:t>本项目不在已划定的生态空间管控区域和生态红线区内，无须设置生态保护措施。</w:t>
            </w:r>
          </w:p>
          <w:p w14:paraId="5A09BB36">
            <w:pPr>
              <w:adjustRightInd w:val="0"/>
              <w:snapToGrid w:val="0"/>
              <w:spacing w:line="500" w:lineRule="exac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七</w:t>
            </w:r>
            <w:r>
              <w:rPr>
                <w:rFonts w:hint="default" w:ascii="Times New Roman" w:hAnsi="Times New Roman" w:eastAsia="仿宋" w:cs="Times New Roman"/>
                <w:b/>
                <w:bCs/>
                <w:color w:val="auto"/>
                <w:sz w:val="24"/>
              </w:rPr>
              <w:t>、环境风险</w:t>
            </w:r>
          </w:p>
          <w:p w14:paraId="4117BA1F">
            <w:pPr>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1、</w:t>
            </w:r>
            <w:r>
              <w:rPr>
                <w:rFonts w:hint="default" w:ascii="Times New Roman" w:hAnsi="Times New Roman" w:eastAsia="仿宋" w:cs="Times New Roman"/>
                <w:bCs/>
                <w:color w:val="auto"/>
                <w:sz w:val="24"/>
              </w:rPr>
              <w:t>风险识别</w:t>
            </w:r>
          </w:p>
          <w:p w14:paraId="6B32C709">
            <w:pPr>
              <w:spacing w:line="500" w:lineRule="exact"/>
              <w:ind w:firstLine="480" w:firstLineChars="200"/>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Cs/>
                <w:color w:val="auto"/>
                <w:sz w:val="24"/>
              </w:rPr>
              <w:t>本项目涉及的风险物质最大存储量与临界量见下表。</w:t>
            </w:r>
          </w:p>
          <w:p w14:paraId="3E6D38DD">
            <w:pPr>
              <w:spacing w:line="500" w:lineRule="exact"/>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表4-2</w:t>
            </w:r>
            <w:r>
              <w:rPr>
                <w:rFonts w:hint="default" w:ascii="Times New Roman" w:hAnsi="Times New Roman" w:eastAsia="仿宋" w:cs="Times New Roman"/>
                <w:b/>
                <w:bCs/>
                <w:color w:val="auto"/>
                <w:szCs w:val="21"/>
                <w:highlight w:val="none"/>
                <w:lang w:val="en-US" w:eastAsia="zh-CN"/>
              </w:rPr>
              <w:t xml:space="preserve">6 </w:t>
            </w:r>
            <w:r>
              <w:rPr>
                <w:rFonts w:hint="default" w:ascii="Times New Roman" w:hAnsi="Times New Roman" w:eastAsia="仿宋" w:cs="Times New Roman"/>
                <w:b/>
                <w:bCs/>
                <w:color w:val="auto"/>
                <w:szCs w:val="21"/>
                <w:highlight w:val="none"/>
              </w:rPr>
              <w:t>风险物质与临界量比值结果表</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521"/>
              <w:gridCol w:w="1763"/>
              <w:gridCol w:w="1816"/>
              <w:gridCol w:w="1220"/>
              <w:gridCol w:w="1742"/>
            </w:tblGrid>
            <w:tr w14:paraId="3029FD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 w:type="pct"/>
                  <w:vAlign w:val="center"/>
                </w:tcPr>
                <w:p w14:paraId="3F8E6E19">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序号</w:t>
                  </w:r>
                </w:p>
              </w:tc>
              <w:tc>
                <w:tcPr>
                  <w:tcW w:w="860" w:type="pct"/>
                  <w:vAlign w:val="center"/>
                </w:tcPr>
                <w:p w14:paraId="0C9FEBC2">
                  <w:pPr>
                    <w:adjustRightInd w:val="0"/>
                    <w:snapToGrid w:val="0"/>
                    <w:jc w:val="center"/>
                    <w:rPr>
                      <w:rFonts w:hint="default" w:ascii="Times New Roman" w:hAnsi="Times New Roman" w:eastAsia="仿宋" w:cs="Times New Roman"/>
                      <w:b/>
                      <w:color w:val="auto"/>
                    </w:rPr>
                  </w:pPr>
                  <w:r>
                    <w:rPr>
                      <w:rFonts w:hint="default" w:ascii="Times New Roman" w:hAnsi="Times New Roman" w:eastAsia="仿宋" w:cs="Times New Roman"/>
                      <w:b/>
                      <w:color w:val="auto"/>
                      <w:szCs w:val="21"/>
                    </w:rPr>
                    <w:t>名称</w:t>
                  </w:r>
                </w:p>
              </w:tc>
              <w:tc>
                <w:tcPr>
                  <w:tcW w:w="997" w:type="pct"/>
                  <w:tcBorders>
                    <w:right w:val="single" w:color="000000" w:sz="4" w:space="0"/>
                  </w:tcBorders>
                  <w:vAlign w:val="center"/>
                </w:tcPr>
                <w:p w14:paraId="5BED4273">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最大存在总量（t）</w:t>
                  </w:r>
                </w:p>
              </w:tc>
              <w:tc>
                <w:tcPr>
                  <w:tcW w:w="1027" w:type="pct"/>
                  <w:tcBorders>
                    <w:left w:val="single" w:color="000000" w:sz="4" w:space="0"/>
                    <w:right w:val="single" w:color="000000" w:sz="4" w:space="0"/>
                  </w:tcBorders>
                  <w:vAlign w:val="center"/>
                </w:tcPr>
                <w:p w14:paraId="377892DA">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贮存/暂存场所</w:t>
                  </w:r>
                </w:p>
              </w:tc>
              <w:tc>
                <w:tcPr>
                  <w:tcW w:w="688" w:type="pct"/>
                  <w:tcBorders>
                    <w:left w:val="single" w:color="000000" w:sz="4" w:space="0"/>
                  </w:tcBorders>
                  <w:vAlign w:val="center"/>
                </w:tcPr>
                <w:p w14:paraId="58E660C8">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临界量（t）</w:t>
                  </w:r>
                </w:p>
              </w:tc>
              <w:tc>
                <w:tcPr>
                  <w:tcW w:w="985" w:type="pct"/>
                  <w:vAlign w:val="center"/>
                </w:tcPr>
                <w:p w14:paraId="0ED895D5">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最大储存量与临界量的比值（q</w:t>
                  </w:r>
                  <w:r>
                    <w:rPr>
                      <w:rFonts w:hint="default" w:ascii="Times New Roman" w:hAnsi="Times New Roman" w:eastAsia="仿宋" w:cs="Times New Roman"/>
                      <w:b/>
                      <w:color w:val="auto"/>
                      <w:szCs w:val="21"/>
                      <w:vertAlign w:val="subscript"/>
                    </w:rPr>
                    <w:t>i</w:t>
                  </w:r>
                  <w:r>
                    <w:rPr>
                      <w:rFonts w:hint="default" w:ascii="Times New Roman" w:hAnsi="Times New Roman" w:eastAsia="仿宋" w:cs="Times New Roman"/>
                      <w:b/>
                      <w:color w:val="auto"/>
                      <w:szCs w:val="21"/>
                    </w:rPr>
                    <w:t>/Q</w:t>
                  </w:r>
                  <w:r>
                    <w:rPr>
                      <w:rFonts w:hint="default" w:ascii="Times New Roman" w:hAnsi="Times New Roman" w:eastAsia="仿宋" w:cs="Times New Roman"/>
                      <w:b/>
                      <w:color w:val="auto"/>
                      <w:szCs w:val="21"/>
                      <w:vertAlign w:val="subscript"/>
                    </w:rPr>
                    <w:t>i</w:t>
                  </w:r>
                  <w:r>
                    <w:rPr>
                      <w:rFonts w:hint="default" w:ascii="Times New Roman" w:hAnsi="Times New Roman" w:eastAsia="仿宋" w:cs="Times New Roman"/>
                      <w:b/>
                      <w:color w:val="auto"/>
                      <w:szCs w:val="21"/>
                    </w:rPr>
                    <w:t>）</w:t>
                  </w:r>
                </w:p>
              </w:tc>
            </w:tr>
            <w:tr w14:paraId="69F6DB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 w:type="pct"/>
                  <w:vAlign w:val="center"/>
                </w:tcPr>
                <w:p w14:paraId="30F020F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860" w:type="pct"/>
                  <w:vAlign w:val="center"/>
                </w:tcPr>
                <w:p w14:paraId="20276429">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丙烷</w:t>
                  </w:r>
                </w:p>
              </w:tc>
              <w:tc>
                <w:tcPr>
                  <w:tcW w:w="997" w:type="pct"/>
                  <w:tcBorders>
                    <w:right w:val="single" w:color="000000" w:sz="4" w:space="0"/>
                  </w:tcBorders>
                  <w:vAlign w:val="center"/>
                </w:tcPr>
                <w:p w14:paraId="05A3642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kern w:val="0"/>
                      <w:szCs w:val="21"/>
                      <w:highlight w:val="none"/>
                      <w:lang w:val="en-US" w:eastAsia="zh-CN"/>
                    </w:rPr>
                    <w:t>0.13</w:t>
                  </w:r>
                </w:p>
              </w:tc>
              <w:tc>
                <w:tcPr>
                  <w:tcW w:w="1027" w:type="pct"/>
                  <w:tcBorders>
                    <w:left w:val="single" w:color="000000" w:sz="4" w:space="0"/>
                    <w:right w:val="single" w:color="000000" w:sz="4" w:space="0"/>
                  </w:tcBorders>
                  <w:vAlign w:val="center"/>
                </w:tcPr>
                <w:p w14:paraId="71C02427">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气瓶暂存区</w:t>
                  </w:r>
                </w:p>
              </w:tc>
              <w:tc>
                <w:tcPr>
                  <w:tcW w:w="688" w:type="pct"/>
                  <w:tcBorders>
                    <w:left w:val="single" w:color="000000" w:sz="4" w:space="0"/>
                  </w:tcBorders>
                  <w:vAlign w:val="center"/>
                </w:tcPr>
                <w:p w14:paraId="3CF2D5F8">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10</w:t>
                  </w:r>
                </w:p>
              </w:tc>
              <w:tc>
                <w:tcPr>
                  <w:tcW w:w="1742" w:type="dxa"/>
                  <w:vAlign w:val="center"/>
                </w:tcPr>
                <w:p w14:paraId="1CCD021C">
                  <w:pPr>
                    <w:adjustRightInd w:val="0"/>
                    <w:snapToGrid w:val="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 xml:space="preserve">0.01300 </w:t>
                  </w:r>
                </w:p>
              </w:tc>
            </w:tr>
            <w:tr w14:paraId="3F98FE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 w:type="pct"/>
                  <w:vAlign w:val="center"/>
                </w:tcPr>
                <w:p w14:paraId="3BCC641D">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860" w:type="pct"/>
                  <w:vAlign w:val="center"/>
                </w:tcPr>
                <w:p w14:paraId="43392F79">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水性漆</w:t>
                  </w:r>
                </w:p>
              </w:tc>
              <w:tc>
                <w:tcPr>
                  <w:tcW w:w="997" w:type="pct"/>
                  <w:tcBorders>
                    <w:right w:val="single" w:color="000000" w:sz="4" w:space="0"/>
                  </w:tcBorders>
                  <w:vAlign w:val="center"/>
                </w:tcPr>
                <w:p w14:paraId="4F945F5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kern w:val="0"/>
                      <w:szCs w:val="21"/>
                      <w:highlight w:val="none"/>
                      <w:lang w:val="en-US" w:eastAsia="zh-CN"/>
                    </w:rPr>
                    <w:t>1</w:t>
                  </w:r>
                </w:p>
              </w:tc>
              <w:tc>
                <w:tcPr>
                  <w:tcW w:w="1027" w:type="pct"/>
                  <w:tcBorders>
                    <w:left w:val="single" w:color="000000" w:sz="4" w:space="0"/>
                    <w:right w:val="single" w:color="000000" w:sz="4" w:space="0"/>
                  </w:tcBorders>
                  <w:vAlign w:val="center"/>
                </w:tcPr>
                <w:p w14:paraId="5425A861">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化学品暂存间</w:t>
                  </w:r>
                </w:p>
              </w:tc>
              <w:tc>
                <w:tcPr>
                  <w:tcW w:w="688" w:type="pct"/>
                  <w:tcBorders>
                    <w:left w:val="single" w:color="000000" w:sz="4" w:space="0"/>
                  </w:tcBorders>
                  <w:vAlign w:val="center"/>
                </w:tcPr>
                <w:p w14:paraId="0CD23C02">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50</w:t>
                  </w:r>
                </w:p>
              </w:tc>
              <w:tc>
                <w:tcPr>
                  <w:tcW w:w="1742" w:type="dxa"/>
                  <w:vAlign w:val="center"/>
                </w:tcPr>
                <w:p w14:paraId="708CB61B">
                  <w:pPr>
                    <w:adjustRightInd w:val="0"/>
                    <w:snapToGrid w:val="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 xml:space="preserve">0.02000 </w:t>
                  </w:r>
                </w:p>
              </w:tc>
            </w:tr>
            <w:tr w14:paraId="4188F1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 w:type="pct"/>
                  <w:vAlign w:val="center"/>
                </w:tcPr>
                <w:p w14:paraId="7AEB00C2">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3</w:t>
                  </w:r>
                </w:p>
              </w:tc>
              <w:tc>
                <w:tcPr>
                  <w:tcW w:w="860" w:type="pct"/>
                  <w:vAlign w:val="center"/>
                </w:tcPr>
                <w:p w14:paraId="72A8D8D4">
                  <w:pPr>
                    <w:snapToGrid w:val="0"/>
                    <w:spacing w:line="240" w:lineRule="auto"/>
                    <w:ind w:firstLine="0" w:firstLineChars="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 w:val="21"/>
                      <w:szCs w:val="21"/>
                      <w:lang w:val="en-US" w:eastAsia="zh-CN"/>
                    </w:rPr>
                    <w:t>切削液</w:t>
                  </w:r>
                </w:p>
              </w:tc>
              <w:tc>
                <w:tcPr>
                  <w:tcW w:w="997" w:type="pct"/>
                  <w:tcBorders>
                    <w:bottom w:val="single" w:color="000000" w:sz="4" w:space="0"/>
                    <w:right w:val="single" w:color="000000" w:sz="4" w:space="0"/>
                  </w:tcBorders>
                  <w:vAlign w:val="center"/>
                </w:tcPr>
                <w:p w14:paraId="536420F6">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0.34</w:t>
                  </w:r>
                </w:p>
              </w:tc>
              <w:tc>
                <w:tcPr>
                  <w:tcW w:w="1027" w:type="pct"/>
                  <w:tcBorders>
                    <w:left w:val="single" w:color="000000" w:sz="4" w:space="0"/>
                    <w:bottom w:val="single" w:color="000000" w:sz="4" w:space="0"/>
                    <w:right w:val="single" w:color="000000" w:sz="4" w:space="0"/>
                  </w:tcBorders>
                  <w:vAlign w:val="center"/>
                </w:tcPr>
                <w:p w14:paraId="3803D95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油品暂存间</w:t>
                  </w:r>
                </w:p>
              </w:tc>
              <w:tc>
                <w:tcPr>
                  <w:tcW w:w="688" w:type="pct"/>
                  <w:tcBorders>
                    <w:left w:val="single" w:color="000000" w:sz="4" w:space="0"/>
                    <w:bottom w:val="single" w:color="000000" w:sz="4" w:space="0"/>
                  </w:tcBorders>
                  <w:vAlign w:val="center"/>
                </w:tcPr>
                <w:p w14:paraId="17D2DE5E">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2500</w:t>
                  </w:r>
                </w:p>
              </w:tc>
              <w:tc>
                <w:tcPr>
                  <w:tcW w:w="1742" w:type="dxa"/>
                  <w:vAlign w:val="center"/>
                </w:tcPr>
                <w:p w14:paraId="7C102976">
                  <w:pPr>
                    <w:adjustRightInd w:val="0"/>
                    <w:snapToGrid w:val="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 xml:space="preserve">0.00014 </w:t>
                  </w:r>
                </w:p>
              </w:tc>
            </w:tr>
            <w:tr w14:paraId="52B52C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40" w:type="pct"/>
                  <w:vAlign w:val="center"/>
                </w:tcPr>
                <w:p w14:paraId="6E79E4A6">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w:t>
                  </w:r>
                </w:p>
              </w:tc>
              <w:tc>
                <w:tcPr>
                  <w:tcW w:w="860" w:type="pct"/>
                  <w:vAlign w:val="center"/>
                </w:tcPr>
                <w:p w14:paraId="2B9565AB">
                  <w:pPr>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机油</w:t>
                  </w:r>
                </w:p>
              </w:tc>
              <w:tc>
                <w:tcPr>
                  <w:tcW w:w="997" w:type="pct"/>
                  <w:tcBorders>
                    <w:bottom w:val="single" w:color="000000" w:sz="4" w:space="0"/>
                    <w:right w:val="single" w:color="000000" w:sz="4" w:space="0"/>
                  </w:tcBorders>
                  <w:vAlign w:val="center"/>
                </w:tcPr>
                <w:p w14:paraId="47493BBA">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0.34</w:t>
                  </w:r>
                </w:p>
              </w:tc>
              <w:tc>
                <w:tcPr>
                  <w:tcW w:w="1027" w:type="pct"/>
                  <w:tcBorders>
                    <w:left w:val="single" w:color="000000" w:sz="4" w:space="0"/>
                    <w:bottom w:val="single" w:color="000000" w:sz="4" w:space="0"/>
                    <w:right w:val="single" w:color="000000" w:sz="4" w:space="0"/>
                  </w:tcBorders>
                  <w:vAlign w:val="center"/>
                </w:tcPr>
                <w:p w14:paraId="176ADC5A">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油品暂存间</w:t>
                  </w:r>
                </w:p>
              </w:tc>
              <w:tc>
                <w:tcPr>
                  <w:tcW w:w="688" w:type="pct"/>
                  <w:tcBorders>
                    <w:left w:val="single" w:color="000000" w:sz="4" w:space="0"/>
                    <w:bottom w:val="single" w:color="000000" w:sz="4" w:space="0"/>
                  </w:tcBorders>
                  <w:vAlign w:val="center"/>
                </w:tcPr>
                <w:p w14:paraId="46576A41">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2500</w:t>
                  </w:r>
                </w:p>
              </w:tc>
              <w:tc>
                <w:tcPr>
                  <w:tcW w:w="1742" w:type="dxa"/>
                  <w:vAlign w:val="center"/>
                </w:tcPr>
                <w:p w14:paraId="0EF495C6">
                  <w:pPr>
                    <w:adjustRightInd w:val="0"/>
                    <w:snapToGrid w:val="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 xml:space="preserve">0.00014 </w:t>
                  </w:r>
                </w:p>
              </w:tc>
            </w:tr>
            <w:tr w14:paraId="02E64A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 w:type="pct"/>
                  <w:vAlign w:val="center"/>
                </w:tcPr>
                <w:p w14:paraId="573A2A86">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5</w:t>
                  </w:r>
                </w:p>
              </w:tc>
              <w:tc>
                <w:tcPr>
                  <w:tcW w:w="860" w:type="pct"/>
                  <w:vAlign w:val="center"/>
                </w:tcPr>
                <w:p w14:paraId="394D7840">
                  <w:pPr>
                    <w:jc w:val="center"/>
                    <w:rPr>
                      <w:rFonts w:hint="default" w:ascii="Times New Roman" w:hAnsi="Times New Roman" w:eastAsia="仿宋" w:cs="Times New Roman"/>
                      <w:color w:val="auto"/>
                    </w:rPr>
                  </w:pPr>
                  <w:r>
                    <w:rPr>
                      <w:rFonts w:hint="default" w:ascii="Times New Roman" w:hAnsi="Times New Roman" w:eastAsia="仿宋" w:cs="Times New Roman"/>
                      <w:color w:val="auto"/>
                      <w:szCs w:val="21"/>
                    </w:rPr>
                    <w:t>危险废物</w:t>
                  </w:r>
                </w:p>
              </w:tc>
              <w:tc>
                <w:tcPr>
                  <w:tcW w:w="997" w:type="pct"/>
                  <w:tcBorders>
                    <w:top w:val="single" w:color="000000" w:sz="4" w:space="0"/>
                    <w:bottom w:val="single" w:color="000000" w:sz="4" w:space="0"/>
                    <w:right w:val="single" w:color="000000" w:sz="4" w:space="0"/>
                  </w:tcBorders>
                  <w:vAlign w:val="center"/>
                </w:tcPr>
                <w:p w14:paraId="64C77056">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7.475</w:t>
                  </w:r>
                </w:p>
              </w:tc>
              <w:tc>
                <w:tcPr>
                  <w:tcW w:w="1027" w:type="pct"/>
                  <w:tcBorders>
                    <w:top w:val="single" w:color="000000" w:sz="4" w:space="0"/>
                    <w:left w:val="single" w:color="000000" w:sz="4" w:space="0"/>
                    <w:bottom w:val="single" w:color="000000" w:sz="4" w:space="0"/>
                    <w:right w:val="single" w:color="000000" w:sz="4" w:space="0"/>
                  </w:tcBorders>
                  <w:vAlign w:val="center"/>
                </w:tcPr>
                <w:p w14:paraId="098173C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危废仓库</w:t>
                  </w:r>
                </w:p>
              </w:tc>
              <w:tc>
                <w:tcPr>
                  <w:tcW w:w="688" w:type="pct"/>
                  <w:tcBorders>
                    <w:top w:val="single" w:color="000000" w:sz="4" w:space="0"/>
                    <w:left w:val="single" w:color="000000" w:sz="4" w:space="0"/>
                    <w:bottom w:val="single" w:color="000000" w:sz="4" w:space="0"/>
                  </w:tcBorders>
                  <w:vAlign w:val="center"/>
                </w:tcPr>
                <w:p w14:paraId="76A1AAF0">
                  <w:pPr>
                    <w:adjustRightInd w:val="0"/>
                    <w:snapToGrid w:val="0"/>
                    <w:ind w:firstLine="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50</w:t>
                  </w:r>
                </w:p>
              </w:tc>
              <w:tc>
                <w:tcPr>
                  <w:tcW w:w="1742" w:type="dxa"/>
                  <w:vAlign w:val="center"/>
                </w:tcPr>
                <w:p w14:paraId="7808F177">
                  <w:pPr>
                    <w:adjustRightInd w:val="0"/>
                    <w:snapToGrid w:val="0"/>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 xml:space="preserve">0.14950 </w:t>
                  </w:r>
                </w:p>
              </w:tc>
            </w:tr>
            <w:tr w14:paraId="5C426B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4" w:type="pct"/>
                  <w:gridSpan w:val="5"/>
                  <w:vAlign w:val="center"/>
                </w:tcPr>
                <w:p w14:paraId="24BB5930">
                  <w:pPr>
                    <w:pStyle w:val="5"/>
                    <w:adjustRightInd w:val="0"/>
                    <w:snapToGrid w:val="0"/>
                    <w:ind w:firstLine="0"/>
                    <w:jc w:val="center"/>
                    <w:rPr>
                      <w:rFonts w:hint="default" w:ascii="Times New Roman" w:hAnsi="Times New Roman" w:eastAsia="仿宋" w:cs="Times New Roman"/>
                      <w:bCs/>
                      <w:color w:val="auto"/>
                      <w:szCs w:val="21"/>
                    </w:rPr>
                  </w:pPr>
                  <w:r>
                    <w:rPr>
                      <w:rFonts w:hint="default" w:ascii="Times New Roman" w:hAnsi="Times New Roman" w:eastAsia="仿宋" w:cs="Times New Roman"/>
                      <w:color w:val="auto"/>
                      <w:szCs w:val="21"/>
                    </w:rPr>
                    <w:t>合计</w:t>
                  </w:r>
                </w:p>
              </w:tc>
              <w:tc>
                <w:tcPr>
                  <w:tcW w:w="985" w:type="pct"/>
                  <w:vAlign w:val="center"/>
                </w:tcPr>
                <w:p w14:paraId="125D8391">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0.1</w:t>
                  </w:r>
                  <w:r>
                    <w:rPr>
                      <w:rFonts w:hint="eastAsia" w:eastAsia="仿宋" w:cs="Times New Roman"/>
                      <w:color w:val="auto"/>
                      <w:szCs w:val="21"/>
                      <w:lang w:val="en-US" w:eastAsia="zh-CN"/>
                    </w:rPr>
                    <w:t>82772</w:t>
                  </w:r>
                </w:p>
              </w:tc>
            </w:tr>
          </w:tbl>
          <w:p w14:paraId="0E503D9B">
            <w:pPr>
              <w:adjustRightInd w:val="0"/>
              <w:snapToGrid w:val="0"/>
              <w:rPr>
                <w:rFonts w:hint="default" w:ascii="Times New Roman" w:hAnsi="Times New Roman" w:eastAsia="仿宋" w:cs="Times New Roman"/>
                <w:b w:val="0"/>
                <w:bCs/>
                <w:color w:val="auto"/>
                <w:szCs w:val="21"/>
              </w:rPr>
            </w:pPr>
            <w:r>
              <w:rPr>
                <w:rFonts w:hint="default" w:ascii="Times New Roman" w:hAnsi="Times New Roman" w:eastAsia="仿宋" w:cs="Times New Roman"/>
                <w:b w:val="0"/>
                <w:bCs/>
                <w:color w:val="auto"/>
                <w:szCs w:val="21"/>
              </w:rPr>
              <w:t>注：</w:t>
            </w:r>
            <w:r>
              <w:rPr>
                <w:rFonts w:hint="eastAsia" w:ascii="Times New Roman" w:hAnsi="Times New Roman" w:eastAsia="仿宋" w:cs="Times New Roman"/>
                <w:b w:val="0"/>
                <w:bCs/>
                <w:color w:val="auto"/>
                <w:kern w:val="0"/>
                <w:sz w:val="21"/>
                <w:szCs w:val="21"/>
                <w:lang w:val="en-US" w:eastAsia="zh-CN" w:bidi="ar"/>
              </w:rPr>
              <w:t>切削液</w:t>
            </w:r>
            <w:r>
              <w:rPr>
                <w:rFonts w:hint="default" w:ascii="Times New Roman" w:hAnsi="Times New Roman" w:eastAsia="仿宋" w:cs="Times New Roman"/>
                <w:b w:val="0"/>
                <w:bCs/>
                <w:color w:val="auto"/>
                <w:kern w:val="0"/>
                <w:sz w:val="21"/>
                <w:szCs w:val="21"/>
                <w:highlight w:val="none"/>
                <w:lang w:val="en-US" w:eastAsia="zh-CN" w:bidi="ar-SA"/>
              </w:rPr>
              <w:t>、</w:t>
            </w:r>
            <w:r>
              <w:rPr>
                <w:rFonts w:hint="eastAsia" w:eastAsia="仿宋" w:cs="Times New Roman"/>
                <w:b w:val="0"/>
                <w:bCs/>
                <w:color w:val="auto"/>
                <w:kern w:val="0"/>
                <w:sz w:val="21"/>
                <w:szCs w:val="21"/>
                <w:lang w:val="en-US" w:eastAsia="zh-CN" w:bidi="ar"/>
              </w:rPr>
              <w:t>机油</w:t>
            </w:r>
            <w:r>
              <w:rPr>
                <w:rFonts w:hint="default" w:ascii="Times New Roman" w:hAnsi="Times New Roman" w:eastAsia="仿宋" w:cs="Times New Roman"/>
                <w:b w:val="0"/>
                <w:bCs/>
                <w:color w:val="auto"/>
                <w:szCs w:val="21"/>
              </w:rPr>
              <w:t>临界量参照《建设项目环境风险评价技术导则》（HJ169—2018）表B.1中“油类物质”临界值；</w:t>
            </w:r>
            <w:r>
              <w:rPr>
                <w:rFonts w:hint="default" w:ascii="Times New Roman" w:hAnsi="Times New Roman" w:eastAsia="仿宋" w:cs="Times New Roman"/>
                <w:b w:val="0"/>
                <w:bCs/>
                <w:color w:val="auto"/>
                <w:sz w:val="21"/>
                <w:szCs w:val="21"/>
                <w:lang w:eastAsia="zh-CN"/>
              </w:rPr>
              <w:t>水性漆</w:t>
            </w:r>
            <w:r>
              <w:rPr>
                <w:rFonts w:hint="default" w:ascii="Times New Roman" w:hAnsi="Times New Roman" w:eastAsia="仿宋" w:cs="Times New Roman"/>
                <w:b w:val="0"/>
                <w:bCs/>
                <w:color w:val="auto"/>
                <w:szCs w:val="21"/>
              </w:rPr>
              <w:t>和危险废物临界值参照《建设项目环境风险评价技术导则》（HJ169—2018）表B.2中“</w:t>
            </w:r>
            <w:r>
              <w:rPr>
                <w:rFonts w:hint="default" w:ascii="Times New Roman" w:hAnsi="Times New Roman" w:eastAsia="仿宋" w:cs="Times New Roman"/>
                <w:b w:val="0"/>
                <w:bCs/>
                <w:color w:val="auto"/>
                <w:szCs w:val="21"/>
                <w:lang w:eastAsia="zh-CN"/>
              </w:rPr>
              <w:t>健康危险急性毒性物质（类别 2，类别 3）</w:t>
            </w:r>
            <w:r>
              <w:rPr>
                <w:rFonts w:hint="default" w:ascii="Times New Roman" w:hAnsi="Times New Roman" w:eastAsia="仿宋" w:cs="Times New Roman"/>
                <w:b w:val="0"/>
                <w:bCs/>
                <w:color w:val="auto"/>
                <w:szCs w:val="21"/>
              </w:rPr>
              <w:t>”临界值。</w:t>
            </w:r>
          </w:p>
          <w:p w14:paraId="06331ADA">
            <w:pPr>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color w:val="auto"/>
                <w:sz w:val="24"/>
              </w:rPr>
              <w:t>由上表可知风险物质与临界量比值Q＜1，故本项目环境风险潜势等级低。</w:t>
            </w:r>
          </w:p>
          <w:p w14:paraId="2121B684">
            <w:pPr>
              <w:snapToGrid w:val="0"/>
              <w:spacing w:line="500" w:lineRule="exact"/>
              <w:ind w:firstLine="480" w:firstLineChars="200"/>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rPr>
              <w:t>通过对本项目的风险识别</w:t>
            </w:r>
            <w:r>
              <w:rPr>
                <w:rFonts w:hint="default" w:ascii="Times New Roman" w:hAnsi="Times New Roman" w:eastAsia="仿宋" w:cs="Times New Roman"/>
                <w:bCs/>
                <w:color w:val="auto"/>
                <w:sz w:val="24"/>
                <w:szCs w:val="24"/>
              </w:rPr>
              <w:t>，参考同类企业的有关资料，本项目可能发生的突发环境事件为</w:t>
            </w:r>
            <w:r>
              <w:rPr>
                <w:rFonts w:hint="default" w:ascii="Times New Roman" w:hAnsi="Times New Roman" w:eastAsia="仿宋" w:cs="Times New Roman"/>
                <w:bCs/>
                <w:color w:val="auto"/>
                <w:sz w:val="24"/>
                <w:szCs w:val="24"/>
                <w:lang w:eastAsia="zh-CN"/>
              </w:rPr>
              <w:t>：</w:t>
            </w:r>
            <w:r>
              <w:rPr>
                <w:rFonts w:hint="default" w:ascii="Times New Roman" w:hAnsi="Times New Roman" w:eastAsia="仿宋" w:cs="Times New Roman"/>
                <w:bCs/>
                <w:color w:val="auto"/>
                <w:sz w:val="24"/>
                <w:szCs w:val="24"/>
              </w:rPr>
              <w:t>①存放</w:t>
            </w:r>
            <w:r>
              <w:rPr>
                <w:rFonts w:hint="eastAsia" w:ascii="Times New Roman" w:hAnsi="Times New Roman" w:eastAsia="仿宋" w:cs="Times New Roman"/>
                <w:bCs/>
                <w:color w:val="auto"/>
                <w:sz w:val="24"/>
                <w:szCs w:val="24"/>
                <w:lang w:val="en-US" w:eastAsia="zh-CN"/>
              </w:rPr>
              <w:t>切削液</w:t>
            </w:r>
            <w:r>
              <w:rPr>
                <w:rFonts w:hint="default" w:ascii="Times New Roman" w:hAnsi="Times New Roman" w:eastAsia="仿宋" w:cs="Times New Roman"/>
                <w:bCs/>
                <w:color w:val="auto"/>
                <w:sz w:val="24"/>
                <w:szCs w:val="24"/>
              </w:rPr>
              <w:t>、</w:t>
            </w:r>
            <w:r>
              <w:rPr>
                <w:rFonts w:hint="eastAsia" w:eastAsia="仿宋" w:cs="Times New Roman"/>
                <w:color w:val="auto"/>
                <w:kern w:val="0"/>
                <w:sz w:val="24"/>
                <w:szCs w:val="24"/>
                <w:lang w:val="en-US" w:eastAsia="zh-CN" w:bidi="ar"/>
              </w:rPr>
              <w:t>机油</w:t>
            </w:r>
            <w:r>
              <w:rPr>
                <w:rFonts w:hint="default" w:ascii="Times New Roman" w:hAnsi="Times New Roman" w:eastAsia="仿宋" w:cs="Times New Roman"/>
                <w:bCs/>
                <w:color w:val="auto"/>
                <w:sz w:val="24"/>
                <w:szCs w:val="24"/>
                <w:lang w:eastAsia="zh-CN"/>
              </w:rPr>
              <w:t>、</w:t>
            </w:r>
            <w:r>
              <w:rPr>
                <w:rFonts w:hint="default" w:ascii="Times New Roman" w:hAnsi="Times New Roman" w:eastAsia="仿宋" w:cs="Times New Roman"/>
                <w:color w:val="auto"/>
                <w:sz w:val="24"/>
                <w:szCs w:val="24"/>
                <w:lang w:eastAsia="zh-CN"/>
              </w:rPr>
              <w:t>水性漆</w:t>
            </w:r>
            <w:r>
              <w:rPr>
                <w:rFonts w:hint="default" w:ascii="Times New Roman" w:hAnsi="Times New Roman" w:eastAsia="仿宋" w:cs="Times New Roman"/>
                <w:bCs/>
                <w:color w:val="auto"/>
                <w:sz w:val="24"/>
                <w:szCs w:val="24"/>
              </w:rPr>
              <w:t>等的容器破损导致物料</w:t>
            </w:r>
            <w:r>
              <w:rPr>
                <w:rFonts w:hint="eastAsia" w:eastAsia="仿宋" w:cs="Times New Roman"/>
                <w:bCs/>
                <w:color w:val="auto"/>
                <w:sz w:val="24"/>
                <w:szCs w:val="24"/>
                <w:lang w:eastAsia="zh-CN"/>
              </w:rPr>
              <w:t>泄漏</w:t>
            </w:r>
            <w:r>
              <w:rPr>
                <w:rFonts w:hint="default" w:ascii="Times New Roman" w:hAnsi="Times New Roman" w:eastAsia="仿宋" w:cs="Times New Roman"/>
                <w:bCs/>
                <w:color w:val="auto"/>
                <w:sz w:val="24"/>
                <w:szCs w:val="24"/>
              </w:rPr>
              <w:t>进入厂区内雨水管道，通过雨水冲刷和下渗影响土壤、地表水和地下水环境；②项目部分物料</w:t>
            </w:r>
            <w:r>
              <w:rPr>
                <w:rFonts w:hint="default" w:ascii="Times New Roman" w:hAnsi="Times New Roman" w:eastAsia="仿宋" w:cs="Times New Roman"/>
                <w:bCs/>
                <w:color w:val="auto"/>
                <w:sz w:val="24"/>
                <w:szCs w:val="24"/>
                <w:lang w:val="en-US" w:eastAsia="zh-CN"/>
              </w:rPr>
              <w:t>易燃易爆</w:t>
            </w:r>
            <w:r>
              <w:rPr>
                <w:rFonts w:hint="default" w:ascii="Times New Roman" w:hAnsi="Times New Roman" w:eastAsia="仿宋" w:cs="Times New Roman"/>
                <w:bCs/>
                <w:color w:val="auto"/>
                <w:sz w:val="24"/>
                <w:szCs w:val="24"/>
              </w:rPr>
              <w:t>，遇明火可能发生火灾爆炸事故，</w:t>
            </w:r>
            <w:r>
              <w:rPr>
                <w:rFonts w:hint="default" w:ascii="Times New Roman" w:hAnsi="Times New Roman" w:eastAsia="仿宋" w:cs="Times New Roman"/>
                <w:bCs/>
                <w:color w:val="auto"/>
                <w:sz w:val="24"/>
                <w:szCs w:val="24"/>
                <w:lang w:eastAsia="zh-CN"/>
              </w:rPr>
              <w:t>同时</w:t>
            </w:r>
            <w:r>
              <w:rPr>
                <w:rFonts w:hint="default" w:ascii="Times New Roman" w:hAnsi="Times New Roman" w:eastAsia="仿宋" w:cs="Times New Roman"/>
                <w:bCs/>
                <w:color w:val="auto"/>
                <w:sz w:val="24"/>
                <w:szCs w:val="24"/>
              </w:rPr>
              <w:t>产生次生/伴生环境事故</w:t>
            </w:r>
            <w:r>
              <w:rPr>
                <w:rFonts w:hint="default" w:ascii="Times New Roman" w:hAnsi="Times New Roman" w:eastAsia="仿宋" w:cs="Times New Roman"/>
                <w:bCs/>
                <w:color w:val="auto"/>
                <w:sz w:val="24"/>
                <w:szCs w:val="24"/>
                <w:lang w:eastAsia="zh-CN"/>
              </w:rPr>
              <w:t>；</w:t>
            </w:r>
            <w:r>
              <w:rPr>
                <w:rFonts w:hint="default" w:ascii="Times New Roman" w:hAnsi="Times New Roman" w:eastAsia="仿宋" w:cs="Times New Roman"/>
                <w:bCs/>
                <w:color w:val="auto"/>
                <w:sz w:val="24"/>
                <w:szCs w:val="24"/>
              </w:rPr>
              <w:t>③</w:t>
            </w:r>
            <w:r>
              <w:rPr>
                <w:rFonts w:hint="default" w:ascii="Times New Roman" w:hAnsi="Times New Roman" w:eastAsia="仿宋" w:cs="Times New Roman"/>
                <w:bCs/>
                <w:color w:val="auto"/>
                <w:sz w:val="24"/>
                <w:szCs w:val="24"/>
                <w:lang w:eastAsia="zh-CN"/>
              </w:rPr>
              <w:t>环保设备故障导致车间局部粉尘浓度过高，</w:t>
            </w:r>
            <w:r>
              <w:rPr>
                <w:rFonts w:hint="default" w:ascii="Times New Roman" w:hAnsi="Times New Roman" w:eastAsia="仿宋" w:cs="Times New Roman"/>
                <w:bCs/>
                <w:color w:val="auto"/>
                <w:sz w:val="24"/>
                <w:szCs w:val="24"/>
              </w:rPr>
              <w:t>遇明火可能发生火灾爆炸事故，</w:t>
            </w:r>
            <w:r>
              <w:rPr>
                <w:rFonts w:hint="default" w:ascii="Times New Roman" w:hAnsi="Times New Roman" w:eastAsia="仿宋" w:cs="Times New Roman"/>
                <w:bCs/>
                <w:color w:val="auto"/>
                <w:sz w:val="24"/>
                <w:szCs w:val="24"/>
                <w:lang w:eastAsia="zh-CN"/>
              </w:rPr>
              <w:t>同时</w:t>
            </w:r>
            <w:r>
              <w:rPr>
                <w:rFonts w:hint="default" w:ascii="Times New Roman" w:hAnsi="Times New Roman" w:eastAsia="仿宋" w:cs="Times New Roman"/>
                <w:bCs/>
                <w:color w:val="auto"/>
                <w:sz w:val="24"/>
                <w:szCs w:val="24"/>
              </w:rPr>
              <w:t>产生次生/伴生环境事故。</w:t>
            </w:r>
          </w:p>
          <w:p w14:paraId="30638B93">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2、</w:t>
            </w:r>
            <w:r>
              <w:rPr>
                <w:rFonts w:hint="default" w:ascii="Times New Roman" w:hAnsi="Times New Roman" w:eastAsia="仿宋" w:cs="Times New Roman"/>
                <w:bCs/>
                <w:color w:val="auto"/>
                <w:sz w:val="24"/>
              </w:rPr>
              <w:t>环境风险防范及应急管理要求</w:t>
            </w:r>
          </w:p>
          <w:p w14:paraId="6128BE91">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根据国家环境保护部《关于进一步加强环境影响评价管理防范环境风险的通知（环发</w:t>
            </w:r>
            <w:r>
              <w:rPr>
                <w:rFonts w:hint="eastAsia" w:eastAsia="仿宋" w:cs="Times New Roman"/>
                <w:bCs/>
                <w:color w:val="auto"/>
                <w:sz w:val="24"/>
                <w:lang w:eastAsia="zh-CN"/>
              </w:rPr>
              <w:t>〔2012〕77号</w:t>
            </w:r>
            <w:r>
              <w:rPr>
                <w:rFonts w:hint="default" w:ascii="Times New Roman" w:hAnsi="Times New Roman" w:eastAsia="仿宋" w:cs="Times New Roman"/>
                <w:bCs/>
                <w:color w:val="auto"/>
                <w:sz w:val="24"/>
              </w:rPr>
              <w:t>文）》的要求：“提出环境风险应急预案和事故防范、减缓措施，特别要针对特征污染物提出有效地防止二次污染的应急措施”，对发生概率小，但危害严重的事故采取安全措施，防患于未然。因此，建议本项目在设计、建设和营运过程中，应科学规划、合理布局。采取必要的防泄漏措施，建立严格的安全生产制度，大力提高操作人员的素质和水平，以最大限度地降低事故的发生率，同时制定详细的应急救援预案。</w:t>
            </w:r>
          </w:p>
          <w:p w14:paraId="32E4D231">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1）</w:t>
            </w:r>
            <w:r>
              <w:rPr>
                <w:rFonts w:hint="default" w:ascii="Times New Roman" w:hAnsi="Times New Roman" w:eastAsia="仿宋" w:cs="Times New Roman"/>
                <w:bCs/>
                <w:color w:val="auto"/>
                <w:sz w:val="24"/>
              </w:rPr>
              <w:t>管理、储存、使用、运输中的防范措施</w:t>
            </w:r>
          </w:p>
          <w:p w14:paraId="471DA2A4">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加强对液态物料和危险废物的管理；制定相应的安全操作规程，要求操作人员严格按操作规程作业；对相关作业人员定期进行安全培训教育；对作业场所定期进行安全检查。液态物料和危险废物在厂区内转运时，通道、出入口和通向消防设施的道路保持畅通，运输人员应配置必要且质量合格的防护器材。</w:t>
            </w:r>
          </w:p>
          <w:p w14:paraId="3538AAF5">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2）</w:t>
            </w:r>
            <w:r>
              <w:rPr>
                <w:rFonts w:hint="default" w:ascii="Times New Roman" w:hAnsi="Times New Roman" w:eastAsia="仿宋" w:cs="Times New Roman"/>
                <w:bCs/>
                <w:color w:val="auto"/>
                <w:sz w:val="24"/>
              </w:rPr>
              <w:t>存放区风险防范措施</w:t>
            </w:r>
          </w:p>
          <w:p w14:paraId="0CEBFC35">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化学品</w:t>
            </w:r>
            <w:r>
              <w:rPr>
                <w:rFonts w:hint="default" w:ascii="Times New Roman" w:hAnsi="Times New Roman" w:eastAsia="仿宋" w:cs="Times New Roman"/>
                <w:bCs/>
                <w:color w:val="auto"/>
                <w:sz w:val="24"/>
              </w:rPr>
              <w:t>必须设置于阴凉、通风的库房，库房必须防渗、防漏、防雨；</w:t>
            </w:r>
            <w:r>
              <w:rPr>
                <w:rFonts w:hint="default" w:ascii="Times New Roman" w:hAnsi="Times New Roman" w:eastAsia="仿宋" w:cs="Times New Roman"/>
                <w:bCs/>
                <w:color w:val="auto"/>
                <w:sz w:val="24"/>
                <w:lang w:eastAsia="zh-CN"/>
              </w:rPr>
              <w:t>化学品暂存区、油品暂存区</w:t>
            </w:r>
            <w:r>
              <w:rPr>
                <w:rFonts w:hint="default" w:ascii="Times New Roman" w:hAnsi="Times New Roman" w:eastAsia="仿宋" w:cs="Times New Roman"/>
                <w:bCs/>
                <w:color w:val="auto"/>
                <w:sz w:val="24"/>
              </w:rPr>
              <w:t>、危废仓库内</w:t>
            </w:r>
            <w:r>
              <w:rPr>
                <w:rFonts w:hint="default" w:ascii="Times New Roman" w:hAnsi="Times New Roman" w:eastAsia="仿宋" w:cs="Times New Roman"/>
                <w:bCs/>
                <w:color w:val="auto"/>
                <w:sz w:val="24"/>
                <w:lang w:eastAsia="zh-CN"/>
              </w:rPr>
              <w:t>均需</w:t>
            </w:r>
            <w:r>
              <w:rPr>
                <w:rFonts w:hint="default" w:ascii="Times New Roman" w:hAnsi="Times New Roman" w:eastAsia="仿宋" w:cs="Times New Roman"/>
                <w:bCs/>
                <w:color w:val="auto"/>
                <w:sz w:val="24"/>
              </w:rPr>
              <w:t>设置</w:t>
            </w:r>
            <w:r>
              <w:rPr>
                <w:rFonts w:hint="default" w:ascii="Times New Roman" w:hAnsi="Times New Roman" w:eastAsia="仿宋" w:cs="Times New Roman"/>
                <w:bCs/>
                <w:color w:val="auto"/>
                <w:sz w:val="24"/>
                <w:lang w:eastAsia="zh-CN"/>
              </w:rPr>
              <w:t>应急</w:t>
            </w:r>
            <w:r>
              <w:rPr>
                <w:rFonts w:hint="default" w:ascii="Times New Roman" w:hAnsi="Times New Roman" w:eastAsia="仿宋" w:cs="Times New Roman"/>
                <w:bCs/>
                <w:color w:val="auto"/>
                <w:sz w:val="24"/>
              </w:rPr>
              <w:t>桶，当泄漏事故发生时，可及时将泄漏的物料或废料收集至桶内暂存，最终作为危险废物处理；</w:t>
            </w:r>
            <w:r>
              <w:rPr>
                <w:rFonts w:hint="default" w:ascii="Times New Roman" w:hAnsi="Times New Roman" w:eastAsia="仿宋" w:cs="Times New Roman"/>
                <w:bCs/>
                <w:color w:val="auto"/>
                <w:sz w:val="24"/>
                <w:lang w:eastAsia="zh-CN"/>
              </w:rPr>
              <w:t>化学品暂存区、油品暂存区</w:t>
            </w:r>
            <w:r>
              <w:rPr>
                <w:rFonts w:hint="default" w:ascii="Times New Roman" w:hAnsi="Times New Roman" w:eastAsia="仿宋" w:cs="Times New Roman"/>
                <w:bCs/>
                <w:color w:val="auto"/>
                <w:sz w:val="24"/>
              </w:rPr>
              <w:t>、危废仓库应配备吸附剂等材料，防止发生事故时能对事故进行应急处理。</w:t>
            </w:r>
          </w:p>
          <w:p w14:paraId="1A8DEDEE">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3）</w:t>
            </w:r>
            <w:r>
              <w:rPr>
                <w:rFonts w:hint="eastAsia" w:eastAsia="仿宋" w:cs="Times New Roman"/>
                <w:bCs/>
                <w:color w:val="auto"/>
                <w:sz w:val="24"/>
                <w:lang w:val="en-US" w:eastAsia="zh-CN"/>
              </w:rPr>
              <w:t>泄漏事故</w:t>
            </w:r>
            <w:r>
              <w:rPr>
                <w:rFonts w:hint="default" w:ascii="Times New Roman" w:hAnsi="Times New Roman" w:eastAsia="仿宋" w:cs="Times New Roman"/>
                <w:bCs/>
                <w:color w:val="auto"/>
                <w:sz w:val="24"/>
                <w:lang w:val="en-US" w:eastAsia="zh-CN"/>
              </w:rPr>
              <w:t>风险防范措施</w:t>
            </w:r>
          </w:p>
          <w:p w14:paraId="31029782">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小量泄漏：尽可能采用不产生冲击、静电火花的工具进行泄漏物的回收，将泄漏物收集在密闭容器内，用</w:t>
            </w:r>
            <w:r>
              <w:rPr>
                <w:rFonts w:hint="eastAsia" w:eastAsia="仿宋" w:cs="Times New Roman"/>
                <w:bCs/>
                <w:color w:val="auto"/>
                <w:sz w:val="24"/>
                <w:lang w:eastAsia="zh-CN"/>
              </w:rPr>
              <w:t>沙土</w:t>
            </w:r>
            <w:r>
              <w:rPr>
                <w:rFonts w:hint="default" w:ascii="Times New Roman" w:hAnsi="Times New Roman" w:eastAsia="仿宋" w:cs="Times New Roman"/>
                <w:bCs/>
                <w:color w:val="auto"/>
                <w:sz w:val="24"/>
              </w:rPr>
              <w:t>、活性炭或其它惰性材料吸收</w:t>
            </w:r>
            <w:r>
              <w:rPr>
                <w:rFonts w:hint="default" w:ascii="Times New Roman" w:hAnsi="Times New Roman" w:eastAsia="仿宋" w:cs="Times New Roman"/>
                <w:bCs/>
                <w:color w:val="auto"/>
                <w:sz w:val="24"/>
                <w:lang w:val="en-US" w:eastAsia="zh-CN"/>
              </w:rPr>
              <w:t>残液</w:t>
            </w:r>
            <w:r>
              <w:rPr>
                <w:rFonts w:hint="default" w:ascii="Times New Roman" w:hAnsi="Times New Roman" w:eastAsia="仿宋" w:cs="Times New Roman"/>
                <w:bCs/>
                <w:color w:val="auto"/>
                <w:sz w:val="24"/>
              </w:rPr>
              <w:t>，也可以用不燃性分散剂制成的乳液刷洗。</w:t>
            </w:r>
          </w:p>
          <w:p w14:paraId="6CBC4034">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大量泄漏：用泡沫覆盖，降低蒸汽灾害。喷雾状水冷却和稀释蒸汽，保护现场人员。用防爆泵转移至槽车或专用收集器内，回收或运至废物处理场所处理。</w:t>
            </w:r>
          </w:p>
          <w:p w14:paraId="15561D81">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4）火灾爆炸事故风险防范措施</w:t>
            </w:r>
          </w:p>
          <w:p w14:paraId="498FA3FF">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w:t>
            </w:r>
            <w:r>
              <w:rPr>
                <w:rFonts w:hint="default" w:ascii="Times New Roman" w:hAnsi="Times New Roman" w:eastAsia="仿宋" w:cs="Times New Roman"/>
                <w:bCs/>
                <w:color w:val="auto"/>
                <w:sz w:val="24"/>
                <w:lang w:val="en-US" w:eastAsia="zh-CN"/>
              </w:rPr>
              <w:t>定期对储运设备进行安全检测，检测内容、时间、人员应有记录保存。安全检测应根据设备的安全性、危险性设定检测频次。</w:t>
            </w:r>
          </w:p>
          <w:p w14:paraId="647A0738">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w:t>
            </w:r>
            <w:r>
              <w:rPr>
                <w:rFonts w:hint="default" w:ascii="Times New Roman" w:hAnsi="Times New Roman" w:eastAsia="仿宋" w:cs="Times New Roman"/>
                <w:bCs/>
                <w:color w:val="auto"/>
                <w:sz w:val="24"/>
                <w:lang w:val="en-US" w:eastAsia="zh-CN"/>
              </w:rPr>
              <w:t>在管道以及其他设备上，设置永久性接地装置；在危险操作时，操作人员应使用抗静电工作帽和具有导电性的作业鞋；有防雷装置，特别防止雷击。</w:t>
            </w:r>
          </w:p>
          <w:p w14:paraId="6B4BC79A">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③</w:t>
            </w:r>
            <w:r>
              <w:rPr>
                <w:rFonts w:hint="default" w:ascii="Times New Roman" w:hAnsi="Times New Roman" w:eastAsia="仿宋" w:cs="Times New Roman"/>
                <w:bCs/>
                <w:color w:val="auto"/>
                <w:sz w:val="24"/>
                <w:lang w:val="en-US" w:eastAsia="zh-CN"/>
              </w:rPr>
              <w:t>应加强火源的管理，严禁烟火带入，对设备需进行维修焊接，应经安全部门确认、准许，并有记录。机动车在厂内行驶，须安装阻火器，必要设备安装防火、防爆装置。</w:t>
            </w:r>
          </w:p>
          <w:p w14:paraId="2608AB66">
            <w:pPr>
              <w:snapToGrid w:val="0"/>
              <w:spacing w:line="5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④要有完善的安全消防措施。各重点部位建议设置灭火器，并且对其</w:t>
            </w:r>
            <w:r>
              <w:rPr>
                <w:rFonts w:hint="eastAsia" w:eastAsia="仿宋" w:cs="Times New Roman"/>
                <w:bCs/>
                <w:color w:val="auto"/>
                <w:sz w:val="24"/>
                <w:lang w:val="en-US" w:eastAsia="zh-CN"/>
              </w:rPr>
              <w:t>做</w:t>
            </w:r>
            <w:r>
              <w:rPr>
                <w:rFonts w:hint="default" w:ascii="Times New Roman" w:hAnsi="Times New Roman" w:eastAsia="仿宋" w:cs="Times New Roman"/>
                <w:bCs/>
                <w:color w:val="auto"/>
                <w:sz w:val="24"/>
                <w:lang w:val="en-US" w:eastAsia="zh-CN"/>
              </w:rPr>
              <w:t>定期检查。</w:t>
            </w:r>
          </w:p>
          <w:p w14:paraId="382DC335">
            <w:pPr>
              <w:snapToGrid w:val="0"/>
              <w:spacing w:line="500" w:lineRule="exact"/>
              <w:ind w:firstLine="480" w:firstLineChars="200"/>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szCs w:val="24"/>
                <w:lang w:val="en-US" w:eastAsia="zh-CN"/>
              </w:rPr>
              <w:t>⑤</w:t>
            </w:r>
            <w:r>
              <w:rPr>
                <w:rFonts w:hint="default" w:ascii="Times New Roman" w:hAnsi="Times New Roman" w:eastAsia="仿宋" w:cs="Times New Roman"/>
                <w:bCs/>
                <w:color w:val="auto"/>
                <w:sz w:val="24"/>
                <w:lang w:val="en-US" w:eastAsia="zh-CN"/>
              </w:rPr>
              <w:t>活性炭吸附箱需设置降温措施、温度监测装置、风压监测及泄爆口。</w:t>
            </w:r>
          </w:p>
          <w:p w14:paraId="7C7FF6DC">
            <w:pPr>
              <w:snapToGrid w:val="0"/>
              <w:spacing w:line="500" w:lineRule="exact"/>
              <w:ind w:firstLine="480" w:firstLineChars="200"/>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5）粉尘燃爆事故风险防控措施</w:t>
            </w:r>
          </w:p>
          <w:p w14:paraId="3E18E0F7">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rPr>
              <w:t>①</w:t>
            </w:r>
            <w:r>
              <w:rPr>
                <w:rFonts w:hint="default" w:ascii="Times New Roman" w:hAnsi="Times New Roman" w:eastAsia="仿宋" w:cs="Times New Roman"/>
                <w:bCs/>
                <w:color w:val="auto"/>
                <w:sz w:val="24"/>
                <w:szCs w:val="24"/>
                <w:lang w:val="en-US" w:eastAsia="zh-CN"/>
              </w:rPr>
              <w:t>制定粉尘防爆实施细则并进行定期检查。</w:t>
            </w:r>
          </w:p>
          <w:p w14:paraId="72132644">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rPr>
              <w:t>②</w:t>
            </w:r>
            <w:r>
              <w:rPr>
                <w:rFonts w:hint="default" w:ascii="Times New Roman" w:hAnsi="Times New Roman" w:eastAsia="仿宋" w:cs="Times New Roman"/>
                <w:bCs/>
                <w:color w:val="auto"/>
                <w:sz w:val="24"/>
                <w:szCs w:val="24"/>
                <w:lang w:val="en-US" w:eastAsia="zh-CN"/>
              </w:rPr>
              <w:t>建立定期清扫制度并制定详细清扫规程，对粉尘及其它残留物进行定期清理。</w:t>
            </w:r>
          </w:p>
          <w:p w14:paraId="768B6783">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rPr>
              <w:t>③</w:t>
            </w:r>
            <w:r>
              <w:rPr>
                <w:rFonts w:hint="default" w:ascii="Times New Roman" w:hAnsi="Times New Roman" w:eastAsia="仿宋" w:cs="Times New Roman"/>
                <w:bCs/>
                <w:color w:val="auto"/>
                <w:sz w:val="24"/>
                <w:szCs w:val="24"/>
                <w:lang w:val="en-US" w:eastAsia="zh-CN"/>
              </w:rPr>
              <w:t>对防爆设施的故障、检修、维护、变更进行记录并存档。</w:t>
            </w:r>
          </w:p>
          <w:p w14:paraId="15C6A0F3">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④在整个生产过程中，除尘系统先于生产设备运行，当最后一台生产设备关闭后，除尘系统至少再运转2分钟。</w:t>
            </w:r>
          </w:p>
          <w:p w14:paraId="596D93E0">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bCs/>
                <w:color w:val="auto"/>
                <w:sz w:val="24"/>
                <w:szCs w:val="24"/>
                <w:lang w:val="en-US" w:eastAsia="zh-CN"/>
              </w:rPr>
              <w:fldChar w:fldCharType="begin"/>
            </w:r>
            <w:r>
              <w:rPr>
                <w:rFonts w:hint="default" w:ascii="Times New Roman" w:hAnsi="Times New Roman" w:eastAsia="仿宋" w:cs="Times New Roman"/>
                <w:bCs/>
                <w:color w:val="auto"/>
                <w:sz w:val="24"/>
                <w:szCs w:val="24"/>
                <w:lang w:val="en-US" w:eastAsia="zh-CN"/>
              </w:rPr>
              <w:instrText xml:space="preserve"> = 5 \* GB3 \* MERGEFORMAT </w:instrText>
            </w:r>
            <w:r>
              <w:rPr>
                <w:rFonts w:hint="default" w:ascii="Times New Roman" w:hAnsi="Times New Roman" w:eastAsia="仿宋" w:cs="Times New Roman"/>
                <w:bCs/>
                <w:color w:val="auto"/>
                <w:sz w:val="24"/>
                <w:szCs w:val="24"/>
                <w:lang w:val="en-US" w:eastAsia="zh-CN"/>
              </w:rPr>
              <w:fldChar w:fldCharType="separate"/>
            </w:r>
            <w:r>
              <w:rPr>
                <w:rFonts w:hint="default" w:ascii="Times New Roman" w:hAnsi="Times New Roman" w:eastAsia="仿宋" w:cs="Times New Roman"/>
                <w:color w:val="auto"/>
                <w:sz w:val="24"/>
                <w:szCs w:val="24"/>
              </w:rPr>
              <w:t>⑤</w:t>
            </w:r>
            <w:r>
              <w:rPr>
                <w:rFonts w:hint="default" w:ascii="Times New Roman" w:hAnsi="Times New Roman" w:eastAsia="仿宋" w:cs="Times New Roman"/>
                <w:bCs/>
                <w:color w:val="auto"/>
                <w:sz w:val="24"/>
                <w:szCs w:val="24"/>
                <w:lang w:val="en-US" w:eastAsia="zh-CN"/>
              </w:rPr>
              <w:fldChar w:fldCharType="end"/>
            </w:r>
            <w:r>
              <w:rPr>
                <w:rFonts w:hint="default" w:ascii="Times New Roman" w:hAnsi="Times New Roman" w:eastAsia="仿宋" w:cs="Times New Roman"/>
                <w:bCs/>
                <w:color w:val="auto"/>
                <w:sz w:val="24"/>
                <w:szCs w:val="24"/>
                <w:lang w:val="en-US" w:eastAsia="zh-CN"/>
              </w:rPr>
              <w:t>项目除尘系统需采用防静电措施和泄爆措施，降低粉尘燃爆风险。</w:t>
            </w:r>
          </w:p>
          <w:p w14:paraId="26F3A558">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⑥用于粉尘爆炸危险场所的电气设备、仪器仪表及便携式仪器符合防爆要求。</w:t>
            </w:r>
          </w:p>
          <w:p w14:paraId="5A0368F1">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⑦管道及各输入接口采用金属构件，其强度应能承受所输送物料发生爆燃未泄放时的最大压力。与机器连接端的管道允许采用长度应尽可能短的软连接。</w:t>
            </w:r>
          </w:p>
          <w:p w14:paraId="5E180354">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⑧所有产生可燃粉尘的设备均安装防尘罩或防尘外壳，设备的机壳和机罩采用不燃结构。</w:t>
            </w:r>
          </w:p>
          <w:p w14:paraId="12092EF3">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fldChar w:fldCharType="begin"/>
            </w:r>
            <w:r>
              <w:rPr>
                <w:rFonts w:hint="default" w:ascii="Times New Roman" w:hAnsi="Times New Roman" w:eastAsia="仿宋" w:cs="Times New Roman"/>
                <w:bCs/>
                <w:color w:val="auto"/>
                <w:sz w:val="24"/>
                <w:szCs w:val="24"/>
                <w:lang w:val="en-US" w:eastAsia="zh-CN"/>
              </w:rPr>
              <w:instrText xml:space="preserve"> = 9 \* GB3 \* MERGEFORMAT </w:instrText>
            </w:r>
            <w:r>
              <w:rPr>
                <w:rFonts w:hint="default" w:ascii="Times New Roman" w:hAnsi="Times New Roman" w:eastAsia="仿宋" w:cs="Times New Roman"/>
                <w:bCs/>
                <w:color w:val="auto"/>
                <w:sz w:val="24"/>
                <w:szCs w:val="24"/>
                <w:lang w:val="en-US" w:eastAsia="zh-CN"/>
              </w:rPr>
              <w:fldChar w:fldCharType="separate"/>
            </w:r>
            <w:r>
              <w:rPr>
                <w:rFonts w:hint="default" w:ascii="Times New Roman" w:hAnsi="Times New Roman" w:eastAsia="仿宋" w:cs="Times New Roman"/>
                <w:color w:val="auto"/>
                <w:sz w:val="24"/>
                <w:szCs w:val="24"/>
              </w:rPr>
              <w:t>⑨</w:t>
            </w:r>
            <w:r>
              <w:rPr>
                <w:rFonts w:hint="default" w:ascii="Times New Roman" w:hAnsi="Times New Roman" w:eastAsia="仿宋" w:cs="Times New Roman"/>
                <w:bCs/>
                <w:color w:val="auto"/>
                <w:sz w:val="24"/>
                <w:szCs w:val="24"/>
                <w:lang w:val="en-US" w:eastAsia="zh-CN"/>
              </w:rPr>
              <w:fldChar w:fldCharType="end"/>
            </w:r>
            <w:r>
              <w:rPr>
                <w:rFonts w:hint="default" w:ascii="Times New Roman" w:hAnsi="Times New Roman" w:eastAsia="仿宋" w:cs="Times New Roman"/>
                <w:bCs/>
                <w:color w:val="auto"/>
                <w:sz w:val="24"/>
                <w:szCs w:val="24"/>
                <w:lang w:val="en-US" w:eastAsia="zh-CN"/>
              </w:rPr>
              <w:t>加强生产现场管理，喷粉、喷锌区严禁明火作业。</w:t>
            </w:r>
          </w:p>
          <w:p w14:paraId="7733F525">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szCs w:val="24"/>
                <w:lang w:val="en-US" w:eastAsia="zh-CN"/>
              </w:rPr>
              <w:t>6）废气风险防范措施</w:t>
            </w:r>
          </w:p>
          <w:p w14:paraId="16C2041B">
            <w:pPr>
              <w:snapToGrid w:val="0"/>
              <w:spacing w:line="500" w:lineRule="exact"/>
              <w:ind w:firstLine="480" w:firstLineChars="200"/>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项目需加强除尘装置、二级活性炭吸附装置运行维护管理，做到治理设施较生产设备“先启后停”，在治理设施达到正常运行条件后方可启动生产设备，在生产设备停止、残留废气收集处理完毕后，方可停运治理设施，防止易燃废气的</w:t>
            </w:r>
            <w:r>
              <w:rPr>
                <w:rFonts w:hint="eastAsia" w:eastAsia="仿宋" w:cs="Times New Roman"/>
                <w:bCs/>
                <w:color w:val="auto"/>
                <w:sz w:val="24"/>
                <w:lang w:val="en-US" w:eastAsia="zh-CN"/>
              </w:rPr>
              <w:t>积聚</w:t>
            </w:r>
            <w:r>
              <w:rPr>
                <w:rFonts w:hint="default" w:ascii="Times New Roman" w:hAnsi="Times New Roman" w:eastAsia="仿宋" w:cs="Times New Roman"/>
                <w:bCs/>
                <w:color w:val="auto"/>
                <w:sz w:val="24"/>
                <w:lang w:val="en-US" w:eastAsia="zh-CN"/>
              </w:rPr>
              <w:t>；及时清理、更换滤袋、活性炭等治理设施耗材，确保设施能够稳定高效运行。</w:t>
            </w:r>
          </w:p>
          <w:p w14:paraId="1FE85FCA">
            <w:pPr>
              <w:keepNext w:val="0"/>
              <w:keepLines w:val="0"/>
              <w:pageBreakBefore w:val="0"/>
              <w:widowControl w:val="0"/>
              <w:kinsoku/>
              <w:wordWrap/>
              <w:overflowPunct/>
              <w:topLinePunct w:val="0"/>
              <w:bidi w:val="0"/>
              <w:adjustRightInd w:val="0"/>
              <w:snapToGrid w:val="0"/>
              <w:spacing w:line="500" w:lineRule="exact"/>
              <w:ind w:left="479" w:leftChars="228" w:firstLine="0" w:firstLineChars="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7）事故应急池设置</w:t>
            </w:r>
          </w:p>
          <w:p w14:paraId="5546DC7E">
            <w:pPr>
              <w:keepNext w:val="0"/>
              <w:keepLines w:val="0"/>
              <w:pageBreakBefore w:val="0"/>
              <w:widowControl w:val="0"/>
              <w:kinsoku/>
              <w:wordWrap/>
              <w:overflowPunct/>
              <w:topLinePunct w:val="0"/>
              <w:bidi w:val="0"/>
              <w:adjustRightInd w:val="0"/>
              <w:snapToGrid w:val="0"/>
              <w:spacing w:line="500" w:lineRule="exact"/>
              <w:ind w:left="479" w:leftChars="228"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企业需</w:t>
            </w:r>
            <w:r>
              <w:rPr>
                <w:rFonts w:hint="default" w:ascii="Times New Roman" w:hAnsi="Times New Roman" w:eastAsia="仿宋" w:cs="Times New Roman"/>
                <w:color w:val="auto"/>
                <w:sz w:val="24"/>
                <w:szCs w:val="24"/>
              </w:rPr>
              <w:t>委托专业单位建设事故应急池，事故应急水池容量按下式计算：</w:t>
            </w:r>
          </w:p>
          <w:p w14:paraId="6A182769">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 V</w:t>
            </w:r>
            <w:r>
              <w:rPr>
                <w:rFonts w:hint="default" w:ascii="Times New Roman" w:hAnsi="Times New Roman" w:eastAsia="仿宋" w:cs="Times New Roman"/>
                <w:color w:val="auto"/>
                <w:sz w:val="24"/>
                <w:szCs w:val="24"/>
                <w:vertAlign w:val="subscript"/>
              </w:rPr>
              <w:t>a</w:t>
            </w: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3</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vertAlign w:val="subscript"/>
              </w:rPr>
              <w:t>max</w:t>
            </w: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5</w:t>
            </w:r>
          </w:p>
          <w:p w14:paraId="56444B03">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[注：(V</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3</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vertAlign w:val="subscript"/>
              </w:rPr>
              <w:t>max</w:t>
            </w:r>
            <w:r>
              <w:rPr>
                <w:rFonts w:hint="default" w:ascii="Times New Roman" w:hAnsi="Times New Roman" w:eastAsia="仿宋" w:cs="Times New Roman"/>
                <w:color w:val="auto"/>
                <w:sz w:val="24"/>
                <w:szCs w:val="24"/>
              </w:rPr>
              <w:t>是指对收集系统范围内不同罐组或装置分别计算V</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3</w:t>
            </w:r>
            <w:r>
              <w:rPr>
                <w:rFonts w:hint="default" w:ascii="Times New Roman" w:hAnsi="Times New Roman" w:eastAsia="仿宋" w:cs="Times New Roman"/>
                <w:color w:val="auto"/>
                <w:sz w:val="24"/>
                <w:szCs w:val="24"/>
              </w:rPr>
              <w:t>，取其中最大值。]</w:t>
            </w:r>
          </w:p>
          <w:p w14:paraId="61F1CDF5">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Va：事故应急池容积，m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w:t>
            </w:r>
          </w:p>
          <w:p w14:paraId="33A87C3F">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：事故一个罐或一个装置物料量，m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w:t>
            </w:r>
          </w:p>
          <w:p w14:paraId="7C1228BF">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：事故状态下最大消防水量，m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w:t>
            </w:r>
          </w:p>
          <w:p w14:paraId="6FC03C05">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3</w:t>
            </w:r>
            <w:r>
              <w:rPr>
                <w:rFonts w:hint="default" w:ascii="Times New Roman" w:hAnsi="Times New Roman" w:eastAsia="仿宋" w:cs="Times New Roman"/>
                <w:color w:val="auto"/>
                <w:sz w:val="24"/>
                <w:szCs w:val="24"/>
              </w:rPr>
              <w:t>：事故时可以转输到其它储存或处理设施的物料量，m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w:t>
            </w:r>
          </w:p>
          <w:p w14:paraId="02B2087B">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rPr>
              <w:t>：发生事故时必须进入该收集系统的生产废水量，m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w:t>
            </w:r>
          </w:p>
          <w:p w14:paraId="73740FB3">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5</w:t>
            </w:r>
            <w:r>
              <w:rPr>
                <w:rFonts w:hint="default" w:ascii="Times New Roman" w:hAnsi="Times New Roman" w:eastAsia="仿宋" w:cs="Times New Roman"/>
                <w:color w:val="auto"/>
                <w:sz w:val="24"/>
                <w:szCs w:val="24"/>
              </w:rPr>
              <w:t>：发生事故时可能进入该收集系统的降雨量，m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w:t>
            </w:r>
          </w:p>
          <w:p w14:paraId="0C9448B8">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rPr>
            </w:pPr>
            <w:r>
              <w:rPr>
                <w:rFonts w:hint="default" w:ascii="Times New Roman" w:hAnsi="Times New Roman" w:eastAsia="仿宋" w:cs="Times New Roman"/>
                <w:color w:val="auto"/>
                <w:spacing w:val="10"/>
                <w:sz w:val="24"/>
                <w:szCs w:val="24"/>
              </w:rPr>
              <w:t>V</w:t>
            </w:r>
            <w:r>
              <w:rPr>
                <w:rFonts w:hint="default" w:ascii="Times New Roman" w:hAnsi="Times New Roman" w:eastAsia="仿宋" w:cs="Times New Roman"/>
                <w:color w:val="auto"/>
                <w:spacing w:val="10"/>
                <w:sz w:val="24"/>
                <w:szCs w:val="24"/>
                <w:vertAlign w:val="subscript"/>
              </w:rPr>
              <w:t>1</w:t>
            </w:r>
            <w:r>
              <w:rPr>
                <w:rFonts w:hint="default" w:ascii="Times New Roman" w:hAnsi="Times New Roman" w:eastAsia="仿宋" w:cs="Times New Roman"/>
                <w:color w:val="auto"/>
                <w:spacing w:val="10"/>
                <w:sz w:val="24"/>
                <w:szCs w:val="24"/>
                <w:lang w:eastAsia="zh-CN"/>
              </w:rPr>
              <w:t>：项目</w:t>
            </w:r>
            <w:r>
              <w:rPr>
                <w:rFonts w:hint="eastAsia" w:ascii="Times New Roman" w:hAnsi="Times New Roman" w:eastAsia="仿宋" w:cs="Times New Roman"/>
                <w:color w:val="auto"/>
                <w:sz w:val="24"/>
                <w:szCs w:val="24"/>
                <w:lang w:val="en-US" w:eastAsia="zh-CN"/>
              </w:rPr>
              <w:t>厂区</w:t>
            </w:r>
            <w:r>
              <w:rPr>
                <w:rFonts w:hint="default" w:ascii="Times New Roman" w:hAnsi="Times New Roman" w:eastAsia="仿宋" w:cs="Times New Roman"/>
                <w:color w:val="auto"/>
                <w:sz w:val="24"/>
                <w:szCs w:val="24"/>
                <w:lang w:val="en-US" w:eastAsia="zh-CN"/>
              </w:rPr>
              <w:t>最大液态装置为</w:t>
            </w:r>
            <w:r>
              <w:rPr>
                <w:rFonts w:hint="eastAsia" w:ascii="Times New Roman" w:hAnsi="Times New Roman" w:eastAsia="仿宋" w:cs="Times New Roman"/>
                <w:color w:val="auto"/>
                <w:sz w:val="24"/>
                <w:szCs w:val="24"/>
                <w:lang w:val="en-US" w:eastAsia="zh-CN"/>
              </w:rPr>
              <w:t>试漏池,有效容量</w:t>
            </w:r>
            <w:r>
              <w:rPr>
                <w:rFonts w:hint="default" w:ascii="Times New Roman" w:hAnsi="Times New Roman" w:eastAsia="仿宋" w:cs="Times New Roman"/>
                <w:color w:val="auto"/>
                <w:sz w:val="24"/>
                <w:szCs w:val="24"/>
                <w:lang w:eastAsia="zh-CN"/>
              </w:rPr>
              <w:t>为</w:t>
            </w:r>
            <w:r>
              <w:rPr>
                <w:rFonts w:hint="eastAsia" w:eastAsia="仿宋" w:cs="Times New Roman"/>
                <w:color w:val="auto"/>
                <w:spacing w:val="10"/>
                <w:sz w:val="24"/>
                <w:szCs w:val="24"/>
                <w:lang w:val="en-US" w:eastAsia="zh-CN"/>
              </w:rPr>
              <w:t>3.6</w:t>
            </w:r>
            <w:r>
              <w:rPr>
                <w:rFonts w:hint="default" w:ascii="Times New Roman" w:hAnsi="Times New Roman" w:eastAsia="仿宋" w:cs="Times New Roman"/>
                <w:color w:val="auto"/>
                <w:spacing w:val="10"/>
                <w:sz w:val="24"/>
                <w:szCs w:val="24"/>
              </w:rPr>
              <w:t>m</w:t>
            </w:r>
            <w:r>
              <w:rPr>
                <w:rFonts w:hint="default" w:ascii="Times New Roman" w:hAnsi="Times New Roman" w:eastAsia="仿宋" w:cs="Times New Roman"/>
                <w:color w:val="auto"/>
                <w:spacing w:val="10"/>
                <w:sz w:val="24"/>
                <w:szCs w:val="24"/>
                <w:vertAlign w:val="superscript"/>
              </w:rPr>
              <w:t>3</w:t>
            </w:r>
            <w:r>
              <w:rPr>
                <w:rFonts w:hint="default" w:ascii="Times New Roman" w:hAnsi="Times New Roman" w:eastAsia="仿宋" w:cs="Times New Roman"/>
                <w:color w:val="auto"/>
                <w:spacing w:val="10"/>
                <w:sz w:val="24"/>
                <w:szCs w:val="24"/>
                <w:vertAlign w:val="baseline"/>
                <w:lang w:eastAsia="zh-CN"/>
              </w:rPr>
              <w:t>，则</w:t>
            </w:r>
            <w:r>
              <w:rPr>
                <w:rFonts w:hint="default" w:ascii="Times New Roman" w:hAnsi="Times New Roman" w:eastAsia="仿宋" w:cs="Times New Roman"/>
                <w:color w:val="auto"/>
                <w:spacing w:val="10"/>
                <w:sz w:val="24"/>
                <w:szCs w:val="24"/>
              </w:rPr>
              <w:t>V</w:t>
            </w:r>
            <w:r>
              <w:rPr>
                <w:rFonts w:hint="default" w:ascii="Times New Roman" w:hAnsi="Times New Roman" w:eastAsia="仿宋" w:cs="Times New Roman"/>
                <w:color w:val="auto"/>
                <w:spacing w:val="10"/>
                <w:sz w:val="24"/>
                <w:szCs w:val="24"/>
                <w:vertAlign w:val="subscript"/>
              </w:rPr>
              <w:t>1</w:t>
            </w:r>
            <w:r>
              <w:rPr>
                <w:rFonts w:hint="default" w:ascii="Times New Roman" w:hAnsi="Times New Roman" w:eastAsia="仿宋" w:cs="Times New Roman"/>
                <w:color w:val="auto"/>
                <w:spacing w:val="10"/>
                <w:sz w:val="24"/>
                <w:szCs w:val="24"/>
              </w:rPr>
              <w:t>=</w:t>
            </w:r>
            <w:r>
              <w:rPr>
                <w:rFonts w:hint="eastAsia" w:eastAsia="仿宋" w:cs="Times New Roman"/>
                <w:color w:val="auto"/>
                <w:spacing w:val="10"/>
                <w:sz w:val="24"/>
                <w:szCs w:val="24"/>
                <w:lang w:val="en-US" w:eastAsia="zh-CN"/>
              </w:rPr>
              <w:t>3.6</w:t>
            </w:r>
            <w:r>
              <w:rPr>
                <w:rFonts w:hint="default" w:ascii="Times New Roman" w:hAnsi="Times New Roman" w:eastAsia="仿宋" w:cs="Times New Roman"/>
                <w:color w:val="auto"/>
                <w:spacing w:val="10"/>
                <w:sz w:val="24"/>
                <w:szCs w:val="24"/>
              </w:rPr>
              <w:t>m</w:t>
            </w:r>
            <w:r>
              <w:rPr>
                <w:rFonts w:hint="default" w:ascii="Times New Roman" w:hAnsi="Times New Roman" w:eastAsia="仿宋" w:cs="Times New Roman"/>
                <w:color w:val="auto"/>
                <w:spacing w:val="10"/>
                <w:sz w:val="24"/>
                <w:szCs w:val="24"/>
                <w:vertAlign w:val="superscript"/>
              </w:rPr>
              <w:t>3</w:t>
            </w:r>
            <w:r>
              <w:rPr>
                <w:rFonts w:hint="default" w:ascii="Times New Roman" w:hAnsi="Times New Roman" w:eastAsia="仿宋" w:cs="Times New Roman"/>
                <w:color w:val="auto"/>
                <w:spacing w:val="10"/>
                <w:sz w:val="24"/>
                <w:szCs w:val="24"/>
              </w:rPr>
              <w:t>；</w:t>
            </w:r>
          </w:p>
          <w:p w14:paraId="5B018AD7">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仿宋" w:cs="Times New Roman"/>
                <w:color w:val="auto"/>
                <w:spacing w:val="10"/>
                <w:sz w:val="24"/>
                <w:szCs w:val="24"/>
              </w:rPr>
            </w:pP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pacing w:val="10"/>
                <w:sz w:val="24"/>
                <w:szCs w:val="24"/>
              </w:rPr>
              <w:t>根据《建筑设计防火规范》(GB50016-2014)（2018年修订），在进行城镇、居住区、企事业单位规划和建筑设计时，必须同时设计消防给水系统，消防用水可由给水管网、天然水源或消防水池供给。消防用水流量为15L/s，假设事故持续</w:t>
            </w:r>
            <w:r>
              <w:rPr>
                <w:rFonts w:hint="eastAsia" w:ascii="Times New Roman" w:hAnsi="Times New Roman" w:eastAsia="仿宋" w:cs="Times New Roman"/>
                <w:color w:val="auto"/>
                <w:spacing w:val="10"/>
                <w:sz w:val="24"/>
                <w:szCs w:val="24"/>
                <w:lang w:val="en-US" w:eastAsia="zh-CN"/>
              </w:rPr>
              <w:t>2</w:t>
            </w:r>
            <w:r>
              <w:rPr>
                <w:rFonts w:hint="default" w:ascii="Times New Roman" w:hAnsi="Times New Roman" w:eastAsia="仿宋" w:cs="Times New Roman"/>
                <w:color w:val="auto"/>
                <w:spacing w:val="10"/>
                <w:sz w:val="24"/>
                <w:szCs w:val="24"/>
              </w:rPr>
              <w:t>h，则发生一次火灾时厂房室外消防用水量为：1</w:t>
            </w:r>
            <w:r>
              <w:rPr>
                <w:rFonts w:hint="default" w:ascii="Times New Roman" w:hAnsi="Times New Roman" w:eastAsia="仿宋" w:cs="Times New Roman"/>
                <w:color w:val="auto"/>
                <w:spacing w:val="10"/>
                <w:sz w:val="24"/>
                <w:szCs w:val="24"/>
                <w:lang w:val="en-US" w:eastAsia="zh-CN"/>
              </w:rPr>
              <w:t>5</w:t>
            </w:r>
            <w:r>
              <w:rPr>
                <w:rFonts w:hint="default" w:ascii="Times New Roman" w:hAnsi="Times New Roman" w:eastAsia="仿宋" w:cs="Times New Roman"/>
                <w:color w:val="auto"/>
                <w:spacing w:val="10"/>
                <w:sz w:val="24"/>
                <w:szCs w:val="24"/>
              </w:rPr>
              <w:t>×3600×</w:t>
            </w:r>
            <w:r>
              <w:rPr>
                <w:rFonts w:hint="default" w:ascii="Times New Roman" w:hAnsi="Times New Roman" w:eastAsia="仿宋" w:cs="Times New Roman"/>
                <w:color w:val="auto"/>
                <w:spacing w:val="10"/>
                <w:sz w:val="24"/>
                <w:szCs w:val="24"/>
                <w:lang w:val="en-US" w:eastAsia="zh-CN"/>
              </w:rPr>
              <w:t>2</w:t>
            </w:r>
            <w:r>
              <w:rPr>
                <w:rFonts w:hint="default" w:ascii="Times New Roman" w:hAnsi="Times New Roman" w:eastAsia="仿宋" w:cs="Times New Roman"/>
                <w:color w:val="auto"/>
                <w:spacing w:val="10"/>
                <w:sz w:val="24"/>
                <w:szCs w:val="24"/>
              </w:rPr>
              <w:t>×10</w:t>
            </w:r>
            <w:r>
              <w:rPr>
                <w:rFonts w:hint="default" w:ascii="Times New Roman" w:hAnsi="Times New Roman" w:eastAsia="仿宋" w:cs="Times New Roman"/>
                <w:color w:val="auto"/>
                <w:spacing w:val="10"/>
                <w:sz w:val="24"/>
                <w:szCs w:val="24"/>
                <w:vertAlign w:val="superscript"/>
              </w:rPr>
              <w:t>-3</w:t>
            </w:r>
            <w:r>
              <w:rPr>
                <w:rFonts w:hint="default" w:ascii="Times New Roman" w:hAnsi="Times New Roman" w:eastAsia="仿宋" w:cs="Times New Roman"/>
                <w:color w:val="auto"/>
                <w:spacing w:val="10"/>
                <w:sz w:val="24"/>
                <w:szCs w:val="24"/>
              </w:rPr>
              <w:t>=</w:t>
            </w:r>
            <w:r>
              <w:rPr>
                <w:rFonts w:hint="default" w:ascii="Times New Roman" w:hAnsi="Times New Roman" w:eastAsia="仿宋" w:cs="Times New Roman"/>
                <w:color w:val="auto"/>
                <w:spacing w:val="10"/>
                <w:sz w:val="24"/>
                <w:szCs w:val="24"/>
                <w:lang w:val="en-US" w:eastAsia="zh-CN"/>
              </w:rPr>
              <w:t>108</w:t>
            </w:r>
            <w:r>
              <w:rPr>
                <w:rFonts w:hint="default" w:ascii="Times New Roman" w:hAnsi="Times New Roman" w:eastAsia="仿宋" w:cs="Times New Roman"/>
                <w:color w:val="auto"/>
                <w:spacing w:val="10"/>
                <w:sz w:val="24"/>
                <w:szCs w:val="24"/>
              </w:rPr>
              <w:t>m</w:t>
            </w:r>
            <w:r>
              <w:rPr>
                <w:rFonts w:hint="default" w:ascii="Times New Roman" w:hAnsi="Times New Roman" w:eastAsia="仿宋" w:cs="Times New Roman"/>
                <w:color w:val="auto"/>
                <w:spacing w:val="10"/>
                <w:sz w:val="24"/>
                <w:szCs w:val="24"/>
                <w:vertAlign w:val="superscript"/>
              </w:rPr>
              <w:t>3</w:t>
            </w:r>
            <w:r>
              <w:rPr>
                <w:rFonts w:hint="default" w:ascii="Times New Roman" w:hAnsi="Times New Roman" w:eastAsia="仿宋" w:cs="Times New Roman"/>
                <w:color w:val="auto"/>
                <w:spacing w:val="10"/>
                <w:sz w:val="24"/>
                <w:szCs w:val="24"/>
              </w:rPr>
              <w:t>；</w:t>
            </w:r>
          </w:p>
          <w:p w14:paraId="5BDC4DEA">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3</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pacing w:val="10"/>
                <w:sz w:val="24"/>
                <w:szCs w:val="24"/>
              </w:rPr>
              <w:t>公司所在厂区雨水管网总长度约为</w:t>
            </w:r>
            <w:r>
              <w:rPr>
                <w:rFonts w:hint="eastAsia" w:ascii="Times New Roman" w:hAnsi="Times New Roman" w:eastAsia="仿宋" w:cs="Times New Roman"/>
                <w:color w:val="auto"/>
                <w:spacing w:val="10"/>
                <w:sz w:val="24"/>
                <w:szCs w:val="24"/>
                <w:lang w:val="en-US" w:eastAsia="zh-CN"/>
              </w:rPr>
              <w:t>55</w:t>
            </w:r>
            <w:r>
              <w:rPr>
                <w:rFonts w:hint="default" w:ascii="Times New Roman" w:hAnsi="Times New Roman" w:eastAsia="仿宋" w:cs="Times New Roman"/>
                <w:color w:val="auto"/>
                <w:spacing w:val="10"/>
                <w:sz w:val="24"/>
                <w:szCs w:val="24"/>
              </w:rPr>
              <w:t>0m，</w:t>
            </w:r>
            <w:r>
              <w:rPr>
                <w:rFonts w:hint="default" w:ascii="Times New Roman" w:hAnsi="Times New Roman" w:eastAsia="仿宋" w:cs="Times New Roman"/>
                <w:color w:val="auto"/>
                <w:spacing w:val="10"/>
                <w:sz w:val="24"/>
                <w:szCs w:val="24"/>
                <w:lang w:eastAsia="zh-CN"/>
              </w:rPr>
              <w:t>其中</w:t>
            </w:r>
            <w:r>
              <w:rPr>
                <w:rFonts w:hint="default" w:ascii="Times New Roman" w:hAnsi="Times New Roman" w:eastAsia="仿宋" w:cs="Times New Roman"/>
                <w:color w:val="auto"/>
                <w:spacing w:val="10"/>
                <w:sz w:val="24"/>
                <w:szCs w:val="24"/>
              </w:rPr>
              <w:t>管内径为0.</w:t>
            </w:r>
            <w:r>
              <w:rPr>
                <w:rFonts w:hint="eastAsia" w:ascii="Times New Roman" w:hAnsi="Times New Roman" w:eastAsia="仿宋" w:cs="Times New Roman"/>
                <w:color w:val="auto"/>
                <w:spacing w:val="10"/>
                <w:sz w:val="24"/>
                <w:szCs w:val="24"/>
                <w:lang w:val="en-US" w:eastAsia="zh-CN"/>
              </w:rPr>
              <w:t>5</w:t>
            </w:r>
            <w:r>
              <w:rPr>
                <w:rFonts w:hint="default" w:ascii="Times New Roman" w:hAnsi="Times New Roman" w:eastAsia="仿宋" w:cs="Times New Roman"/>
                <w:color w:val="auto"/>
                <w:spacing w:val="10"/>
                <w:sz w:val="24"/>
                <w:szCs w:val="24"/>
              </w:rPr>
              <w:t>m雨水管网</w:t>
            </w:r>
            <w:r>
              <w:rPr>
                <w:rFonts w:hint="default" w:ascii="Times New Roman" w:hAnsi="Times New Roman" w:eastAsia="仿宋" w:cs="Times New Roman"/>
                <w:color w:val="auto"/>
                <w:spacing w:val="10"/>
                <w:sz w:val="24"/>
                <w:szCs w:val="24"/>
                <w:lang w:eastAsia="zh-CN"/>
              </w:rPr>
              <w:t>约</w:t>
            </w:r>
            <w:r>
              <w:rPr>
                <w:rFonts w:hint="eastAsia" w:ascii="Times New Roman" w:hAnsi="Times New Roman" w:eastAsia="仿宋" w:cs="Times New Roman"/>
                <w:color w:val="auto"/>
                <w:spacing w:val="10"/>
                <w:sz w:val="24"/>
                <w:szCs w:val="24"/>
                <w:lang w:val="en-US" w:eastAsia="zh-CN"/>
              </w:rPr>
              <w:t>50</w:t>
            </w:r>
            <w:r>
              <w:rPr>
                <w:rFonts w:hint="default" w:ascii="Times New Roman" w:hAnsi="Times New Roman" w:eastAsia="仿宋" w:cs="Times New Roman"/>
                <w:color w:val="auto"/>
                <w:spacing w:val="10"/>
                <w:sz w:val="24"/>
                <w:szCs w:val="24"/>
                <w:lang w:val="en-US" w:eastAsia="zh-CN"/>
              </w:rPr>
              <w:t>0m</w:t>
            </w:r>
            <w:r>
              <w:rPr>
                <w:rFonts w:hint="default" w:ascii="Times New Roman" w:hAnsi="Times New Roman" w:eastAsia="仿宋" w:cs="Times New Roman"/>
                <w:color w:val="auto"/>
                <w:spacing w:val="10"/>
                <w:sz w:val="24"/>
                <w:szCs w:val="24"/>
              </w:rPr>
              <w:t>，管内径为0</w:t>
            </w:r>
            <w:r>
              <w:rPr>
                <w:rFonts w:hint="default" w:ascii="Times New Roman" w:hAnsi="Times New Roman" w:eastAsia="仿宋" w:cs="Times New Roman"/>
                <w:color w:val="auto"/>
                <w:spacing w:val="10"/>
                <w:sz w:val="24"/>
                <w:szCs w:val="24"/>
                <w:lang w:val="en-US" w:eastAsia="zh-CN"/>
              </w:rPr>
              <w:t>.6</w:t>
            </w:r>
            <w:r>
              <w:rPr>
                <w:rFonts w:hint="default" w:ascii="Times New Roman" w:hAnsi="Times New Roman" w:eastAsia="仿宋" w:cs="Times New Roman"/>
                <w:color w:val="auto"/>
                <w:spacing w:val="10"/>
                <w:sz w:val="24"/>
                <w:szCs w:val="24"/>
              </w:rPr>
              <w:t>m雨水管网</w:t>
            </w:r>
            <w:r>
              <w:rPr>
                <w:rFonts w:hint="default" w:ascii="Times New Roman" w:hAnsi="Times New Roman" w:eastAsia="仿宋" w:cs="Times New Roman"/>
                <w:color w:val="auto"/>
                <w:spacing w:val="10"/>
                <w:sz w:val="24"/>
                <w:szCs w:val="24"/>
                <w:lang w:eastAsia="zh-CN"/>
              </w:rPr>
              <w:t>约</w:t>
            </w:r>
            <w:r>
              <w:rPr>
                <w:rFonts w:hint="eastAsia" w:ascii="Times New Roman" w:hAnsi="Times New Roman" w:eastAsia="仿宋" w:cs="Times New Roman"/>
                <w:color w:val="auto"/>
                <w:spacing w:val="10"/>
                <w:sz w:val="24"/>
                <w:szCs w:val="24"/>
                <w:lang w:val="en-US" w:eastAsia="zh-CN"/>
              </w:rPr>
              <w:t>5</w:t>
            </w:r>
            <w:r>
              <w:rPr>
                <w:rFonts w:hint="default" w:ascii="Times New Roman" w:hAnsi="Times New Roman" w:eastAsia="仿宋" w:cs="Times New Roman"/>
                <w:color w:val="auto"/>
                <w:spacing w:val="10"/>
                <w:sz w:val="24"/>
                <w:szCs w:val="24"/>
                <w:lang w:val="en-US" w:eastAsia="zh-CN"/>
              </w:rPr>
              <w:t>0m</w:t>
            </w:r>
            <w:r>
              <w:rPr>
                <w:rFonts w:hint="default" w:ascii="Times New Roman" w:hAnsi="Times New Roman" w:eastAsia="仿宋" w:cs="Times New Roman"/>
                <w:color w:val="auto"/>
                <w:spacing w:val="10"/>
                <w:sz w:val="24"/>
                <w:szCs w:val="24"/>
              </w:rPr>
              <w:t>，则雨水管网总容积约为</w:t>
            </w:r>
            <w:r>
              <w:rPr>
                <w:rFonts w:hint="eastAsia" w:ascii="Times New Roman" w:hAnsi="Times New Roman" w:eastAsia="仿宋" w:cs="Times New Roman"/>
                <w:color w:val="auto"/>
                <w:spacing w:val="10"/>
                <w:sz w:val="24"/>
                <w:szCs w:val="24"/>
                <w:lang w:val="en-US" w:eastAsia="zh-CN"/>
              </w:rPr>
              <w:t>112</w:t>
            </w:r>
            <w:r>
              <w:rPr>
                <w:rFonts w:hint="default" w:ascii="Times New Roman" w:hAnsi="Times New Roman" w:eastAsia="仿宋" w:cs="Times New Roman"/>
                <w:color w:val="auto"/>
                <w:spacing w:val="10"/>
                <w:sz w:val="24"/>
                <w:szCs w:val="24"/>
              </w:rPr>
              <w:t>m</w:t>
            </w:r>
            <w:r>
              <w:rPr>
                <w:rFonts w:hint="default" w:ascii="Times New Roman" w:hAnsi="Times New Roman" w:eastAsia="仿宋" w:cs="Times New Roman"/>
                <w:color w:val="auto"/>
                <w:spacing w:val="10"/>
                <w:sz w:val="24"/>
                <w:szCs w:val="24"/>
                <w:vertAlign w:val="superscript"/>
              </w:rPr>
              <w:t>3</w:t>
            </w:r>
            <w:r>
              <w:rPr>
                <w:rFonts w:hint="default" w:ascii="Times New Roman" w:hAnsi="Times New Roman" w:eastAsia="仿宋" w:cs="Times New Roman"/>
                <w:color w:val="auto"/>
                <w:spacing w:val="10"/>
                <w:sz w:val="24"/>
                <w:szCs w:val="24"/>
              </w:rPr>
              <w:t>，事故时可容纳消防尾水量为</w:t>
            </w:r>
            <w:r>
              <w:rPr>
                <w:rFonts w:hint="eastAsia" w:ascii="Times New Roman" w:hAnsi="Times New Roman" w:eastAsia="仿宋" w:cs="Times New Roman"/>
                <w:color w:val="auto"/>
                <w:spacing w:val="10"/>
                <w:sz w:val="24"/>
                <w:szCs w:val="24"/>
                <w:lang w:val="en-US" w:eastAsia="zh-CN"/>
              </w:rPr>
              <w:t>89</w:t>
            </w:r>
            <w:r>
              <w:rPr>
                <w:rFonts w:hint="default" w:ascii="Times New Roman" w:hAnsi="Times New Roman" w:eastAsia="仿宋" w:cs="Times New Roman"/>
                <w:color w:val="auto"/>
                <w:spacing w:val="10"/>
                <w:sz w:val="24"/>
                <w:szCs w:val="24"/>
              </w:rPr>
              <w:t>m</w:t>
            </w:r>
            <w:r>
              <w:rPr>
                <w:rFonts w:hint="default" w:ascii="Times New Roman" w:hAnsi="Times New Roman" w:eastAsia="仿宋" w:cs="Times New Roman"/>
                <w:color w:val="auto"/>
                <w:spacing w:val="10"/>
                <w:sz w:val="24"/>
                <w:szCs w:val="24"/>
                <w:vertAlign w:val="superscript"/>
              </w:rPr>
              <w:t>3</w:t>
            </w:r>
            <w:r>
              <w:rPr>
                <w:rFonts w:hint="default" w:ascii="Times New Roman" w:hAnsi="Times New Roman" w:eastAsia="仿宋" w:cs="Times New Roman"/>
                <w:color w:val="auto"/>
                <w:spacing w:val="10"/>
                <w:sz w:val="24"/>
                <w:szCs w:val="24"/>
              </w:rPr>
              <w:t>（以雨水管网总容积的</w:t>
            </w:r>
            <w:r>
              <w:rPr>
                <w:rFonts w:hint="eastAsia" w:ascii="Times New Roman" w:hAnsi="Times New Roman" w:eastAsia="仿宋" w:cs="Times New Roman"/>
                <w:color w:val="auto"/>
                <w:spacing w:val="10"/>
                <w:sz w:val="24"/>
                <w:szCs w:val="24"/>
                <w:lang w:val="en-US" w:eastAsia="zh-CN"/>
              </w:rPr>
              <w:t>8</w:t>
            </w:r>
            <w:r>
              <w:rPr>
                <w:rFonts w:hint="default" w:ascii="Times New Roman" w:hAnsi="Times New Roman" w:eastAsia="仿宋" w:cs="Times New Roman"/>
                <w:color w:val="auto"/>
                <w:spacing w:val="10"/>
                <w:sz w:val="24"/>
                <w:szCs w:val="24"/>
              </w:rPr>
              <w:t>0%计）</w:t>
            </w:r>
            <w:r>
              <w:rPr>
                <w:rFonts w:hint="default" w:ascii="Times New Roman" w:hAnsi="Times New Roman" w:eastAsia="仿宋" w:cs="Times New Roman"/>
                <w:color w:val="auto"/>
                <w:spacing w:val="10"/>
                <w:sz w:val="24"/>
                <w:szCs w:val="24"/>
                <w:lang w:val="en-US" w:eastAsia="zh-CN"/>
              </w:rPr>
              <w:t>，</w:t>
            </w:r>
            <w:r>
              <w:rPr>
                <w:rFonts w:hint="default" w:ascii="Times New Roman" w:hAnsi="Times New Roman" w:eastAsia="仿宋" w:cs="Times New Roman"/>
                <w:color w:val="auto"/>
                <w:spacing w:val="10"/>
                <w:sz w:val="24"/>
                <w:szCs w:val="24"/>
              </w:rPr>
              <w:t>则V</w:t>
            </w:r>
            <w:r>
              <w:rPr>
                <w:rFonts w:hint="default" w:ascii="Times New Roman" w:hAnsi="Times New Roman" w:eastAsia="仿宋" w:cs="Times New Roman"/>
                <w:color w:val="auto"/>
                <w:spacing w:val="10"/>
                <w:sz w:val="24"/>
                <w:szCs w:val="24"/>
                <w:vertAlign w:val="subscript"/>
              </w:rPr>
              <w:t>3</w:t>
            </w:r>
            <w:r>
              <w:rPr>
                <w:rFonts w:hint="default" w:ascii="Times New Roman" w:hAnsi="Times New Roman" w:eastAsia="仿宋" w:cs="Times New Roman"/>
                <w:color w:val="auto"/>
                <w:spacing w:val="10"/>
                <w:sz w:val="24"/>
                <w:szCs w:val="24"/>
              </w:rPr>
              <w:t>＝</w:t>
            </w:r>
            <w:r>
              <w:rPr>
                <w:rFonts w:hint="eastAsia" w:ascii="Times New Roman" w:hAnsi="Times New Roman" w:eastAsia="仿宋" w:cs="Times New Roman"/>
                <w:color w:val="auto"/>
                <w:spacing w:val="10"/>
                <w:sz w:val="24"/>
                <w:szCs w:val="24"/>
                <w:lang w:val="en-US" w:eastAsia="zh-CN"/>
              </w:rPr>
              <w:t>89</w:t>
            </w:r>
            <w:r>
              <w:rPr>
                <w:rFonts w:hint="default" w:ascii="Times New Roman" w:hAnsi="Times New Roman" w:eastAsia="仿宋" w:cs="Times New Roman"/>
                <w:color w:val="auto"/>
                <w:spacing w:val="10"/>
                <w:sz w:val="24"/>
                <w:szCs w:val="24"/>
              </w:rPr>
              <w:t>m</w:t>
            </w:r>
            <w:r>
              <w:rPr>
                <w:rFonts w:hint="default" w:ascii="Times New Roman" w:hAnsi="Times New Roman" w:eastAsia="仿宋" w:cs="Times New Roman"/>
                <w:color w:val="auto"/>
                <w:spacing w:val="10"/>
                <w:sz w:val="24"/>
                <w:szCs w:val="24"/>
                <w:vertAlign w:val="superscript"/>
              </w:rPr>
              <w:t>3</w:t>
            </w:r>
            <w:r>
              <w:rPr>
                <w:rFonts w:hint="default" w:ascii="Times New Roman" w:hAnsi="Times New Roman" w:eastAsia="仿宋" w:cs="Times New Roman"/>
                <w:color w:val="auto"/>
                <w:spacing w:val="10"/>
                <w:sz w:val="24"/>
                <w:szCs w:val="24"/>
              </w:rPr>
              <w:t>；</w:t>
            </w:r>
          </w:p>
          <w:p w14:paraId="3B024B7A">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rPr>
              <w:t>：发生事故时无生产废水量进入该系统，取0m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w:t>
            </w:r>
          </w:p>
          <w:p w14:paraId="25A17E4E">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5</w:t>
            </w:r>
            <w:r>
              <w:rPr>
                <w:rFonts w:hint="default" w:ascii="Times New Roman" w:hAnsi="Times New Roman" w:eastAsia="仿宋" w:cs="Times New Roman"/>
                <w:color w:val="auto"/>
                <w:sz w:val="24"/>
                <w:szCs w:val="24"/>
              </w:rPr>
              <w:t>：发生事故时可能进入该收集系统的降雨量，发生事故时可能进入该收集系统的降雨量，V</w:t>
            </w:r>
            <w:r>
              <w:rPr>
                <w:rFonts w:hint="default" w:ascii="Times New Roman" w:hAnsi="Times New Roman" w:eastAsia="仿宋" w:cs="Times New Roman"/>
                <w:color w:val="auto"/>
                <w:sz w:val="24"/>
                <w:szCs w:val="24"/>
                <w:vertAlign w:val="subscript"/>
              </w:rPr>
              <w:t>5</w:t>
            </w:r>
            <w:r>
              <w:rPr>
                <w:rFonts w:hint="default" w:ascii="Times New Roman" w:hAnsi="Times New Roman" w:eastAsia="仿宋" w:cs="Times New Roman"/>
                <w:color w:val="auto"/>
                <w:sz w:val="24"/>
                <w:szCs w:val="24"/>
              </w:rPr>
              <w:t>=10qF；</w:t>
            </w:r>
          </w:p>
          <w:p w14:paraId="528AA6D4">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q：降雨强度，mm；按平均日降雨量；</w:t>
            </w:r>
          </w:p>
          <w:p w14:paraId="347E7FF1">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q=q</w:t>
            </w:r>
            <w:r>
              <w:rPr>
                <w:rFonts w:hint="default" w:ascii="Times New Roman" w:hAnsi="Times New Roman" w:eastAsia="仿宋" w:cs="Times New Roman"/>
                <w:color w:val="auto"/>
                <w:sz w:val="24"/>
                <w:szCs w:val="24"/>
                <w:vertAlign w:val="subscript"/>
              </w:rPr>
              <w:t>a</w:t>
            </w:r>
            <w:r>
              <w:rPr>
                <w:rFonts w:hint="default" w:ascii="Times New Roman" w:hAnsi="Times New Roman" w:eastAsia="仿宋" w:cs="Times New Roman"/>
                <w:color w:val="auto"/>
                <w:sz w:val="24"/>
                <w:szCs w:val="24"/>
              </w:rPr>
              <w:t>/n</w:t>
            </w:r>
          </w:p>
          <w:p w14:paraId="1144932D">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q</w:t>
            </w:r>
            <w:r>
              <w:rPr>
                <w:rFonts w:hint="default" w:ascii="Times New Roman" w:hAnsi="Times New Roman" w:eastAsia="仿宋" w:cs="Times New Roman"/>
                <w:color w:val="auto"/>
                <w:sz w:val="24"/>
                <w:szCs w:val="24"/>
                <w:vertAlign w:val="subscript"/>
              </w:rPr>
              <w:t>a</w:t>
            </w:r>
            <w:r>
              <w:rPr>
                <w:rFonts w:hint="default" w:ascii="Times New Roman" w:hAnsi="Times New Roman" w:eastAsia="仿宋" w:cs="Times New Roman"/>
                <w:color w:val="auto"/>
                <w:sz w:val="24"/>
                <w:szCs w:val="24"/>
              </w:rPr>
              <w:t>：年平均降雨量，取1074mm；</w:t>
            </w:r>
          </w:p>
          <w:p w14:paraId="20128931">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n：年平均降雨日数，取126天；</w:t>
            </w:r>
          </w:p>
          <w:p w14:paraId="4D55158F">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F：必须进入事故废水收集系统的雨水汇水面积ha，</w:t>
            </w:r>
            <w:r>
              <w:rPr>
                <w:rFonts w:hint="default" w:ascii="Times New Roman" w:hAnsi="Times New Roman" w:eastAsia="仿宋" w:cs="Times New Roman"/>
                <w:color w:val="auto"/>
                <w:sz w:val="24"/>
                <w:szCs w:val="24"/>
                <w:lang w:eastAsia="zh-CN"/>
              </w:rPr>
              <w:t>项目生产车间及办公楼占地面积约</w:t>
            </w:r>
            <w:r>
              <w:rPr>
                <w:rFonts w:hint="eastAsia" w:eastAsia="仿宋" w:cs="Times New Roman"/>
                <w:color w:val="auto"/>
                <w:sz w:val="24"/>
                <w:szCs w:val="24"/>
                <w:lang w:val="en-US" w:eastAsia="zh-CN"/>
              </w:rPr>
              <w:t>80</w:t>
            </w:r>
            <w:r>
              <w:rPr>
                <w:rFonts w:hint="default" w:ascii="Times New Roman" w:hAnsi="Times New Roman" w:eastAsia="仿宋" w:cs="Times New Roman"/>
                <w:color w:val="auto"/>
                <w:sz w:val="24"/>
                <w:szCs w:val="24"/>
                <w:lang w:val="en-US" w:eastAsia="zh-CN"/>
              </w:rPr>
              <w:t>00m</w:t>
            </w:r>
            <w:r>
              <w:rPr>
                <w:rFonts w:hint="default" w:ascii="Times New Roman" w:hAnsi="Times New Roman" w:eastAsia="仿宋" w:cs="Times New Roman"/>
                <w:color w:val="auto"/>
                <w:sz w:val="24"/>
                <w:szCs w:val="24"/>
                <w:vertAlign w:val="superscript"/>
                <w:lang w:val="en-US" w:eastAsia="zh-CN"/>
              </w:rPr>
              <w:t>2</w:t>
            </w:r>
            <w:r>
              <w:rPr>
                <w:rFonts w:hint="default" w:ascii="Times New Roman" w:hAnsi="Times New Roman" w:eastAsia="仿宋" w:cs="Times New Roman"/>
                <w:color w:val="auto"/>
                <w:sz w:val="24"/>
                <w:szCs w:val="24"/>
                <w:lang w:val="en-US" w:eastAsia="zh-CN"/>
              </w:rPr>
              <w:t>，故取0.</w:t>
            </w:r>
            <w:r>
              <w:rPr>
                <w:rFonts w:hint="eastAsia" w:eastAsia="仿宋" w:cs="Times New Roman"/>
                <w:color w:val="auto"/>
                <w:sz w:val="24"/>
                <w:szCs w:val="24"/>
                <w:lang w:val="en-US" w:eastAsia="zh-CN"/>
              </w:rPr>
              <w:t>8</w:t>
            </w:r>
            <w:r>
              <w:rPr>
                <w:rFonts w:hint="default" w:ascii="Times New Roman" w:hAnsi="Times New Roman" w:eastAsia="仿宋" w:cs="Times New Roman"/>
                <w:color w:val="auto"/>
                <w:sz w:val="24"/>
                <w:szCs w:val="24"/>
              </w:rPr>
              <w:t>ha；</w:t>
            </w:r>
          </w:p>
          <w:p w14:paraId="32E6291F">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由此计算V</w:t>
            </w:r>
            <w:r>
              <w:rPr>
                <w:rFonts w:hint="default" w:ascii="Times New Roman" w:hAnsi="Times New Roman" w:eastAsia="仿宋" w:cs="Times New Roman"/>
                <w:color w:val="auto"/>
                <w:sz w:val="24"/>
                <w:szCs w:val="24"/>
                <w:vertAlign w:val="subscript"/>
              </w:rPr>
              <w:t>5</w:t>
            </w:r>
            <w:r>
              <w:rPr>
                <w:rFonts w:hint="default" w:ascii="Times New Roman" w:hAnsi="Times New Roman" w:eastAsia="仿宋" w:cs="Times New Roman"/>
                <w:color w:val="auto"/>
                <w:sz w:val="24"/>
                <w:szCs w:val="24"/>
              </w:rPr>
              <w:t>为</w:t>
            </w:r>
            <w:r>
              <w:rPr>
                <w:rFonts w:hint="eastAsia" w:eastAsia="仿宋" w:cs="Times New Roman"/>
                <w:color w:val="auto"/>
                <w:sz w:val="24"/>
                <w:szCs w:val="24"/>
                <w:lang w:val="en-US" w:eastAsia="zh-CN"/>
              </w:rPr>
              <w:t>68.2</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w:t>
            </w:r>
          </w:p>
          <w:p w14:paraId="1E10886A">
            <w:pPr>
              <w:pStyle w:val="7"/>
              <w:keepNext w:val="0"/>
              <w:keepLines w:val="0"/>
              <w:pageBreakBefore w:val="0"/>
              <w:widowControl w:val="0"/>
              <w:kinsoku/>
              <w:wordWrap/>
              <w:overflowPunct/>
              <w:topLinePunct w:val="0"/>
              <w:bidi w:val="0"/>
              <w:adjustRightInd w:val="0"/>
              <w:snapToGrid w:val="0"/>
              <w:spacing w:before="0" w:after="0" w:line="500" w:lineRule="exact"/>
              <w:ind w:right="0" w:firstLine="480" w:firstLineChars="200"/>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color w:val="auto"/>
                <w:sz w:val="24"/>
                <w:szCs w:val="24"/>
              </w:rPr>
              <w:t>V</w:t>
            </w:r>
            <w:r>
              <w:rPr>
                <w:rFonts w:hint="default" w:ascii="Times New Roman" w:hAnsi="Times New Roman" w:eastAsia="仿宋" w:cs="Times New Roman"/>
                <w:color w:val="auto"/>
                <w:sz w:val="24"/>
                <w:szCs w:val="24"/>
                <w:vertAlign w:val="subscript"/>
              </w:rPr>
              <w:t>a</w:t>
            </w:r>
            <w:r>
              <w:rPr>
                <w:rFonts w:hint="default" w:ascii="Times New Roman" w:hAnsi="Times New Roman" w:eastAsia="仿宋" w:cs="Times New Roman"/>
                <w:color w:val="auto"/>
                <w:sz w:val="24"/>
                <w:szCs w:val="24"/>
              </w:rPr>
              <w:t>=</w:t>
            </w:r>
            <w:r>
              <w:rPr>
                <w:rFonts w:hint="eastAsia" w:eastAsia="仿宋" w:cs="Times New Roman"/>
                <w:color w:val="auto"/>
                <w:sz w:val="24"/>
                <w:szCs w:val="24"/>
                <w:lang w:val="en-US" w:eastAsia="zh-CN"/>
              </w:rPr>
              <w:t>3.6</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108</w:t>
            </w:r>
            <w:r>
              <w:rPr>
                <w:rFonts w:hint="default" w:ascii="Times New Roman" w:hAnsi="Times New Roman" w:eastAsia="仿宋" w:cs="Times New Roman"/>
                <w:color w:val="auto"/>
                <w:sz w:val="24"/>
                <w:szCs w:val="24"/>
              </w:rPr>
              <w:t>-</w:t>
            </w:r>
            <w:r>
              <w:rPr>
                <w:rFonts w:hint="eastAsia" w:eastAsia="仿宋" w:cs="Times New Roman"/>
                <w:color w:val="auto"/>
                <w:sz w:val="24"/>
                <w:szCs w:val="24"/>
                <w:lang w:val="en-US" w:eastAsia="zh-CN"/>
              </w:rPr>
              <w:t>89</w:t>
            </w:r>
            <w:r>
              <w:rPr>
                <w:rFonts w:hint="default" w:ascii="Times New Roman" w:hAnsi="Times New Roman" w:eastAsia="仿宋" w:cs="Times New Roman"/>
                <w:color w:val="auto"/>
                <w:sz w:val="24"/>
                <w:szCs w:val="24"/>
              </w:rPr>
              <w:t>+0+</w:t>
            </w:r>
            <w:r>
              <w:rPr>
                <w:rFonts w:hint="eastAsia" w:eastAsia="仿宋" w:cs="Times New Roman"/>
                <w:color w:val="auto"/>
                <w:sz w:val="24"/>
                <w:szCs w:val="24"/>
                <w:lang w:val="en-US" w:eastAsia="zh-CN"/>
              </w:rPr>
              <w:t>68.2</w:t>
            </w:r>
            <w:r>
              <w:rPr>
                <w:rFonts w:hint="default" w:ascii="Times New Roman" w:hAnsi="Times New Roman" w:eastAsia="仿宋" w:cs="Times New Roman"/>
                <w:color w:val="auto"/>
                <w:sz w:val="24"/>
                <w:szCs w:val="24"/>
                <w:lang w:val="en-US" w:eastAsia="zh-CN"/>
              </w:rPr>
              <w:t>=9</w:t>
            </w:r>
            <w:r>
              <w:rPr>
                <w:rFonts w:hint="eastAsia" w:eastAsia="仿宋" w:cs="Times New Roman"/>
                <w:color w:val="auto"/>
                <w:sz w:val="24"/>
                <w:szCs w:val="24"/>
                <w:lang w:val="en-US" w:eastAsia="zh-CN"/>
              </w:rPr>
              <w:t>0.8</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3</w:t>
            </w:r>
          </w:p>
          <w:p w14:paraId="48DB7007">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lang w:val="en-US" w:eastAsia="zh-CN"/>
              </w:rPr>
            </w:pPr>
            <w:r>
              <w:rPr>
                <w:rFonts w:hint="eastAsia" w:ascii="Times New Roman" w:hAnsi="Times New Roman" w:eastAsia="仿宋" w:cs="Times New Roman"/>
                <w:color w:val="auto"/>
                <w:spacing w:val="10"/>
                <w:sz w:val="24"/>
                <w:szCs w:val="24"/>
                <w:lang w:val="en-US" w:eastAsia="zh-CN"/>
              </w:rPr>
              <w:t>项目厂区拟设置1座</w:t>
            </w:r>
            <w:r>
              <w:rPr>
                <w:rFonts w:hint="default" w:ascii="Times New Roman" w:hAnsi="Times New Roman" w:eastAsia="仿宋" w:cs="Times New Roman"/>
                <w:color w:val="auto"/>
                <w:spacing w:val="10"/>
                <w:sz w:val="24"/>
                <w:szCs w:val="24"/>
                <w:lang w:val="en-US" w:eastAsia="zh-CN"/>
              </w:rPr>
              <w:t>容积</w:t>
            </w:r>
            <w:r>
              <w:rPr>
                <w:rFonts w:hint="eastAsia" w:ascii="Times New Roman" w:hAnsi="Times New Roman" w:eastAsia="仿宋" w:cs="Times New Roman"/>
                <w:color w:val="auto"/>
                <w:spacing w:val="10"/>
                <w:sz w:val="24"/>
                <w:szCs w:val="24"/>
                <w:lang w:val="en-US" w:eastAsia="zh-CN"/>
              </w:rPr>
              <w:t>100</w:t>
            </w:r>
            <w:r>
              <w:rPr>
                <w:rFonts w:hint="default" w:ascii="Times New Roman" w:hAnsi="Times New Roman" w:eastAsia="仿宋" w:cs="Times New Roman"/>
                <w:color w:val="auto"/>
                <w:spacing w:val="10"/>
                <w:sz w:val="24"/>
                <w:szCs w:val="24"/>
                <w:lang w:val="en-US" w:eastAsia="zh-CN"/>
              </w:rPr>
              <w:t>m</w:t>
            </w:r>
            <w:r>
              <w:rPr>
                <w:rFonts w:hint="default" w:ascii="Times New Roman" w:hAnsi="Times New Roman" w:eastAsia="仿宋" w:cs="Times New Roman"/>
                <w:color w:val="auto"/>
                <w:spacing w:val="10"/>
                <w:sz w:val="24"/>
                <w:szCs w:val="24"/>
                <w:vertAlign w:val="superscript"/>
                <w:lang w:val="en-US" w:eastAsia="zh-CN"/>
              </w:rPr>
              <w:t>3</w:t>
            </w:r>
            <w:r>
              <w:rPr>
                <w:rFonts w:hint="default" w:ascii="Times New Roman" w:hAnsi="Times New Roman" w:eastAsia="仿宋" w:cs="Times New Roman"/>
                <w:color w:val="auto"/>
                <w:spacing w:val="10"/>
                <w:sz w:val="24"/>
                <w:szCs w:val="24"/>
                <w:lang w:val="en-US" w:eastAsia="zh-CN"/>
              </w:rPr>
              <w:t>的事故应急池</w:t>
            </w:r>
            <w:r>
              <w:rPr>
                <w:rFonts w:hint="eastAsia" w:ascii="Times New Roman" w:hAnsi="Times New Roman" w:eastAsia="仿宋" w:cs="Times New Roman"/>
                <w:color w:val="auto"/>
                <w:spacing w:val="10"/>
                <w:sz w:val="24"/>
                <w:szCs w:val="24"/>
                <w:lang w:val="en-US" w:eastAsia="zh-CN"/>
              </w:rPr>
              <w:t>，</w:t>
            </w:r>
            <w:r>
              <w:rPr>
                <w:rFonts w:hint="default" w:ascii="Times New Roman" w:hAnsi="Times New Roman" w:eastAsia="仿宋" w:cs="Times New Roman"/>
                <w:color w:val="auto"/>
                <w:spacing w:val="10"/>
                <w:sz w:val="24"/>
                <w:szCs w:val="24"/>
                <w:lang w:val="en-US" w:eastAsia="zh-CN"/>
              </w:rPr>
              <w:t>事故应急池配备阀门且与雨水管网连接</w:t>
            </w:r>
            <w:r>
              <w:rPr>
                <w:rFonts w:hint="eastAsia" w:ascii="Times New Roman" w:hAnsi="Times New Roman" w:eastAsia="仿宋" w:cs="Times New Roman"/>
                <w:color w:val="auto"/>
                <w:spacing w:val="10"/>
                <w:sz w:val="24"/>
                <w:szCs w:val="24"/>
                <w:lang w:val="en-US" w:eastAsia="zh-CN"/>
              </w:rPr>
              <w:t>，可满足项目事故废水暂存需要。厂区</w:t>
            </w:r>
            <w:r>
              <w:rPr>
                <w:rFonts w:hint="default" w:ascii="Times New Roman" w:hAnsi="Times New Roman" w:eastAsia="仿宋" w:cs="Times New Roman"/>
                <w:color w:val="auto"/>
                <w:spacing w:val="10"/>
                <w:sz w:val="24"/>
                <w:szCs w:val="24"/>
                <w:lang w:val="en-US" w:eastAsia="zh-CN"/>
              </w:rPr>
              <w:t>一旦发生事故，关闭雨水排口截止阀，可保证事故废水暂存于雨水管网、事故应急池中，不会随意排入附近水体。</w:t>
            </w:r>
          </w:p>
          <w:p w14:paraId="6CDE7AD7">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lang w:val="en-US" w:eastAsia="zh-CN"/>
              </w:rPr>
            </w:pPr>
            <w:r>
              <w:rPr>
                <w:rFonts w:hint="default" w:ascii="Times New Roman" w:hAnsi="Times New Roman" w:eastAsia="仿宋" w:cs="Times New Roman"/>
                <w:color w:val="auto"/>
                <w:spacing w:val="10"/>
                <w:sz w:val="24"/>
                <w:szCs w:val="24"/>
                <w:lang w:val="en-US" w:eastAsia="zh-CN"/>
              </w:rPr>
              <w:t>8）企业</w:t>
            </w:r>
            <w:r>
              <w:rPr>
                <w:rFonts w:hint="default" w:ascii="Times New Roman" w:hAnsi="Times New Roman" w:eastAsia="仿宋" w:cs="Times New Roman"/>
                <w:color w:val="auto"/>
                <w:spacing w:val="10"/>
                <w:sz w:val="24"/>
                <w:szCs w:val="24"/>
              </w:rPr>
              <w:t>环境风险三级防范</w:t>
            </w:r>
            <w:r>
              <w:rPr>
                <w:rFonts w:hint="default" w:ascii="Times New Roman" w:hAnsi="Times New Roman" w:eastAsia="仿宋" w:cs="Times New Roman"/>
                <w:color w:val="auto"/>
                <w:spacing w:val="10"/>
                <w:sz w:val="24"/>
                <w:szCs w:val="24"/>
                <w:lang w:eastAsia="zh-CN"/>
              </w:rPr>
              <w:t>措施</w:t>
            </w:r>
          </w:p>
          <w:p w14:paraId="06E2FF67">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lang w:val="en-US" w:eastAsia="zh-CN"/>
              </w:rPr>
            </w:pPr>
            <w:r>
              <w:rPr>
                <w:rFonts w:hint="eastAsia" w:ascii="Times New Roman" w:hAnsi="Times New Roman" w:eastAsia="仿宋" w:cs="Times New Roman"/>
                <w:color w:val="auto"/>
                <w:spacing w:val="10"/>
                <w:sz w:val="24"/>
                <w:szCs w:val="24"/>
                <w:lang w:val="en-US" w:eastAsia="zh-CN"/>
              </w:rPr>
              <w:t>根据《建设项目环境风险评价技术导则》（</w:t>
            </w:r>
            <w:r>
              <w:rPr>
                <w:rFonts w:hint="default" w:ascii="Times New Roman" w:hAnsi="Times New Roman" w:eastAsia="仿宋" w:cs="Times New Roman"/>
                <w:color w:val="auto"/>
                <w:spacing w:val="10"/>
                <w:sz w:val="24"/>
                <w:szCs w:val="24"/>
                <w:lang w:val="en-US" w:eastAsia="zh-CN"/>
              </w:rPr>
              <w:t>HJ169-2018</w:t>
            </w:r>
            <w:r>
              <w:rPr>
                <w:rFonts w:hint="eastAsia" w:ascii="Times New Roman" w:hAnsi="Times New Roman" w:eastAsia="仿宋" w:cs="Times New Roman"/>
                <w:color w:val="auto"/>
                <w:spacing w:val="10"/>
                <w:sz w:val="24"/>
                <w:szCs w:val="24"/>
                <w:lang w:val="en-US" w:eastAsia="zh-CN"/>
              </w:rPr>
              <w:t>），事故废水环境风险防范采取</w:t>
            </w:r>
            <w:r>
              <w:rPr>
                <w:rFonts w:hint="default" w:ascii="Times New Roman" w:hAnsi="Times New Roman" w:eastAsia="仿宋" w:cs="Times New Roman"/>
                <w:color w:val="auto"/>
                <w:spacing w:val="10"/>
                <w:sz w:val="24"/>
                <w:szCs w:val="24"/>
                <w:lang w:val="en-US" w:eastAsia="zh-CN"/>
              </w:rPr>
              <w:t>“</w:t>
            </w:r>
            <w:r>
              <w:rPr>
                <w:rFonts w:hint="eastAsia" w:ascii="Times New Roman" w:hAnsi="Times New Roman" w:eastAsia="仿宋" w:cs="Times New Roman"/>
                <w:color w:val="auto"/>
                <w:spacing w:val="10"/>
                <w:sz w:val="24"/>
                <w:szCs w:val="24"/>
                <w:lang w:val="en-US" w:eastAsia="zh-CN"/>
              </w:rPr>
              <w:t>单元</w:t>
            </w:r>
            <w:r>
              <w:rPr>
                <w:rFonts w:hint="default" w:ascii="Times New Roman" w:hAnsi="Times New Roman" w:eastAsia="仿宋" w:cs="Times New Roman"/>
                <w:color w:val="auto"/>
                <w:spacing w:val="10"/>
                <w:sz w:val="24"/>
                <w:szCs w:val="24"/>
                <w:lang w:val="en-US" w:eastAsia="zh-CN"/>
              </w:rPr>
              <w:t>-</w:t>
            </w:r>
            <w:r>
              <w:rPr>
                <w:rFonts w:hint="eastAsia" w:ascii="Times New Roman" w:hAnsi="Times New Roman" w:eastAsia="仿宋" w:cs="Times New Roman"/>
                <w:color w:val="auto"/>
                <w:spacing w:val="10"/>
                <w:sz w:val="24"/>
                <w:szCs w:val="24"/>
                <w:lang w:val="en-US" w:eastAsia="zh-CN"/>
              </w:rPr>
              <w:t>厂区</w:t>
            </w:r>
            <w:r>
              <w:rPr>
                <w:rFonts w:hint="default" w:ascii="Times New Roman" w:hAnsi="Times New Roman" w:eastAsia="仿宋" w:cs="Times New Roman"/>
                <w:color w:val="auto"/>
                <w:spacing w:val="10"/>
                <w:sz w:val="24"/>
                <w:szCs w:val="24"/>
                <w:lang w:val="en-US" w:eastAsia="zh-CN"/>
              </w:rPr>
              <w:t>-</w:t>
            </w:r>
            <w:r>
              <w:rPr>
                <w:rFonts w:hint="eastAsia" w:ascii="Times New Roman" w:hAnsi="Times New Roman" w:eastAsia="仿宋" w:cs="Times New Roman"/>
                <w:color w:val="auto"/>
                <w:spacing w:val="10"/>
                <w:sz w:val="24"/>
                <w:szCs w:val="24"/>
                <w:lang w:val="en-US" w:eastAsia="zh-CN"/>
              </w:rPr>
              <w:t>园区</w:t>
            </w:r>
            <w:r>
              <w:rPr>
                <w:rFonts w:hint="default" w:ascii="Times New Roman" w:hAnsi="Times New Roman" w:eastAsia="仿宋" w:cs="Times New Roman"/>
                <w:color w:val="auto"/>
                <w:spacing w:val="10"/>
                <w:sz w:val="24"/>
                <w:szCs w:val="24"/>
                <w:lang w:val="en-US" w:eastAsia="zh-CN"/>
              </w:rPr>
              <w:t>/</w:t>
            </w:r>
            <w:r>
              <w:rPr>
                <w:rFonts w:hint="eastAsia" w:ascii="Times New Roman" w:hAnsi="Times New Roman" w:eastAsia="仿宋" w:cs="Times New Roman"/>
                <w:color w:val="auto"/>
                <w:spacing w:val="10"/>
                <w:sz w:val="24"/>
                <w:szCs w:val="24"/>
                <w:lang w:val="en-US" w:eastAsia="zh-CN"/>
              </w:rPr>
              <w:t>区域</w:t>
            </w:r>
            <w:r>
              <w:rPr>
                <w:rFonts w:hint="default" w:ascii="Times New Roman" w:hAnsi="Times New Roman" w:eastAsia="仿宋" w:cs="Times New Roman"/>
                <w:color w:val="auto"/>
                <w:spacing w:val="10"/>
                <w:sz w:val="24"/>
                <w:szCs w:val="24"/>
                <w:lang w:val="en-US" w:eastAsia="zh-CN"/>
              </w:rPr>
              <w:t>”</w:t>
            </w:r>
            <w:r>
              <w:rPr>
                <w:rFonts w:hint="eastAsia" w:ascii="Times New Roman" w:hAnsi="Times New Roman" w:eastAsia="仿宋" w:cs="Times New Roman"/>
                <w:color w:val="auto"/>
                <w:spacing w:val="10"/>
                <w:sz w:val="24"/>
                <w:szCs w:val="24"/>
                <w:lang w:val="en-US" w:eastAsia="zh-CN"/>
              </w:rPr>
              <w:t>的三级防控措施，杜绝环境风险事故造成污染事件，将环境风险事故排水及污染物控制在厂区内。</w:t>
            </w:r>
          </w:p>
          <w:p w14:paraId="4E89E368">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lang w:val="en-US" w:eastAsia="zh-CN"/>
              </w:rPr>
            </w:pPr>
            <w:r>
              <w:rPr>
                <w:rFonts w:hint="eastAsia" w:ascii="Times New Roman" w:hAnsi="Times New Roman" w:eastAsia="仿宋" w:cs="Times New Roman"/>
                <w:color w:val="auto"/>
                <w:spacing w:val="10"/>
                <w:sz w:val="24"/>
                <w:szCs w:val="24"/>
                <w:lang w:val="en-US" w:eastAsia="zh-CN"/>
              </w:rPr>
              <w:t>一级防控措施将污染物控制在生产区风险单元；二级防控是将污染物控制在厂区；三级防控将污染物控制在区域内，确保生产非正常状态下不发生污染事件。具体设计要求如下：</w:t>
            </w:r>
          </w:p>
          <w:p w14:paraId="4AE0F68F">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lang w:val="en-US" w:eastAsia="zh-CN"/>
              </w:rPr>
            </w:pPr>
            <w:r>
              <w:rPr>
                <w:rFonts w:hint="default" w:ascii="Times New Roman" w:hAnsi="Times New Roman" w:eastAsia="仿宋" w:cs="Times New Roman"/>
                <w:color w:val="auto"/>
                <w:spacing w:val="10"/>
                <w:sz w:val="24"/>
                <w:szCs w:val="24"/>
                <w:lang w:val="en-US" w:eastAsia="zh-CN"/>
              </w:rPr>
              <w:t>A.</w:t>
            </w:r>
            <w:r>
              <w:rPr>
                <w:rFonts w:hint="eastAsia" w:ascii="Times New Roman" w:hAnsi="Times New Roman" w:eastAsia="仿宋" w:cs="Times New Roman"/>
                <w:color w:val="auto"/>
                <w:spacing w:val="10"/>
                <w:sz w:val="24"/>
                <w:szCs w:val="24"/>
                <w:lang w:val="en-US" w:eastAsia="zh-CN"/>
              </w:rPr>
              <w:t>一级防控：厂区各风险单元如车间中的乳化液、机油、水性漆等液态物料置于托盘上，地面防腐、防渗，防止泄漏污染地面；危废仓库内部地面防腐、防渗，设置托盘导流沟和收集槽等，一旦发生泄漏，泄漏物料可通过导流沟收集进入收集槽；厂区落实岗位责任制，生产期间各风险单元均需有工作人员进行巡视。</w:t>
            </w:r>
          </w:p>
          <w:p w14:paraId="2FA1C410">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lang w:val="en-US" w:eastAsia="zh-CN"/>
              </w:rPr>
            </w:pPr>
            <w:r>
              <w:rPr>
                <w:rFonts w:hint="default" w:ascii="Times New Roman" w:hAnsi="Times New Roman" w:eastAsia="仿宋" w:cs="Times New Roman"/>
                <w:color w:val="auto"/>
                <w:spacing w:val="10"/>
                <w:sz w:val="24"/>
                <w:szCs w:val="24"/>
                <w:lang w:val="en-US" w:eastAsia="zh-CN"/>
              </w:rPr>
              <w:t>B.</w:t>
            </w:r>
            <w:r>
              <w:rPr>
                <w:rFonts w:hint="eastAsia" w:ascii="Times New Roman" w:hAnsi="Times New Roman" w:eastAsia="仿宋" w:cs="Times New Roman"/>
                <w:color w:val="auto"/>
                <w:spacing w:val="10"/>
                <w:sz w:val="24"/>
                <w:szCs w:val="24"/>
                <w:lang w:val="en-US" w:eastAsia="zh-CN"/>
              </w:rPr>
              <w:t>二级防控：厂区内</w:t>
            </w:r>
            <w:r>
              <w:rPr>
                <w:rFonts w:hint="eastAsia" w:eastAsia="仿宋" w:cs="Times New Roman"/>
                <w:color w:val="auto"/>
                <w:spacing w:val="10"/>
                <w:sz w:val="24"/>
                <w:szCs w:val="24"/>
                <w:lang w:val="en-US" w:eastAsia="zh-CN"/>
              </w:rPr>
              <w:t>拟</w:t>
            </w:r>
            <w:r>
              <w:rPr>
                <w:rFonts w:hint="eastAsia" w:ascii="Times New Roman" w:hAnsi="Times New Roman" w:eastAsia="仿宋" w:cs="Times New Roman"/>
                <w:color w:val="auto"/>
                <w:spacing w:val="10"/>
                <w:sz w:val="24"/>
                <w:szCs w:val="24"/>
                <w:lang w:val="en-US" w:eastAsia="zh-CN"/>
              </w:rPr>
              <w:t>建设</w:t>
            </w:r>
            <w:r>
              <w:rPr>
                <w:rFonts w:hint="default" w:ascii="Times New Roman" w:hAnsi="Times New Roman" w:eastAsia="仿宋" w:cs="Times New Roman"/>
                <w:color w:val="auto"/>
                <w:spacing w:val="10"/>
                <w:sz w:val="24"/>
                <w:szCs w:val="24"/>
                <w:lang w:val="en-US" w:eastAsia="zh-CN"/>
              </w:rPr>
              <w:t>1</w:t>
            </w:r>
            <w:r>
              <w:rPr>
                <w:rFonts w:hint="eastAsia" w:ascii="Times New Roman" w:hAnsi="Times New Roman" w:eastAsia="仿宋" w:cs="Times New Roman"/>
                <w:color w:val="auto"/>
                <w:spacing w:val="10"/>
                <w:sz w:val="24"/>
                <w:szCs w:val="24"/>
                <w:lang w:val="en-US" w:eastAsia="zh-CN"/>
              </w:rPr>
              <w:t>个100</w:t>
            </w:r>
            <w:r>
              <w:rPr>
                <w:rFonts w:hint="default" w:ascii="Times New Roman" w:hAnsi="Times New Roman" w:eastAsia="仿宋" w:cs="Times New Roman"/>
                <w:color w:val="auto"/>
                <w:spacing w:val="10"/>
                <w:sz w:val="24"/>
                <w:szCs w:val="24"/>
                <w:lang w:val="en-US" w:eastAsia="zh-CN"/>
              </w:rPr>
              <w:t>m</w:t>
            </w:r>
            <w:r>
              <w:rPr>
                <w:rFonts w:hint="default" w:ascii="Times New Roman" w:hAnsi="Times New Roman" w:eastAsia="仿宋" w:cs="Times New Roman"/>
                <w:color w:val="auto"/>
                <w:spacing w:val="10"/>
                <w:sz w:val="24"/>
                <w:szCs w:val="24"/>
                <w:vertAlign w:val="superscript"/>
                <w:lang w:val="en-US" w:eastAsia="zh-CN"/>
              </w:rPr>
              <w:t>3</w:t>
            </w:r>
            <w:r>
              <w:rPr>
                <w:rFonts w:hint="eastAsia" w:ascii="Times New Roman" w:hAnsi="Times New Roman" w:eastAsia="仿宋" w:cs="Times New Roman"/>
                <w:color w:val="auto"/>
                <w:spacing w:val="10"/>
                <w:sz w:val="24"/>
                <w:szCs w:val="24"/>
                <w:lang w:val="en-US" w:eastAsia="zh-CN"/>
              </w:rPr>
              <w:t>的事故应急池，能够满足事故状态下事故废水的收集。一旦发生事故，立即关闭雨水阀门，打开应急事故池阀门；消防废水、污染雨水、泄漏物料经雨水管网收集进入事故应急池，利用与事故应急池连接的雨水管网使事故废水流入事故应急池内，企业再根据事件消防水性质接污水管排放或委托有资质单位处理。</w:t>
            </w:r>
          </w:p>
          <w:p w14:paraId="33443DBB">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lang w:val="en-US" w:eastAsia="zh-CN"/>
              </w:rPr>
            </w:pPr>
            <w:r>
              <w:rPr>
                <w:rFonts w:hint="default" w:ascii="Times New Roman" w:hAnsi="Times New Roman" w:eastAsia="仿宋" w:cs="Times New Roman"/>
                <w:color w:val="auto"/>
                <w:spacing w:val="10"/>
                <w:sz w:val="24"/>
                <w:szCs w:val="24"/>
                <w:lang w:val="en-US" w:eastAsia="zh-CN"/>
              </w:rPr>
              <w:t>C.</w:t>
            </w:r>
            <w:r>
              <w:rPr>
                <w:rFonts w:hint="eastAsia" w:ascii="Times New Roman" w:hAnsi="Times New Roman" w:eastAsia="仿宋" w:cs="Times New Roman"/>
                <w:color w:val="auto"/>
                <w:spacing w:val="10"/>
                <w:sz w:val="24"/>
                <w:szCs w:val="24"/>
                <w:lang w:val="en-US" w:eastAsia="zh-CN"/>
              </w:rPr>
              <w:t>三级防控：</w:t>
            </w:r>
            <w:r>
              <w:rPr>
                <w:rFonts w:hint="default" w:ascii="Times New Roman" w:hAnsi="Times New Roman" w:eastAsia="仿宋" w:cs="Times New Roman"/>
                <w:color w:val="auto"/>
                <w:spacing w:val="10"/>
                <w:sz w:val="24"/>
                <w:szCs w:val="24"/>
                <w:lang w:val="en-US" w:eastAsia="zh-CN"/>
              </w:rPr>
              <w:t>若未及时收集，消防废水或泄漏物料通过雨水管网流到厂外，立即关闭</w:t>
            </w:r>
            <w:r>
              <w:rPr>
                <w:rFonts w:hint="eastAsia" w:ascii="Times New Roman" w:hAnsi="Times New Roman" w:eastAsia="仿宋" w:cs="Times New Roman"/>
                <w:color w:val="auto"/>
                <w:spacing w:val="10"/>
                <w:sz w:val="24"/>
                <w:szCs w:val="24"/>
                <w:lang w:val="en-US" w:eastAsia="zh-CN"/>
              </w:rPr>
              <w:t>厂区</w:t>
            </w:r>
            <w:r>
              <w:rPr>
                <w:rFonts w:hint="default" w:ascii="Times New Roman" w:hAnsi="Times New Roman" w:eastAsia="仿宋" w:cs="Times New Roman"/>
                <w:color w:val="auto"/>
                <w:spacing w:val="10"/>
                <w:sz w:val="24"/>
                <w:szCs w:val="24"/>
                <w:lang w:val="en-US" w:eastAsia="zh-CN"/>
              </w:rPr>
              <w:t>雨水排放口阀门，同时上报企业应急管理机构，迅速向上级管理部门报告并请求外部增援。</w:t>
            </w:r>
          </w:p>
          <w:p w14:paraId="54A8EF16">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lang w:val="en-US" w:eastAsia="zh-CN"/>
              </w:rPr>
            </w:pPr>
            <w:r>
              <w:rPr>
                <w:rFonts w:hint="default" w:ascii="Times New Roman" w:hAnsi="Times New Roman" w:eastAsia="仿宋" w:cs="Times New Roman"/>
                <w:color w:val="auto"/>
                <w:spacing w:val="10"/>
                <w:sz w:val="24"/>
                <w:szCs w:val="24"/>
                <w:lang w:val="en-US" w:eastAsia="zh-CN"/>
              </w:rPr>
              <w:t>企业应急管理机构接通知后第一时间携应急物资赶赴现场进行应急处置，同时寻求园区及外部互助单位援助，使用堵漏工具对厂区雨水排放口进行封堵，构筑围堤、造坑导流、挖坑收容，避免事故废水进入市政雨水管网；就地投加药剂处置，降低危险性；启动应急设施，收集事故废水，利用厂区及周边企业事故应急池、槽车或专用收集池等进行暂存。若事故废水不慎进入河流，相关管理部门应立即启动园区/区域环境风险防控措施：关闭关联河道闸阀；视情况在污染区上、下游使用拦污索或筑坝拦截污染物，阻隔污染物进一步扩散至附近水体；投加活性炭等吸附材料，就地投加药剂处置，或将污染水抽至安全地方处置。同时根据泄漏液特性进行泄漏液收集、开展河水上下游的水质监测。</w:t>
            </w:r>
          </w:p>
          <w:p w14:paraId="2FFE93F5">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lang w:val="en-US" w:eastAsia="zh-CN"/>
              </w:rPr>
            </w:pPr>
            <w:r>
              <w:rPr>
                <w:rFonts w:hint="default" w:ascii="Times New Roman" w:hAnsi="Times New Roman" w:eastAsia="仿宋" w:cs="Times New Roman"/>
                <w:color w:val="auto"/>
                <w:spacing w:val="10"/>
                <w:sz w:val="24"/>
                <w:szCs w:val="24"/>
                <w:lang w:val="en-US" w:eastAsia="zh-CN"/>
              </w:rPr>
              <w:t>三级防控体系能确保事故状态下的泄漏物料、消防废水等全部处于受控状态，实现对事故废水源头、过程和终端的预防和控制，使环境风险可控，降低对厂区外界环境造成的影响</w:t>
            </w:r>
            <w:r>
              <w:rPr>
                <w:rFonts w:hint="eastAsia" w:ascii="Times New Roman" w:hAnsi="Times New Roman" w:eastAsia="仿宋" w:cs="Times New Roman"/>
                <w:color w:val="auto"/>
                <w:spacing w:val="10"/>
                <w:sz w:val="24"/>
                <w:szCs w:val="24"/>
                <w:lang w:val="en-US" w:eastAsia="zh-CN"/>
              </w:rPr>
              <w:t>。</w:t>
            </w:r>
          </w:p>
          <w:p w14:paraId="4D9C7E9F">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rPr>
            </w:pPr>
            <w:r>
              <w:rPr>
                <w:rFonts w:hint="default" w:ascii="Times New Roman" w:hAnsi="Times New Roman" w:eastAsia="仿宋" w:cs="Times New Roman"/>
                <w:color w:val="auto"/>
                <w:spacing w:val="10"/>
                <w:sz w:val="24"/>
                <w:szCs w:val="24"/>
                <w:lang w:val="en-US" w:eastAsia="zh-CN"/>
              </w:rPr>
              <w:t>3、</w:t>
            </w:r>
            <w:r>
              <w:rPr>
                <w:rFonts w:hint="default" w:ascii="Times New Roman" w:hAnsi="Times New Roman" w:eastAsia="仿宋" w:cs="Times New Roman"/>
                <w:color w:val="auto"/>
                <w:spacing w:val="10"/>
                <w:sz w:val="24"/>
                <w:szCs w:val="24"/>
              </w:rPr>
              <w:t>与常州市金坛区应急管理局的联动</w:t>
            </w:r>
          </w:p>
          <w:p w14:paraId="616511CF">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rPr>
            </w:pPr>
            <w:r>
              <w:rPr>
                <w:rFonts w:hint="default" w:ascii="Times New Roman" w:hAnsi="Times New Roman" w:eastAsia="仿宋" w:cs="Times New Roman"/>
                <w:color w:val="auto"/>
                <w:spacing w:val="10"/>
                <w:sz w:val="24"/>
                <w:szCs w:val="24"/>
              </w:rPr>
              <w:t>根据《省生态环境厅关于做好安全生产专项整治工作实施方案》(苏环办</w:t>
            </w:r>
            <w:r>
              <w:rPr>
                <w:rFonts w:hint="eastAsia" w:eastAsia="仿宋" w:cs="Times New Roman"/>
                <w:color w:val="auto"/>
                <w:spacing w:val="10"/>
                <w:sz w:val="24"/>
                <w:szCs w:val="24"/>
                <w:lang w:eastAsia="zh-CN"/>
              </w:rPr>
              <w:t>〔2020〕16号</w:t>
            </w:r>
            <w:r>
              <w:rPr>
                <w:rFonts w:hint="default" w:ascii="Times New Roman" w:hAnsi="Times New Roman" w:eastAsia="仿宋" w:cs="Times New Roman"/>
                <w:color w:val="auto"/>
                <w:spacing w:val="10"/>
                <w:sz w:val="24"/>
                <w:szCs w:val="24"/>
              </w:rPr>
              <w:t>)、《关于做好生态环境和应急管理部门联动工作的意见》（苏环办</w:t>
            </w:r>
            <w:r>
              <w:rPr>
                <w:rFonts w:hint="eastAsia" w:eastAsia="仿宋" w:cs="Times New Roman"/>
                <w:color w:val="auto"/>
                <w:spacing w:val="10"/>
                <w:sz w:val="24"/>
                <w:szCs w:val="24"/>
                <w:lang w:eastAsia="zh-CN"/>
              </w:rPr>
              <w:t>〔2020〕101号</w:t>
            </w:r>
            <w:r>
              <w:rPr>
                <w:rFonts w:hint="default" w:ascii="Times New Roman" w:hAnsi="Times New Roman" w:eastAsia="仿宋" w:cs="Times New Roman"/>
                <w:color w:val="auto"/>
                <w:spacing w:val="10"/>
                <w:sz w:val="24"/>
                <w:szCs w:val="24"/>
              </w:rPr>
              <w:t>）相关要求，项目建成后需开展大气、固废等污染防治措施安全论证并获得常州市金坛区应急管理局的许可。</w:t>
            </w:r>
          </w:p>
          <w:p w14:paraId="1BFEDAED">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rPr>
            </w:pPr>
            <w:r>
              <w:rPr>
                <w:rFonts w:hint="default" w:ascii="Times New Roman" w:hAnsi="Times New Roman" w:eastAsia="仿宋" w:cs="Times New Roman"/>
                <w:color w:val="auto"/>
                <w:spacing w:val="10"/>
                <w:sz w:val="24"/>
                <w:szCs w:val="24"/>
                <w:lang w:val="en-US" w:eastAsia="zh-CN"/>
              </w:rPr>
              <w:t>4、</w:t>
            </w:r>
            <w:r>
              <w:rPr>
                <w:rFonts w:hint="default" w:ascii="Times New Roman" w:hAnsi="Times New Roman" w:eastAsia="仿宋" w:cs="Times New Roman"/>
                <w:color w:val="auto"/>
                <w:spacing w:val="10"/>
                <w:sz w:val="24"/>
                <w:szCs w:val="24"/>
              </w:rPr>
              <w:t>突发环境事件应急预案风险应急计划</w:t>
            </w:r>
          </w:p>
          <w:p w14:paraId="71EAD7A2">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仿宋" w:cs="Times New Roman"/>
                <w:color w:val="auto"/>
                <w:spacing w:val="10"/>
                <w:sz w:val="24"/>
                <w:szCs w:val="24"/>
              </w:rPr>
            </w:pPr>
            <w:r>
              <w:rPr>
                <w:rFonts w:hint="default" w:ascii="Times New Roman" w:hAnsi="Times New Roman" w:eastAsia="仿宋" w:cs="Times New Roman"/>
                <w:color w:val="auto"/>
                <w:spacing w:val="10"/>
                <w:sz w:val="24"/>
                <w:szCs w:val="24"/>
              </w:rPr>
              <w:t>企业可委托有资质单位编制突发环境事件应急预案，并按规定报县级以上生态环境主管部门备案。</w:t>
            </w:r>
          </w:p>
          <w:p w14:paraId="493AFD19">
            <w:pPr>
              <w:adjustRightInd w:val="0"/>
              <w:snapToGrid w:val="0"/>
              <w:spacing w:line="500" w:lineRule="exac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八</w:t>
            </w:r>
            <w:r>
              <w:rPr>
                <w:rFonts w:hint="default" w:ascii="Times New Roman" w:hAnsi="Times New Roman" w:eastAsia="仿宋" w:cs="Times New Roman"/>
                <w:b/>
                <w:bCs/>
                <w:color w:val="auto"/>
                <w:sz w:val="24"/>
              </w:rPr>
              <w:t>、电磁辐射</w:t>
            </w:r>
          </w:p>
          <w:p w14:paraId="4A810F10">
            <w:pPr>
              <w:adjustRightInd w:val="0"/>
              <w:snapToGrid w:val="0"/>
              <w:spacing w:line="500" w:lineRule="exact"/>
              <w:ind w:firstLine="480" w:firstLineChars="200"/>
              <w:rPr>
                <w:rFonts w:hint="default" w:ascii="Times New Roman" w:hAnsi="Times New Roman" w:eastAsia="仿宋" w:cs="Times New Roman"/>
                <w:snapToGrid w:val="0"/>
                <w:color w:val="auto"/>
                <w:sz w:val="30"/>
                <w:szCs w:val="30"/>
                <w:vertAlign w:val="baseline"/>
              </w:rPr>
            </w:pPr>
            <w:r>
              <w:rPr>
                <w:rFonts w:hint="default" w:ascii="Times New Roman" w:hAnsi="Times New Roman" w:eastAsia="仿宋" w:cs="Times New Roman"/>
                <w:bCs/>
                <w:color w:val="auto"/>
                <w:sz w:val="24"/>
                <w:szCs w:val="22"/>
              </w:rPr>
              <w:t>本项目不涉及</w:t>
            </w:r>
            <w:r>
              <w:rPr>
                <w:rFonts w:hint="default" w:ascii="Times New Roman" w:hAnsi="Times New Roman" w:eastAsia="仿宋" w:cs="Times New Roman"/>
                <w:bCs/>
                <w:color w:val="auto"/>
                <w:sz w:val="24"/>
              </w:rPr>
              <w:t>电磁辐射</w:t>
            </w:r>
            <w:r>
              <w:rPr>
                <w:rFonts w:hint="default" w:ascii="Times New Roman" w:hAnsi="Times New Roman" w:eastAsia="仿宋" w:cs="Times New Roman"/>
                <w:bCs/>
                <w:color w:val="auto"/>
                <w:sz w:val="24"/>
                <w:szCs w:val="22"/>
              </w:rPr>
              <w:t>。</w:t>
            </w:r>
          </w:p>
        </w:tc>
      </w:tr>
    </w:tbl>
    <w:p w14:paraId="66D075DC">
      <w:pPr>
        <w:pStyle w:val="22"/>
        <w:spacing w:before="0" w:beforeAutospacing="0" w:after="0" w:afterAutospacing="0"/>
        <w:jc w:val="center"/>
        <w:outlineLvl w:val="0"/>
        <w:rPr>
          <w:rFonts w:hint="default" w:ascii="Times New Roman" w:hAnsi="Times New Roman" w:eastAsia="仿宋" w:cs="Times New Roman"/>
          <w:snapToGrid w:val="0"/>
          <w:color w:val="auto"/>
          <w:sz w:val="30"/>
          <w:szCs w:val="30"/>
        </w:rPr>
        <w:sectPr>
          <w:headerReference r:id="rId9" w:type="default"/>
          <w:pgSz w:w="11906" w:h="16838"/>
          <w:pgMar w:top="1701" w:right="1531" w:bottom="1701" w:left="1531" w:header="851" w:footer="1134" w:gutter="0"/>
          <w:pgBorders>
            <w:top w:val="none" w:sz="0" w:space="0"/>
            <w:left w:val="none" w:sz="0" w:space="0"/>
            <w:bottom w:val="none" w:sz="0" w:space="0"/>
            <w:right w:val="none" w:sz="0" w:space="0"/>
          </w:pgBorders>
          <w:cols w:space="720" w:num="1"/>
          <w:docGrid w:linePitch="312" w:charSpace="0"/>
        </w:sectPr>
      </w:pPr>
    </w:p>
    <w:p w14:paraId="57BCE97A">
      <w:pPr>
        <w:pStyle w:val="22"/>
        <w:spacing w:before="0" w:beforeAutospacing="0" w:after="0" w:afterAutospacing="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五、</w:t>
      </w:r>
      <w:bookmarkStart w:id="7" w:name="_Hlk54167917"/>
      <w:r>
        <w:rPr>
          <w:rFonts w:hint="default" w:ascii="Times New Roman" w:hAnsi="Times New Roman" w:eastAsia="仿宋" w:cs="Times New Roman"/>
          <w:snapToGrid w:val="0"/>
          <w:color w:val="auto"/>
          <w:sz w:val="30"/>
          <w:szCs w:val="30"/>
        </w:rPr>
        <w:t>环境保护措施监督检查清单</w:t>
      </w:r>
      <w:bookmarkEnd w:id="5"/>
      <w:bookmarkEnd w:id="7"/>
    </w:p>
    <w:tbl>
      <w:tblPr>
        <w:tblStyle w:val="27"/>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332"/>
        <w:gridCol w:w="736"/>
        <w:gridCol w:w="737"/>
        <w:gridCol w:w="1677"/>
        <w:gridCol w:w="2275"/>
        <w:gridCol w:w="2241"/>
      </w:tblGrid>
      <w:tr w14:paraId="6803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tcBorders>
              <w:tl2br w:val="single" w:color="auto" w:sz="4" w:space="0"/>
            </w:tcBorders>
          </w:tcPr>
          <w:p w14:paraId="24DB2F2D">
            <w:pPr>
              <w:adjustRightInd w:val="0"/>
              <w:snapToGrid w:val="0"/>
              <w:spacing w:line="240" w:lineRule="auto"/>
              <w:ind w:left="0" w:leftChars="0" w:firstLine="0" w:firstLineChars="0"/>
              <w:jc w:val="right"/>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内容</w:t>
            </w:r>
          </w:p>
          <w:p w14:paraId="4E75DEF6">
            <w:pPr>
              <w:adjustRightInd w:val="0"/>
              <w:snapToGrid w:val="0"/>
              <w:spacing w:line="240" w:lineRule="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要素</w:t>
            </w:r>
          </w:p>
        </w:tc>
        <w:tc>
          <w:tcPr>
            <w:tcW w:w="1473" w:type="dxa"/>
            <w:gridSpan w:val="2"/>
            <w:vAlign w:val="center"/>
          </w:tcPr>
          <w:p w14:paraId="23290407">
            <w:pPr>
              <w:adjustRightInd w:val="0"/>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排放口/污染源</w:t>
            </w:r>
          </w:p>
        </w:tc>
        <w:tc>
          <w:tcPr>
            <w:tcW w:w="1677" w:type="dxa"/>
            <w:vAlign w:val="center"/>
          </w:tcPr>
          <w:p w14:paraId="2FA7C2D9">
            <w:pPr>
              <w:adjustRightInd w:val="0"/>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污染物项目</w:t>
            </w:r>
          </w:p>
        </w:tc>
        <w:tc>
          <w:tcPr>
            <w:tcW w:w="2275" w:type="dxa"/>
            <w:vAlign w:val="center"/>
          </w:tcPr>
          <w:p w14:paraId="3B3EC8E7">
            <w:pPr>
              <w:adjustRightInd w:val="0"/>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环境保护措施</w:t>
            </w:r>
          </w:p>
        </w:tc>
        <w:tc>
          <w:tcPr>
            <w:tcW w:w="2241" w:type="dxa"/>
            <w:vAlign w:val="center"/>
          </w:tcPr>
          <w:p w14:paraId="09D0B720">
            <w:pPr>
              <w:adjustRightInd w:val="0"/>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执行标准</w:t>
            </w:r>
          </w:p>
        </w:tc>
      </w:tr>
      <w:tr w14:paraId="7DAE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33" w:hRule="atLeast"/>
          <w:jc w:val="center"/>
        </w:trPr>
        <w:tc>
          <w:tcPr>
            <w:tcW w:w="1332" w:type="dxa"/>
            <w:vMerge w:val="restart"/>
            <w:vAlign w:val="center"/>
          </w:tcPr>
          <w:p w14:paraId="498C6A87">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大气环境</w:t>
            </w:r>
          </w:p>
        </w:tc>
        <w:tc>
          <w:tcPr>
            <w:tcW w:w="736" w:type="dxa"/>
            <w:vMerge w:val="restart"/>
            <w:vAlign w:val="center"/>
          </w:tcPr>
          <w:p w14:paraId="065FC8A8">
            <w:pPr>
              <w:adjustRightInd w:val="0"/>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有组织废气</w:t>
            </w:r>
          </w:p>
        </w:tc>
        <w:tc>
          <w:tcPr>
            <w:tcW w:w="737" w:type="dxa"/>
            <w:vAlign w:val="center"/>
          </w:tcPr>
          <w:p w14:paraId="4463F141">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DA001</w:t>
            </w:r>
          </w:p>
        </w:tc>
        <w:tc>
          <w:tcPr>
            <w:tcW w:w="1677" w:type="dxa"/>
            <w:vAlign w:val="center"/>
          </w:tcPr>
          <w:p w14:paraId="31708A44">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颗粒物</w:t>
            </w:r>
          </w:p>
        </w:tc>
        <w:tc>
          <w:tcPr>
            <w:tcW w:w="2275" w:type="dxa"/>
            <w:vAlign w:val="center"/>
          </w:tcPr>
          <w:p w14:paraId="1FAD096F">
            <w:pPr>
              <w:keepNext w:val="0"/>
              <w:keepLines w:val="0"/>
              <w:widowControl/>
              <w:suppressLineNumbers w:val="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bidi="ar"/>
              </w:rPr>
              <w:t>项目</w:t>
            </w:r>
            <w:r>
              <w:rPr>
                <w:rFonts w:hint="eastAsia" w:eastAsia="仿宋" w:cs="Times New Roman"/>
                <w:color w:val="auto"/>
                <w:kern w:val="0"/>
                <w:sz w:val="21"/>
                <w:szCs w:val="21"/>
                <w:lang w:val="en-US" w:eastAsia="zh-CN" w:bidi="ar"/>
              </w:rPr>
              <w:t>抛光、打磨</w:t>
            </w:r>
            <w:r>
              <w:rPr>
                <w:rFonts w:hint="default" w:ascii="Times New Roman" w:hAnsi="Times New Roman" w:eastAsia="仿宋" w:cs="Times New Roman"/>
                <w:color w:val="auto"/>
                <w:kern w:val="0"/>
                <w:sz w:val="21"/>
                <w:szCs w:val="21"/>
                <w:lang w:val="en-US" w:eastAsia="zh-CN" w:bidi="ar"/>
              </w:rPr>
              <w:t>废气收集</w:t>
            </w:r>
            <w:r>
              <w:rPr>
                <w:rFonts w:hint="eastAsia" w:eastAsia="仿宋" w:cs="Times New Roman"/>
                <w:color w:val="auto"/>
                <w:kern w:val="0"/>
                <w:sz w:val="21"/>
                <w:szCs w:val="21"/>
                <w:lang w:val="en-US" w:eastAsia="zh-CN" w:bidi="ar"/>
              </w:rPr>
              <w:t>汇合</w:t>
            </w:r>
            <w:r>
              <w:rPr>
                <w:rFonts w:hint="default" w:ascii="Times New Roman" w:hAnsi="Times New Roman" w:eastAsia="仿宋" w:cs="Times New Roman"/>
                <w:color w:val="auto"/>
                <w:kern w:val="0"/>
                <w:sz w:val="21"/>
                <w:szCs w:val="21"/>
                <w:lang w:val="en-US" w:eastAsia="zh-CN" w:bidi="ar"/>
              </w:rPr>
              <w:t>至袋式除尘器处理后经一根15m高排气筒排放</w:t>
            </w:r>
          </w:p>
        </w:tc>
        <w:tc>
          <w:tcPr>
            <w:tcW w:w="2241" w:type="dxa"/>
            <w:vMerge w:val="restart"/>
            <w:vAlign w:val="center"/>
          </w:tcPr>
          <w:p w14:paraId="30C469AD">
            <w:pPr>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《大气污染物综合排放标准》（DB32/4041-2021）表1标准</w:t>
            </w:r>
          </w:p>
        </w:tc>
      </w:tr>
      <w:tr w14:paraId="0369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45" w:hRule="atLeast"/>
          <w:jc w:val="center"/>
        </w:trPr>
        <w:tc>
          <w:tcPr>
            <w:tcW w:w="1332" w:type="dxa"/>
            <w:vMerge w:val="continue"/>
            <w:vAlign w:val="center"/>
          </w:tcPr>
          <w:p w14:paraId="00697FB3">
            <w:pPr>
              <w:adjustRightInd w:val="0"/>
              <w:snapToGrid w:val="0"/>
              <w:spacing w:line="240" w:lineRule="auto"/>
              <w:jc w:val="center"/>
              <w:rPr>
                <w:rFonts w:hint="default" w:ascii="Times New Roman" w:hAnsi="Times New Roman" w:eastAsia="仿宋" w:cs="Times New Roman"/>
                <w:color w:val="auto"/>
                <w:sz w:val="21"/>
                <w:szCs w:val="21"/>
              </w:rPr>
            </w:pPr>
          </w:p>
        </w:tc>
        <w:tc>
          <w:tcPr>
            <w:tcW w:w="736" w:type="dxa"/>
            <w:vMerge w:val="continue"/>
            <w:vAlign w:val="center"/>
          </w:tcPr>
          <w:p w14:paraId="1C413940">
            <w:pPr>
              <w:adjustRightInd w:val="0"/>
              <w:snapToGrid w:val="0"/>
              <w:spacing w:line="240" w:lineRule="auto"/>
              <w:jc w:val="center"/>
              <w:rPr>
                <w:rFonts w:hint="default" w:ascii="Times New Roman" w:hAnsi="Times New Roman" w:eastAsia="仿宋" w:cs="Times New Roman"/>
                <w:color w:val="auto"/>
                <w:kern w:val="2"/>
                <w:sz w:val="21"/>
                <w:szCs w:val="21"/>
                <w:lang w:val="en-US" w:eastAsia="zh-CN" w:bidi="ar-SA"/>
              </w:rPr>
            </w:pPr>
          </w:p>
        </w:tc>
        <w:tc>
          <w:tcPr>
            <w:tcW w:w="737" w:type="dxa"/>
            <w:vAlign w:val="center"/>
          </w:tcPr>
          <w:p w14:paraId="487E447B">
            <w:pPr>
              <w:adjustRightInd w:val="0"/>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DA002</w:t>
            </w:r>
          </w:p>
        </w:tc>
        <w:tc>
          <w:tcPr>
            <w:tcW w:w="1677" w:type="dxa"/>
            <w:vAlign w:val="center"/>
          </w:tcPr>
          <w:p w14:paraId="43980092">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颗粒物</w:t>
            </w:r>
          </w:p>
        </w:tc>
        <w:tc>
          <w:tcPr>
            <w:tcW w:w="2275" w:type="dxa"/>
            <w:vAlign w:val="center"/>
          </w:tcPr>
          <w:p w14:paraId="6EEA9F06">
            <w:pPr>
              <w:keepNext w:val="0"/>
              <w:keepLines w:val="0"/>
              <w:widowControl/>
              <w:suppressLineNumbers w:val="0"/>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 w:val="21"/>
                <w:szCs w:val="21"/>
                <w:lang w:val="en-US" w:eastAsia="zh-CN" w:bidi="ar"/>
              </w:rPr>
              <w:t>项目</w:t>
            </w:r>
            <w:r>
              <w:rPr>
                <w:rFonts w:hint="eastAsia" w:eastAsia="仿宋" w:cs="Times New Roman"/>
                <w:color w:val="auto"/>
                <w:kern w:val="0"/>
                <w:sz w:val="21"/>
                <w:szCs w:val="21"/>
                <w:lang w:val="en-US" w:eastAsia="zh-CN" w:bidi="ar"/>
              </w:rPr>
              <w:t>焊接、</w:t>
            </w:r>
            <w:r>
              <w:rPr>
                <w:rFonts w:hint="default" w:ascii="Times New Roman" w:hAnsi="Times New Roman" w:eastAsia="仿宋" w:cs="Times New Roman"/>
                <w:color w:val="auto"/>
                <w:kern w:val="0"/>
                <w:sz w:val="21"/>
                <w:szCs w:val="21"/>
                <w:lang w:val="en-US" w:eastAsia="zh-CN" w:bidi="ar"/>
              </w:rPr>
              <w:t>喷砂废气收集</w:t>
            </w:r>
            <w:r>
              <w:rPr>
                <w:rFonts w:hint="eastAsia" w:eastAsia="仿宋" w:cs="Times New Roman"/>
                <w:color w:val="auto"/>
                <w:kern w:val="0"/>
                <w:sz w:val="21"/>
                <w:szCs w:val="21"/>
                <w:lang w:val="en-US" w:eastAsia="zh-CN" w:bidi="ar"/>
              </w:rPr>
              <w:t>汇合</w:t>
            </w:r>
            <w:r>
              <w:rPr>
                <w:rFonts w:hint="default" w:ascii="Times New Roman" w:hAnsi="Times New Roman" w:eastAsia="仿宋" w:cs="Times New Roman"/>
                <w:color w:val="auto"/>
                <w:kern w:val="0"/>
                <w:sz w:val="21"/>
                <w:szCs w:val="21"/>
                <w:lang w:val="en-US" w:eastAsia="zh-CN" w:bidi="ar"/>
              </w:rPr>
              <w:t>至袋式除尘器处理后经一根15m高排气筒排放</w:t>
            </w:r>
          </w:p>
        </w:tc>
        <w:tc>
          <w:tcPr>
            <w:tcW w:w="2241" w:type="dxa"/>
            <w:vMerge w:val="continue"/>
            <w:vAlign w:val="center"/>
          </w:tcPr>
          <w:p w14:paraId="0781208B">
            <w:pPr>
              <w:adjustRightInd w:val="0"/>
              <w:snapToGrid w:val="0"/>
              <w:spacing w:line="240" w:lineRule="auto"/>
              <w:jc w:val="center"/>
              <w:rPr>
                <w:rFonts w:hint="default" w:ascii="Times New Roman" w:hAnsi="Times New Roman" w:eastAsia="仿宋" w:cs="Times New Roman"/>
                <w:color w:val="auto"/>
                <w:sz w:val="21"/>
                <w:szCs w:val="21"/>
                <w:lang w:val="en-US" w:eastAsia="zh-CN"/>
              </w:rPr>
            </w:pPr>
          </w:p>
        </w:tc>
      </w:tr>
      <w:tr w14:paraId="3379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9" w:hRule="atLeast"/>
          <w:jc w:val="center"/>
        </w:trPr>
        <w:tc>
          <w:tcPr>
            <w:tcW w:w="1332" w:type="dxa"/>
            <w:vMerge w:val="continue"/>
            <w:vAlign w:val="center"/>
          </w:tcPr>
          <w:p w14:paraId="7786A741">
            <w:pPr>
              <w:adjustRightInd w:val="0"/>
              <w:snapToGrid w:val="0"/>
              <w:spacing w:line="240" w:lineRule="auto"/>
              <w:jc w:val="center"/>
              <w:rPr>
                <w:rFonts w:hint="default" w:ascii="Times New Roman" w:hAnsi="Times New Roman" w:eastAsia="仿宋" w:cs="Times New Roman"/>
                <w:color w:val="auto"/>
                <w:sz w:val="21"/>
                <w:szCs w:val="21"/>
              </w:rPr>
            </w:pPr>
          </w:p>
        </w:tc>
        <w:tc>
          <w:tcPr>
            <w:tcW w:w="736" w:type="dxa"/>
            <w:vMerge w:val="continue"/>
            <w:vAlign w:val="center"/>
          </w:tcPr>
          <w:p w14:paraId="2D41A8D1">
            <w:pPr>
              <w:adjustRightInd w:val="0"/>
              <w:snapToGrid w:val="0"/>
              <w:spacing w:line="240" w:lineRule="auto"/>
              <w:jc w:val="center"/>
              <w:rPr>
                <w:rFonts w:hint="default" w:ascii="Times New Roman" w:hAnsi="Times New Roman" w:eastAsia="仿宋" w:cs="Times New Roman"/>
                <w:color w:val="auto"/>
                <w:sz w:val="21"/>
                <w:szCs w:val="21"/>
              </w:rPr>
            </w:pPr>
          </w:p>
        </w:tc>
        <w:tc>
          <w:tcPr>
            <w:tcW w:w="737" w:type="dxa"/>
            <w:vAlign w:val="center"/>
          </w:tcPr>
          <w:p w14:paraId="3B5E9ED3">
            <w:pPr>
              <w:adjustRightInd w:val="0"/>
              <w:snapToGrid w:val="0"/>
              <w:spacing w:line="240" w:lineRule="auto"/>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DA003</w:t>
            </w:r>
          </w:p>
        </w:tc>
        <w:tc>
          <w:tcPr>
            <w:tcW w:w="1677" w:type="dxa"/>
            <w:vAlign w:val="center"/>
          </w:tcPr>
          <w:p w14:paraId="3F408B0F">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非甲烷总烃、颗粒物</w:t>
            </w:r>
          </w:p>
        </w:tc>
        <w:tc>
          <w:tcPr>
            <w:tcW w:w="2275" w:type="dxa"/>
            <w:vAlign w:val="center"/>
          </w:tcPr>
          <w:p w14:paraId="76258DF6">
            <w:pPr>
              <w:keepNext w:val="0"/>
              <w:keepLines w:val="0"/>
              <w:widowControl/>
              <w:suppressLineNumbers w:val="0"/>
              <w:jc w:val="left"/>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项目喷漆废气、烘干废气经喷漆室、烘干室密闭收集至</w:t>
            </w:r>
            <w:r>
              <w:rPr>
                <w:rFonts w:hint="eastAsia" w:eastAsia="仿宋" w:cs="Times New Roman"/>
                <w:color w:val="auto"/>
                <w:kern w:val="0"/>
                <w:sz w:val="21"/>
                <w:szCs w:val="21"/>
                <w:lang w:val="en-US" w:eastAsia="zh-CN" w:bidi="ar"/>
              </w:rPr>
              <w:t>干式过滤</w:t>
            </w:r>
            <w:r>
              <w:rPr>
                <w:rFonts w:hint="default" w:ascii="Times New Roman" w:hAnsi="Times New Roman" w:eastAsia="仿宋" w:cs="Times New Roman"/>
                <w:color w:val="auto"/>
                <w:kern w:val="0"/>
                <w:sz w:val="21"/>
                <w:szCs w:val="21"/>
                <w:lang w:val="en-US" w:eastAsia="zh-CN" w:bidi="ar"/>
              </w:rPr>
              <w:t xml:space="preserve">+ </w:t>
            </w:r>
          </w:p>
          <w:p w14:paraId="71D4EE77">
            <w:pPr>
              <w:keepNext w:val="0"/>
              <w:keepLines w:val="0"/>
              <w:widowControl/>
              <w:suppressLineNumbers w:val="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bidi="ar"/>
              </w:rPr>
              <w:t>两级活性炭吸附处理后经一根15m高排气筒排放</w:t>
            </w:r>
          </w:p>
        </w:tc>
        <w:tc>
          <w:tcPr>
            <w:tcW w:w="2241" w:type="dxa"/>
            <w:vAlign w:val="center"/>
          </w:tcPr>
          <w:p w14:paraId="6C592D48">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《工业涂装工序大气污染物排放标准》（DB32/4439-2022）表1</w:t>
            </w:r>
            <w:r>
              <w:rPr>
                <w:rFonts w:hint="default" w:ascii="Times New Roman" w:hAnsi="Times New Roman" w:eastAsia="仿宋" w:cs="Times New Roman"/>
                <w:color w:val="auto"/>
                <w:sz w:val="21"/>
                <w:szCs w:val="21"/>
              </w:rPr>
              <w:t>标准</w:t>
            </w:r>
          </w:p>
        </w:tc>
      </w:tr>
      <w:tr w14:paraId="705B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79" w:hRule="atLeast"/>
          <w:jc w:val="center"/>
        </w:trPr>
        <w:tc>
          <w:tcPr>
            <w:tcW w:w="1332" w:type="dxa"/>
            <w:vMerge w:val="continue"/>
            <w:vAlign w:val="center"/>
          </w:tcPr>
          <w:p w14:paraId="77DDA929">
            <w:pPr>
              <w:adjustRightInd w:val="0"/>
              <w:snapToGrid w:val="0"/>
              <w:spacing w:line="240" w:lineRule="auto"/>
              <w:jc w:val="center"/>
              <w:rPr>
                <w:rFonts w:hint="default" w:ascii="Times New Roman" w:hAnsi="Times New Roman" w:eastAsia="仿宋" w:cs="Times New Roman"/>
                <w:color w:val="auto"/>
                <w:sz w:val="21"/>
                <w:szCs w:val="21"/>
              </w:rPr>
            </w:pPr>
          </w:p>
        </w:tc>
        <w:tc>
          <w:tcPr>
            <w:tcW w:w="736" w:type="dxa"/>
            <w:vMerge w:val="continue"/>
            <w:vAlign w:val="center"/>
          </w:tcPr>
          <w:p w14:paraId="12665E6D">
            <w:pPr>
              <w:adjustRightInd w:val="0"/>
              <w:snapToGrid w:val="0"/>
              <w:spacing w:line="240" w:lineRule="auto"/>
              <w:jc w:val="center"/>
              <w:rPr>
                <w:rFonts w:hint="default" w:ascii="Times New Roman" w:hAnsi="Times New Roman" w:eastAsia="仿宋" w:cs="Times New Roman"/>
                <w:color w:val="auto"/>
                <w:sz w:val="21"/>
                <w:szCs w:val="21"/>
              </w:rPr>
            </w:pPr>
          </w:p>
        </w:tc>
        <w:tc>
          <w:tcPr>
            <w:tcW w:w="737" w:type="dxa"/>
            <w:vAlign w:val="center"/>
          </w:tcPr>
          <w:p w14:paraId="25F0F981">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DA004</w:t>
            </w:r>
          </w:p>
        </w:tc>
        <w:tc>
          <w:tcPr>
            <w:tcW w:w="1677" w:type="dxa"/>
            <w:vAlign w:val="center"/>
          </w:tcPr>
          <w:p w14:paraId="55BE1033">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非甲烷总烃</w:t>
            </w:r>
          </w:p>
        </w:tc>
        <w:tc>
          <w:tcPr>
            <w:tcW w:w="2275" w:type="dxa"/>
            <w:vAlign w:val="center"/>
          </w:tcPr>
          <w:p w14:paraId="1E907E32">
            <w:pPr>
              <w:keepNext w:val="0"/>
              <w:keepLines w:val="0"/>
              <w:widowControl/>
              <w:suppressLineNumbers w:val="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bidi="ar"/>
              </w:rPr>
              <w:t>项目</w:t>
            </w:r>
            <w:r>
              <w:rPr>
                <w:rFonts w:hint="eastAsia" w:eastAsia="仿宋" w:cs="Times New Roman"/>
                <w:color w:val="auto"/>
                <w:kern w:val="0"/>
                <w:sz w:val="21"/>
                <w:szCs w:val="21"/>
                <w:lang w:val="en-US" w:eastAsia="zh-CN" w:bidi="ar"/>
              </w:rPr>
              <w:t>危废库房</w:t>
            </w:r>
            <w:r>
              <w:rPr>
                <w:rFonts w:hint="default" w:ascii="Times New Roman" w:hAnsi="Times New Roman" w:eastAsia="仿宋" w:cs="Times New Roman"/>
                <w:color w:val="auto"/>
                <w:kern w:val="0"/>
                <w:sz w:val="21"/>
                <w:szCs w:val="21"/>
                <w:lang w:val="en-US" w:eastAsia="zh-CN" w:bidi="ar"/>
              </w:rPr>
              <w:t>废气密闭收集至两级活性炭吸附处理后经一根15m高排气筒排放</w:t>
            </w:r>
          </w:p>
        </w:tc>
        <w:tc>
          <w:tcPr>
            <w:tcW w:w="2241" w:type="dxa"/>
            <w:vAlign w:val="center"/>
          </w:tcPr>
          <w:p w14:paraId="08E28B98">
            <w:pPr>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《大气污染物综合排放标准》（DB32/4041-2021）表1标准</w:t>
            </w:r>
          </w:p>
        </w:tc>
      </w:tr>
      <w:tr w14:paraId="6D57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9" w:hRule="atLeast"/>
          <w:jc w:val="center"/>
        </w:trPr>
        <w:tc>
          <w:tcPr>
            <w:tcW w:w="1332" w:type="dxa"/>
            <w:vMerge w:val="continue"/>
            <w:vAlign w:val="center"/>
          </w:tcPr>
          <w:p w14:paraId="4D4F02E6">
            <w:pPr>
              <w:adjustRightInd w:val="0"/>
              <w:snapToGrid w:val="0"/>
              <w:spacing w:line="240" w:lineRule="auto"/>
              <w:jc w:val="center"/>
              <w:rPr>
                <w:rFonts w:hint="default" w:ascii="Times New Roman" w:hAnsi="Times New Roman" w:eastAsia="仿宋" w:cs="Times New Roman"/>
                <w:color w:val="auto"/>
                <w:sz w:val="21"/>
                <w:szCs w:val="21"/>
              </w:rPr>
            </w:pPr>
          </w:p>
        </w:tc>
        <w:tc>
          <w:tcPr>
            <w:tcW w:w="1473" w:type="dxa"/>
            <w:gridSpan w:val="2"/>
            <w:vAlign w:val="center"/>
          </w:tcPr>
          <w:p w14:paraId="6B0550C2">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无组织废气</w:t>
            </w:r>
          </w:p>
        </w:tc>
        <w:tc>
          <w:tcPr>
            <w:tcW w:w="1677" w:type="dxa"/>
            <w:vAlign w:val="center"/>
          </w:tcPr>
          <w:p w14:paraId="22D718BC">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非甲烷总烃、颗粒物</w:t>
            </w:r>
          </w:p>
        </w:tc>
        <w:tc>
          <w:tcPr>
            <w:tcW w:w="2275" w:type="dxa"/>
            <w:vAlign w:val="center"/>
          </w:tcPr>
          <w:p w14:paraId="5FDFC914">
            <w:pPr>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加强车间内通风</w:t>
            </w:r>
          </w:p>
        </w:tc>
        <w:tc>
          <w:tcPr>
            <w:tcW w:w="2241" w:type="dxa"/>
            <w:vAlign w:val="center"/>
          </w:tcPr>
          <w:p w14:paraId="1E993EF1">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《大气污染物综合排放标准》（DB32/4041-2021）表3标准</w:t>
            </w:r>
          </w:p>
        </w:tc>
      </w:tr>
      <w:tr w14:paraId="0F64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408A218D">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地表水环境</w:t>
            </w:r>
          </w:p>
        </w:tc>
        <w:tc>
          <w:tcPr>
            <w:tcW w:w="1473" w:type="dxa"/>
            <w:gridSpan w:val="2"/>
            <w:vAlign w:val="center"/>
          </w:tcPr>
          <w:p w14:paraId="3C631701">
            <w:pPr>
              <w:adjustRightInd w:val="0"/>
              <w:snapToGrid w:val="0"/>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生活污水</w:t>
            </w:r>
          </w:p>
        </w:tc>
        <w:tc>
          <w:tcPr>
            <w:tcW w:w="1677" w:type="dxa"/>
            <w:vAlign w:val="center"/>
          </w:tcPr>
          <w:p w14:paraId="3F2955BB">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COD、SS、氨氮、TN、TP</w:t>
            </w:r>
          </w:p>
        </w:tc>
        <w:tc>
          <w:tcPr>
            <w:tcW w:w="2275" w:type="dxa"/>
            <w:vAlign w:val="center"/>
          </w:tcPr>
          <w:p w14:paraId="0ED91ABD">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经厂区污水管网收集后接管金坛区茅东污水处理厂</w:t>
            </w:r>
          </w:p>
        </w:tc>
        <w:tc>
          <w:tcPr>
            <w:tcW w:w="2241" w:type="dxa"/>
            <w:vAlign w:val="center"/>
          </w:tcPr>
          <w:p w14:paraId="58D397F7">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金坛区茅东污水处理厂污水接管水质要求</w:t>
            </w:r>
            <w:r>
              <w:rPr>
                <w:rFonts w:hint="default" w:ascii="Times New Roman" w:hAnsi="Times New Roman" w:eastAsia="仿宋" w:cs="Times New Roman"/>
                <w:color w:val="auto"/>
                <w:sz w:val="21"/>
                <w:szCs w:val="21"/>
                <w:lang w:eastAsia="zh-CN"/>
              </w:rPr>
              <w:t>》</w:t>
            </w:r>
          </w:p>
        </w:tc>
      </w:tr>
      <w:tr w14:paraId="1DF3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34B632DB">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声环境</w:t>
            </w:r>
          </w:p>
        </w:tc>
        <w:tc>
          <w:tcPr>
            <w:tcW w:w="1473" w:type="dxa"/>
            <w:gridSpan w:val="2"/>
            <w:vAlign w:val="center"/>
          </w:tcPr>
          <w:p w14:paraId="25B503F1">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机械设备</w:t>
            </w:r>
          </w:p>
        </w:tc>
        <w:tc>
          <w:tcPr>
            <w:tcW w:w="1677" w:type="dxa"/>
            <w:vAlign w:val="center"/>
          </w:tcPr>
          <w:p w14:paraId="4FEDB0BE">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噪声</w:t>
            </w:r>
          </w:p>
        </w:tc>
        <w:tc>
          <w:tcPr>
            <w:tcW w:w="2275" w:type="dxa"/>
            <w:vAlign w:val="center"/>
          </w:tcPr>
          <w:p w14:paraId="507EE195">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合理布局、减振、厂房隔声、距离衰减等措施</w:t>
            </w:r>
          </w:p>
        </w:tc>
        <w:tc>
          <w:tcPr>
            <w:tcW w:w="2241" w:type="dxa"/>
            <w:vAlign w:val="center"/>
          </w:tcPr>
          <w:p w14:paraId="0D091533">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《工业企业厂界环境噪声排放标准》（GB12348-2008）中</w:t>
            </w:r>
            <w:r>
              <w:rPr>
                <w:rFonts w:hint="default"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rPr>
              <w:t>类标准</w:t>
            </w:r>
          </w:p>
        </w:tc>
      </w:tr>
      <w:tr w14:paraId="1454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602E3BED">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电磁辐射</w:t>
            </w:r>
          </w:p>
        </w:tc>
        <w:tc>
          <w:tcPr>
            <w:tcW w:w="1473" w:type="dxa"/>
            <w:gridSpan w:val="2"/>
            <w:vAlign w:val="center"/>
          </w:tcPr>
          <w:p w14:paraId="4874EB78">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1677" w:type="dxa"/>
            <w:vAlign w:val="center"/>
          </w:tcPr>
          <w:p w14:paraId="50CF7EEB">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2275" w:type="dxa"/>
            <w:vAlign w:val="center"/>
          </w:tcPr>
          <w:p w14:paraId="75C0E7DF">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2241" w:type="dxa"/>
            <w:vAlign w:val="center"/>
          </w:tcPr>
          <w:p w14:paraId="1ED61BE7">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0BD3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8" w:hRule="atLeast"/>
          <w:jc w:val="center"/>
        </w:trPr>
        <w:tc>
          <w:tcPr>
            <w:tcW w:w="1332" w:type="dxa"/>
            <w:vAlign w:val="center"/>
          </w:tcPr>
          <w:p w14:paraId="37AA3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固体废物</w:t>
            </w:r>
          </w:p>
        </w:tc>
        <w:tc>
          <w:tcPr>
            <w:tcW w:w="7666" w:type="dxa"/>
            <w:gridSpan w:val="5"/>
            <w:vAlign w:val="center"/>
          </w:tcPr>
          <w:p w14:paraId="522C7525">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highlight w:val="none"/>
                <w:lang w:val="en-US" w:eastAsia="zh-CN"/>
              </w:rPr>
              <w:t>边角料、焊渣、废</w:t>
            </w:r>
            <w:r>
              <w:rPr>
                <w:rFonts w:hint="eastAsia" w:ascii="Times New Roman" w:hAnsi="Times New Roman" w:eastAsia="仿宋" w:cs="Times New Roman"/>
                <w:color w:val="auto"/>
                <w:sz w:val="21"/>
                <w:szCs w:val="21"/>
                <w:highlight w:val="none"/>
                <w:lang w:val="en-US" w:eastAsia="zh-CN"/>
              </w:rPr>
              <w:t>玻璃</w:t>
            </w:r>
            <w:r>
              <w:rPr>
                <w:rFonts w:hint="default" w:ascii="Times New Roman" w:hAnsi="Times New Roman" w:eastAsia="仿宋" w:cs="Times New Roman"/>
                <w:color w:val="auto"/>
                <w:sz w:val="21"/>
                <w:szCs w:val="21"/>
                <w:highlight w:val="none"/>
                <w:lang w:val="en-US" w:eastAsia="zh-CN"/>
              </w:rPr>
              <w:t>砂、收尘、废布袋</w:t>
            </w:r>
            <w:r>
              <w:rPr>
                <w:rFonts w:hint="default" w:ascii="Times New Roman" w:hAnsi="Times New Roman" w:eastAsia="仿宋" w:cs="Times New Roman"/>
                <w:color w:val="auto"/>
                <w:sz w:val="21"/>
                <w:szCs w:val="21"/>
                <w:highlight w:val="none"/>
                <w:lang w:eastAsia="zh-CN"/>
              </w:rPr>
              <w:t>属于一般固废，收集后外售综合利用；</w:t>
            </w:r>
            <w:r>
              <w:rPr>
                <w:rFonts w:hint="default" w:ascii="Times New Roman" w:hAnsi="Times New Roman" w:eastAsia="仿宋" w:cs="Times New Roman"/>
                <w:color w:val="auto"/>
                <w:sz w:val="21"/>
                <w:szCs w:val="21"/>
                <w:highlight w:val="none"/>
                <w:lang w:val="en-US" w:eastAsia="zh-CN"/>
              </w:rPr>
              <w:t>废</w:t>
            </w:r>
            <w:r>
              <w:rPr>
                <w:rFonts w:hint="eastAsia" w:ascii="Times New Roman" w:hAnsi="Times New Roman" w:eastAsia="仿宋" w:cs="Times New Roman"/>
                <w:color w:val="auto"/>
                <w:sz w:val="21"/>
                <w:szCs w:val="21"/>
                <w:highlight w:val="none"/>
                <w:lang w:val="en-US" w:eastAsia="zh-CN"/>
              </w:rPr>
              <w:t>切削液</w:t>
            </w:r>
            <w:r>
              <w:rPr>
                <w:rFonts w:hint="default" w:ascii="Times New Roman" w:hAnsi="Times New Roman" w:eastAsia="仿宋" w:cs="Times New Roman"/>
                <w:color w:val="auto"/>
                <w:sz w:val="21"/>
                <w:szCs w:val="21"/>
                <w:highlight w:val="none"/>
                <w:lang w:val="en-US" w:eastAsia="zh-CN"/>
              </w:rPr>
              <w:t>、含漆废物、漆渣、废包装桶、废过滤介质、废活性炭、</w:t>
            </w:r>
            <w:r>
              <w:rPr>
                <w:rFonts w:hint="eastAsia" w:ascii="Times New Roman" w:hAnsi="Times New Roman" w:eastAsia="仿宋" w:cs="Times New Roman"/>
                <w:b w:val="0"/>
                <w:bCs w:val="0"/>
                <w:color w:val="auto"/>
                <w:kern w:val="2"/>
                <w:sz w:val="21"/>
                <w:szCs w:val="21"/>
                <w:highlight w:val="none"/>
                <w:lang w:val="en-US" w:eastAsia="zh-CN" w:bidi="ar-SA"/>
              </w:rPr>
              <w:t>试漏废液</w:t>
            </w:r>
            <w:r>
              <w:rPr>
                <w:rFonts w:hint="eastAsia" w:eastAsia="仿宋" w:cs="Times New Roman"/>
                <w:b w:val="0"/>
                <w:bCs w:val="0"/>
                <w:color w:val="auto"/>
                <w:kern w:val="2"/>
                <w:sz w:val="21"/>
                <w:szCs w:val="21"/>
                <w:highlight w:val="none"/>
                <w:lang w:val="en-US" w:eastAsia="zh-CN" w:bidi="ar-SA"/>
              </w:rPr>
              <w:t>、</w:t>
            </w:r>
            <w:r>
              <w:rPr>
                <w:rFonts w:hint="default" w:ascii="Times New Roman" w:hAnsi="Times New Roman" w:eastAsia="仿宋" w:cs="Times New Roman"/>
                <w:color w:val="auto"/>
                <w:sz w:val="21"/>
                <w:szCs w:val="21"/>
                <w:highlight w:val="none"/>
                <w:lang w:eastAsia="zh-CN"/>
              </w:rPr>
              <w:t>含油抹布手套属于危险废物，委托有资质单位处理；生活垃圾委托环卫清运。一般固废扩建现有一般固废</w:t>
            </w:r>
            <w:r>
              <w:rPr>
                <w:rFonts w:hint="eastAsia" w:eastAsia="仿宋" w:cs="Times New Roman"/>
                <w:color w:val="auto"/>
                <w:sz w:val="21"/>
                <w:szCs w:val="21"/>
                <w:highlight w:val="none"/>
                <w:lang w:val="en-US" w:eastAsia="zh-CN"/>
              </w:rPr>
              <w:t>仓库</w:t>
            </w:r>
            <w:r>
              <w:rPr>
                <w:rFonts w:hint="default" w:ascii="Times New Roman" w:hAnsi="Times New Roman" w:eastAsia="仿宋" w:cs="Times New Roman"/>
                <w:color w:val="auto"/>
                <w:sz w:val="21"/>
                <w:szCs w:val="21"/>
                <w:highlight w:val="none"/>
                <w:lang w:eastAsia="zh-CN"/>
              </w:rPr>
              <w:t>暂存，危废扩建现有危废仓库暂存。</w:t>
            </w:r>
          </w:p>
        </w:tc>
      </w:tr>
      <w:tr w14:paraId="78CC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93" w:hRule="atLeast"/>
          <w:jc w:val="center"/>
        </w:trPr>
        <w:tc>
          <w:tcPr>
            <w:tcW w:w="1332" w:type="dxa"/>
            <w:vAlign w:val="center"/>
          </w:tcPr>
          <w:p w14:paraId="0D249D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土壤及地下水污染防治措施</w:t>
            </w:r>
          </w:p>
        </w:tc>
        <w:tc>
          <w:tcPr>
            <w:tcW w:w="7666" w:type="dxa"/>
            <w:gridSpan w:val="5"/>
            <w:vAlign w:val="center"/>
          </w:tcPr>
          <w:p w14:paraId="15A01C10">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土壤地下水污染防治措施按照“源头控制、分区防治、污染监控、应急响应”相结合的原则，从污染物的产生、入渗、扩散、应急响应进行控制。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根据防渗参照的标准和规范，结合目前施工过程中的可操作性和技术水平，针对不同的防渗区域采用典型防渗措施，在具体设计中将根据实际情况在满足防渗标准的前提下做必要的调整。本项目针对污染特点设置地下水、土壤一般污染防渗区和重点污染防渗区。正常工况下对地下水基本无渗漏，污染较小。正常工况下排放的废气不属于重点重金属、持久性有机污染物或难降解有机污染物，大气沉降不会对周边土壤产生明显影响。</w:t>
            </w:r>
          </w:p>
        </w:tc>
      </w:tr>
      <w:tr w14:paraId="528A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7" w:hRule="atLeast"/>
          <w:jc w:val="center"/>
        </w:trPr>
        <w:tc>
          <w:tcPr>
            <w:tcW w:w="1332" w:type="dxa"/>
            <w:vAlign w:val="center"/>
          </w:tcPr>
          <w:p w14:paraId="77D4B8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w:t>
            </w:r>
          </w:p>
          <w:p w14:paraId="70615B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措施</w:t>
            </w:r>
          </w:p>
        </w:tc>
        <w:tc>
          <w:tcPr>
            <w:tcW w:w="7666" w:type="dxa"/>
            <w:gridSpan w:val="5"/>
            <w:vAlign w:val="center"/>
          </w:tcPr>
          <w:p w14:paraId="3111418D">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本项目用地范围内不含生态保护目标。</w:t>
            </w:r>
          </w:p>
        </w:tc>
      </w:tr>
      <w:tr w14:paraId="7806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92" w:hRule="atLeast"/>
          <w:jc w:val="center"/>
        </w:trPr>
        <w:tc>
          <w:tcPr>
            <w:tcW w:w="1332" w:type="dxa"/>
            <w:vAlign w:val="center"/>
          </w:tcPr>
          <w:p w14:paraId="707634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pacing w:val="-8"/>
                <w:sz w:val="21"/>
                <w:szCs w:val="21"/>
              </w:rPr>
            </w:pPr>
            <w:r>
              <w:rPr>
                <w:rFonts w:hint="default" w:ascii="Times New Roman" w:hAnsi="Times New Roman" w:eastAsia="仿宋" w:cs="Times New Roman"/>
                <w:color w:val="auto"/>
                <w:spacing w:val="-8"/>
                <w:sz w:val="21"/>
                <w:szCs w:val="21"/>
              </w:rPr>
              <w:t>环境风险</w:t>
            </w:r>
          </w:p>
          <w:p w14:paraId="564E21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pacing w:val="-8"/>
                <w:sz w:val="21"/>
                <w:szCs w:val="21"/>
              </w:rPr>
            </w:pPr>
            <w:r>
              <w:rPr>
                <w:rFonts w:hint="default" w:ascii="Times New Roman" w:hAnsi="Times New Roman" w:eastAsia="仿宋" w:cs="Times New Roman"/>
                <w:color w:val="auto"/>
                <w:spacing w:val="-8"/>
                <w:sz w:val="21"/>
                <w:szCs w:val="21"/>
              </w:rPr>
              <w:t>防范措施</w:t>
            </w:r>
          </w:p>
        </w:tc>
        <w:tc>
          <w:tcPr>
            <w:tcW w:w="7666" w:type="dxa"/>
            <w:gridSpan w:val="5"/>
            <w:vAlign w:val="center"/>
          </w:tcPr>
          <w:p w14:paraId="419DE4FF">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（1）加强对危险废物的管理，制定相应的安全操作流程；</w:t>
            </w:r>
          </w:p>
          <w:p w14:paraId="0A5725A9">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lang w:val="en-US" w:eastAsia="zh-CN"/>
              </w:rPr>
              <w:t>仓库必须防渗、防漏、防雨，应配备吸附剂等材料，防止发生事故时能对事故进行应急处理；</w:t>
            </w:r>
          </w:p>
          <w:p w14:paraId="2FD231A5">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r>
              <w:rPr>
                <w:rFonts w:hint="default" w:ascii="Times New Roman" w:hAnsi="Times New Roman" w:eastAsia="仿宋" w:cs="Times New Roman"/>
                <w:color w:val="auto"/>
                <w:sz w:val="21"/>
                <w:szCs w:val="21"/>
                <w:lang w:val="en-US" w:eastAsia="zh-CN"/>
              </w:rPr>
              <w:t>应加强火源的管理，各重点部位建议设置灭火器，并且对其作定期检查。</w:t>
            </w:r>
          </w:p>
        </w:tc>
      </w:tr>
      <w:tr w14:paraId="17AB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02" w:hRule="atLeast"/>
          <w:jc w:val="center"/>
        </w:trPr>
        <w:tc>
          <w:tcPr>
            <w:tcW w:w="1332" w:type="dxa"/>
            <w:vAlign w:val="center"/>
          </w:tcPr>
          <w:p w14:paraId="46611C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pacing w:val="-8"/>
                <w:sz w:val="21"/>
                <w:szCs w:val="21"/>
              </w:rPr>
            </w:pPr>
            <w:r>
              <w:rPr>
                <w:rFonts w:hint="default" w:ascii="Times New Roman" w:hAnsi="Times New Roman" w:eastAsia="仿宋" w:cs="Times New Roman"/>
                <w:color w:val="auto"/>
                <w:spacing w:val="-8"/>
                <w:sz w:val="21"/>
                <w:szCs w:val="21"/>
              </w:rPr>
              <w:t>其他环境</w:t>
            </w:r>
          </w:p>
          <w:p w14:paraId="76CBA4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pacing w:val="-8"/>
                <w:sz w:val="21"/>
                <w:szCs w:val="21"/>
              </w:rPr>
            </w:pPr>
            <w:r>
              <w:rPr>
                <w:rFonts w:hint="default" w:ascii="Times New Roman" w:hAnsi="Times New Roman" w:eastAsia="仿宋" w:cs="Times New Roman"/>
                <w:color w:val="auto"/>
                <w:spacing w:val="-8"/>
                <w:sz w:val="21"/>
                <w:szCs w:val="21"/>
              </w:rPr>
              <w:t>管理要求</w:t>
            </w:r>
          </w:p>
        </w:tc>
        <w:tc>
          <w:tcPr>
            <w:tcW w:w="7666" w:type="dxa"/>
            <w:gridSpan w:val="5"/>
            <w:vAlign w:val="center"/>
          </w:tcPr>
          <w:p w14:paraId="28D5C0D7">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（1）保持与环境保护主</w:t>
            </w:r>
            <w:r>
              <w:rPr>
                <w:rFonts w:hint="default" w:ascii="Times New Roman" w:hAnsi="Times New Roman" w:eastAsia="仿宋" w:cs="Times New Roman"/>
                <w:color w:val="auto"/>
                <w:sz w:val="21"/>
                <w:szCs w:val="21"/>
                <w:lang w:val="en-US" w:eastAsia="zh-CN"/>
              </w:rPr>
              <w:t>管机构的密切联系，及时了解国家、地方对本项目的有关环境保护的法律、法规和其它要求，及时向环境保护主管机构反映与项目有关的污染因素、存在的问题、采取的污染控制对策等环境保护方面的内容，听取环境保护主管机构的批示意见；</w:t>
            </w:r>
          </w:p>
          <w:p w14:paraId="1D03DC5E">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（2）及时将国家、地方与本项目环境保护有关的法律、法规和其它要求向单位负责人汇报，及时向本单位有关机构、人员进行通报，组织职工进行环境保护方面的教育、培训，提高环保意识；</w:t>
            </w:r>
          </w:p>
          <w:p w14:paraId="10FA1683">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（3）及时向单位负责人汇报与本项目有关的污染因素、存在问题、采取的污染控制对策、实施情况等，提出改进建议；</w:t>
            </w:r>
          </w:p>
          <w:p w14:paraId="134E7ACB">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（4）负责制定、监督实施本单位的有关环境保护管理规章制度，负责实施污染控制措施、管理污染治理设施，并进行详细的记录、以备检查；</w:t>
            </w:r>
          </w:p>
          <w:p w14:paraId="271D5B0E">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按照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12F66F4A">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（6）按《江苏省排污口设置及规范化整治管理办法》（苏环控[97]122号）要求，对废气排口、固定噪声污染源、固废临时堆场进行规范化设置。</w:t>
            </w:r>
          </w:p>
          <w:p w14:paraId="72B6D74A">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（7）根据《关于印发排污许可证管理暂行规定的通知》（环水体</w:t>
            </w:r>
            <w:r>
              <w:rPr>
                <w:rFonts w:hint="eastAsia" w:eastAsia="仿宋" w:cs="Times New Roman"/>
                <w:color w:val="auto"/>
                <w:sz w:val="21"/>
                <w:szCs w:val="21"/>
                <w:lang w:val="en-US" w:eastAsia="zh-CN"/>
              </w:rPr>
              <w:t>〔2016〕186号</w:t>
            </w:r>
            <w:r>
              <w:rPr>
                <w:rFonts w:hint="default" w:ascii="Times New Roman" w:hAnsi="Times New Roman" w:eastAsia="仿宋" w:cs="Times New Roman"/>
                <w:color w:val="auto"/>
                <w:sz w:val="21"/>
                <w:szCs w:val="21"/>
                <w:lang w:val="en-US" w:eastAsia="zh-CN"/>
              </w:rPr>
              <w:t>）要求，向社会公开如下信息：</w:t>
            </w:r>
          </w:p>
          <w:p w14:paraId="5207BBD1">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①基础信息，包括单位名称、组织机构代码、法定代表人、生产地址、联系方式，以及生产经营和管理服务的主要内容、产品及规模；</w:t>
            </w:r>
          </w:p>
          <w:p w14:paraId="2DB25572">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②排污信息，包括主要污染物</w:t>
            </w:r>
            <w:r>
              <w:rPr>
                <w:rFonts w:hint="default" w:ascii="Times New Roman" w:hAnsi="Times New Roman" w:eastAsia="仿宋" w:cs="Times New Roman"/>
                <w:color w:val="auto"/>
                <w:sz w:val="21"/>
                <w:szCs w:val="21"/>
              </w:rPr>
              <w:t>及特征污染物的名称、排放方式、排放口数量和分布情况、排放浓度和总量、超标情况，以及执行的污染物排放标准、核定的排放总量；</w:t>
            </w:r>
          </w:p>
          <w:p w14:paraId="64423ABC">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③防治污染设施的建设和运行情况；</w:t>
            </w:r>
          </w:p>
          <w:p w14:paraId="508F22BC">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④建设项目环境影响</w:t>
            </w:r>
            <w:r>
              <w:rPr>
                <w:rFonts w:hint="default" w:ascii="Times New Roman" w:hAnsi="Times New Roman" w:eastAsia="仿宋" w:cs="Times New Roman"/>
                <w:color w:val="auto"/>
                <w:sz w:val="21"/>
                <w:szCs w:val="21"/>
                <w:lang w:val="en-US" w:eastAsia="zh-CN"/>
              </w:rPr>
              <w:t>评价</w:t>
            </w:r>
            <w:r>
              <w:rPr>
                <w:rFonts w:hint="default" w:ascii="Times New Roman" w:hAnsi="Times New Roman" w:eastAsia="仿宋" w:cs="Times New Roman"/>
                <w:color w:val="auto"/>
                <w:sz w:val="21"/>
                <w:szCs w:val="21"/>
              </w:rPr>
              <w:t>及其他环境保护行政许可情况；</w:t>
            </w:r>
          </w:p>
          <w:p w14:paraId="4AA6752B">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⑤突发环境事件应急</w:t>
            </w:r>
            <w:r>
              <w:rPr>
                <w:rFonts w:hint="default" w:ascii="Times New Roman" w:hAnsi="Times New Roman" w:eastAsia="仿宋" w:cs="Times New Roman"/>
                <w:color w:val="auto"/>
                <w:sz w:val="21"/>
                <w:szCs w:val="21"/>
                <w:lang w:val="en-US" w:eastAsia="zh-CN"/>
              </w:rPr>
              <w:t>预案</w:t>
            </w:r>
            <w:r>
              <w:rPr>
                <w:rFonts w:hint="default" w:ascii="Times New Roman" w:hAnsi="Times New Roman" w:eastAsia="仿宋" w:cs="Times New Roman"/>
                <w:color w:val="auto"/>
                <w:sz w:val="21"/>
                <w:szCs w:val="21"/>
              </w:rPr>
              <w:t>。</w:t>
            </w:r>
          </w:p>
        </w:tc>
      </w:tr>
    </w:tbl>
    <w:p w14:paraId="1AD982AB">
      <w:pPr>
        <w:pStyle w:val="22"/>
        <w:spacing w:before="0" w:beforeAutospacing="0" w:after="0" w:afterAutospacing="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rPr>
        <w:br w:type="page"/>
      </w:r>
      <w:bookmarkStart w:id="8" w:name="_Toc28394"/>
      <w:r>
        <w:rPr>
          <w:rFonts w:hint="default" w:ascii="Times New Roman" w:hAnsi="Times New Roman" w:eastAsia="仿宋" w:cs="Times New Roman"/>
          <w:snapToGrid w:val="0"/>
          <w:color w:val="auto"/>
          <w:sz w:val="30"/>
          <w:szCs w:val="30"/>
        </w:rPr>
        <w:t>六、结论</w:t>
      </w:r>
      <w:bookmarkEnd w:id="8"/>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C88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9" w:hRule="atLeast"/>
          <w:jc w:val="center"/>
        </w:trPr>
        <w:tc>
          <w:tcPr>
            <w:tcW w:w="8865" w:type="dxa"/>
          </w:tcPr>
          <w:p w14:paraId="6767F2F5">
            <w:pPr>
              <w:adjustRightInd w:val="0"/>
              <w:snapToGrid w:val="0"/>
              <w:spacing w:line="500" w:lineRule="exact"/>
              <w:ind w:firstLine="480" w:firstLineChars="200"/>
              <w:contextualSpacing/>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符合国家、地方法律法规产业政策和“三线一单”要求；符合相关规划，选址合理；项目产生的各项污染物采取合理有效的治理措施后均可得到有效处置，实现达标排放，对外环境的影响较小，不会造成区域环境质量下降；本项目建成后排放的各类污染物可以在区域内实现平衡；在做好各项风险防范及应急措施的前提下本项目的环境风险在可接受水平内。</w:t>
            </w:r>
          </w:p>
          <w:p w14:paraId="62CD812B">
            <w:pPr>
              <w:adjustRightInd w:val="0"/>
              <w:snapToGrid w:val="0"/>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因此，建设单位在重视环保工作，落实本报告表提出的各项环保措施要求、严格执行环保“三同时”的前提下，从环保角度分析，本项目建设具有环境可行性。</w:t>
            </w:r>
          </w:p>
        </w:tc>
      </w:tr>
    </w:tbl>
    <w:p w14:paraId="7C7AE278">
      <w:pPr>
        <w:adjustRightInd w:val="0"/>
        <w:snapToGrid w:val="0"/>
        <w:spacing w:line="480" w:lineRule="exact"/>
        <w:rPr>
          <w:rFonts w:hint="default" w:ascii="Times New Roman" w:hAnsi="Times New Roman" w:eastAsia="仿宋" w:cs="Times New Roman"/>
          <w:color w:val="auto"/>
        </w:rPr>
      </w:pPr>
    </w:p>
    <w:p w14:paraId="6EE6E461">
      <w:pPr>
        <w:rPr>
          <w:rFonts w:hint="default" w:ascii="Times New Roman" w:hAnsi="Times New Roman" w:eastAsia="仿宋" w:cs="Times New Roman"/>
          <w:color w:val="auto"/>
        </w:rPr>
      </w:pPr>
    </w:p>
    <w:p w14:paraId="0C2CB598">
      <w:pPr>
        <w:rPr>
          <w:rFonts w:hint="default" w:ascii="Times New Roman" w:hAnsi="Times New Roman" w:eastAsia="仿宋" w:cs="Times New Roman"/>
          <w:color w:val="auto"/>
        </w:rPr>
        <w:sectPr>
          <w:pgSz w:w="11906" w:h="16838"/>
          <w:pgMar w:top="1701" w:right="1531" w:bottom="1701" w:left="1531" w:header="851" w:footer="1134" w:gutter="0"/>
          <w:pgBorders>
            <w:top w:val="none" w:sz="0" w:space="0"/>
            <w:left w:val="none" w:sz="0" w:space="0"/>
            <w:bottom w:val="none" w:sz="0" w:space="0"/>
            <w:right w:val="none" w:sz="0" w:space="0"/>
          </w:pgBorders>
          <w:cols w:space="720" w:num="1"/>
          <w:docGrid w:linePitch="312" w:charSpace="0"/>
        </w:sectPr>
      </w:pPr>
    </w:p>
    <w:p w14:paraId="63E56C06">
      <w:pPr>
        <w:pStyle w:val="22"/>
        <w:adjustRightInd w:val="0"/>
        <w:snapToGrid w:val="0"/>
        <w:spacing w:before="0" w:beforeAutospacing="0" w:after="0" w:afterAutospacing="0"/>
        <w:contextualSpacing/>
        <w:outlineLvl w:val="0"/>
        <w:rPr>
          <w:rFonts w:hint="default" w:ascii="Times New Roman" w:hAnsi="Times New Roman" w:eastAsia="仿宋" w:cs="Times New Roman"/>
          <w:snapToGrid w:val="0"/>
          <w:color w:val="auto"/>
          <w:sz w:val="32"/>
          <w:szCs w:val="32"/>
        </w:rPr>
      </w:pPr>
      <w:bookmarkStart w:id="9" w:name="_Toc6584"/>
      <w:r>
        <w:rPr>
          <w:rFonts w:hint="default" w:ascii="Times New Roman" w:hAnsi="Times New Roman" w:eastAsia="仿宋" w:cs="Times New Roman"/>
          <w:snapToGrid w:val="0"/>
          <w:color w:val="auto"/>
          <w:sz w:val="32"/>
          <w:szCs w:val="32"/>
        </w:rPr>
        <w:t>附表</w:t>
      </w:r>
      <w:bookmarkEnd w:id="9"/>
    </w:p>
    <w:p w14:paraId="1CFAAD3B">
      <w:pPr>
        <w:pStyle w:val="22"/>
        <w:adjustRightInd w:val="0"/>
        <w:snapToGrid w:val="0"/>
        <w:spacing w:before="0" w:beforeAutospacing="0" w:after="0" w:afterAutospacing="0"/>
        <w:contextualSpacing/>
        <w:jc w:val="center"/>
        <w:outlineLvl w:val="0"/>
        <w:rPr>
          <w:rFonts w:hint="default" w:ascii="Times New Roman" w:hAnsi="Times New Roman" w:eastAsia="仿宋" w:cs="Times New Roman"/>
          <w:snapToGrid w:val="0"/>
          <w:color w:val="auto"/>
          <w:sz w:val="38"/>
          <w:szCs w:val="38"/>
        </w:rPr>
      </w:pPr>
      <w:bookmarkStart w:id="10" w:name="_Toc169"/>
      <w:r>
        <w:rPr>
          <w:rFonts w:hint="default" w:ascii="Times New Roman" w:hAnsi="Times New Roman" w:eastAsia="仿宋" w:cs="Times New Roman"/>
          <w:snapToGrid w:val="0"/>
          <w:color w:val="auto"/>
          <w:sz w:val="38"/>
          <w:szCs w:val="38"/>
        </w:rPr>
        <w:t>建设项目污染物排放量汇总表</w:t>
      </w:r>
      <w:bookmarkEnd w:id="10"/>
    </w:p>
    <w:tbl>
      <w:tblPr>
        <w:tblStyle w:val="27"/>
        <w:tblW w:w="13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901"/>
        <w:gridCol w:w="1701"/>
        <w:gridCol w:w="1523"/>
        <w:gridCol w:w="1454"/>
        <w:gridCol w:w="1559"/>
        <w:gridCol w:w="1427"/>
        <w:gridCol w:w="1639"/>
        <w:gridCol w:w="1430"/>
      </w:tblGrid>
      <w:tr w14:paraId="1553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blHeader/>
          <w:jc w:val="center"/>
        </w:trPr>
        <w:tc>
          <w:tcPr>
            <w:tcW w:w="1104" w:type="dxa"/>
            <w:tcBorders>
              <w:tl2br w:val="single" w:color="auto" w:sz="4" w:space="0"/>
            </w:tcBorders>
            <w:tcMar>
              <w:left w:w="28" w:type="dxa"/>
              <w:right w:w="28" w:type="dxa"/>
            </w:tcMar>
            <w:vAlign w:val="center"/>
          </w:tcPr>
          <w:p w14:paraId="48AF4B39">
            <w:pPr>
              <w:pStyle w:val="44"/>
              <w:spacing w:beforeLines="0" w:afterLines="0" w:line="240" w:lineRule="auto"/>
              <w:jc w:val="right"/>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项目</w:t>
            </w:r>
          </w:p>
          <w:p w14:paraId="734A1572">
            <w:pPr>
              <w:pStyle w:val="44"/>
              <w:spacing w:beforeLines="0" w:afterLines="0" w:line="240" w:lineRule="auto"/>
              <w:jc w:val="left"/>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分类</w:t>
            </w:r>
          </w:p>
        </w:tc>
        <w:tc>
          <w:tcPr>
            <w:tcW w:w="1901" w:type="dxa"/>
            <w:tcMar>
              <w:left w:w="28" w:type="dxa"/>
              <w:right w:w="28" w:type="dxa"/>
            </w:tcMar>
            <w:vAlign w:val="center"/>
          </w:tcPr>
          <w:p w14:paraId="49A48518">
            <w:pPr>
              <w:pStyle w:val="44"/>
              <w:spacing w:beforeLines="0" w:afterLines="0" w:line="240" w:lineRule="auto"/>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污染物名称</w:t>
            </w:r>
          </w:p>
        </w:tc>
        <w:tc>
          <w:tcPr>
            <w:tcW w:w="1701" w:type="dxa"/>
            <w:tcMar>
              <w:left w:w="28" w:type="dxa"/>
              <w:right w:w="28" w:type="dxa"/>
            </w:tcMar>
            <w:vAlign w:val="center"/>
          </w:tcPr>
          <w:p w14:paraId="58BE0CA9">
            <w:pPr>
              <w:pStyle w:val="44"/>
              <w:spacing w:beforeLines="0" w:afterLines="0" w:line="240" w:lineRule="auto"/>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现有工程</w:t>
            </w:r>
          </w:p>
          <w:p w14:paraId="0917A53B">
            <w:pPr>
              <w:pStyle w:val="44"/>
              <w:spacing w:beforeLines="0" w:afterLines="0" w:line="240" w:lineRule="auto"/>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排放量（固体废物产生量）</w:t>
            </w:r>
            <w:r>
              <w:rPr>
                <w:rFonts w:hint="default" w:ascii="Times New Roman" w:hAnsi="Times New Roman" w:eastAsia="仿宋" w:cs="Times New Roman"/>
                <w:snapToGrid w:val="0"/>
                <w:color w:val="auto"/>
                <w:spacing w:val="-6"/>
                <w:kern w:val="21"/>
                <w:sz w:val="21"/>
                <w:szCs w:val="21"/>
              </w:rPr>
              <w:fldChar w:fldCharType="begin"/>
            </w:r>
            <w:r>
              <w:rPr>
                <w:rFonts w:hint="default" w:ascii="Times New Roman" w:hAnsi="Times New Roman" w:eastAsia="仿宋" w:cs="Times New Roman"/>
                <w:snapToGrid w:val="0"/>
                <w:color w:val="auto"/>
                <w:spacing w:val="-6"/>
                <w:kern w:val="21"/>
                <w:sz w:val="21"/>
                <w:szCs w:val="21"/>
              </w:rPr>
              <w:instrText xml:space="preserve"> = 1 \* GB3 \* MERGEFORMAT </w:instrText>
            </w:r>
            <w:r>
              <w:rPr>
                <w:rFonts w:hint="default" w:ascii="Times New Roman" w:hAnsi="Times New Roman" w:eastAsia="仿宋" w:cs="Times New Roman"/>
                <w:snapToGrid w:val="0"/>
                <w:color w:val="auto"/>
                <w:spacing w:val="-6"/>
                <w:kern w:val="21"/>
                <w:sz w:val="21"/>
                <w:szCs w:val="21"/>
              </w:rPr>
              <w:fldChar w:fldCharType="separate"/>
            </w:r>
            <w:r>
              <w:rPr>
                <w:rFonts w:hint="default" w:ascii="Times New Roman" w:hAnsi="Times New Roman" w:eastAsia="仿宋" w:cs="Times New Roman"/>
                <w:color w:val="auto"/>
                <w:kern w:val="2"/>
                <w:sz w:val="21"/>
                <w:szCs w:val="21"/>
              </w:rPr>
              <w:t>①</w:t>
            </w:r>
            <w:r>
              <w:rPr>
                <w:rFonts w:hint="default" w:ascii="Times New Roman" w:hAnsi="Times New Roman" w:eastAsia="仿宋" w:cs="Times New Roman"/>
                <w:snapToGrid w:val="0"/>
                <w:color w:val="auto"/>
                <w:spacing w:val="-6"/>
                <w:kern w:val="21"/>
                <w:sz w:val="21"/>
                <w:szCs w:val="21"/>
              </w:rPr>
              <w:fldChar w:fldCharType="end"/>
            </w:r>
          </w:p>
        </w:tc>
        <w:tc>
          <w:tcPr>
            <w:tcW w:w="1523" w:type="dxa"/>
            <w:tcMar>
              <w:left w:w="28" w:type="dxa"/>
              <w:right w:w="28" w:type="dxa"/>
            </w:tcMar>
            <w:vAlign w:val="center"/>
          </w:tcPr>
          <w:p w14:paraId="5624D409">
            <w:pPr>
              <w:pStyle w:val="44"/>
              <w:spacing w:beforeLines="0" w:afterLines="0" w:line="240" w:lineRule="auto"/>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现有工程</w:t>
            </w:r>
          </w:p>
          <w:p w14:paraId="60DF64E0">
            <w:pPr>
              <w:pStyle w:val="44"/>
              <w:spacing w:beforeLines="0" w:afterLines="0" w:line="240" w:lineRule="auto"/>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许可排放量</w:t>
            </w:r>
          </w:p>
          <w:p w14:paraId="1C9709E8">
            <w:pPr>
              <w:pStyle w:val="44"/>
              <w:spacing w:beforeLines="0" w:afterLines="0"/>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fldChar w:fldCharType="begin"/>
            </w:r>
            <w:r>
              <w:rPr>
                <w:rFonts w:hint="default" w:ascii="Times New Roman" w:hAnsi="Times New Roman" w:eastAsia="仿宋" w:cs="Times New Roman"/>
                <w:snapToGrid w:val="0"/>
                <w:color w:val="auto"/>
                <w:spacing w:val="-6"/>
                <w:kern w:val="21"/>
                <w:sz w:val="21"/>
                <w:szCs w:val="21"/>
              </w:rPr>
              <w:instrText xml:space="preserve"> = 2 \* GB3 \* MERGEFORMAT </w:instrText>
            </w:r>
            <w:r>
              <w:rPr>
                <w:rFonts w:hint="default" w:ascii="Times New Roman" w:hAnsi="Times New Roman" w:eastAsia="仿宋" w:cs="Times New Roman"/>
                <w:snapToGrid w:val="0"/>
                <w:color w:val="auto"/>
                <w:spacing w:val="-6"/>
                <w:kern w:val="21"/>
                <w:sz w:val="21"/>
                <w:szCs w:val="21"/>
              </w:rPr>
              <w:fldChar w:fldCharType="separate"/>
            </w:r>
            <w:r>
              <w:rPr>
                <w:rFonts w:hint="default" w:ascii="Times New Roman" w:hAnsi="Times New Roman" w:eastAsia="仿宋" w:cs="Times New Roman"/>
                <w:snapToGrid w:val="0"/>
                <w:color w:val="auto"/>
                <w:spacing w:val="-6"/>
                <w:kern w:val="21"/>
                <w:sz w:val="21"/>
                <w:szCs w:val="21"/>
              </w:rPr>
              <w:t>②</w:t>
            </w:r>
            <w:r>
              <w:rPr>
                <w:rFonts w:hint="default" w:ascii="Times New Roman" w:hAnsi="Times New Roman" w:eastAsia="仿宋" w:cs="Times New Roman"/>
                <w:snapToGrid w:val="0"/>
                <w:color w:val="auto"/>
                <w:spacing w:val="-6"/>
                <w:kern w:val="21"/>
                <w:sz w:val="21"/>
                <w:szCs w:val="21"/>
              </w:rPr>
              <w:fldChar w:fldCharType="end"/>
            </w:r>
          </w:p>
        </w:tc>
        <w:tc>
          <w:tcPr>
            <w:tcW w:w="1454" w:type="dxa"/>
            <w:tcMar>
              <w:left w:w="28" w:type="dxa"/>
              <w:right w:w="28" w:type="dxa"/>
            </w:tcMar>
            <w:vAlign w:val="center"/>
          </w:tcPr>
          <w:p w14:paraId="43FB0424">
            <w:pPr>
              <w:pStyle w:val="44"/>
              <w:spacing w:beforeLines="0" w:afterLines="0" w:line="240" w:lineRule="auto"/>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在建工程</w:t>
            </w:r>
          </w:p>
          <w:p w14:paraId="259FC439">
            <w:pPr>
              <w:pStyle w:val="44"/>
              <w:spacing w:beforeLines="0" w:afterLines="0" w:line="240" w:lineRule="auto"/>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排放量（固体废物产生量）</w:t>
            </w:r>
            <w:r>
              <w:rPr>
                <w:rFonts w:hint="default" w:ascii="Times New Roman" w:hAnsi="Times New Roman" w:eastAsia="仿宋" w:cs="Times New Roman"/>
                <w:snapToGrid w:val="0"/>
                <w:color w:val="auto"/>
                <w:spacing w:val="-6"/>
                <w:kern w:val="21"/>
                <w:sz w:val="21"/>
                <w:szCs w:val="21"/>
              </w:rPr>
              <w:fldChar w:fldCharType="begin"/>
            </w:r>
            <w:r>
              <w:rPr>
                <w:rFonts w:hint="default" w:ascii="Times New Roman" w:hAnsi="Times New Roman" w:eastAsia="仿宋" w:cs="Times New Roman"/>
                <w:snapToGrid w:val="0"/>
                <w:color w:val="auto"/>
                <w:spacing w:val="-6"/>
                <w:kern w:val="21"/>
                <w:sz w:val="21"/>
                <w:szCs w:val="21"/>
              </w:rPr>
              <w:instrText xml:space="preserve"> = 3 \* GB3 \* MERGEFORMAT </w:instrText>
            </w:r>
            <w:r>
              <w:rPr>
                <w:rFonts w:hint="default" w:ascii="Times New Roman" w:hAnsi="Times New Roman" w:eastAsia="仿宋" w:cs="Times New Roman"/>
                <w:snapToGrid w:val="0"/>
                <w:color w:val="auto"/>
                <w:spacing w:val="-6"/>
                <w:kern w:val="21"/>
                <w:sz w:val="21"/>
                <w:szCs w:val="21"/>
              </w:rPr>
              <w:fldChar w:fldCharType="separate"/>
            </w:r>
            <w:r>
              <w:rPr>
                <w:rFonts w:hint="default" w:ascii="Times New Roman" w:hAnsi="Times New Roman" w:eastAsia="仿宋" w:cs="Times New Roman"/>
                <w:color w:val="auto"/>
                <w:kern w:val="2"/>
                <w:sz w:val="21"/>
                <w:szCs w:val="21"/>
              </w:rPr>
              <w:t>③</w:t>
            </w:r>
            <w:r>
              <w:rPr>
                <w:rFonts w:hint="default" w:ascii="Times New Roman" w:hAnsi="Times New Roman" w:eastAsia="仿宋" w:cs="Times New Roman"/>
                <w:snapToGrid w:val="0"/>
                <w:color w:val="auto"/>
                <w:spacing w:val="-6"/>
                <w:kern w:val="21"/>
                <w:sz w:val="21"/>
                <w:szCs w:val="21"/>
              </w:rPr>
              <w:fldChar w:fldCharType="end"/>
            </w:r>
          </w:p>
        </w:tc>
        <w:tc>
          <w:tcPr>
            <w:tcW w:w="1559" w:type="dxa"/>
            <w:tcMar>
              <w:left w:w="28" w:type="dxa"/>
              <w:right w:w="28" w:type="dxa"/>
            </w:tcMar>
            <w:vAlign w:val="center"/>
          </w:tcPr>
          <w:p w14:paraId="0A0E48E4">
            <w:pPr>
              <w:pStyle w:val="44"/>
              <w:spacing w:beforeLines="0" w:afterLines="0" w:line="240" w:lineRule="auto"/>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本项目</w:t>
            </w:r>
          </w:p>
          <w:p w14:paraId="65C46ACC">
            <w:pPr>
              <w:pStyle w:val="44"/>
              <w:spacing w:beforeLines="0" w:afterLines="0" w:line="240" w:lineRule="auto"/>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排放量（固体废物产生量）</w:t>
            </w:r>
            <w:r>
              <w:rPr>
                <w:rFonts w:hint="default" w:ascii="Times New Roman" w:hAnsi="Times New Roman" w:eastAsia="仿宋" w:cs="Times New Roman"/>
                <w:snapToGrid w:val="0"/>
                <w:color w:val="auto"/>
                <w:spacing w:val="-6"/>
                <w:kern w:val="21"/>
                <w:sz w:val="21"/>
                <w:szCs w:val="21"/>
              </w:rPr>
              <w:fldChar w:fldCharType="begin"/>
            </w:r>
            <w:r>
              <w:rPr>
                <w:rFonts w:hint="default" w:ascii="Times New Roman" w:hAnsi="Times New Roman" w:eastAsia="仿宋" w:cs="Times New Roman"/>
                <w:snapToGrid w:val="0"/>
                <w:color w:val="auto"/>
                <w:spacing w:val="-6"/>
                <w:kern w:val="21"/>
                <w:sz w:val="21"/>
                <w:szCs w:val="21"/>
              </w:rPr>
              <w:instrText xml:space="preserve"> = 4 \* GB3 \* MERGEFORMAT </w:instrText>
            </w:r>
            <w:r>
              <w:rPr>
                <w:rFonts w:hint="default" w:ascii="Times New Roman" w:hAnsi="Times New Roman" w:eastAsia="仿宋" w:cs="Times New Roman"/>
                <w:snapToGrid w:val="0"/>
                <w:color w:val="auto"/>
                <w:spacing w:val="-6"/>
                <w:kern w:val="21"/>
                <w:sz w:val="21"/>
                <w:szCs w:val="21"/>
              </w:rPr>
              <w:fldChar w:fldCharType="separate"/>
            </w:r>
            <w:r>
              <w:rPr>
                <w:rFonts w:hint="default" w:ascii="Times New Roman" w:hAnsi="Times New Roman" w:eastAsia="仿宋" w:cs="Times New Roman"/>
                <w:color w:val="auto"/>
                <w:kern w:val="2"/>
                <w:sz w:val="21"/>
                <w:szCs w:val="21"/>
              </w:rPr>
              <w:t>④</w:t>
            </w:r>
            <w:r>
              <w:rPr>
                <w:rFonts w:hint="default" w:ascii="Times New Roman" w:hAnsi="Times New Roman" w:eastAsia="仿宋" w:cs="Times New Roman"/>
                <w:snapToGrid w:val="0"/>
                <w:color w:val="auto"/>
                <w:spacing w:val="-6"/>
                <w:kern w:val="21"/>
                <w:sz w:val="21"/>
                <w:szCs w:val="21"/>
              </w:rPr>
              <w:fldChar w:fldCharType="end"/>
            </w:r>
          </w:p>
        </w:tc>
        <w:tc>
          <w:tcPr>
            <w:tcW w:w="1427" w:type="dxa"/>
            <w:tcMar>
              <w:left w:w="28" w:type="dxa"/>
              <w:right w:w="28" w:type="dxa"/>
            </w:tcMar>
            <w:vAlign w:val="center"/>
          </w:tcPr>
          <w:p w14:paraId="66A902D4">
            <w:pPr>
              <w:pStyle w:val="44"/>
              <w:spacing w:beforeLines="0" w:afterLines="0" w:line="240" w:lineRule="auto"/>
              <w:rPr>
                <w:rFonts w:hint="default" w:ascii="Times New Roman" w:hAnsi="Times New Roman" w:eastAsia="仿宋" w:cs="Times New Roman"/>
                <w:snapToGrid w:val="0"/>
                <w:color w:val="auto"/>
                <w:spacing w:val="-16"/>
                <w:kern w:val="21"/>
                <w:sz w:val="21"/>
                <w:szCs w:val="21"/>
              </w:rPr>
            </w:pPr>
            <w:r>
              <w:rPr>
                <w:rFonts w:hint="default" w:ascii="Times New Roman" w:hAnsi="Times New Roman" w:eastAsia="仿宋" w:cs="Times New Roman"/>
                <w:snapToGrid w:val="0"/>
                <w:color w:val="auto"/>
                <w:spacing w:val="-16"/>
                <w:kern w:val="21"/>
                <w:sz w:val="21"/>
                <w:szCs w:val="21"/>
              </w:rPr>
              <w:t>以新带老削减量</w:t>
            </w:r>
          </w:p>
          <w:p w14:paraId="0538A5C4">
            <w:pPr>
              <w:pStyle w:val="44"/>
              <w:spacing w:beforeLines="0" w:afterLines="0" w:line="240" w:lineRule="auto"/>
              <w:rPr>
                <w:rFonts w:hint="default" w:ascii="Times New Roman" w:hAnsi="Times New Roman" w:eastAsia="仿宋" w:cs="Times New Roman"/>
                <w:snapToGrid w:val="0"/>
                <w:color w:val="auto"/>
                <w:spacing w:val="-16"/>
                <w:kern w:val="21"/>
                <w:sz w:val="21"/>
                <w:szCs w:val="21"/>
              </w:rPr>
            </w:pPr>
            <w:r>
              <w:rPr>
                <w:rFonts w:hint="default" w:ascii="Times New Roman" w:hAnsi="Times New Roman" w:eastAsia="仿宋" w:cs="Times New Roman"/>
                <w:snapToGrid w:val="0"/>
                <w:color w:val="auto"/>
                <w:spacing w:val="-16"/>
                <w:kern w:val="21"/>
                <w:sz w:val="21"/>
                <w:szCs w:val="21"/>
              </w:rPr>
              <w:t>（新建项目不填）</w:t>
            </w:r>
            <w:r>
              <w:rPr>
                <w:rFonts w:hint="default" w:ascii="Times New Roman" w:hAnsi="Times New Roman" w:eastAsia="仿宋" w:cs="Times New Roman"/>
                <w:snapToGrid w:val="0"/>
                <w:color w:val="auto"/>
                <w:spacing w:val="-16"/>
                <w:kern w:val="21"/>
                <w:sz w:val="21"/>
                <w:szCs w:val="21"/>
              </w:rPr>
              <w:fldChar w:fldCharType="begin"/>
            </w:r>
            <w:r>
              <w:rPr>
                <w:rFonts w:hint="default" w:ascii="Times New Roman" w:hAnsi="Times New Roman" w:eastAsia="仿宋" w:cs="Times New Roman"/>
                <w:snapToGrid w:val="0"/>
                <w:color w:val="auto"/>
                <w:spacing w:val="-16"/>
                <w:kern w:val="21"/>
                <w:sz w:val="21"/>
                <w:szCs w:val="21"/>
              </w:rPr>
              <w:instrText xml:space="preserve"> = 5 \* GB3 \* MERGEFORMAT </w:instrText>
            </w:r>
            <w:r>
              <w:rPr>
                <w:rFonts w:hint="default" w:ascii="Times New Roman" w:hAnsi="Times New Roman" w:eastAsia="仿宋" w:cs="Times New Roman"/>
                <w:snapToGrid w:val="0"/>
                <w:color w:val="auto"/>
                <w:spacing w:val="-16"/>
                <w:kern w:val="21"/>
                <w:sz w:val="21"/>
                <w:szCs w:val="21"/>
              </w:rPr>
              <w:fldChar w:fldCharType="separate"/>
            </w:r>
            <w:r>
              <w:rPr>
                <w:rFonts w:hint="default" w:ascii="Times New Roman" w:hAnsi="Times New Roman" w:eastAsia="仿宋" w:cs="Times New Roman"/>
                <w:color w:val="auto"/>
                <w:kern w:val="2"/>
                <w:sz w:val="21"/>
                <w:szCs w:val="21"/>
              </w:rPr>
              <w:t>⑤</w:t>
            </w:r>
            <w:r>
              <w:rPr>
                <w:rFonts w:hint="default" w:ascii="Times New Roman" w:hAnsi="Times New Roman" w:eastAsia="仿宋" w:cs="Times New Roman"/>
                <w:snapToGrid w:val="0"/>
                <w:color w:val="auto"/>
                <w:spacing w:val="-16"/>
                <w:kern w:val="21"/>
                <w:sz w:val="21"/>
                <w:szCs w:val="21"/>
              </w:rPr>
              <w:fldChar w:fldCharType="end"/>
            </w:r>
          </w:p>
        </w:tc>
        <w:tc>
          <w:tcPr>
            <w:tcW w:w="1639" w:type="dxa"/>
            <w:tcMar>
              <w:left w:w="28" w:type="dxa"/>
              <w:right w:w="28" w:type="dxa"/>
            </w:tcMar>
            <w:vAlign w:val="center"/>
          </w:tcPr>
          <w:p w14:paraId="50BF7001">
            <w:pPr>
              <w:pStyle w:val="44"/>
              <w:spacing w:beforeLines="0" w:afterLines="0" w:line="240" w:lineRule="auto"/>
              <w:rPr>
                <w:rFonts w:hint="default" w:ascii="Times New Roman" w:hAnsi="Times New Roman" w:eastAsia="仿宋" w:cs="Times New Roman"/>
                <w:snapToGrid w:val="0"/>
                <w:color w:val="auto"/>
                <w:spacing w:val="-16"/>
                <w:kern w:val="21"/>
                <w:sz w:val="21"/>
                <w:szCs w:val="21"/>
              </w:rPr>
            </w:pPr>
            <w:r>
              <w:rPr>
                <w:rFonts w:hint="default" w:ascii="Times New Roman" w:hAnsi="Times New Roman" w:eastAsia="仿宋" w:cs="Times New Roman"/>
                <w:snapToGrid w:val="0"/>
                <w:color w:val="auto"/>
                <w:spacing w:val="-16"/>
                <w:kern w:val="21"/>
                <w:sz w:val="21"/>
                <w:szCs w:val="21"/>
              </w:rPr>
              <w:t>本项目建成后</w:t>
            </w:r>
          </w:p>
          <w:p w14:paraId="0BD28B56">
            <w:pPr>
              <w:pStyle w:val="44"/>
              <w:spacing w:beforeLines="0" w:afterLines="0" w:line="240" w:lineRule="auto"/>
              <w:rPr>
                <w:rFonts w:hint="default" w:ascii="Times New Roman" w:hAnsi="Times New Roman" w:eastAsia="仿宋" w:cs="Times New Roman"/>
                <w:snapToGrid w:val="0"/>
                <w:color w:val="auto"/>
                <w:spacing w:val="-16"/>
                <w:kern w:val="21"/>
                <w:sz w:val="21"/>
                <w:szCs w:val="21"/>
              </w:rPr>
            </w:pPr>
            <w:r>
              <w:rPr>
                <w:rFonts w:hint="default" w:ascii="Times New Roman" w:hAnsi="Times New Roman" w:eastAsia="仿宋" w:cs="Times New Roman"/>
                <w:snapToGrid w:val="0"/>
                <w:color w:val="auto"/>
                <w:spacing w:val="-16"/>
                <w:kern w:val="21"/>
                <w:sz w:val="21"/>
                <w:szCs w:val="21"/>
              </w:rPr>
              <w:t>全厂排放量（固体废物产生量）</w:t>
            </w:r>
            <w:r>
              <w:rPr>
                <w:rFonts w:hint="default" w:ascii="Times New Roman" w:hAnsi="Times New Roman" w:eastAsia="仿宋" w:cs="Times New Roman"/>
                <w:snapToGrid w:val="0"/>
                <w:color w:val="auto"/>
                <w:spacing w:val="-16"/>
                <w:kern w:val="21"/>
                <w:sz w:val="21"/>
                <w:szCs w:val="21"/>
              </w:rPr>
              <w:fldChar w:fldCharType="begin"/>
            </w:r>
            <w:r>
              <w:rPr>
                <w:rFonts w:hint="default" w:ascii="Times New Roman" w:hAnsi="Times New Roman" w:eastAsia="仿宋" w:cs="Times New Roman"/>
                <w:snapToGrid w:val="0"/>
                <w:color w:val="auto"/>
                <w:spacing w:val="-16"/>
                <w:kern w:val="21"/>
                <w:sz w:val="21"/>
                <w:szCs w:val="21"/>
              </w:rPr>
              <w:instrText xml:space="preserve"> = 6 \* GB3 \* MERGEFORMAT </w:instrText>
            </w:r>
            <w:r>
              <w:rPr>
                <w:rFonts w:hint="default" w:ascii="Times New Roman" w:hAnsi="Times New Roman" w:eastAsia="仿宋" w:cs="Times New Roman"/>
                <w:snapToGrid w:val="0"/>
                <w:color w:val="auto"/>
                <w:spacing w:val="-16"/>
                <w:kern w:val="21"/>
                <w:sz w:val="21"/>
                <w:szCs w:val="21"/>
              </w:rPr>
              <w:fldChar w:fldCharType="separate"/>
            </w:r>
            <w:r>
              <w:rPr>
                <w:rFonts w:hint="default" w:ascii="Times New Roman" w:hAnsi="Times New Roman" w:eastAsia="仿宋" w:cs="Times New Roman"/>
                <w:color w:val="auto"/>
                <w:kern w:val="2"/>
                <w:sz w:val="21"/>
                <w:szCs w:val="21"/>
              </w:rPr>
              <w:t>⑥</w:t>
            </w:r>
            <w:r>
              <w:rPr>
                <w:rFonts w:hint="default" w:ascii="Times New Roman" w:hAnsi="Times New Roman" w:eastAsia="仿宋" w:cs="Times New Roman"/>
                <w:snapToGrid w:val="0"/>
                <w:color w:val="auto"/>
                <w:spacing w:val="-16"/>
                <w:kern w:val="21"/>
                <w:sz w:val="21"/>
                <w:szCs w:val="21"/>
              </w:rPr>
              <w:fldChar w:fldCharType="end"/>
            </w:r>
          </w:p>
        </w:tc>
        <w:tc>
          <w:tcPr>
            <w:tcW w:w="1430" w:type="dxa"/>
            <w:tcMar>
              <w:left w:w="28" w:type="dxa"/>
              <w:right w:w="28" w:type="dxa"/>
            </w:tcMar>
            <w:vAlign w:val="center"/>
          </w:tcPr>
          <w:p w14:paraId="4FECFD82">
            <w:pPr>
              <w:pStyle w:val="44"/>
              <w:spacing w:beforeLines="0" w:afterLines="0" w:line="240" w:lineRule="auto"/>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变化量</w:t>
            </w:r>
          </w:p>
          <w:p w14:paraId="7498DFB6">
            <w:pPr>
              <w:pStyle w:val="44"/>
              <w:spacing w:beforeLines="0" w:afterLines="0" w:line="240" w:lineRule="auto"/>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fldChar w:fldCharType="begin"/>
            </w:r>
            <w:r>
              <w:rPr>
                <w:rFonts w:hint="default" w:ascii="Times New Roman" w:hAnsi="Times New Roman" w:eastAsia="仿宋" w:cs="Times New Roman"/>
                <w:snapToGrid w:val="0"/>
                <w:color w:val="auto"/>
                <w:spacing w:val="-6"/>
                <w:kern w:val="21"/>
                <w:sz w:val="21"/>
                <w:szCs w:val="21"/>
              </w:rPr>
              <w:instrText xml:space="preserve"> = 7 \* GB3 \* MERGEFORMAT </w:instrText>
            </w:r>
            <w:r>
              <w:rPr>
                <w:rFonts w:hint="default" w:ascii="Times New Roman" w:hAnsi="Times New Roman" w:eastAsia="仿宋" w:cs="Times New Roman"/>
                <w:snapToGrid w:val="0"/>
                <w:color w:val="auto"/>
                <w:spacing w:val="-6"/>
                <w:kern w:val="21"/>
                <w:sz w:val="21"/>
                <w:szCs w:val="21"/>
              </w:rPr>
              <w:fldChar w:fldCharType="separate"/>
            </w:r>
            <w:r>
              <w:rPr>
                <w:rFonts w:hint="default" w:ascii="Times New Roman" w:hAnsi="Times New Roman" w:eastAsia="仿宋" w:cs="Times New Roman"/>
                <w:color w:val="auto"/>
                <w:kern w:val="2"/>
                <w:sz w:val="21"/>
                <w:szCs w:val="21"/>
              </w:rPr>
              <w:t>⑦</w:t>
            </w:r>
            <w:r>
              <w:rPr>
                <w:rFonts w:hint="default" w:ascii="Times New Roman" w:hAnsi="Times New Roman" w:eastAsia="仿宋" w:cs="Times New Roman"/>
                <w:snapToGrid w:val="0"/>
                <w:color w:val="auto"/>
                <w:spacing w:val="-6"/>
                <w:kern w:val="21"/>
                <w:sz w:val="21"/>
                <w:szCs w:val="21"/>
              </w:rPr>
              <w:fldChar w:fldCharType="end"/>
            </w:r>
          </w:p>
        </w:tc>
      </w:tr>
      <w:tr w14:paraId="1805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49A2A775">
            <w:pPr>
              <w:pStyle w:val="44"/>
              <w:spacing w:beforeLines="0" w:afterLines="0" w:line="240" w:lineRule="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废气</w:t>
            </w:r>
          </w:p>
        </w:tc>
        <w:tc>
          <w:tcPr>
            <w:tcW w:w="1901" w:type="dxa"/>
            <w:vAlign w:val="center"/>
          </w:tcPr>
          <w:p w14:paraId="450A427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颗粒物</w:t>
            </w:r>
          </w:p>
        </w:tc>
        <w:tc>
          <w:tcPr>
            <w:tcW w:w="1701" w:type="dxa"/>
            <w:vAlign w:val="center"/>
          </w:tcPr>
          <w:p w14:paraId="5CFD3E03">
            <w:pPr>
              <w:keepNext w:val="0"/>
              <w:keepLines w:val="0"/>
              <w:pageBreakBefore w:val="0"/>
              <w:widowControl/>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Cs w:val="21"/>
                <w:lang w:val="en-US" w:eastAsia="zh-CN"/>
              </w:rPr>
              <w:t>0.115</w:t>
            </w:r>
          </w:p>
        </w:tc>
        <w:tc>
          <w:tcPr>
            <w:tcW w:w="1523" w:type="dxa"/>
            <w:vAlign w:val="center"/>
          </w:tcPr>
          <w:p w14:paraId="6BDA8F99">
            <w:pPr>
              <w:widowControl/>
              <w:adjustRightInd w:val="0"/>
              <w:snapToGri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val="en-US" w:eastAsia="zh-CN"/>
              </w:rPr>
              <w:t>0.115</w:t>
            </w:r>
          </w:p>
        </w:tc>
        <w:tc>
          <w:tcPr>
            <w:tcW w:w="1454" w:type="dxa"/>
            <w:vAlign w:val="center"/>
          </w:tcPr>
          <w:p w14:paraId="1C014768">
            <w:pPr>
              <w:pStyle w:val="44"/>
              <w:spacing w:beforeLines="0" w:afterLines="0" w:line="240" w:lineRule="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18D59473">
            <w:pPr>
              <w:keepNext w:val="0"/>
              <w:keepLines w:val="0"/>
              <w:pageBreakBefore w:val="0"/>
              <w:widowControl/>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0"/>
                <w:sz w:val="21"/>
                <w:szCs w:val="21"/>
                <w:lang w:val="en-US" w:eastAsia="zh-CN"/>
              </w:rPr>
              <w:t>0.479</w:t>
            </w:r>
          </w:p>
        </w:tc>
        <w:tc>
          <w:tcPr>
            <w:tcW w:w="1427" w:type="dxa"/>
            <w:vAlign w:val="center"/>
          </w:tcPr>
          <w:p w14:paraId="4EC65C92">
            <w:pPr>
              <w:widowControl/>
              <w:adjustRightInd w:val="0"/>
              <w:snapToGrid w:val="0"/>
              <w:jc w:val="center"/>
              <w:rPr>
                <w:rFonts w:hint="default" w:ascii="Times New Roman" w:hAnsi="Times New Roman" w:eastAsia="仿宋" w:cs="Times New Roman"/>
                <w:snapToGrid w:val="0"/>
                <w:color w:val="auto"/>
                <w:kern w:val="21"/>
                <w:sz w:val="21"/>
                <w:szCs w:val="21"/>
                <w:lang w:val="en-US"/>
              </w:rPr>
            </w:pPr>
            <w:r>
              <w:rPr>
                <w:rFonts w:hint="default" w:ascii="Times New Roman" w:hAnsi="Times New Roman" w:eastAsia="仿宋" w:cs="Times New Roman"/>
                <w:color w:val="auto"/>
                <w:kern w:val="0"/>
                <w:szCs w:val="21"/>
                <w:lang w:val="en-US" w:eastAsia="zh-CN"/>
              </w:rPr>
              <w:t>0.115</w:t>
            </w:r>
          </w:p>
        </w:tc>
        <w:tc>
          <w:tcPr>
            <w:tcW w:w="1639" w:type="dxa"/>
            <w:vAlign w:val="center"/>
          </w:tcPr>
          <w:p w14:paraId="3C3E9C11">
            <w:pPr>
              <w:keepNext w:val="0"/>
              <w:keepLines w:val="0"/>
              <w:pageBreakBefore w:val="0"/>
              <w:widowControl/>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eastAsia="zh-CN"/>
              </w:rPr>
            </w:pPr>
            <w:r>
              <w:rPr>
                <w:rFonts w:hint="eastAsia" w:eastAsia="仿宋" w:cs="Times New Roman"/>
                <w:color w:val="auto"/>
                <w:kern w:val="0"/>
                <w:sz w:val="21"/>
                <w:szCs w:val="21"/>
                <w:lang w:val="en-US" w:eastAsia="zh-CN"/>
              </w:rPr>
              <w:t>0.479</w:t>
            </w:r>
          </w:p>
        </w:tc>
        <w:tc>
          <w:tcPr>
            <w:tcW w:w="1430" w:type="dxa"/>
            <w:vAlign w:val="center"/>
          </w:tcPr>
          <w:p w14:paraId="6328F2ED">
            <w:pPr>
              <w:keepNext w:val="0"/>
              <w:keepLines w:val="0"/>
              <w:pageBreakBefore w:val="0"/>
              <w:widowControl/>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rPr>
            </w:pPr>
            <w:r>
              <w:rPr>
                <w:rFonts w:hint="default" w:ascii="Times New Roman" w:hAnsi="Times New Roman" w:eastAsia="仿宋" w:cs="Times New Roman"/>
                <w:color w:val="auto"/>
                <w:kern w:val="0"/>
                <w:sz w:val="21"/>
                <w:szCs w:val="21"/>
                <w:lang w:val="en-US" w:eastAsia="zh-CN"/>
              </w:rPr>
              <w:t>+</w:t>
            </w:r>
            <w:r>
              <w:rPr>
                <w:rFonts w:hint="eastAsia" w:eastAsia="仿宋" w:cs="Times New Roman"/>
                <w:color w:val="auto"/>
                <w:kern w:val="0"/>
                <w:sz w:val="21"/>
                <w:szCs w:val="21"/>
                <w:lang w:val="en-US" w:eastAsia="zh-CN"/>
              </w:rPr>
              <w:t>0.364</w:t>
            </w:r>
          </w:p>
        </w:tc>
      </w:tr>
      <w:tr w14:paraId="3E68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9A25A79">
            <w:pPr>
              <w:pStyle w:val="44"/>
              <w:spacing w:beforeLines="0" w:afterLines="0" w:line="240" w:lineRule="auto"/>
              <w:rPr>
                <w:rFonts w:hint="default" w:ascii="Times New Roman" w:hAnsi="Times New Roman" w:eastAsia="仿宋" w:cs="Times New Roman"/>
                <w:snapToGrid w:val="0"/>
                <w:color w:val="auto"/>
                <w:kern w:val="21"/>
                <w:sz w:val="21"/>
                <w:szCs w:val="21"/>
              </w:rPr>
            </w:pPr>
          </w:p>
        </w:tc>
        <w:tc>
          <w:tcPr>
            <w:tcW w:w="1901" w:type="dxa"/>
            <w:vAlign w:val="center"/>
          </w:tcPr>
          <w:p w14:paraId="7E37C28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非甲烷总烃</w:t>
            </w:r>
          </w:p>
        </w:tc>
        <w:tc>
          <w:tcPr>
            <w:tcW w:w="1701" w:type="dxa"/>
            <w:vAlign w:val="center"/>
          </w:tcPr>
          <w:p w14:paraId="53A4B94B">
            <w:pPr>
              <w:keepNext w:val="0"/>
              <w:keepLines w:val="0"/>
              <w:pageBreakBefore w:val="0"/>
              <w:widowControl/>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0</w:t>
            </w:r>
          </w:p>
        </w:tc>
        <w:tc>
          <w:tcPr>
            <w:tcW w:w="1523" w:type="dxa"/>
            <w:vAlign w:val="center"/>
          </w:tcPr>
          <w:p w14:paraId="6C754423">
            <w:pPr>
              <w:widowControl/>
              <w:adjustRightInd w:val="0"/>
              <w:snapToGrid w:val="0"/>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0</w:t>
            </w:r>
          </w:p>
        </w:tc>
        <w:tc>
          <w:tcPr>
            <w:tcW w:w="1454" w:type="dxa"/>
            <w:vAlign w:val="center"/>
          </w:tcPr>
          <w:p w14:paraId="3E5866B4">
            <w:pPr>
              <w:pStyle w:val="44"/>
              <w:spacing w:beforeLines="0" w:afterLines="0" w:line="240" w:lineRule="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134344F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0.07</w:t>
            </w:r>
          </w:p>
        </w:tc>
        <w:tc>
          <w:tcPr>
            <w:tcW w:w="1427" w:type="dxa"/>
            <w:vAlign w:val="center"/>
          </w:tcPr>
          <w:p w14:paraId="1FF8B3FD">
            <w:pPr>
              <w:widowControl/>
              <w:adjustRightInd w:val="0"/>
              <w:snapToGrid w:val="0"/>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0</w:t>
            </w:r>
          </w:p>
        </w:tc>
        <w:tc>
          <w:tcPr>
            <w:tcW w:w="1639" w:type="dxa"/>
            <w:vAlign w:val="center"/>
          </w:tcPr>
          <w:p w14:paraId="6E010FC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0.07</w:t>
            </w:r>
          </w:p>
        </w:tc>
        <w:tc>
          <w:tcPr>
            <w:tcW w:w="1430" w:type="dxa"/>
            <w:vAlign w:val="center"/>
          </w:tcPr>
          <w:p w14:paraId="6FC1D15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lang w:val="en-US" w:eastAsia="zh-CN" w:bidi="ar-SA"/>
              </w:rPr>
              <w:t>+0.</w:t>
            </w:r>
            <w:r>
              <w:rPr>
                <w:rFonts w:hint="eastAsia" w:eastAsia="仿宋" w:cs="Times New Roman"/>
                <w:color w:val="auto"/>
                <w:kern w:val="2"/>
                <w:sz w:val="21"/>
                <w:szCs w:val="21"/>
                <w:lang w:val="en-US" w:eastAsia="zh-CN" w:bidi="ar-SA"/>
              </w:rPr>
              <w:t>07</w:t>
            </w:r>
          </w:p>
        </w:tc>
      </w:tr>
      <w:tr w14:paraId="629E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5082C0ED">
            <w:pPr>
              <w:pStyle w:val="44"/>
              <w:spacing w:beforeLines="0" w:afterLines="0" w:line="240" w:lineRule="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废水</w:t>
            </w:r>
          </w:p>
        </w:tc>
        <w:tc>
          <w:tcPr>
            <w:tcW w:w="1901" w:type="dxa"/>
            <w:vAlign w:val="center"/>
          </w:tcPr>
          <w:p w14:paraId="38F9868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水量</w:t>
            </w:r>
          </w:p>
        </w:tc>
        <w:tc>
          <w:tcPr>
            <w:tcW w:w="1701" w:type="dxa"/>
            <w:vAlign w:val="center"/>
          </w:tcPr>
          <w:p w14:paraId="73A0287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720</w:t>
            </w:r>
          </w:p>
        </w:tc>
        <w:tc>
          <w:tcPr>
            <w:tcW w:w="1523" w:type="dxa"/>
            <w:vAlign w:val="center"/>
          </w:tcPr>
          <w:p w14:paraId="3B0E2F6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1440</w:t>
            </w:r>
          </w:p>
        </w:tc>
        <w:tc>
          <w:tcPr>
            <w:tcW w:w="1454" w:type="dxa"/>
            <w:vAlign w:val="center"/>
          </w:tcPr>
          <w:p w14:paraId="16D8ABA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0FC0C88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1920</w:t>
            </w:r>
          </w:p>
        </w:tc>
        <w:tc>
          <w:tcPr>
            <w:tcW w:w="1427" w:type="dxa"/>
            <w:vAlign w:val="center"/>
          </w:tcPr>
          <w:p w14:paraId="69831AE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720</w:t>
            </w:r>
          </w:p>
        </w:tc>
        <w:tc>
          <w:tcPr>
            <w:tcW w:w="1639" w:type="dxa"/>
            <w:vAlign w:val="center"/>
          </w:tcPr>
          <w:p w14:paraId="5D03CBA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1920</w:t>
            </w:r>
          </w:p>
        </w:tc>
        <w:tc>
          <w:tcPr>
            <w:tcW w:w="1430" w:type="dxa"/>
            <w:vAlign w:val="center"/>
          </w:tcPr>
          <w:p w14:paraId="48EC73C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r>
              <w:rPr>
                <w:rFonts w:hint="eastAsia" w:ascii="Times New Roman" w:hAnsi="Times New Roman" w:eastAsia="仿宋" w:cs="Times New Roman"/>
                <w:color w:val="auto"/>
                <w:szCs w:val="21"/>
                <w:lang w:val="en-US" w:eastAsia="zh-CN"/>
              </w:rPr>
              <w:t>1200</w:t>
            </w:r>
          </w:p>
        </w:tc>
      </w:tr>
      <w:tr w14:paraId="7BB5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032A9AA">
            <w:pPr>
              <w:pStyle w:val="44"/>
              <w:spacing w:beforeLines="0" w:afterLines="0" w:line="240" w:lineRule="auto"/>
              <w:rPr>
                <w:rFonts w:hint="default" w:ascii="Times New Roman" w:hAnsi="Times New Roman" w:eastAsia="仿宋" w:cs="Times New Roman"/>
                <w:snapToGrid w:val="0"/>
                <w:color w:val="auto"/>
                <w:kern w:val="21"/>
                <w:sz w:val="21"/>
                <w:szCs w:val="21"/>
              </w:rPr>
            </w:pPr>
          </w:p>
        </w:tc>
        <w:tc>
          <w:tcPr>
            <w:tcW w:w="1901" w:type="dxa"/>
            <w:vAlign w:val="center"/>
          </w:tcPr>
          <w:p w14:paraId="44D0279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COD</w:t>
            </w:r>
          </w:p>
        </w:tc>
        <w:tc>
          <w:tcPr>
            <w:tcW w:w="1701" w:type="dxa"/>
            <w:vAlign w:val="center"/>
          </w:tcPr>
          <w:p w14:paraId="51E0F361">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eastAsia="zh-CN" w:bidi="ar-SA"/>
              </w:rPr>
            </w:pPr>
            <w:r>
              <w:rPr>
                <w:rFonts w:hint="default" w:ascii="Times New Roman" w:hAnsi="Times New Roman" w:eastAsia="仿宋" w:cs="Times New Roman"/>
                <w:snapToGrid w:val="0"/>
                <w:color w:val="auto"/>
                <w:kern w:val="21"/>
                <w:szCs w:val="21"/>
                <w:lang w:val="en-US" w:eastAsia="zh-CN"/>
              </w:rPr>
              <w:t>0.118</w:t>
            </w:r>
          </w:p>
        </w:tc>
        <w:tc>
          <w:tcPr>
            <w:tcW w:w="1523" w:type="dxa"/>
            <w:vAlign w:val="center"/>
          </w:tcPr>
          <w:p w14:paraId="0C40D98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0.504</w:t>
            </w:r>
          </w:p>
        </w:tc>
        <w:tc>
          <w:tcPr>
            <w:tcW w:w="1454" w:type="dxa"/>
            <w:vAlign w:val="center"/>
          </w:tcPr>
          <w:p w14:paraId="199B674C">
            <w:pPr>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2F3D3CB1">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0.576</w:t>
            </w:r>
          </w:p>
        </w:tc>
        <w:tc>
          <w:tcPr>
            <w:tcW w:w="1427" w:type="dxa"/>
            <w:vAlign w:val="center"/>
          </w:tcPr>
          <w:p w14:paraId="162DB3D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snapToGrid w:val="0"/>
                <w:color w:val="auto"/>
                <w:kern w:val="21"/>
                <w:szCs w:val="21"/>
                <w:lang w:val="en-US" w:eastAsia="zh-CN"/>
              </w:rPr>
              <w:t>0.118</w:t>
            </w:r>
          </w:p>
        </w:tc>
        <w:tc>
          <w:tcPr>
            <w:tcW w:w="1639" w:type="dxa"/>
            <w:vAlign w:val="center"/>
          </w:tcPr>
          <w:p w14:paraId="366714E9">
            <w:pPr>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Cs w:val="21"/>
                <w:lang w:val="en-US" w:eastAsia="zh-CN"/>
              </w:rPr>
              <w:t>0.576</w:t>
            </w:r>
          </w:p>
        </w:tc>
        <w:tc>
          <w:tcPr>
            <w:tcW w:w="1430" w:type="dxa"/>
            <w:vAlign w:val="center"/>
          </w:tcPr>
          <w:p w14:paraId="41DB997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r>
              <w:rPr>
                <w:rFonts w:hint="eastAsia" w:ascii="Times New Roman" w:hAnsi="Times New Roman" w:eastAsia="仿宋" w:cs="Times New Roman"/>
                <w:color w:val="auto"/>
                <w:szCs w:val="21"/>
                <w:lang w:val="en-US" w:eastAsia="zh-CN"/>
              </w:rPr>
              <w:t>0.458</w:t>
            </w:r>
          </w:p>
        </w:tc>
      </w:tr>
      <w:tr w14:paraId="3201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558FB3D">
            <w:pPr>
              <w:pStyle w:val="44"/>
              <w:spacing w:beforeLines="0" w:afterLines="0" w:line="240" w:lineRule="auto"/>
              <w:rPr>
                <w:rFonts w:hint="default" w:ascii="Times New Roman" w:hAnsi="Times New Roman" w:eastAsia="仿宋" w:cs="Times New Roman"/>
                <w:snapToGrid w:val="0"/>
                <w:color w:val="auto"/>
                <w:kern w:val="21"/>
                <w:sz w:val="21"/>
                <w:szCs w:val="21"/>
              </w:rPr>
            </w:pPr>
          </w:p>
        </w:tc>
        <w:tc>
          <w:tcPr>
            <w:tcW w:w="1901" w:type="dxa"/>
            <w:vAlign w:val="center"/>
          </w:tcPr>
          <w:p w14:paraId="0CDF37A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SS</w:t>
            </w:r>
          </w:p>
        </w:tc>
        <w:tc>
          <w:tcPr>
            <w:tcW w:w="1701" w:type="dxa"/>
            <w:vAlign w:val="center"/>
          </w:tcPr>
          <w:p w14:paraId="64B36EC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eastAsia="zh-CN" w:bidi="ar-SA"/>
              </w:rPr>
            </w:pPr>
            <w:r>
              <w:rPr>
                <w:rFonts w:hint="default" w:ascii="Times New Roman" w:hAnsi="Times New Roman" w:eastAsia="仿宋" w:cs="Times New Roman"/>
                <w:snapToGrid w:val="0"/>
                <w:color w:val="auto"/>
                <w:kern w:val="21"/>
                <w:szCs w:val="21"/>
                <w:lang w:val="en-US" w:eastAsia="zh-CN"/>
              </w:rPr>
              <w:t>0.055</w:t>
            </w:r>
          </w:p>
        </w:tc>
        <w:tc>
          <w:tcPr>
            <w:tcW w:w="1523" w:type="dxa"/>
            <w:vAlign w:val="center"/>
          </w:tcPr>
          <w:p w14:paraId="161269E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0.288</w:t>
            </w:r>
          </w:p>
        </w:tc>
        <w:tc>
          <w:tcPr>
            <w:tcW w:w="1454" w:type="dxa"/>
            <w:vAlign w:val="center"/>
          </w:tcPr>
          <w:p w14:paraId="5E33E5FB">
            <w:pPr>
              <w:jc w:val="center"/>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snapToGrid w:val="0"/>
                <w:color w:val="auto"/>
                <w:kern w:val="21"/>
                <w:sz w:val="21"/>
                <w:szCs w:val="21"/>
              </w:rPr>
              <w:t>0</w:t>
            </w:r>
          </w:p>
        </w:tc>
        <w:tc>
          <w:tcPr>
            <w:tcW w:w="1559" w:type="dxa"/>
            <w:vAlign w:val="center"/>
          </w:tcPr>
          <w:p w14:paraId="039525BB">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0.384</w:t>
            </w:r>
          </w:p>
        </w:tc>
        <w:tc>
          <w:tcPr>
            <w:tcW w:w="1427" w:type="dxa"/>
            <w:vAlign w:val="center"/>
          </w:tcPr>
          <w:p w14:paraId="26176F7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snapToGrid w:val="0"/>
                <w:color w:val="auto"/>
                <w:kern w:val="21"/>
                <w:szCs w:val="21"/>
                <w:lang w:val="en-US" w:eastAsia="zh-CN"/>
              </w:rPr>
              <w:t>0.055</w:t>
            </w:r>
          </w:p>
        </w:tc>
        <w:tc>
          <w:tcPr>
            <w:tcW w:w="1639" w:type="dxa"/>
            <w:vAlign w:val="center"/>
          </w:tcPr>
          <w:p w14:paraId="3C3DCDD5">
            <w:pPr>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Cs w:val="21"/>
                <w:lang w:val="en-US" w:eastAsia="zh-CN"/>
              </w:rPr>
              <w:t>0.384</w:t>
            </w:r>
          </w:p>
        </w:tc>
        <w:tc>
          <w:tcPr>
            <w:tcW w:w="1430" w:type="dxa"/>
            <w:vAlign w:val="center"/>
          </w:tcPr>
          <w:p w14:paraId="3F65AF9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r>
              <w:rPr>
                <w:rFonts w:hint="eastAsia" w:ascii="Times New Roman" w:hAnsi="Times New Roman" w:eastAsia="仿宋" w:cs="Times New Roman"/>
                <w:color w:val="auto"/>
                <w:szCs w:val="21"/>
                <w:lang w:val="en-US" w:eastAsia="zh-CN"/>
              </w:rPr>
              <w:t>0.329</w:t>
            </w:r>
          </w:p>
        </w:tc>
      </w:tr>
      <w:tr w14:paraId="0AB8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7470FFA8">
            <w:pPr>
              <w:pStyle w:val="44"/>
              <w:spacing w:beforeLines="0" w:afterLines="0" w:line="240" w:lineRule="auto"/>
              <w:rPr>
                <w:rFonts w:hint="default" w:ascii="Times New Roman" w:hAnsi="Times New Roman" w:eastAsia="仿宋" w:cs="Times New Roman"/>
                <w:snapToGrid w:val="0"/>
                <w:color w:val="auto"/>
                <w:kern w:val="21"/>
                <w:sz w:val="21"/>
                <w:szCs w:val="21"/>
              </w:rPr>
            </w:pPr>
          </w:p>
        </w:tc>
        <w:tc>
          <w:tcPr>
            <w:tcW w:w="1901" w:type="dxa"/>
            <w:vAlign w:val="center"/>
          </w:tcPr>
          <w:p w14:paraId="156BF25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NH</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-N</w:t>
            </w:r>
          </w:p>
        </w:tc>
        <w:tc>
          <w:tcPr>
            <w:tcW w:w="1701" w:type="dxa"/>
            <w:vAlign w:val="center"/>
          </w:tcPr>
          <w:p w14:paraId="784032D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eastAsia="zh-CN" w:bidi="ar-SA"/>
              </w:rPr>
            </w:pPr>
            <w:r>
              <w:rPr>
                <w:rFonts w:hint="default" w:ascii="Times New Roman" w:hAnsi="Times New Roman" w:eastAsia="仿宋" w:cs="Times New Roman"/>
                <w:snapToGrid w:val="0"/>
                <w:color w:val="auto"/>
                <w:kern w:val="21"/>
                <w:szCs w:val="21"/>
                <w:lang w:val="en-US" w:eastAsia="zh-CN"/>
              </w:rPr>
              <w:t>0.028</w:t>
            </w:r>
          </w:p>
        </w:tc>
        <w:tc>
          <w:tcPr>
            <w:tcW w:w="1523" w:type="dxa"/>
            <w:vAlign w:val="center"/>
          </w:tcPr>
          <w:p w14:paraId="3CAB6CF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0.036</w:t>
            </w:r>
          </w:p>
        </w:tc>
        <w:tc>
          <w:tcPr>
            <w:tcW w:w="1454" w:type="dxa"/>
            <w:vAlign w:val="center"/>
          </w:tcPr>
          <w:p w14:paraId="670CC9EF">
            <w:pPr>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44F775BA">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0.0384</w:t>
            </w:r>
          </w:p>
        </w:tc>
        <w:tc>
          <w:tcPr>
            <w:tcW w:w="1427" w:type="dxa"/>
            <w:vAlign w:val="center"/>
          </w:tcPr>
          <w:p w14:paraId="5932BB9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snapToGrid w:val="0"/>
                <w:color w:val="auto"/>
                <w:kern w:val="21"/>
                <w:szCs w:val="21"/>
                <w:lang w:val="en-US" w:eastAsia="zh-CN"/>
              </w:rPr>
              <w:t>0.028</w:t>
            </w:r>
          </w:p>
        </w:tc>
        <w:tc>
          <w:tcPr>
            <w:tcW w:w="1639" w:type="dxa"/>
            <w:vAlign w:val="center"/>
          </w:tcPr>
          <w:p w14:paraId="0970D644">
            <w:pPr>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Cs w:val="21"/>
                <w:lang w:val="en-US" w:eastAsia="zh-CN"/>
              </w:rPr>
              <w:t>0.0384</w:t>
            </w:r>
          </w:p>
        </w:tc>
        <w:tc>
          <w:tcPr>
            <w:tcW w:w="1430" w:type="dxa"/>
            <w:vAlign w:val="center"/>
          </w:tcPr>
          <w:p w14:paraId="1255412C">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r>
              <w:rPr>
                <w:rFonts w:hint="eastAsia" w:ascii="Times New Roman" w:hAnsi="Times New Roman" w:eastAsia="仿宋" w:cs="Times New Roman"/>
                <w:color w:val="auto"/>
                <w:szCs w:val="21"/>
                <w:lang w:val="en-US" w:eastAsia="zh-CN"/>
              </w:rPr>
              <w:t>0.0104</w:t>
            </w:r>
          </w:p>
        </w:tc>
      </w:tr>
      <w:tr w14:paraId="6416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2E78C54">
            <w:pPr>
              <w:pStyle w:val="44"/>
              <w:spacing w:beforeLines="0" w:afterLines="0" w:line="240" w:lineRule="auto"/>
              <w:rPr>
                <w:rFonts w:hint="default" w:ascii="Times New Roman" w:hAnsi="Times New Roman" w:eastAsia="仿宋" w:cs="Times New Roman"/>
                <w:snapToGrid w:val="0"/>
                <w:color w:val="auto"/>
                <w:kern w:val="21"/>
                <w:sz w:val="21"/>
                <w:szCs w:val="21"/>
              </w:rPr>
            </w:pPr>
          </w:p>
        </w:tc>
        <w:tc>
          <w:tcPr>
            <w:tcW w:w="1901" w:type="dxa"/>
            <w:vAlign w:val="center"/>
          </w:tcPr>
          <w:p w14:paraId="70D9B211">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TN</w:t>
            </w:r>
          </w:p>
        </w:tc>
        <w:tc>
          <w:tcPr>
            <w:tcW w:w="1701" w:type="dxa"/>
            <w:vAlign w:val="center"/>
          </w:tcPr>
          <w:p w14:paraId="0C091891">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lang w:val="en-US" w:eastAsia="zh-CN" w:bidi="ar-SA"/>
              </w:rPr>
            </w:pPr>
            <w:r>
              <w:rPr>
                <w:rFonts w:hint="eastAsia" w:eastAsia="仿宋" w:cs="Times New Roman"/>
                <w:snapToGrid w:val="0"/>
                <w:color w:val="auto"/>
                <w:kern w:val="21"/>
                <w:sz w:val="21"/>
                <w:szCs w:val="21"/>
                <w:lang w:val="en-US" w:eastAsia="zh-CN" w:bidi="ar-SA"/>
              </w:rPr>
              <w:t>0.0216</w:t>
            </w:r>
          </w:p>
        </w:tc>
        <w:tc>
          <w:tcPr>
            <w:tcW w:w="1523" w:type="dxa"/>
            <w:vAlign w:val="center"/>
          </w:tcPr>
          <w:p w14:paraId="0B61287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1454" w:type="dxa"/>
            <w:vAlign w:val="center"/>
          </w:tcPr>
          <w:p w14:paraId="0C53312D">
            <w:pPr>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6F2F8987">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0.0576</w:t>
            </w:r>
          </w:p>
        </w:tc>
        <w:tc>
          <w:tcPr>
            <w:tcW w:w="1427" w:type="dxa"/>
            <w:vAlign w:val="center"/>
          </w:tcPr>
          <w:p w14:paraId="6E62316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eastAsia" w:eastAsia="仿宋" w:cs="Times New Roman"/>
                <w:snapToGrid w:val="0"/>
                <w:color w:val="auto"/>
                <w:kern w:val="21"/>
                <w:sz w:val="21"/>
                <w:szCs w:val="21"/>
                <w:lang w:val="en-US" w:eastAsia="zh-CN" w:bidi="ar-SA"/>
              </w:rPr>
              <w:t>0.0216</w:t>
            </w:r>
          </w:p>
        </w:tc>
        <w:tc>
          <w:tcPr>
            <w:tcW w:w="1639" w:type="dxa"/>
            <w:vAlign w:val="center"/>
          </w:tcPr>
          <w:p w14:paraId="514B9957">
            <w:pPr>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Cs w:val="21"/>
                <w:lang w:val="en-US" w:eastAsia="zh-CN"/>
              </w:rPr>
              <w:t>0.0576</w:t>
            </w:r>
          </w:p>
        </w:tc>
        <w:tc>
          <w:tcPr>
            <w:tcW w:w="1430" w:type="dxa"/>
            <w:vAlign w:val="center"/>
          </w:tcPr>
          <w:p w14:paraId="4E596CA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r>
              <w:rPr>
                <w:rFonts w:hint="eastAsia" w:ascii="Times New Roman" w:hAnsi="Times New Roman" w:eastAsia="仿宋" w:cs="Times New Roman"/>
                <w:color w:val="auto"/>
                <w:szCs w:val="21"/>
                <w:lang w:val="en-US" w:eastAsia="zh-CN"/>
              </w:rPr>
              <w:t>0.036</w:t>
            </w:r>
          </w:p>
        </w:tc>
      </w:tr>
      <w:tr w14:paraId="65C0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221C2AB">
            <w:pPr>
              <w:pStyle w:val="44"/>
              <w:spacing w:beforeLines="0" w:afterLines="0" w:line="240" w:lineRule="auto"/>
              <w:rPr>
                <w:rFonts w:hint="default" w:ascii="Times New Roman" w:hAnsi="Times New Roman" w:eastAsia="仿宋" w:cs="Times New Roman"/>
                <w:snapToGrid w:val="0"/>
                <w:color w:val="auto"/>
                <w:kern w:val="21"/>
                <w:sz w:val="21"/>
                <w:szCs w:val="21"/>
              </w:rPr>
            </w:pPr>
          </w:p>
        </w:tc>
        <w:tc>
          <w:tcPr>
            <w:tcW w:w="1901" w:type="dxa"/>
            <w:vAlign w:val="center"/>
          </w:tcPr>
          <w:p w14:paraId="1E39FED7">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TP</w:t>
            </w:r>
          </w:p>
        </w:tc>
        <w:tc>
          <w:tcPr>
            <w:tcW w:w="1701" w:type="dxa"/>
            <w:vAlign w:val="center"/>
          </w:tcPr>
          <w:p w14:paraId="537C53A7">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snapToGrid w:val="0"/>
                <w:color w:val="auto"/>
                <w:kern w:val="21"/>
                <w:szCs w:val="21"/>
                <w:lang w:val="en-US" w:eastAsia="zh-CN"/>
              </w:rPr>
              <w:t>0.004</w:t>
            </w:r>
          </w:p>
        </w:tc>
        <w:tc>
          <w:tcPr>
            <w:tcW w:w="1523" w:type="dxa"/>
            <w:vAlign w:val="center"/>
          </w:tcPr>
          <w:p w14:paraId="64E1F1A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0.0058</w:t>
            </w:r>
          </w:p>
        </w:tc>
        <w:tc>
          <w:tcPr>
            <w:tcW w:w="1454" w:type="dxa"/>
            <w:vAlign w:val="center"/>
          </w:tcPr>
          <w:p w14:paraId="1D0C9BC5">
            <w:pPr>
              <w:jc w:val="center"/>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snapToGrid w:val="0"/>
                <w:color w:val="auto"/>
                <w:kern w:val="21"/>
                <w:sz w:val="21"/>
                <w:szCs w:val="21"/>
              </w:rPr>
              <w:t>0</w:t>
            </w:r>
          </w:p>
        </w:tc>
        <w:tc>
          <w:tcPr>
            <w:tcW w:w="1559" w:type="dxa"/>
            <w:vAlign w:val="center"/>
          </w:tcPr>
          <w:p w14:paraId="6B4E76F7">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0.00</w:t>
            </w:r>
            <w:r>
              <w:rPr>
                <w:rFonts w:hint="eastAsia" w:eastAsia="仿宋" w:cs="Times New Roman"/>
                <w:color w:val="auto"/>
                <w:szCs w:val="21"/>
                <w:lang w:val="en-US" w:eastAsia="zh-CN"/>
              </w:rPr>
              <w:t>58</w:t>
            </w:r>
          </w:p>
        </w:tc>
        <w:tc>
          <w:tcPr>
            <w:tcW w:w="1427" w:type="dxa"/>
            <w:vAlign w:val="center"/>
          </w:tcPr>
          <w:p w14:paraId="3DDF373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snapToGrid w:val="0"/>
                <w:color w:val="auto"/>
                <w:kern w:val="21"/>
                <w:szCs w:val="21"/>
                <w:lang w:val="en-US" w:eastAsia="zh-CN"/>
              </w:rPr>
              <w:t>0.004</w:t>
            </w:r>
          </w:p>
        </w:tc>
        <w:tc>
          <w:tcPr>
            <w:tcW w:w="1639" w:type="dxa"/>
            <w:vAlign w:val="center"/>
          </w:tcPr>
          <w:p w14:paraId="1161FC58">
            <w:pPr>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Cs w:val="21"/>
                <w:lang w:val="en-US" w:eastAsia="zh-CN"/>
              </w:rPr>
              <w:t>0.00</w:t>
            </w:r>
            <w:r>
              <w:rPr>
                <w:rFonts w:hint="eastAsia" w:eastAsia="仿宋" w:cs="Times New Roman"/>
                <w:color w:val="auto"/>
                <w:szCs w:val="21"/>
                <w:lang w:val="en-US" w:eastAsia="zh-CN"/>
              </w:rPr>
              <w:t>58</w:t>
            </w:r>
          </w:p>
        </w:tc>
        <w:tc>
          <w:tcPr>
            <w:tcW w:w="1430" w:type="dxa"/>
            <w:vAlign w:val="center"/>
          </w:tcPr>
          <w:p w14:paraId="798B4F7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r>
              <w:rPr>
                <w:rFonts w:hint="eastAsia" w:ascii="Times New Roman" w:hAnsi="Times New Roman" w:eastAsia="仿宋" w:cs="Times New Roman"/>
                <w:color w:val="auto"/>
                <w:szCs w:val="21"/>
                <w:lang w:val="en-US" w:eastAsia="zh-CN"/>
              </w:rPr>
              <w:t>0.0018</w:t>
            </w:r>
          </w:p>
        </w:tc>
      </w:tr>
      <w:tr w14:paraId="41AF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6FC8E9E0">
            <w:pPr>
              <w:pStyle w:val="44"/>
              <w:spacing w:beforeLines="0" w:afterLines="0" w:line="240" w:lineRule="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一般工业固体废物</w:t>
            </w:r>
          </w:p>
        </w:tc>
        <w:tc>
          <w:tcPr>
            <w:tcW w:w="1901" w:type="dxa"/>
            <w:vAlign w:val="center"/>
          </w:tcPr>
          <w:p w14:paraId="625616FF">
            <w:pPr>
              <w:pStyle w:val="5"/>
              <w:adjustRightInd w:val="0"/>
              <w:snapToGrid w:val="0"/>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边角料</w:t>
            </w:r>
          </w:p>
        </w:tc>
        <w:tc>
          <w:tcPr>
            <w:tcW w:w="1701" w:type="dxa"/>
            <w:vAlign w:val="center"/>
          </w:tcPr>
          <w:p w14:paraId="284CF9E6">
            <w:pPr>
              <w:pStyle w:val="57"/>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lang w:val="en-US" w:eastAsia="zh-CN"/>
              </w:rPr>
              <w:t>1</w:t>
            </w:r>
          </w:p>
        </w:tc>
        <w:tc>
          <w:tcPr>
            <w:tcW w:w="1523" w:type="dxa"/>
            <w:vAlign w:val="center"/>
          </w:tcPr>
          <w:p w14:paraId="0F3046F9">
            <w:pPr>
              <w:pStyle w:val="57"/>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lang w:val="en-US" w:eastAsia="zh-CN"/>
              </w:rPr>
              <w:t>1</w:t>
            </w:r>
          </w:p>
        </w:tc>
        <w:tc>
          <w:tcPr>
            <w:tcW w:w="1454" w:type="dxa"/>
            <w:vAlign w:val="center"/>
          </w:tcPr>
          <w:p w14:paraId="4243BD32">
            <w:pPr>
              <w:pStyle w:val="44"/>
              <w:spacing w:beforeLines="0" w:afterLines="0" w:line="240" w:lineRule="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5C6BEF11">
            <w:pPr>
              <w:adjustRightInd w:val="0"/>
              <w:snapToGrid w:val="0"/>
              <w:jc w:val="center"/>
              <w:rPr>
                <w:rFonts w:hint="default" w:ascii="Times New Roman" w:hAnsi="Times New Roman" w:eastAsia="仿宋" w:cs="Times New Roman"/>
                <w:snapToGrid w:val="0"/>
                <w:color w:val="auto"/>
                <w:kern w:val="21"/>
                <w:sz w:val="21"/>
                <w:szCs w:val="21"/>
                <w:lang w:val="en-US" w:eastAsia="zh-CN"/>
              </w:rPr>
            </w:pPr>
            <w:r>
              <w:rPr>
                <w:rFonts w:hint="eastAsia" w:eastAsia="仿宋" w:cs="Times New Roman"/>
                <w:color w:val="auto"/>
                <w:sz w:val="21"/>
                <w:szCs w:val="21"/>
                <w:lang w:val="en-US" w:eastAsia="zh-CN"/>
              </w:rPr>
              <w:t>80</w:t>
            </w:r>
          </w:p>
        </w:tc>
        <w:tc>
          <w:tcPr>
            <w:tcW w:w="1427" w:type="dxa"/>
            <w:vAlign w:val="center"/>
          </w:tcPr>
          <w:p w14:paraId="345D653F">
            <w:pPr>
              <w:pStyle w:val="57"/>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color w:val="auto"/>
                <w:kern w:val="2"/>
                <w:sz w:val="21"/>
                <w:lang w:val="en-US" w:eastAsia="zh-CN"/>
              </w:rPr>
              <w:t>1</w:t>
            </w:r>
          </w:p>
        </w:tc>
        <w:tc>
          <w:tcPr>
            <w:tcW w:w="1639" w:type="dxa"/>
            <w:vAlign w:val="center"/>
          </w:tcPr>
          <w:p w14:paraId="38DCAAAD">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80</w:t>
            </w:r>
          </w:p>
        </w:tc>
        <w:tc>
          <w:tcPr>
            <w:tcW w:w="1430" w:type="dxa"/>
            <w:vAlign w:val="center"/>
          </w:tcPr>
          <w:p w14:paraId="1C534D45">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eastAsia" w:eastAsia="仿宋" w:cs="Times New Roman"/>
                <w:color w:val="auto"/>
                <w:sz w:val="21"/>
                <w:szCs w:val="21"/>
                <w:lang w:val="en-US" w:eastAsia="zh-CN"/>
              </w:rPr>
              <w:t>79</w:t>
            </w:r>
          </w:p>
        </w:tc>
      </w:tr>
      <w:tr w14:paraId="3575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7137A86C">
            <w:pPr>
              <w:pStyle w:val="44"/>
              <w:spacing w:beforeLines="0" w:afterLines="0" w:line="240" w:lineRule="auto"/>
              <w:rPr>
                <w:rFonts w:hint="default" w:ascii="Times New Roman" w:hAnsi="Times New Roman" w:eastAsia="仿宋" w:cs="Times New Roman"/>
                <w:snapToGrid w:val="0"/>
                <w:color w:val="auto"/>
                <w:kern w:val="21"/>
                <w:sz w:val="21"/>
                <w:szCs w:val="21"/>
              </w:rPr>
            </w:pPr>
          </w:p>
        </w:tc>
        <w:tc>
          <w:tcPr>
            <w:tcW w:w="1901" w:type="dxa"/>
            <w:vAlign w:val="center"/>
          </w:tcPr>
          <w:p w14:paraId="5CFFB15F">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val="0"/>
                <w:bCs w:val="0"/>
                <w:color w:val="auto"/>
                <w:kern w:val="2"/>
                <w:sz w:val="21"/>
                <w:szCs w:val="21"/>
                <w:highlight w:val="none"/>
                <w:lang w:val="en-US" w:eastAsia="zh-CN" w:bidi="ar-SA"/>
              </w:rPr>
              <w:t>焊渣</w:t>
            </w:r>
          </w:p>
        </w:tc>
        <w:tc>
          <w:tcPr>
            <w:tcW w:w="1701" w:type="dxa"/>
            <w:vAlign w:val="center"/>
          </w:tcPr>
          <w:p w14:paraId="44A3854C">
            <w:pPr>
              <w:pStyle w:val="57"/>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lang w:val="en-US" w:eastAsia="zh-CN"/>
              </w:rPr>
              <w:t>0.3</w:t>
            </w:r>
          </w:p>
        </w:tc>
        <w:tc>
          <w:tcPr>
            <w:tcW w:w="1523" w:type="dxa"/>
            <w:vAlign w:val="center"/>
          </w:tcPr>
          <w:p w14:paraId="02CEC816">
            <w:pPr>
              <w:pStyle w:val="57"/>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lang w:val="en-US" w:eastAsia="zh-CN"/>
              </w:rPr>
              <w:t>0.3</w:t>
            </w:r>
          </w:p>
        </w:tc>
        <w:tc>
          <w:tcPr>
            <w:tcW w:w="1454" w:type="dxa"/>
            <w:vAlign w:val="center"/>
          </w:tcPr>
          <w:p w14:paraId="1DD7519E">
            <w:pPr>
              <w:pStyle w:val="44"/>
              <w:spacing w:beforeLines="0" w:afterLines="0" w:line="240" w:lineRule="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2F46C7E6">
            <w:pPr>
              <w:adjustRightInd w:val="0"/>
              <w:snapToGrid w:val="0"/>
              <w:jc w:val="center"/>
              <w:rPr>
                <w:rFonts w:hint="default" w:ascii="Times New Roman" w:hAnsi="Times New Roman" w:eastAsia="仿宋" w:cs="Times New Roman"/>
                <w:snapToGrid w:val="0"/>
                <w:color w:val="auto"/>
                <w:kern w:val="21"/>
                <w:sz w:val="21"/>
                <w:szCs w:val="21"/>
                <w:lang w:val="en-US" w:eastAsia="zh-CN"/>
              </w:rPr>
            </w:pPr>
            <w:r>
              <w:rPr>
                <w:rFonts w:hint="eastAsia" w:eastAsia="仿宋" w:cs="Times New Roman"/>
                <w:color w:val="auto"/>
                <w:sz w:val="21"/>
                <w:szCs w:val="21"/>
                <w:lang w:val="en-US" w:eastAsia="zh-CN"/>
              </w:rPr>
              <w:t>0.8</w:t>
            </w:r>
          </w:p>
        </w:tc>
        <w:tc>
          <w:tcPr>
            <w:tcW w:w="1427" w:type="dxa"/>
            <w:vAlign w:val="center"/>
          </w:tcPr>
          <w:p w14:paraId="2E4CB583">
            <w:pPr>
              <w:pStyle w:val="57"/>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color w:val="auto"/>
                <w:kern w:val="2"/>
                <w:sz w:val="21"/>
                <w:lang w:val="en-US" w:eastAsia="zh-CN"/>
              </w:rPr>
              <w:t>0.3</w:t>
            </w:r>
          </w:p>
        </w:tc>
        <w:tc>
          <w:tcPr>
            <w:tcW w:w="1639" w:type="dxa"/>
            <w:vAlign w:val="center"/>
          </w:tcPr>
          <w:p w14:paraId="392A2937">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0.8</w:t>
            </w:r>
          </w:p>
        </w:tc>
        <w:tc>
          <w:tcPr>
            <w:tcW w:w="1430" w:type="dxa"/>
            <w:vAlign w:val="center"/>
          </w:tcPr>
          <w:p w14:paraId="07D368F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eastAsia" w:eastAsia="仿宋" w:cs="Times New Roman"/>
                <w:color w:val="auto"/>
                <w:sz w:val="21"/>
                <w:szCs w:val="21"/>
                <w:lang w:val="en-US" w:eastAsia="zh-CN"/>
              </w:rPr>
              <w:t>0.5</w:t>
            </w:r>
          </w:p>
        </w:tc>
      </w:tr>
      <w:tr w14:paraId="6588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72221D02">
            <w:pPr>
              <w:pStyle w:val="44"/>
              <w:spacing w:beforeLines="0" w:afterLines="0" w:line="240" w:lineRule="auto"/>
              <w:rPr>
                <w:rFonts w:hint="default" w:ascii="Times New Roman" w:hAnsi="Times New Roman" w:eastAsia="仿宋" w:cs="Times New Roman"/>
                <w:snapToGrid w:val="0"/>
                <w:color w:val="auto"/>
                <w:kern w:val="21"/>
                <w:sz w:val="21"/>
                <w:szCs w:val="21"/>
              </w:rPr>
            </w:pPr>
          </w:p>
        </w:tc>
        <w:tc>
          <w:tcPr>
            <w:tcW w:w="1901" w:type="dxa"/>
            <w:vAlign w:val="center"/>
          </w:tcPr>
          <w:p w14:paraId="78C01369">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highlight w:val="none"/>
                <w:lang w:val="en-US" w:eastAsia="zh-CN"/>
              </w:rPr>
              <w:t>废</w:t>
            </w:r>
            <w:r>
              <w:rPr>
                <w:rFonts w:hint="eastAsia" w:ascii="Times New Roman" w:hAnsi="Times New Roman" w:eastAsia="仿宋" w:cs="Times New Roman"/>
                <w:color w:val="auto"/>
                <w:sz w:val="21"/>
                <w:szCs w:val="21"/>
                <w:highlight w:val="none"/>
                <w:lang w:val="en-US" w:eastAsia="zh-CN"/>
              </w:rPr>
              <w:t>玻璃</w:t>
            </w:r>
            <w:r>
              <w:rPr>
                <w:rFonts w:hint="default" w:ascii="Times New Roman" w:hAnsi="Times New Roman" w:eastAsia="仿宋" w:cs="Times New Roman"/>
                <w:color w:val="auto"/>
                <w:sz w:val="21"/>
                <w:szCs w:val="21"/>
                <w:highlight w:val="none"/>
                <w:lang w:val="en-US" w:eastAsia="zh-CN"/>
              </w:rPr>
              <w:t>砂</w:t>
            </w:r>
          </w:p>
        </w:tc>
        <w:tc>
          <w:tcPr>
            <w:tcW w:w="1701" w:type="dxa"/>
            <w:vAlign w:val="center"/>
          </w:tcPr>
          <w:p w14:paraId="7D7FE30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rPr>
            </w:pPr>
            <w:r>
              <w:rPr>
                <w:rFonts w:hint="default" w:ascii="Times New Roman" w:hAnsi="Times New Roman" w:eastAsia="仿宋" w:cs="Times New Roman"/>
                <w:snapToGrid w:val="0"/>
                <w:color w:val="auto"/>
                <w:kern w:val="21"/>
                <w:sz w:val="21"/>
                <w:szCs w:val="21"/>
              </w:rPr>
              <w:t>0</w:t>
            </w:r>
          </w:p>
        </w:tc>
        <w:tc>
          <w:tcPr>
            <w:tcW w:w="1523" w:type="dxa"/>
            <w:vAlign w:val="center"/>
          </w:tcPr>
          <w:p w14:paraId="1C69EBD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rPr>
            </w:pPr>
            <w:r>
              <w:rPr>
                <w:rFonts w:hint="default" w:ascii="Times New Roman" w:hAnsi="Times New Roman" w:eastAsia="仿宋" w:cs="Times New Roman"/>
                <w:snapToGrid w:val="0"/>
                <w:color w:val="auto"/>
                <w:kern w:val="21"/>
                <w:sz w:val="21"/>
                <w:szCs w:val="21"/>
              </w:rPr>
              <w:t>0</w:t>
            </w:r>
          </w:p>
        </w:tc>
        <w:tc>
          <w:tcPr>
            <w:tcW w:w="1454" w:type="dxa"/>
            <w:vAlign w:val="center"/>
          </w:tcPr>
          <w:p w14:paraId="63CCD19C">
            <w:pPr>
              <w:spacing w:beforeLines="0" w:afterLines="0" w:line="240" w:lineRule="auto"/>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29369907">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22.8</w:t>
            </w:r>
          </w:p>
        </w:tc>
        <w:tc>
          <w:tcPr>
            <w:tcW w:w="1427" w:type="dxa"/>
            <w:vAlign w:val="center"/>
          </w:tcPr>
          <w:p w14:paraId="0BA4B98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rPr>
            </w:pPr>
            <w:r>
              <w:rPr>
                <w:rFonts w:hint="default" w:ascii="Times New Roman" w:hAnsi="Times New Roman" w:eastAsia="仿宋" w:cs="Times New Roman"/>
                <w:color w:val="auto"/>
                <w:kern w:val="0"/>
                <w:sz w:val="21"/>
                <w:szCs w:val="21"/>
                <w:lang w:val="en-US" w:eastAsia="zh-CN"/>
              </w:rPr>
              <w:t>0</w:t>
            </w:r>
          </w:p>
        </w:tc>
        <w:tc>
          <w:tcPr>
            <w:tcW w:w="1639" w:type="dxa"/>
            <w:vAlign w:val="center"/>
          </w:tcPr>
          <w:p w14:paraId="0535F9B1">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22.8</w:t>
            </w:r>
          </w:p>
        </w:tc>
        <w:tc>
          <w:tcPr>
            <w:tcW w:w="1430" w:type="dxa"/>
            <w:vAlign w:val="center"/>
          </w:tcPr>
          <w:p w14:paraId="4CF7921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+22.8</w:t>
            </w:r>
          </w:p>
        </w:tc>
      </w:tr>
      <w:tr w14:paraId="66E5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8756A80">
            <w:pPr>
              <w:pStyle w:val="44"/>
              <w:spacing w:beforeLines="0" w:afterLines="0" w:line="240" w:lineRule="auto"/>
              <w:rPr>
                <w:rFonts w:hint="default" w:ascii="Times New Roman" w:hAnsi="Times New Roman" w:eastAsia="仿宋" w:cs="Times New Roman"/>
                <w:snapToGrid w:val="0"/>
                <w:color w:val="auto"/>
                <w:kern w:val="21"/>
                <w:sz w:val="21"/>
                <w:szCs w:val="21"/>
              </w:rPr>
            </w:pPr>
          </w:p>
        </w:tc>
        <w:tc>
          <w:tcPr>
            <w:tcW w:w="1901" w:type="dxa"/>
            <w:vAlign w:val="center"/>
          </w:tcPr>
          <w:p w14:paraId="47CC03E7">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val="0"/>
                <w:bCs w:val="0"/>
                <w:color w:val="auto"/>
                <w:kern w:val="2"/>
                <w:sz w:val="21"/>
                <w:szCs w:val="21"/>
                <w:highlight w:val="none"/>
                <w:lang w:val="en-US" w:eastAsia="zh-CN" w:bidi="ar-SA"/>
              </w:rPr>
              <w:t>废布袋</w:t>
            </w:r>
          </w:p>
        </w:tc>
        <w:tc>
          <w:tcPr>
            <w:tcW w:w="1701" w:type="dxa"/>
            <w:vAlign w:val="center"/>
          </w:tcPr>
          <w:p w14:paraId="46198E1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rPr>
            </w:pPr>
            <w:r>
              <w:rPr>
                <w:rFonts w:hint="default" w:ascii="Times New Roman" w:hAnsi="Times New Roman" w:eastAsia="仿宋" w:cs="Times New Roman"/>
                <w:snapToGrid w:val="0"/>
                <w:color w:val="auto"/>
                <w:kern w:val="21"/>
                <w:sz w:val="21"/>
                <w:szCs w:val="21"/>
              </w:rPr>
              <w:t>0</w:t>
            </w:r>
          </w:p>
        </w:tc>
        <w:tc>
          <w:tcPr>
            <w:tcW w:w="1523" w:type="dxa"/>
            <w:vAlign w:val="center"/>
          </w:tcPr>
          <w:p w14:paraId="5CC7738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rPr>
            </w:pPr>
            <w:r>
              <w:rPr>
                <w:rFonts w:hint="default" w:ascii="Times New Roman" w:hAnsi="Times New Roman" w:eastAsia="仿宋" w:cs="Times New Roman"/>
                <w:snapToGrid w:val="0"/>
                <w:color w:val="auto"/>
                <w:kern w:val="21"/>
                <w:sz w:val="21"/>
                <w:szCs w:val="21"/>
              </w:rPr>
              <w:t>0</w:t>
            </w:r>
          </w:p>
        </w:tc>
        <w:tc>
          <w:tcPr>
            <w:tcW w:w="1454" w:type="dxa"/>
            <w:vAlign w:val="center"/>
          </w:tcPr>
          <w:p w14:paraId="6F3A6223">
            <w:pPr>
              <w:spacing w:beforeLines="0" w:afterLines="0" w:line="240" w:lineRule="auto"/>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0C16BC63">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0.5</w:t>
            </w:r>
          </w:p>
        </w:tc>
        <w:tc>
          <w:tcPr>
            <w:tcW w:w="1427" w:type="dxa"/>
            <w:vAlign w:val="center"/>
          </w:tcPr>
          <w:p w14:paraId="73C9402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rPr>
            </w:pPr>
            <w:r>
              <w:rPr>
                <w:rFonts w:hint="default" w:ascii="Times New Roman" w:hAnsi="Times New Roman" w:eastAsia="仿宋" w:cs="Times New Roman"/>
                <w:color w:val="auto"/>
                <w:kern w:val="0"/>
                <w:sz w:val="21"/>
                <w:szCs w:val="21"/>
                <w:lang w:val="en-US" w:eastAsia="zh-CN"/>
              </w:rPr>
              <w:t>0</w:t>
            </w:r>
          </w:p>
        </w:tc>
        <w:tc>
          <w:tcPr>
            <w:tcW w:w="1639" w:type="dxa"/>
            <w:vAlign w:val="center"/>
          </w:tcPr>
          <w:p w14:paraId="4CB8A230">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0.5</w:t>
            </w:r>
          </w:p>
        </w:tc>
        <w:tc>
          <w:tcPr>
            <w:tcW w:w="1430" w:type="dxa"/>
            <w:vAlign w:val="center"/>
          </w:tcPr>
          <w:p w14:paraId="4DD3EF3E">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+0.5</w:t>
            </w:r>
          </w:p>
        </w:tc>
      </w:tr>
      <w:tr w14:paraId="3D06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82A5BD4">
            <w:pPr>
              <w:pStyle w:val="44"/>
              <w:spacing w:beforeLines="0" w:afterLines="0" w:line="240" w:lineRule="auto"/>
              <w:rPr>
                <w:rFonts w:hint="default" w:ascii="Times New Roman" w:hAnsi="Times New Roman" w:eastAsia="仿宋" w:cs="Times New Roman"/>
                <w:snapToGrid w:val="0"/>
                <w:color w:val="auto"/>
                <w:kern w:val="21"/>
                <w:sz w:val="21"/>
                <w:szCs w:val="21"/>
              </w:rPr>
            </w:pPr>
          </w:p>
        </w:tc>
        <w:tc>
          <w:tcPr>
            <w:tcW w:w="1901" w:type="dxa"/>
            <w:vAlign w:val="center"/>
          </w:tcPr>
          <w:p w14:paraId="39A86CC8">
            <w:pPr>
              <w:pStyle w:val="5"/>
              <w:adjustRightInd w:val="0"/>
              <w:snapToGrid w:val="0"/>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val="0"/>
                <w:bCs w:val="0"/>
                <w:color w:val="auto"/>
                <w:kern w:val="2"/>
                <w:sz w:val="21"/>
                <w:szCs w:val="21"/>
                <w:highlight w:val="none"/>
                <w:lang w:val="en-US" w:eastAsia="zh-CN" w:bidi="ar-SA"/>
              </w:rPr>
              <w:t>收尘</w:t>
            </w:r>
          </w:p>
        </w:tc>
        <w:tc>
          <w:tcPr>
            <w:tcW w:w="1701" w:type="dxa"/>
            <w:vAlign w:val="center"/>
          </w:tcPr>
          <w:p w14:paraId="000F5683">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lang w:val="en-US" w:eastAsia="zh-CN"/>
              </w:rPr>
              <w:t>0.53</w:t>
            </w:r>
          </w:p>
        </w:tc>
        <w:tc>
          <w:tcPr>
            <w:tcW w:w="1523" w:type="dxa"/>
            <w:vAlign w:val="center"/>
          </w:tcPr>
          <w:p w14:paraId="3E90B930">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lang w:val="en-US" w:eastAsia="zh-CN"/>
              </w:rPr>
              <w:t>0.53</w:t>
            </w:r>
          </w:p>
        </w:tc>
        <w:tc>
          <w:tcPr>
            <w:tcW w:w="1454" w:type="dxa"/>
            <w:vAlign w:val="center"/>
          </w:tcPr>
          <w:p w14:paraId="4E2450BE">
            <w:pPr>
              <w:pStyle w:val="44"/>
              <w:spacing w:beforeLines="0" w:afterLines="0" w:line="240" w:lineRule="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65A374C4">
            <w:pPr>
              <w:adjustRightInd w:val="0"/>
              <w:snapToGrid w:val="0"/>
              <w:jc w:val="center"/>
              <w:rPr>
                <w:rFonts w:hint="default" w:ascii="Times New Roman" w:hAnsi="Times New Roman" w:eastAsia="仿宋" w:cs="Times New Roman"/>
                <w:snapToGrid w:val="0"/>
                <w:color w:val="auto"/>
                <w:kern w:val="21"/>
                <w:sz w:val="21"/>
                <w:szCs w:val="21"/>
                <w:lang w:val="en-US" w:eastAsia="zh-CN"/>
              </w:rPr>
            </w:pPr>
            <w:r>
              <w:rPr>
                <w:rFonts w:hint="eastAsia" w:eastAsia="仿宋" w:cs="Times New Roman"/>
                <w:color w:val="auto"/>
                <w:sz w:val="21"/>
                <w:szCs w:val="21"/>
                <w:lang w:val="en-US" w:eastAsia="zh-CN"/>
              </w:rPr>
              <w:t>13.742</w:t>
            </w:r>
          </w:p>
        </w:tc>
        <w:tc>
          <w:tcPr>
            <w:tcW w:w="1427" w:type="dxa"/>
            <w:vAlign w:val="center"/>
          </w:tcPr>
          <w:p w14:paraId="4BC17E5B">
            <w:pPr>
              <w:adjustRightInd w:val="0"/>
              <w:snapToGrid w:val="0"/>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color w:val="auto"/>
                <w:kern w:val="2"/>
                <w:sz w:val="21"/>
                <w:lang w:val="en-US" w:eastAsia="zh-CN"/>
              </w:rPr>
              <w:t>0.53</w:t>
            </w:r>
          </w:p>
        </w:tc>
        <w:tc>
          <w:tcPr>
            <w:tcW w:w="1639" w:type="dxa"/>
            <w:vAlign w:val="center"/>
          </w:tcPr>
          <w:p w14:paraId="112EC034">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13.742</w:t>
            </w:r>
          </w:p>
        </w:tc>
        <w:tc>
          <w:tcPr>
            <w:tcW w:w="1430" w:type="dxa"/>
            <w:vAlign w:val="center"/>
          </w:tcPr>
          <w:p w14:paraId="3A4A5F19">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eastAsia" w:eastAsia="仿宋" w:cs="Times New Roman"/>
                <w:color w:val="auto"/>
                <w:sz w:val="21"/>
                <w:szCs w:val="21"/>
                <w:lang w:val="en-US" w:eastAsia="zh-CN"/>
              </w:rPr>
              <w:t>13.212</w:t>
            </w:r>
          </w:p>
        </w:tc>
      </w:tr>
      <w:tr w14:paraId="2C0F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390D7C25">
            <w:pPr>
              <w:pStyle w:val="44"/>
              <w:spacing w:before="31" w:after="31"/>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危险废物</w:t>
            </w:r>
          </w:p>
        </w:tc>
        <w:tc>
          <w:tcPr>
            <w:tcW w:w="1901" w:type="dxa"/>
            <w:vAlign w:val="center"/>
          </w:tcPr>
          <w:p w14:paraId="0D8BF38F">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w:t>
            </w:r>
            <w:r>
              <w:rPr>
                <w:rFonts w:hint="eastAsia" w:ascii="Times New Roman" w:hAnsi="Times New Roman" w:eastAsia="仿宋" w:cs="Times New Roman"/>
                <w:b w:val="0"/>
                <w:bCs w:val="0"/>
                <w:color w:val="auto"/>
                <w:kern w:val="2"/>
                <w:sz w:val="21"/>
                <w:szCs w:val="21"/>
                <w:highlight w:val="none"/>
                <w:lang w:val="en-US" w:eastAsia="zh-CN" w:bidi="ar-SA"/>
              </w:rPr>
              <w:t>切削液</w:t>
            </w:r>
          </w:p>
        </w:tc>
        <w:tc>
          <w:tcPr>
            <w:tcW w:w="1701" w:type="dxa"/>
            <w:vAlign w:val="center"/>
          </w:tcPr>
          <w:p w14:paraId="3BB4302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lang w:val="en-US" w:eastAsia="zh-CN"/>
              </w:rPr>
              <w:t>0.5</w:t>
            </w:r>
          </w:p>
        </w:tc>
        <w:tc>
          <w:tcPr>
            <w:tcW w:w="1523" w:type="dxa"/>
            <w:vAlign w:val="center"/>
          </w:tcPr>
          <w:p w14:paraId="17199ACC">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lang w:val="en-US" w:eastAsia="zh-CN"/>
              </w:rPr>
              <w:t>0.5</w:t>
            </w:r>
          </w:p>
        </w:tc>
        <w:tc>
          <w:tcPr>
            <w:tcW w:w="1454" w:type="dxa"/>
            <w:vAlign w:val="center"/>
          </w:tcPr>
          <w:p w14:paraId="24027C97">
            <w:pPr>
              <w:pStyle w:val="44"/>
              <w:spacing w:beforeLines="0" w:afterLines="0" w:line="240" w:lineRule="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lang w:val="en-US" w:eastAsia="zh-CN"/>
              </w:rPr>
              <w:t>0</w:t>
            </w:r>
          </w:p>
        </w:tc>
        <w:tc>
          <w:tcPr>
            <w:tcW w:w="1559" w:type="dxa"/>
            <w:vAlign w:val="center"/>
          </w:tcPr>
          <w:p w14:paraId="2AD3AB74">
            <w:pPr>
              <w:adjustRightInd w:val="0"/>
              <w:snapToGrid w:val="0"/>
              <w:jc w:val="center"/>
              <w:rPr>
                <w:rFonts w:hint="default" w:ascii="Times New Roman" w:hAnsi="Times New Roman" w:eastAsia="仿宋" w:cs="Times New Roman"/>
                <w:snapToGrid w:val="0"/>
                <w:color w:val="auto"/>
                <w:kern w:val="21"/>
                <w:sz w:val="21"/>
                <w:szCs w:val="21"/>
                <w:lang w:val="en-US" w:eastAsia="zh-CN"/>
              </w:rPr>
            </w:pPr>
            <w:r>
              <w:rPr>
                <w:rFonts w:hint="eastAsia" w:eastAsia="仿宋" w:cs="Times New Roman"/>
                <w:color w:val="auto"/>
                <w:kern w:val="2"/>
                <w:sz w:val="21"/>
                <w:szCs w:val="21"/>
                <w:lang w:val="en-US" w:eastAsia="zh-CN" w:bidi="ar-SA"/>
              </w:rPr>
              <w:t>8</w:t>
            </w:r>
          </w:p>
        </w:tc>
        <w:tc>
          <w:tcPr>
            <w:tcW w:w="1427" w:type="dxa"/>
            <w:vAlign w:val="center"/>
          </w:tcPr>
          <w:p w14:paraId="639520F1">
            <w:pPr>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color w:val="auto"/>
                <w:lang w:val="en-US" w:eastAsia="zh-CN"/>
              </w:rPr>
              <w:t>0.5</w:t>
            </w:r>
          </w:p>
        </w:tc>
        <w:tc>
          <w:tcPr>
            <w:tcW w:w="1639" w:type="dxa"/>
            <w:vAlign w:val="center"/>
          </w:tcPr>
          <w:p w14:paraId="3713582C">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kern w:val="2"/>
                <w:sz w:val="21"/>
                <w:szCs w:val="21"/>
                <w:lang w:val="en-US" w:eastAsia="zh-CN" w:bidi="ar-SA"/>
              </w:rPr>
              <w:t>8</w:t>
            </w:r>
          </w:p>
        </w:tc>
        <w:tc>
          <w:tcPr>
            <w:tcW w:w="1430" w:type="dxa"/>
            <w:vAlign w:val="center"/>
          </w:tcPr>
          <w:p w14:paraId="7B5E87C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eastAsia" w:eastAsia="仿宋" w:cs="Times New Roman"/>
                <w:color w:val="auto"/>
                <w:kern w:val="2"/>
                <w:sz w:val="21"/>
                <w:szCs w:val="21"/>
                <w:lang w:val="en-US" w:eastAsia="zh-CN" w:bidi="ar-SA"/>
              </w:rPr>
              <w:t>7</w:t>
            </w:r>
            <w:r>
              <w:rPr>
                <w:rFonts w:hint="default" w:ascii="Times New Roman" w:hAnsi="Times New Roman" w:eastAsia="仿宋" w:cs="Times New Roman"/>
                <w:color w:val="auto"/>
                <w:kern w:val="2"/>
                <w:sz w:val="21"/>
                <w:szCs w:val="21"/>
                <w:lang w:val="en-US" w:eastAsia="zh-CN" w:bidi="ar-SA"/>
              </w:rPr>
              <w:t>.5</w:t>
            </w:r>
          </w:p>
        </w:tc>
      </w:tr>
      <w:tr w14:paraId="7C4E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2406816">
            <w:pPr>
              <w:pStyle w:val="44"/>
              <w:spacing w:before="31" w:after="31"/>
              <w:rPr>
                <w:rFonts w:hint="default" w:ascii="Times New Roman" w:hAnsi="Times New Roman" w:eastAsia="仿宋" w:cs="Times New Roman"/>
                <w:snapToGrid w:val="0"/>
                <w:color w:val="auto"/>
                <w:kern w:val="21"/>
                <w:sz w:val="21"/>
                <w:szCs w:val="21"/>
              </w:rPr>
            </w:pPr>
          </w:p>
        </w:tc>
        <w:tc>
          <w:tcPr>
            <w:tcW w:w="1901" w:type="dxa"/>
            <w:vAlign w:val="center"/>
          </w:tcPr>
          <w:p w14:paraId="0D25527E">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废包装桶</w:t>
            </w:r>
          </w:p>
        </w:tc>
        <w:tc>
          <w:tcPr>
            <w:tcW w:w="1701" w:type="dxa"/>
            <w:vAlign w:val="center"/>
          </w:tcPr>
          <w:p w14:paraId="717A79D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w:t>
            </w:r>
          </w:p>
        </w:tc>
        <w:tc>
          <w:tcPr>
            <w:tcW w:w="1523" w:type="dxa"/>
            <w:vAlign w:val="center"/>
          </w:tcPr>
          <w:p w14:paraId="3B1A009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1454" w:type="dxa"/>
            <w:vAlign w:val="center"/>
          </w:tcPr>
          <w:p w14:paraId="3E0B3392">
            <w:pPr>
              <w:pStyle w:val="44"/>
              <w:spacing w:beforeLines="0" w:afterLines="0" w:line="240" w:lineRule="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1A997A18">
            <w:pPr>
              <w:adjustRightInd w:val="0"/>
              <w:snapToGrid w:val="0"/>
              <w:jc w:val="center"/>
              <w:rPr>
                <w:rFonts w:hint="default" w:ascii="Times New Roman" w:hAnsi="Times New Roman" w:eastAsia="仿宋" w:cs="Times New Roman"/>
                <w:snapToGrid w:val="0"/>
                <w:color w:val="auto"/>
                <w:kern w:val="21"/>
                <w:sz w:val="21"/>
                <w:szCs w:val="21"/>
                <w:lang w:val="en-US" w:eastAsia="zh-CN"/>
              </w:rPr>
            </w:pPr>
            <w:r>
              <w:rPr>
                <w:rFonts w:hint="eastAsia" w:eastAsia="仿宋" w:cs="Times New Roman"/>
                <w:color w:val="auto"/>
                <w:kern w:val="2"/>
                <w:sz w:val="21"/>
                <w:szCs w:val="21"/>
                <w:lang w:val="en-US" w:eastAsia="zh-CN" w:bidi="ar-SA"/>
              </w:rPr>
              <w:t>1.2</w:t>
            </w:r>
          </w:p>
        </w:tc>
        <w:tc>
          <w:tcPr>
            <w:tcW w:w="1427" w:type="dxa"/>
            <w:vAlign w:val="center"/>
          </w:tcPr>
          <w:p w14:paraId="2CE7C8E4">
            <w:pPr>
              <w:spacing w:before="35"/>
              <w:ind w:left="91" w:leftChars="0" w:right="83" w:rightChars="0"/>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lang w:val="en-US" w:eastAsia="zh-CN"/>
              </w:rPr>
              <w:t>0</w:t>
            </w:r>
          </w:p>
        </w:tc>
        <w:tc>
          <w:tcPr>
            <w:tcW w:w="1639" w:type="dxa"/>
            <w:vAlign w:val="center"/>
          </w:tcPr>
          <w:p w14:paraId="78C42A09">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kern w:val="2"/>
                <w:sz w:val="21"/>
                <w:szCs w:val="21"/>
                <w:lang w:val="en-US" w:eastAsia="zh-CN" w:bidi="ar-SA"/>
              </w:rPr>
              <w:t>1.2</w:t>
            </w:r>
          </w:p>
        </w:tc>
        <w:tc>
          <w:tcPr>
            <w:tcW w:w="1430" w:type="dxa"/>
            <w:vAlign w:val="center"/>
          </w:tcPr>
          <w:p w14:paraId="0EABF97C">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eastAsia" w:eastAsia="仿宋" w:cs="Times New Roman"/>
                <w:color w:val="auto"/>
                <w:kern w:val="2"/>
                <w:sz w:val="21"/>
                <w:szCs w:val="21"/>
                <w:lang w:val="en-US" w:eastAsia="zh-CN" w:bidi="ar-SA"/>
              </w:rPr>
              <w:t>1.2</w:t>
            </w:r>
          </w:p>
        </w:tc>
      </w:tr>
      <w:tr w14:paraId="1159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C44DB34">
            <w:pPr>
              <w:pStyle w:val="44"/>
              <w:spacing w:before="31" w:after="31"/>
              <w:rPr>
                <w:rFonts w:hint="default" w:ascii="Times New Roman" w:hAnsi="Times New Roman" w:eastAsia="仿宋" w:cs="Times New Roman"/>
                <w:snapToGrid w:val="0"/>
                <w:color w:val="auto"/>
                <w:kern w:val="21"/>
                <w:sz w:val="21"/>
                <w:szCs w:val="21"/>
              </w:rPr>
            </w:pPr>
          </w:p>
        </w:tc>
        <w:tc>
          <w:tcPr>
            <w:tcW w:w="1901" w:type="dxa"/>
            <w:vAlign w:val="center"/>
          </w:tcPr>
          <w:p w14:paraId="3EFBE030">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漆渣</w:t>
            </w:r>
          </w:p>
        </w:tc>
        <w:tc>
          <w:tcPr>
            <w:tcW w:w="1701" w:type="dxa"/>
            <w:vAlign w:val="center"/>
          </w:tcPr>
          <w:p w14:paraId="616E9E35">
            <w:pPr>
              <w:spacing w:before="35"/>
              <w:ind w:left="91" w:leftChars="0" w:right="83" w:right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lang w:val="en-US" w:eastAsia="zh-CN"/>
              </w:rPr>
              <w:t>0</w:t>
            </w:r>
          </w:p>
        </w:tc>
        <w:tc>
          <w:tcPr>
            <w:tcW w:w="1523" w:type="dxa"/>
            <w:vAlign w:val="center"/>
          </w:tcPr>
          <w:p w14:paraId="2AFA1747">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454" w:type="dxa"/>
            <w:vAlign w:val="center"/>
          </w:tcPr>
          <w:p w14:paraId="0CC4A401">
            <w:pPr>
              <w:pStyle w:val="44"/>
              <w:spacing w:beforeLines="0" w:afterLines="0" w:line="240" w:lineRule="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119F82B5">
            <w:pPr>
              <w:adjustRightInd w:val="0"/>
              <w:snapToGrid w:val="0"/>
              <w:jc w:val="center"/>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color w:val="auto"/>
                <w:kern w:val="2"/>
                <w:sz w:val="21"/>
                <w:szCs w:val="21"/>
                <w:lang w:val="en-US" w:eastAsia="zh-CN" w:bidi="ar-SA"/>
              </w:rPr>
              <w:t>2.</w:t>
            </w:r>
            <w:r>
              <w:rPr>
                <w:rFonts w:hint="eastAsia" w:eastAsia="仿宋" w:cs="Times New Roman"/>
                <w:color w:val="auto"/>
                <w:kern w:val="2"/>
                <w:sz w:val="21"/>
                <w:szCs w:val="21"/>
                <w:lang w:val="en-US" w:eastAsia="zh-CN" w:bidi="ar-SA"/>
              </w:rPr>
              <w:t>29</w:t>
            </w:r>
          </w:p>
        </w:tc>
        <w:tc>
          <w:tcPr>
            <w:tcW w:w="1427" w:type="dxa"/>
            <w:vAlign w:val="center"/>
          </w:tcPr>
          <w:p w14:paraId="11C155A6">
            <w:pPr>
              <w:spacing w:before="35"/>
              <w:ind w:left="91" w:leftChars="0" w:right="83" w:rightChars="0"/>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lang w:val="en-US" w:eastAsia="zh-CN"/>
              </w:rPr>
              <w:t>0</w:t>
            </w:r>
          </w:p>
        </w:tc>
        <w:tc>
          <w:tcPr>
            <w:tcW w:w="1639" w:type="dxa"/>
            <w:vAlign w:val="center"/>
          </w:tcPr>
          <w:p w14:paraId="474A5225">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lang w:val="en-US" w:eastAsia="zh-CN" w:bidi="ar-SA"/>
              </w:rPr>
              <w:t>2.</w:t>
            </w:r>
            <w:r>
              <w:rPr>
                <w:rFonts w:hint="eastAsia" w:eastAsia="仿宋" w:cs="Times New Roman"/>
                <w:color w:val="auto"/>
                <w:kern w:val="2"/>
                <w:sz w:val="21"/>
                <w:szCs w:val="21"/>
                <w:lang w:val="en-US" w:eastAsia="zh-CN" w:bidi="ar-SA"/>
              </w:rPr>
              <w:t>29</w:t>
            </w:r>
          </w:p>
        </w:tc>
        <w:tc>
          <w:tcPr>
            <w:tcW w:w="1430" w:type="dxa"/>
            <w:vAlign w:val="center"/>
          </w:tcPr>
          <w:p w14:paraId="29CCB7F7">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w:t>
            </w:r>
            <w:r>
              <w:rPr>
                <w:rFonts w:hint="eastAsia" w:eastAsia="仿宋" w:cs="Times New Roman"/>
                <w:color w:val="auto"/>
                <w:kern w:val="2"/>
                <w:sz w:val="21"/>
                <w:szCs w:val="21"/>
                <w:lang w:val="en-US" w:eastAsia="zh-CN" w:bidi="ar-SA"/>
              </w:rPr>
              <w:t>29</w:t>
            </w:r>
          </w:p>
        </w:tc>
      </w:tr>
      <w:tr w14:paraId="72E2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4306A448">
            <w:pPr>
              <w:pStyle w:val="44"/>
              <w:spacing w:before="31" w:after="31"/>
              <w:rPr>
                <w:rFonts w:hint="default" w:ascii="Times New Roman" w:hAnsi="Times New Roman" w:eastAsia="仿宋" w:cs="Times New Roman"/>
                <w:snapToGrid w:val="0"/>
                <w:color w:val="auto"/>
                <w:kern w:val="21"/>
                <w:sz w:val="21"/>
                <w:szCs w:val="21"/>
              </w:rPr>
            </w:pPr>
          </w:p>
        </w:tc>
        <w:tc>
          <w:tcPr>
            <w:tcW w:w="1901" w:type="dxa"/>
            <w:vAlign w:val="center"/>
          </w:tcPr>
          <w:p w14:paraId="3BD536C0">
            <w:pPr>
              <w:pStyle w:val="5"/>
              <w:adjustRightInd w:val="0"/>
              <w:snapToGrid w:val="0"/>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含漆废物</w:t>
            </w:r>
          </w:p>
        </w:tc>
        <w:tc>
          <w:tcPr>
            <w:tcW w:w="1701" w:type="dxa"/>
            <w:vAlign w:val="center"/>
          </w:tcPr>
          <w:p w14:paraId="3AC77BE8">
            <w:pPr>
              <w:spacing w:before="35"/>
              <w:ind w:left="91" w:leftChars="0" w:right="83" w:right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lang w:val="en-US" w:eastAsia="zh-CN"/>
              </w:rPr>
              <w:t>0</w:t>
            </w:r>
          </w:p>
        </w:tc>
        <w:tc>
          <w:tcPr>
            <w:tcW w:w="1523" w:type="dxa"/>
            <w:vAlign w:val="center"/>
          </w:tcPr>
          <w:p w14:paraId="00509A06">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1454" w:type="dxa"/>
            <w:vAlign w:val="center"/>
          </w:tcPr>
          <w:p w14:paraId="7723DF9A">
            <w:pPr>
              <w:pStyle w:val="44"/>
              <w:spacing w:beforeLines="0" w:afterLines="0" w:line="240" w:lineRule="auto"/>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533F0548">
            <w:pPr>
              <w:adjustRightInd w:val="0"/>
              <w:snapToGrid w:val="0"/>
              <w:jc w:val="center"/>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color w:val="auto"/>
                <w:kern w:val="2"/>
                <w:sz w:val="21"/>
                <w:szCs w:val="21"/>
                <w:lang w:val="en-US" w:eastAsia="zh-CN" w:bidi="ar-SA"/>
              </w:rPr>
              <w:t>0.3</w:t>
            </w:r>
          </w:p>
        </w:tc>
        <w:tc>
          <w:tcPr>
            <w:tcW w:w="1427" w:type="dxa"/>
            <w:vAlign w:val="center"/>
          </w:tcPr>
          <w:p w14:paraId="068047B0">
            <w:pPr>
              <w:spacing w:before="35"/>
              <w:ind w:left="91" w:leftChars="0" w:right="83" w:rightChars="0"/>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lang w:val="en-US" w:eastAsia="zh-CN"/>
              </w:rPr>
              <w:t>0</w:t>
            </w:r>
          </w:p>
        </w:tc>
        <w:tc>
          <w:tcPr>
            <w:tcW w:w="1639" w:type="dxa"/>
            <w:vAlign w:val="center"/>
          </w:tcPr>
          <w:p w14:paraId="14CEC566">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lang w:val="en-US" w:eastAsia="zh-CN" w:bidi="ar-SA"/>
              </w:rPr>
              <w:t>0.3</w:t>
            </w:r>
          </w:p>
        </w:tc>
        <w:tc>
          <w:tcPr>
            <w:tcW w:w="1430" w:type="dxa"/>
            <w:vAlign w:val="center"/>
          </w:tcPr>
          <w:p w14:paraId="70CBB9C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+0.3</w:t>
            </w:r>
          </w:p>
        </w:tc>
      </w:tr>
      <w:tr w14:paraId="1EE6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4ABA2101">
            <w:pPr>
              <w:pStyle w:val="44"/>
              <w:spacing w:before="31" w:after="31"/>
              <w:rPr>
                <w:rFonts w:hint="default" w:ascii="Times New Roman" w:hAnsi="Times New Roman" w:eastAsia="仿宋" w:cs="Times New Roman"/>
                <w:snapToGrid w:val="0"/>
                <w:color w:val="auto"/>
                <w:kern w:val="21"/>
                <w:sz w:val="21"/>
                <w:szCs w:val="21"/>
              </w:rPr>
            </w:pPr>
          </w:p>
        </w:tc>
        <w:tc>
          <w:tcPr>
            <w:tcW w:w="1901" w:type="dxa"/>
            <w:vAlign w:val="center"/>
          </w:tcPr>
          <w:p w14:paraId="124F5BF5">
            <w:pPr>
              <w:pStyle w:val="5"/>
              <w:adjustRightInd w:val="0"/>
              <w:snapToGrid w:val="0"/>
              <w:ind w:firstLine="0" w:firstLineChars="0"/>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b w:val="0"/>
                <w:bCs w:val="0"/>
                <w:color w:val="auto"/>
                <w:kern w:val="2"/>
                <w:sz w:val="21"/>
                <w:szCs w:val="21"/>
                <w:highlight w:val="none"/>
                <w:lang w:val="en-US" w:eastAsia="zh-CN" w:bidi="ar-SA"/>
              </w:rPr>
              <w:t>试漏废液</w:t>
            </w:r>
          </w:p>
        </w:tc>
        <w:tc>
          <w:tcPr>
            <w:tcW w:w="1701" w:type="dxa"/>
            <w:vAlign w:val="center"/>
          </w:tcPr>
          <w:p w14:paraId="36BB43E5">
            <w:pPr>
              <w:spacing w:before="35"/>
              <w:ind w:left="91" w:leftChars="0" w:right="83"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523" w:type="dxa"/>
            <w:vAlign w:val="center"/>
          </w:tcPr>
          <w:p w14:paraId="311653F3">
            <w:pPr>
              <w:adjustRightInd w:val="0"/>
              <w:snapToGrid w:val="0"/>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color w:val="auto"/>
                <w:sz w:val="21"/>
                <w:szCs w:val="21"/>
                <w:lang w:val="en-US" w:eastAsia="zh-CN"/>
              </w:rPr>
              <w:t>0</w:t>
            </w:r>
          </w:p>
        </w:tc>
        <w:tc>
          <w:tcPr>
            <w:tcW w:w="1454" w:type="dxa"/>
            <w:vAlign w:val="center"/>
          </w:tcPr>
          <w:p w14:paraId="0789BE79">
            <w:pPr>
              <w:spacing w:beforeLines="0" w:afterLines="0" w:line="240" w:lineRule="auto"/>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lang w:val="en-US" w:eastAsia="zh-CN"/>
              </w:rPr>
              <w:t>0</w:t>
            </w:r>
          </w:p>
        </w:tc>
        <w:tc>
          <w:tcPr>
            <w:tcW w:w="1559" w:type="dxa"/>
            <w:vAlign w:val="center"/>
          </w:tcPr>
          <w:p w14:paraId="0C8A397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3.6</w:t>
            </w:r>
          </w:p>
        </w:tc>
        <w:tc>
          <w:tcPr>
            <w:tcW w:w="1427" w:type="dxa"/>
            <w:vAlign w:val="center"/>
          </w:tcPr>
          <w:p w14:paraId="550467B8">
            <w:pPr>
              <w:spacing w:before="35"/>
              <w:ind w:left="91" w:leftChars="0" w:right="83"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snapToGrid w:val="0"/>
                <w:color w:val="auto"/>
                <w:kern w:val="21"/>
                <w:sz w:val="21"/>
                <w:szCs w:val="21"/>
                <w:lang w:val="en-US" w:eastAsia="zh-CN"/>
              </w:rPr>
              <w:t>0</w:t>
            </w:r>
          </w:p>
        </w:tc>
        <w:tc>
          <w:tcPr>
            <w:tcW w:w="1639" w:type="dxa"/>
            <w:vAlign w:val="center"/>
          </w:tcPr>
          <w:p w14:paraId="43AA0A3A">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3.6</w:t>
            </w:r>
          </w:p>
        </w:tc>
        <w:tc>
          <w:tcPr>
            <w:tcW w:w="1430" w:type="dxa"/>
            <w:vAlign w:val="center"/>
          </w:tcPr>
          <w:p w14:paraId="005CF80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eastAsia" w:eastAsia="仿宋" w:cs="Times New Roman"/>
                <w:color w:val="auto"/>
                <w:kern w:val="2"/>
                <w:sz w:val="21"/>
                <w:szCs w:val="21"/>
                <w:lang w:val="en-US" w:eastAsia="zh-CN" w:bidi="ar-SA"/>
              </w:rPr>
              <w:t>3.6</w:t>
            </w:r>
          </w:p>
        </w:tc>
      </w:tr>
      <w:tr w14:paraId="14E9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DB99402">
            <w:pPr>
              <w:pStyle w:val="44"/>
              <w:spacing w:before="31" w:after="31"/>
              <w:rPr>
                <w:rFonts w:hint="default" w:ascii="Times New Roman" w:hAnsi="Times New Roman" w:eastAsia="仿宋" w:cs="Times New Roman"/>
                <w:snapToGrid w:val="0"/>
                <w:color w:val="auto"/>
                <w:kern w:val="21"/>
                <w:sz w:val="21"/>
                <w:szCs w:val="21"/>
              </w:rPr>
            </w:pPr>
          </w:p>
        </w:tc>
        <w:tc>
          <w:tcPr>
            <w:tcW w:w="1901" w:type="dxa"/>
            <w:vAlign w:val="center"/>
          </w:tcPr>
          <w:p w14:paraId="5656D545">
            <w:pPr>
              <w:pStyle w:val="5"/>
              <w:adjustRightInd w:val="0"/>
              <w:snapToGrid w:val="0"/>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kern w:val="2"/>
                <w:sz w:val="21"/>
                <w:szCs w:val="21"/>
                <w:highlight w:val="none"/>
                <w:lang w:val="en-US" w:eastAsia="zh-CN" w:bidi="ar-SA"/>
              </w:rPr>
              <w:t>废过滤介质</w:t>
            </w:r>
          </w:p>
        </w:tc>
        <w:tc>
          <w:tcPr>
            <w:tcW w:w="1701" w:type="dxa"/>
            <w:vAlign w:val="center"/>
          </w:tcPr>
          <w:p w14:paraId="29B231B2">
            <w:pPr>
              <w:spacing w:before="35"/>
              <w:ind w:left="91" w:leftChars="0" w:right="83"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523" w:type="dxa"/>
            <w:vAlign w:val="center"/>
          </w:tcPr>
          <w:p w14:paraId="5BBF46B1">
            <w:pPr>
              <w:adjustRightInd w:val="0"/>
              <w:snapToGrid w:val="0"/>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color w:val="auto"/>
                <w:sz w:val="21"/>
                <w:szCs w:val="21"/>
                <w:lang w:val="en-US" w:eastAsia="zh-CN"/>
              </w:rPr>
              <w:t>0</w:t>
            </w:r>
          </w:p>
        </w:tc>
        <w:tc>
          <w:tcPr>
            <w:tcW w:w="1454" w:type="dxa"/>
            <w:vAlign w:val="center"/>
          </w:tcPr>
          <w:p w14:paraId="29D4BF92">
            <w:pPr>
              <w:spacing w:beforeLines="0" w:afterLines="0" w:line="240" w:lineRule="auto"/>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lang w:val="en-US" w:eastAsia="zh-CN"/>
              </w:rPr>
              <w:t>0</w:t>
            </w:r>
          </w:p>
        </w:tc>
        <w:tc>
          <w:tcPr>
            <w:tcW w:w="1559" w:type="dxa"/>
            <w:vAlign w:val="center"/>
          </w:tcPr>
          <w:p w14:paraId="2B0F679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0.6</w:t>
            </w:r>
            <w:r>
              <w:rPr>
                <w:rFonts w:hint="eastAsia" w:eastAsia="仿宋" w:cs="Times New Roman"/>
                <w:color w:val="auto"/>
                <w:kern w:val="2"/>
                <w:sz w:val="21"/>
                <w:szCs w:val="21"/>
                <w:lang w:val="en-US" w:eastAsia="zh-CN" w:bidi="ar-SA"/>
              </w:rPr>
              <w:t>4</w:t>
            </w:r>
          </w:p>
        </w:tc>
        <w:tc>
          <w:tcPr>
            <w:tcW w:w="1427" w:type="dxa"/>
            <w:vAlign w:val="center"/>
          </w:tcPr>
          <w:p w14:paraId="59256960">
            <w:pPr>
              <w:spacing w:before="35"/>
              <w:ind w:left="91" w:leftChars="0" w:right="83"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snapToGrid w:val="0"/>
                <w:color w:val="auto"/>
                <w:kern w:val="21"/>
                <w:sz w:val="21"/>
                <w:szCs w:val="21"/>
                <w:lang w:val="en-US" w:eastAsia="zh-CN"/>
              </w:rPr>
              <w:t>0</w:t>
            </w:r>
          </w:p>
        </w:tc>
        <w:tc>
          <w:tcPr>
            <w:tcW w:w="1639" w:type="dxa"/>
            <w:vAlign w:val="center"/>
          </w:tcPr>
          <w:p w14:paraId="6635468C">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0.6</w:t>
            </w:r>
            <w:r>
              <w:rPr>
                <w:rFonts w:hint="eastAsia" w:eastAsia="仿宋" w:cs="Times New Roman"/>
                <w:color w:val="auto"/>
                <w:kern w:val="2"/>
                <w:sz w:val="21"/>
                <w:szCs w:val="21"/>
                <w:lang w:val="en-US" w:eastAsia="zh-CN" w:bidi="ar-SA"/>
              </w:rPr>
              <w:t>4</w:t>
            </w:r>
          </w:p>
        </w:tc>
        <w:tc>
          <w:tcPr>
            <w:tcW w:w="1430" w:type="dxa"/>
            <w:vAlign w:val="center"/>
          </w:tcPr>
          <w:p w14:paraId="5B8B999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+0.6</w:t>
            </w:r>
            <w:r>
              <w:rPr>
                <w:rFonts w:hint="eastAsia" w:eastAsia="仿宋" w:cs="Times New Roman"/>
                <w:color w:val="auto"/>
                <w:kern w:val="2"/>
                <w:sz w:val="21"/>
                <w:szCs w:val="21"/>
                <w:lang w:val="en-US" w:eastAsia="zh-CN" w:bidi="ar-SA"/>
              </w:rPr>
              <w:t>4</w:t>
            </w:r>
          </w:p>
        </w:tc>
      </w:tr>
      <w:tr w14:paraId="201F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70EAAAB">
            <w:pPr>
              <w:pStyle w:val="44"/>
              <w:spacing w:before="31" w:after="31"/>
              <w:rPr>
                <w:rFonts w:hint="default" w:ascii="Times New Roman" w:hAnsi="Times New Roman" w:eastAsia="仿宋" w:cs="Times New Roman"/>
                <w:snapToGrid w:val="0"/>
                <w:color w:val="auto"/>
                <w:kern w:val="21"/>
                <w:sz w:val="21"/>
                <w:szCs w:val="21"/>
              </w:rPr>
            </w:pPr>
          </w:p>
        </w:tc>
        <w:tc>
          <w:tcPr>
            <w:tcW w:w="1901" w:type="dxa"/>
            <w:vAlign w:val="center"/>
          </w:tcPr>
          <w:p w14:paraId="03F8015B">
            <w:pPr>
              <w:pStyle w:val="5"/>
              <w:adjustRightInd w:val="0"/>
              <w:snapToGrid w:val="0"/>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kern w:val="2"/>
                <w:sz w:val="21"/>
                <w:szCs w:val="21"/>
                <w:highlight w:val="none"/>
                <w:lang w:val="en-US" w:eastAsia="zh-CN" w:bidi="ar-SA"/>
              </w:rPr>
              <w:t>废活性炭</w:t>
            </w:r>
          </w:p>
        </w:tc>
        <w:tc>
          <w:tcPr>
            <w:tcW w:w="1701" w:type="dxa"/>
            <w:vAlign w:val="center"/>
          </w:tcPr>
          <w:p w14:paraId="3DCB3938">
            <w:pPr>
              <w:spacing w:before="35"/>
              <w:ind w:left="91" w:leftChars="0" w:right="83"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523" w:type="dxa"/>
            <w:vAlign w:val="center"/>
          </w:tcPr>
          <w:p w14:paraId="74A9A323">
            <w:pPr>
              <w:adjustRightInd w:val="0"/>
              <w:snapToGrid w:val="0"/>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color w:val="auto"/>
                <w:sz w:val="21"/>
                <w:szCs w:val="21"/>
                <w:lang w:val="en-US" w:eastAsia="zh-CN"/>
              </w:rPr>
              <w:t>0</w:t>
            </w:r>
          </w:p>
        </w:tc>
        <w:tc>
          <w:tcPr>
            <w:tcW w:w="1454" w:type="dxa"/>
            <w:vAlign w:val="center"/>
          </w:tcPr>
          <w:p w14:paraId="23E164D4">
            <w:pPr>
              <w:spacing w:beforeLines="0" w:afterLines="0" w:line="240" w:lineRule="auto"/>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lang w:val="en-US" w:eastAsia="zh-CN"/>
              </w:rPr>
              <w:t>0</w:t>
            </w:r>
          </w:p>
        </w:tc>
        <w:tc>
          <w:tcPr>
            <w:tcW w:w="1559" w:type="dxa"/>
            <w:vAlign w:val="center"/>
          </w:tcPr>
          <w:p w14:paraId="5A273BE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bCs/>
                <w:color w:val="auto"/>
                <w:sz w:val="21"/>
                <w:szCs w:val="21"/>
                <w:lang w:val="en-US" w:eastAsia="zh-CN"/>
              </w:rPr>
              <w:t>3.09</w:t>
            </w:r>
          </w:p>
        </w:tc>
        <w:tc>
          <w:tcPr>
            <w:tcW w:w="1427" w:type="dxa"/>
            <w:vAlign w:val="center"/>
          </w:tcPr>
          <w:p w14:paraId="4581F6BC">
            <w:pPr>
              <w:spacing w:before="35"/>
              <w:ind w:left="91" w:leftChars="0" w:right="83"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snapToGrid w:val="0"/>
                <w:color w:val="auto"/>
                <w:kern w:val="21"/>
                <w:sz w:val="21"/>
                <w:szCs w:val="21"/>
                <w:lang w:val="en-US" w:eastAsia="zh-CN"/>
              </w:rPr>
              <w:t>0</w:t>
            </w:r>
          </w:p>
        </w:tc>
        <w:tc>
          <w:tcPr>
            <w:tcW w:w="1639" w:type="dxa"/>
            <w:vAlign w:val="center"/>
          </w:tcPr>
          <w:p w14:paraId="65E02F4E">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bCs/>
                <w:color w:val="auto"/>
                <w:sz w:val="21"/>
                <w:szCs w:val="21"/>
                <w:lang w:val="en-US" w:eastAsia="zh-CN"/>
              </w:rPr>
              <w:t>3.09</w:t>
            </w:r>
          </w:p>
        </w:tc>
        <w:tc>
          <w:tcPr>
            <w:tcW w:w="1430" w:type="dxa"/>
            <w:vAlign w:val="center"/>
          </w:tcPr>
          <w:p w14:paraId="5E10FFA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eastAsia" w:ascii="Times New Roman" w:hAnsi="Times New Roman" w:eastAsia="仿宋" w:cs="Times New Roman"/>
                <w:bCs/>
                <w:color w:val="auto"/>
                <w:sz w:val="21"/>
                <w:szCs w:val="21"/>
                <w:lang w:val="en-US" w:eastAsia="zh-CN"/>
              </w:rPr>
              <w:t>3.09</w:t>
            </w:r>
          </w:p>
        </w:tc>
      </w:tr>
      <w:tr w14:paraId="7073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DD07FCA">
            <w:pPr>
              <w:pStyle w:val="44"/>
              <w:spacing w:before="31" w:after="31"/>
              <w:rPr>
                <w:rFonts w:hint="default" w:ascii="Times New Roman" w:hAnsi="Times New Roman" w:eastAsia="仿宋" w:cs="Times New Roman"/>
                <w:snapToGrid w:val="0"/>
                <w:color w:val="auto"/>
                <w:kern w:val="21"/>
                <w:sz w:val="21"/>
                <w:szCs w:val="21"/>
              </w:rPr>
            </w:pPr>
          </w:p>
        </w:tc>
        <w:tc>
          <w:tcPr>
            <w:tcW w:w="1901" w:type="dxa"/>
            <w:vAlign w:val="center"/>
          </w:tcPr>
          <w:p w14:paraId="78BBB962">
            <w:pPr>
              <w:pStyle w:val="5"/>
              <w:adjustRightInd w:val="0"/>
              <w:snapToGrid w:val="0"/>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含油抹布手套</w:t>
            </w:r>
          </w:p>
        </w:tc>
        <w:tc>
          <w:tcPr>
            <w:tcW w:w="1701" w:type="dxa"/>
            <w:vAlign w:val="center"/>
          </w:tcPr>
          <w:p w14:paraId="5BCE7D4E">
            <w:pPr>
              <w:spacing w:before="35"/>
              <w:ind w:left="91" w:leftChars="0" w:right="83"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4"/>
                <w:lang w:val="en-US" w:eastAsia="zh-CN" w:bidi="ar-SA"/>
              </w:rPr>
              <w:t>0.05</w:t>
            </w:r>
          </w:p>
        </w:tc>
        <w:tc>
          <w:tcPr>
            <w:tcW w:w="1523" w:type="dxa"/>
            <w:vAlign w:val="center"/>
          </w:tcPr>
          <w:p w14:paraId="3A12CAFE">
            <w:pPr>
              <w:spacing w:before="35"/>
              <w:ind w:left="91" w:leftChars="0" w:right="83" w:rightChars="0"/>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color w:val="auto"/>
                <w:kern w:val="2"/>
                <w:sz w:val="21"/>
                <w:szCs w:val="24"/>
                <w:lang w:val="en-US" w:eastAsia="zh-CN" w:bidi="ar-SA"/>
              </w:rPr>
              <w:t>0.05</w:t>
            </w:r>
          </w:p>
        </w:tc>
        <w:tc>
          <w:tcPr>
            <w:tcW w:w="1454" w:type="dxa"/>
            <w:vAlign w:val="center"/>
          </w:tcPr>
          <w:p w14:paraId="2F82D057">
            <w:pPr>
              <w:spacing w:beforeLines="0" w:afterLines="0" w:line="240" w:lineRule="auto"/>
              <w:jc w:val="center"/>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lang w:val="en-US" w:eastAsia="zh-CN"/>
              </w:rPr>
              <w:t>0</w:t>
            </w:r>
          </w:p>
        </w:tc>
        <w:tc>
          <w:tcPr>
            <w:tcW w:w="1559" w:type="dxa"/>
            <w:vAlign w:val="center"/>
          </w:tcPr>
          <w:p w14:paraId="57E7707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0.05</w:t>
            </w:r>
          </w:p>
        </w:tc>
        <w:tc>
          <w:tcPr>
            <w:tcW w:w="1427" w:type="dxa"/>
            <w:vAlign w:val="center"/>
          </w:tcPr>
          <w:p w14:paraId="67B242A9">
            <w:pPr>
              <w:spacing w:before="35"/>
              <w:ind w:left="91" w:leftChars="0" w:right="83" w:righ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snapToGrid w:val="0"/>
                <w:color w:val="auto"/>
                <w:kern w:val="21"/>
                <w:sz w:val="21"/>
                <w:szCs w:val="21"/>
                <w:lang w:val="en-US" w:eastAsia="zh-CN"/>
              </w:rPr>
              <w:t>0</w:t>
            </w:r>
          </w:p>
        </w:tc>
        <w:tc>
          <w:tcPr>
            <w:tcW w:w="1639" w:type="dxa"/>
            <w:vAlign w:val="center"/>
          </w:tcPr>
          <w:p w14:paraId="51867D3D">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0.05</w:t>
            </w:r>
          </w:p>
        </w:tc>
        <w:tc>
          <w:tcPr>
            <w:tcW w:w="1430" w:type="dxa"/>
            <w:vAlign w:val="center"/>
          </w:tcPr>
          <w:p w14:paraId="0B6B569E">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r>
      <w:tr w14:paraId="4B68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005" w:type="dxa"/>
            <w:gridSpan w:val="2"/>
            <w:vAlign w:val="center"/>
          </w:tcPr>
          <w:p w14:paraId="4AD568CB">
            <w:pPr>
              <w:pStyle w:val="5"/>
              <w:adjustRightInd w:val="0"/>
              <w:snapToGrid w:val="0"/>
              <w:ind w:firstLine="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snapToGrid w:val="0"/>
                <w:color w:val="auto"/>
                <w:kern w:val="21"/>
                <w:sz w:val="21"/>
                <w:szCs w:val="21"/>
              </w:rPr>
              <w:t>生活垃圾</w:t>
            </w:r>
          </w:p>
        </w:tc>
        <w:tc>
          <w:tcPr>
            <w:tcW w:w="1701" w:type="dxa"/>
            <w:vAlign w:val="center"/>
          </w:tcPr>
          <w:p w14:paraId="346A1B30">
            <w:pPr>
              <w:pStyle w:val="44"/>
              <w:spacing w:beforeLines="0" w:afterLines="0" w:line="240" w:lineRule="auto"/>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snapToGrid w:val="0"/>
                <w:color w:val="auto"/>
                <w:kern w:val="21"/>
                <w:sz w:val="21"/>
                <w:szCs w:val="21"/>
                <w:lang w:val="en-US" w:eastAsia="zh-CN"/>
              </w:rPr>
              <w:t>9</w:t>
            </w:r>
          </w:p>
        </w:tc>
        <w:tc>
          <w:tcPr>
            <w:tcW w:w="1523" w:type="dxa"/>
            <w:vAlign w:val="center"/>
          </w:tcPr>
          <w:p w14:paraId="76E63A16">
            <w:pPr>
              <w:pStyle w:val="44"/>
              <w:spacing w:beforeLines="0" w:afterLines="0" w:line="240" w:lineRule="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snapToGrid w:val="0"/>
                <w:color w:val="auto"/>
                <w:kern w:val="21"/>
                <w:sz w:val="21"/>
                <w:szCs w:val="21"/>
                <w:lang w:val="en-US" w:eastAsia="zh-CN"/>
              </w:rPr>
              <w:t>9</w:t>
            </w:r>
          </w:p>
        </w:tc>
        <w:tc>
          <w:tcPr>
            <w:tcW w:w="1454" w:type="dxa"/>
            <w:vAlign w:val="center"/>
          </w:tcPr>
          <w:p w14:paraId="2D8338EF">
            <w:pPr>
              <w:pStyle w:val="44"/>
              <w:spacing w:beforeLines="0" w:afterLines="0" w:line="240" w:lineRule="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0</w:t>
            </w:r>
          </w:p>
        </w:tc>
        <w:tc>
          <w:tcPr>
            <w:tcW w:w="1559" w:type="dxa"/>
            <w:vAlign w:val="center"/>
          </w:tcPr>
          <w:p w14:paraId="3DC15EEB">
            <w:pPr>
              <w:adjustRightInd w:val="0"/>
              <w:snapToGrid w:val="0"/>
              <w:jc w:val="center"/>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color w:val="auto"/>
                <w:kern w:val="2"/>
                <w:sz w:val="21"/>
                <w:szCs w:val="24"/>
                <w:lang w:val="en-US" w:eastAsia="zh-CN" w:bidi="ar-SA"/>
              </w:rPr>
              <w:t>13.5</w:t>
            </w:r>
          </w:p>
        </w:tc>
        <w:tc>
          <w:tcPr>
            <w:tcW w:w="1427" w:type="dxa"/>
            <w:vAlign w:val="center"/>
          </w:tcPr>
          <w:p w14:paraId="5EC33274">
            <w:pPr>
              <w:pStyle w:val="44"/>
              <w:spacing w:beforeLines="0" w:afterLines="0" w:line="240" w:lineRule="auto"/>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lang w:val="en-US" w:eastAsia="zh-CN"/>
              </w:rPr>
              <w:t>0</w:t>
            </w:r>
          </w:p>
        </w:tc>
        <w:tc>
          <w:tcPr>
            <w:tcW w:w="1639" w:type="dxa"/>
            <w:vAlign w:val="center"/>
          </w:tcPr>
          <w:p w14:paraId="697370DF">
            <w:pPr>
              <w:adjustRightInd w:val="0"/>
              <w:snapToGrid w:val="0"/>
              <w:jc w:val="center"/>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color w:val="auto"/>
                <w:kern w:val="2"/>
                <w:sz w:val="21"/>
                <w:szCs w:val="24"/>
                <w:lang w:val="en-US" w:eastAsia="zh-CN" w:bidi="ar-SA"/>
              </w:rPr>
              <w:t>13.5</w:t>
            </w:r>
          </w:p>
        </w:tc>
        <w:tc>
          <w:tcPr>
            <w:tcW w:w="1430" w:type="dxa"/>
            <w:vAlign w:val="center"/>
          </w:tcPr>
          <w:p w14:paraId="6BB8E20D">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eastAsia" w:eastAsia="仿宋" w:cs="Times New Roman"/>
                <w:color w:val="auto"/>
                <w:kern w:val="2"/>
                <w:sz w:val="21"/>
                <w:szCs w:val="21"/>
                <w:lang w:val="en-US" w:eastAsia="zh-CN" w:bidi="ar-SA"/>
              </w:rPr>
              <w:t>4.5</w:t>
            </w:r>
          </w:p>
        </w:tc>
      </w:tr>
    </w:tbl>
    <w:p w14:paraId="0F7D83A3">
      <w:pPr>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snapToGrid w:val="0"/>
          <w:color w:val="auto"/>
          <w:kern w:val="21"/>
          <w:szCs w:val="21"/>
          <w:highlight w:val="none"/>
        </w:rPr>
        <w:t>注：</w:t>
      </w:r>
      <w:r>
        <w:rPr>
          <w:rFonts w:hint="default" w:ascii="Times New Roman" w:hAnsi="Times New Roman" w:eastAsia="仿宋" w:cs="Times New Roman"/>
          <w:snapToGrid w:val="0"/>
          <w:color w:val="auto"/>
          <w:spacing w:val="-16"/>
          <w:kern w:val="21"/>
          <w:szCs w:val="21"/>
          <w:highlight w:val="none"/>
        </w:rPr>
        <w:fldChar w:fldCharType="begin"/>
      </w:r>
      <w:r>
        <w:rPr>
          <w:rFonts w:hint="default" w:ascii="Times New Roman" w:hAnsi="Times New Roman" w:eastAsia="仿宋" w:cs="Times New Roman"/>
          <w:snapToGrid w:val="0"/>
          <w:color w:val="auto"/>
          <w:spacing w:val="-16"/>
          <w:kern w:val="21"/>
          <w:szCs w:val="21"/>
          <w:highlight w:val="none"/>
        </w:rPr>
        <w:instrText xml:space="preserve"> = 6 \* GB3 \* MERGEFORMAT </w:instrText>
      </w:r>
      <w:r>
        <w:rPr>
          <w:rFonts w:hint="default" w:ascii="Times New Roman" w:hAnsi="Times New Roman" w:eastAsia="仿宋" w:cs="Times New Roman"/>
          <w:snapToGrid w:val="0"/>
          <w:color w:val="auto"/>
          <w:spacing w:val="-16"/>
          <w:kern w:val="21"/>
          <w:szCs w:val="21"/>
          <w:highlight w:val="none"/>
        </w:rPr>
        <w:fldChar w:fldCharType="separate"/>
      </w:r>
      <w:r>
        <w:rPr>
          <w:rFonts w:hint="default" w:ascii="Times New Roman" w:hAnsi="Times New Roman" w:eastAsia="仿宋" w:cs="Times New Roman"/>
          <w:color w:val="auto"/>
          <w:szCs w:val="21"/>
          <w:highlight w:val="none"/>
        </w:rPr>
        <w:t>⑥</w:t>
      </w:r>
      <w:r>
        <w:rPr>
          <w:rFonts w:hint="default" w:ascii="Times New Roman" w:hAnsi="Times New Roman" w:eastAsia="仿宋" w:cs="Times New Roman"/>
          <w:snapToGrid w:val="0"/>
          <w:color w:val="auto"/>
          <w:spacing w:val="-16"/>
          <w:kern w:val="21"/>
          <w:szCs w:val="21"/>
          <w:highlight w:val="none"/>
        </w:rPr>
        <w:fldChar w:fldCharType="end"/>
      </w:r>
      <w:r>
        <w:rPr>
          <w:rFonts w:hint="default" w:ascii="Times New Roman" w:hAnsi="Times New Roman" w:eastAsia="仿宋" w:cs="Times New Roman"/>
          <w:snapToGrid w:val="0"/>
          <w:color w:val="auto"/>
          <w:spacing w:val="-1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1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仿宋" w:cs="Times New Roman"/>
          <w:color w:val="auto"/>
          <w:szCs w:val="21"/>
          <w:highlight w:val="none"/>
        </w:rPr>
        <w:t>①</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3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仿宋" w:cs="Times New Roman"/>
          <w:color w:val="auto"/>
          <w:szCs w:val="21"/>
          <w:highlight w:val="none"/>
        </w:rPr>
        <w:t>③</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4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仿宋" w:cs="Times New Roman"/>
          <w:color w:val="auto"/>
          <w:szCs w:val="21"/>
          <w:highlight w:val="none"/>
        </w:rPr>
        <w:t>④</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16"/>
          <w:kern w:val="21"/>
          <w:szCs w:val="21"/>
          <w:highlight w:val="none"/>
        </w:rPr>
        <w:fldChar w:fldCharType="begin"/>
      </w:r>
      <w:r>
        <w:rPr>
          <w:rFonts w:hint="default" w:ascii="Times New Roman" w:hAnsi="Times New Roman" w:eastAsia="仿宋" w:cs="Times New Roman"/>
          <w:snapToGrid w:val="0"/>
          <w:color w:val="auto"/>
          <w:spacing w:val="-16"/>
          <w:kern w:val="21"/>
          <w:szCs w:val="21"/>
          <w:highlight w:val="none"/>
        </w:rPr>
        <w:instrText xml:space="preserve"> = 5 \* GB3 \* MERGEFORMAT </w:instrText>
      </w:r>
      <w:r>
        <w:rPr>
          <w:rFonts w:hint="default" w:ascii="Times New Roman" w:hAnsi="Times New Roman" w:eastAsia="仿宋" w:cs="Times New Roman"/>
          <w:snapToGrid w:val="0"/>
          <w:color w:val="auto"/>
          <w:spacing w:val="-16"/>
          <w:kern w:val="21"/>
          <w:szCs w:val="21"/>
          <w:highlight w:val="none"/>
        </w:rPr>
        <w:fldChar w:fldCharType="separate"/>
      </w:r>
      <w:r>
        <w:rPr>
          <w:rFonts w:hint="default" w:ascii="Times New Roman" w:hAnsi="Times New Roman" w:eastAsia="仿宋" w:cs="Times New Roman"/>
          <w:color w:val="auto"/>
          <w:szCs w:val="21"/>
          <w:highlight w:val="none"/>
        </w:rPr>
        <w:t>⑤</w:t>
      </w:r>
      <w:r>
        <w:rPr>
          <w:rFonts w:hint="default" w:ascii="Times New Roman" w:hAnsi="Times New Roman" w:eastAsia="仿宋" w:cs="Times New Roman"/>
          <w:snapToGrid w:val="0"/>
          <w:color w:val="auto"/>
          <w:spacing w:val="-16"/>
          <w:kern w:val="21"/>
          <w:szCs w:val="21"/>
          <w:highlight w:val="none"/>
        </w:rPr>
        <w:fldChar w:fldCharType="end"/>
      </w:r>
      <w:r>
        <w:rPr>
          <w:rFonts w:hint="default" w:ascii="Times New Roman" w:hAnsi="Times New Roman" w:eastAsia="仿宋" w:cs="Times New Roman"/>
          <w:snapToGrid w:val="0"/>
          <w:color w:val="auto"/>
          <w:spacing w:val="-1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7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仿宋" w:cs="Times New Roman"/>
          <w:color w:val="auto"/>
          <w:szCs w:val="21"/>
          <w:highlight w:val="none"/>
        </w:rPr>
        <w:t>⑦</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16"/>
          <w:kern w:val="21"/>
          <w:szCs w:val="21"/>
          <w:highlight w:val="none"/>
        </w:rPr>
        <w:fldChar w:fldCharType="begin"/>
      </w:r>
      <w:r>
        <w:rPr>
          <w:rFonts w:hint="default" w:ascii="Times New Roman" w:hAnsi="Times New Roman" w:eastAsia="仿宋" w:cs="Times New Roman"/>
          <w:snapToGrid w:val="0"/>
          <w:color w:val="auto"/>
          <w:spacing w:val="-16"/>
          <w:kern w:val="21"/>
          <w:szCs w:val="21"/>
          <w:highlight w:val="none"/>
        </w:rPr>
        <w:instrText xml:space="preserve"> = 6 \* GB3 \* MERGEFORMAT </w:instrText>
      </w:r>
      <w:r>
        <w:rPr>
          <w:rFonts w:hint="default" w:ascii="Times New Roman" w:hAnsi="Times New Roman" w:eastAsia="仿宋" w:cs="Times New Roman"/>
          <w:snapToGrid w:val="0"/>
          <w:color w:val="auto"/>
          <w:spacing w:val="-16"/>
          <w:kern w:val="21"/>
          <w:szCs w:val="21"/>
          <w:highlight w:val="none"/>
        </w:rPr>
        <w:fldChar w:fldCharType="separate"/>
      </w:r>
      <w:r>
        <w:rPr>
          <w:rFonts w:hint="default" w:ascii="Times New Roman" w:hAnsi="Times New Roman" w:eastAsia="仿宋" w:cs="Times New Roman"/>
          <w:color w:val="auto"/>
          <w:szCs w:val="21"/>
          <w:highlight w:val="none"/>
        </w:rPr>
        <w:t>⑥</w:t>
      </w:r>
      <w:r>
        <w:rPr>
          <w:rFonts w:hint="default" w:ascii="Times New Roman" w:hAnsi="Times New Roman" w:eastAsia="仿宋" w:cs="Times New Roman"/>
          <w:snapToGrid w:val="0"/>
          <w:color w:val="auto"/>
          <w:spacing w:val="-16"/>
          <w:kern w:val="21"/>
          <w:szCs w:val="21"/>
          <w:highlight w:val="none"/>
        </w:rPr>
        <w:fldChar w:fldCharType="end"/>
      </w:r>
      <w:r>
        <w:rPr>
          <w:rFonts w:hint="default" w:ascii="Times New Roman" w:hAnsi="Times New Roman" w:eastAsia="仿宋" w:cs="Times New Roman"/>
          <w:snapToGrid w:val="0"/>
          <w:color w:val="auto"/>
          <w:spacing w:val="-1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1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仿宋" w:cs="Times New Roman"/>
          <w:color w:val="auto"/>
          <w:szCs w:val="21"/>
          <w:highlight w:val="none"/>
        </w:rPr>
        <w:t>①</w:t>
      </w:r>
      <w:r>
        <w:rPr>
          <w:rFonts w:hint="default" w:ascii="Times New Roman" w:hAnsi="Times New Roman" w:eastAsia="仿宋" w:cs="Times New Roman"/>
          <w:snapToGrid w:val="0"/>
          <w:color w:val="auto"/>
          <w:spacing w:val="-6"/>
          <w:kern w:val="21"/>
          <w:szCs w:val="21"/>
          <w:highlight w:val="none"/>
        </w:rPr>
        <w:fldChar w:fldCharType="end"/>
      </w:r>
    </w:p>
    <w:p w14:paraId="3F182E3E">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10"/>
          <w:szCs w:val="10"/>
        </w:rPr>
      </w:pPr>
    </w:p>
    <w:sectPr>
      <w:footerReference r:id="rId10" w:type="default"/>
      <w:pgSz w:w="16838" w:h="11906" w:orient="landscape"/>
      <w:pgMar w:top="1417" w:right="1701" w:bottom="1531" w:left="1701" w:header="851" w:footer="851"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文鼎CS中宋">
    <w:altName w:val="宋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00B8">
    <w:pPr>
      <w:pStyle w:val="1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D6D0ED">
                          <w:pPr>
                            <w:pStyle w:val="16"/>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gOQeyQEAAJoDAAAOAAAAAAAAAAEAIAAAAB4BAABkcnMvZTJvRG9j&#10;LnhtbFBLBQYAAAAABgAGAFkBAABZBQAAAAA=&#10;">
              <v:fill on="f" focussize="0,0"/>
              <v:stroke on="f"/>
              <v:imagedata o:title=""/>
              <o:lock v:ext="edit" aspectratio="f"/>
              <v:textbox inset="0mm,0mm,0mm,0mm" style="mso-fit-shape-to-text:t;">
                <w:txbxContent>
                  <w:p w14:paraId="59D6D0ED">
                    <w:pPr>
                      <w:pStyle w:val="1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2AE5A">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2855AD">
                          <w:pPr>
                            <w:pStyle w:val="16"/>
                          </w:pPr>
                          <w:r>
                            <w:fldChar w:fldCharType="begin"/>
                          </w:r>
                          <w:r>
                            <w:instrText xml:space="preserve"> PAGE  \* MERGEFORMAT </w:instrText>
                          </w:r>
                          <w:r>
                            <w:fldChar w:fldCharType="separate"/>
                          </w:r>
                          <w:r>
                            <w:t>17</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s9RskBAACa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2SEsctTvzy/dvlx6/Lz69k&#10;l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YKz1GyQEAAJoDAAAOAAAAAAAAAAEAIAAAAB4BAABkcnMvZTJvRG9j&#10;LnhtbFBLBQYAAAAABgAGAFkBAABZBQAAAAA=&#10;">
              <v:fill on="f" focussize="0,0"/>
              <v:stroke on="f"/>
              <v:imagedata o:title=""/>
              <o:lock v:ext="edit" aspectratio="f"/>
              <v:textbox inset="0mm,0mm,0mm,0mm" style="mso-fit-shape-to-text:t;">
                <w:txbxContent>
                  <w:p w14:paraId="412855AD">
                    <w:pPr>
                      <w:pStyle w:val="1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5B0D2">
    <w:pPr>
      <w:pStyle w:val="1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C40666">
                          <w:pPr>
                            <w:pStyle w:val="16"/>
                          </w:pPr>
                          <w:r>
                            <w:fldChar w:fldCharType="begin"/>
                          </w:r>
                          <w:r>
                            <w:instrText xml:space="preserve"> PAGE  \* MERGEFORMAT </w:instrText>
                          </w:r>
                          <w:r>
                            <w:fldChar w:fldCharType="separate"/>
                          </w:r>
                          <w:r>
                            <w:t>18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46C40666">
                    <w:pPr>
                      <w:pStyle w:val="1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237D4">
    <w:pPr>
      <w:pStyle w:val="16"/>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EFEC9">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0A49F">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1E8D5">
    <w:pPr>
      <w:pStyle w:val="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04868">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FA867A"/>
    <w:multiLevelType w:val="singleLevel"/>
    <w:tmpl w:val="F5FA867A"/>
    <w:lvl w:ilvl="0" w:tentative="0">
      <w:start w:val="2"/>
      <w:numFmt w:val="decimal"/>
      <w:suff w:val="nothing"/>
      <w:lvlText w:val="%1、"/>
      <w:lvlJc w:val="left"/>
    </w:lvl>
  </w:abstractNum>
  <w:abstractNum w:abstractNumId="1">
    <w:nsid w:val="167C3218"/>
    <w:multiLevelType w:val="singleLevel"/>
    <w:tmpl w:val="167C3218"/>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2">
    <w:nsid w:val="21FD7966"/>
    <w:multiLevelType w:val="singleLevel"/>
    <w:tmpl w:val="21FD7966"/>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attachedTemplate r:id="rId1"/>
  <w:documentProtection w:edit="trackedChanges" w:enforcement="0"/>
  <w:defaultTabStop w:val="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lNzViYTYyMmIxYWZlZjNhOGRkMmE1NjRiZDBjZTAifQ=="/>
  </w:docVars>
  <w:rsids>
    <w:rsidRoot w:val="00A14947"/>
    <w:rsid w:val="0000034B"/>
    <w:rsid w:val="00000F89"/>
    <w:rsid w:val="0000195E"/>
    <w:rsid w:val="0000268B"/>
    <w:rsid w:val="00002F74"/>
    <w:rsid w:val="00004081"/>
    <w:rsid w:val="0000439F"/>
    <w:rsid w:val="00004C06"/>
    <w:rsid w:val="00005877"/>
    <w:rsid w:val="000060B3"/>
    <w:rsid w:val="00006D0C"/>
    <w:rsid w:val="00007145"/>
    <w:rsid w:val="00007298"/>
    <w:rsid w:val="00010B61"/>
    <w:rsid w:val="0001177B"/>
    <w:rsid w:val="0001192C"/>
    <w:rsid w:val="00011EC4"/>
    <w:rsid w:val="00011FE8"/>
    <w:rsid w:val="00012F7D"/>
    <w:rsid w:val="00013D11"/>
    <w:rsid w:val="00016DA4"/>
    <w:rsid w:val="000228D0"/>
    <w:rsid w:val="000236F7"/>
    <w:rsid w:val="000248A8"/>
    <w:rsid w:val="00024A44"/>
    <w:rsid w:val="00024AA9"/>
    <w:rsid w:val="000269F1"/>
    <w:rsid w:val="00026C80"/>
    <w:rsid w:val="00030596"/>
    <w:rsid w:val="00031900"/>
    <w:rsid w:val="00033C77"/>
    <w:rsid w:val="00034B66"/>
    <w:rsid w:val="000367AA"/>
    <w:rsid w:val="00036A24"/>
    <w:rsid w:val="000373FF"/>
    <w:rsid w:val="0004052F"/>
    <w:rsid w:val="00040CB6"/>
    <w:rsid w:val="00041FB3"/>
    <w:rsid w:val="00042ED1"/>
    <w:rsid w:val="000432F0"/>
    <w:rsid w:val="0004364B"/>
    <w:rsid w:val="000451BD"/>
    <w:rsid w:val="0004783A"/>
    <w:rsid w:val="000500CB"/>
    <w:rsid w:val="000517AB"/>
    <w:rsid w:val="00055D9C"/>
    <w:rsid w:val="0005771C"/>
    <w:rsid w:val="00057D30"/>
    <w:rsid w:val="00060301"/>
    <w:rsid w:val="000618CC"/>
    <w:rsid w:val="00061B1F"/>
    <w:rsid w:val="00061F18"/>
    <w:rsid w:val="00067834"/>
    <w:rsid w:val="00067A10"/>
    <w:rsid w:val="00070718"/>
    <w:rsid w:val="000711DF"/>
    <w:rsid w:val="00071FA4"/>
    <w:rsid w:val="0007233B"/>
    <w:rsid w:val="000729FF"/>
    <w:rsid w:val="000731FF"/>
    <w:rsid w:val="000733C4"/>
    <w:rsid w:val="00073A0F"/>
    <w:rsid w:val="00073EB0"/>
    <w:rsid w:val="000740A5"/>
    <w:rsid w:val="00074327"/>
    <w:rsid w:val="00074783"/>
    <w:rsid w:val="00074BE1"/>
    <w:rsid w:val="0008070B"/>
    <w:rsid w:val="000810AC"/>
    <w:rsid w:val="00081A02"/>
    <w:rsid w:val="00081A56"/>
    <w:rsid w:val="00082231"/>
    <w:rsid w:val="000829EA"/>
    <w:rsid w:val="00083F6A"/>
    <w:rsid w:val="000848AE"/>
    <w:rsid w:val="000861C3"/>
    <w:rsid w:val="00086B4F"/>
    <w:rsid w:val="00087FF7"/>
    <w:rsid w:val="00092465"/>
    <w:rsid w:val="00092D38"/>
    <w:rsid w:val="0009377B"/>
    <w:rsid w:val="00097DE5"/>
    <w:rsid w:val="000A0BDF"/>
    <w:rsid w:val="000A20C9"/>
    <w:rsid w:val="000A21DA"/>
    <w:rsid w:val="000A33B4"/>
    <w:rsid w:val="000A448E"/>
    <w:rsid w:val="000A5522"/>
    <w:rsid w:val="000A78EB"/>
    <w:rsid w:val="000B058F"/>
    <w:rsid w:val="000B0DF8"/>
    <w:rsid w:val="000B0F0F"/>
    <w:rsid w:val="000B1846"/>
    <w:rsid w:val="000B4467"/>
    <w:rsid w:val="000B4DB9"/>
    <w:rsid w:val="000B4EFB"/>
    <w:rsid w:val="000B60BB"/>
    <w:rsid w:val="000B680E"/>
    <w:rsid w:val="000B725F"/>
    <w:rsid w:val="000C09AC"/>
    <w:rsid w:val="000C0B38"/>
    <w:rsid w:val="000C135E"/>
    <w:rsid w:val="000C186F"/>
    <w:rsid w:val="000C2889"/>
    <w:rsid w:val="000C3166"/>
    <w:rsid w:val="000C62DF"/>
    <w:rsid w:val="000C6A5E"/>
    <w:rsid w:val="000C767F"/>
    <w:rsid w:val="000D49C1"/>
    <w:rsid w:val="000D5A44"/>
    <w:rsid w:val="000D69C4"/>
    <w:rsid w:val="000D7477"/>
    <w:rsid w:val="000E1579"/>
    <w:rsid w:val="000E3EA0"/>
    <w:rsid w:val="000E3ED2"/>
    <w:rsid w:val="000E4F24"/>
    <w:rsid w:val="000E583E"/>
    <w:rsid w:val="000F436F"/>
    <w:rsid w:val="000F49AD"/>
    <w:rsid w:val="000F7862"/>
    <w:rsid w:val="00101F8C"/>
    <w:rsid w:val="00102053"/>
    <w:rsid w:val="00102259"/>
    <w:rsid w:val="00103BC6"/>
    <w:rsid w:val="00103D67"/>
    <w:rsid w:val="001043F6"/>
    <w:rsid w:val="00104C71"/>
    <w:rsid w:val="00107BF2"/>
    <w:rsid w:val="001101C3"/>
    <w:rsid w:val="00110CDB"/>
    <w:rsid w:val="00112CEA"/>
    <w:rsid w:val="00113C81"/>
    <w:rsid w:val="00114D9F"/>
    <w:rsid w:val="00115DD2"/>
    <w:rsid w:val="00116A5D"/>
    <w:rsid w:val="00117241"/>
    <w:rsid w:val="00117921"/>
    <w:rsid w:val="0012080D"/>
    <w:rsid w:val="00123D68"/>
    <w:rsid w:val="00123E26"/>
    <w:rsid w:val="001249D0"/>
    <w:rsid w:val="00127570"/>
    <w:rsid w:val="001276EF"/>
    <w:rsid w:val="00131F42"/>
    <w:rsid w:val="00132086"/>
    <w:rsid w:val="00132234"/>
    <w:rsid w:val="001341F0"/>
    <w:rsid w:val="00134410"/>
    <w:rsid w:val="001357F1"/>
    <w:rsid w:val="00137A11"/>
    <w:rsid w:val="001405B7"/>
    <w:rsid w:val="00140FA8"/>
    <w:rsid w:val="00142DF7"/>
    <w:rsid w:val="00142FEB"/>
    <w:rsid w:val="00143A2D"/>
    <w:rsid w:val="00143CF4"/>
    <w:rsid w:val="00144DE7"/>
    <w:rsid w:val="00145A41"/>
    <w:rsid w:val="00145AF5"/>
    <w:rsid w:val="0014652C"/>
    <w:rsid w:val="00147147"/>
    <w:rsid w:val="001479C9"/>
    <w:rsid w:val="001515D1"/>
    <w:rsid w:val="001515DE"/>
    <w:rsid w:val="00151675"/>
    <w:rsid w:val="00151887"/>
    <w:rsid w:val="00154276"/>
    <w:rsid w:val="0015618C"/>
    <w:rsid w:val="00157435"/>
    <w:rsid w:val="00157492"/>
    <w:rsid w:val="00160902"/>
    <w:rsid w:val="00160F30"/>
    <w:rsid w:val="00163DC0"/>
    <w:rsid w:val="00164A9E"/>
    <w:rsid w:val="00170A8E"/>
    <w:rsid w:val="00170E88"/>
    <w:rsid w:val="00172500"/>
    <w:rsid w:val="001745B8"/>
    <w:rsid w:val="00174D25"/>
    <w:rsid w:val="00174DF1"/>
    <w:rsid w:val="0017504D"/>
    <w:rsid w:val="00175305"/>
    <w:rsid w:val="0017671A"/>
    <w:rsid w:val="00177422"/>
    <w:rsid w:val="00181003"/>
    <w:rsid w:val="001818D6"/>
    <w:rsid w:val="00182DBB"/>
    <w:rsid w:val="00184590"/>
    <w:rsid w:val="001851A7"/>
    <w:rsid w:val="001870D1"/>
    <w:rsid w:val="0018781E"/>
    <w:rsid w:val="001879AE"/>
    <w:rsid w:val="00187BCB"/>
    <w:rsid w:val="001903A5"/>
    <w:rsid w:val="001920BE"/>
    <w:rsid w:val="0019262D"/>
    <w:rsid w:val="0019264F"/>
    <w:rsid w:val="00193B3A"/>
    <w:rsid w:val="00194F70"/>
    <w:rsid w:val="00195453"/>
    <w:rsid w:val="00195FA9"/>
    <w:rsid w:val="001A0EAA"/>
    <w:rsid w:val="001A1B35"/>
    <w:rsid w:val="001A48A2"/>
    <w:rsid w:val="001A4D05"/>
    <w:rsid w:val="001A63F2"/>
    <w:rsid w:val="001A6F61"/>
    <w:rsid w:val="001A760E"/>
    <w:rsid w:val="001A7B9F"/>
    <w:rsid w:val="001B0939"/>
    <w:rsid w:val="001B222B"/>
    <w:rsid w:val="001B3457"/>
    <w:rsid w:val="001B4F72"/>
    <w:rsid w:val="001B4FC3"/>
    <w:rsid w:val="001B5197"/>
    <w:rsid w:val="001B6106"/>
    <w:rsid w:val="001B72B8"/>
    <w:rsid w:val="001C29D0"/>
    <w:rsid w:val="001C3F36"/>
    <w:rsid w:val="001C43A6"/>
    <w:rsid w:val="001C4F09"/>
    <w:rsid w:val="001C5320"/>
    <w:rsid w:val="001C69B3"/>
    <w:rsid w:val="001C711E"/>
    <w:rsid w:val="001D064B"/>
    <w:rsid w:val="001D0DDF"/>
    <w:rsid w:val="001D4418"/>
    <w:rsid w:val="001D5595"/>
    <w:rsid w:val="001D717D"/>
    <w:rsid w:val="001D7428"/>
    <w:rsid w:val="001D7874"/>
    <w:rsid w:val="001D7D37"/>
    <w:rsid w:val="001D7F22"/>
    <w:rsid w:val="001E0E44"/>
    <w:rsid w:val="001E248B"/>
    <w:rsid w:val="001E3EC1"/>
    <w:rsid w:val="001E4CA0"/>
    <w:rsid w:val="001E514B"/>
    <w:rsid w:val="001E677D"/>
    <w:rsid w:val="001F0187"/>
    <w:rsid w:val="001F0F17"/>
    <w:rsid w:val="001F1424"/>
    <w:rsid w:val="001F2EEA"/>
    <w:rsid w:val="001F3347"/>
    <w:rsid w:val="001F4785"/>
    <w:rsid w:val="001F4C1F"/>
    <w:rsid w:val="001F5065"/>
    <w:rsid w:val="001F53E1"/>
    <w:rsid w:val="001F69E4"/>
    <w:rsid w:val="001F73B2"/>
    <w:rsid w:val="00200669"/>
    <w:rsid w:val="00200685"/>
    <w:rsid w:val="00200D40"/>
    <w:rsid w:val="0020185D"/>
    <w:rsid w:val="00202228"/>
    <w:rsid w:val="00202287"/>
    <w:rsid w:val="00202983"/>
    <w:rsid w:val="00203B3F"/>
    <w:rsid w:val="00203B5F"/>
    <w:rsid w:val="00207C06"/>
    <w:rsid w:val="00210D3C"/>
    <w:rsid w:val="002119E3"/>
    <w:rsid w:val="002125B4"/>
    <w:rsid w:val="00212EE0"/>
    <w:rsid w:val="002131B6"/>
    <w:rsid w:val="002134DD"/>
    <w:rsid w:val="00214550"/>
    <w:rsid w:val="002149D4"/>
    <w:rsid w:val="00214A9A"/>
    <w:rsid w:val="002155B8"/>
    <w:rsid w:val="00217CD1"/>
    <w:rsid w:val="00220359"/>
    <w:rsid w:val="00220746"/>
    <w:rsid w:val="00221431"/>
    <w:rsid w:val="00224839"/>
    <w:rsid w:val="002249B2"/>
    <w:rsid w:val="00226574"/>
    <w:rsid w:val="0022696D"/>
    <w:rsid w:val="00227522"/>
    <w:rsid w:val="002278EC"/>
    <w:rsid w:val="00227BE5"/>
    <w:rsid w:val="0023280E"/>
    <w:rsid w:val="002334BB"/>
    <w:rsid w:val="00233FE7"/>
    <w:rsid w:val="00234486"/>
    <w:rsid w:val="00234A0E"/>
    <w:rsid w:val="0023630E"/>
    <w:rsid w:val="00237177"/>
    <w:rsid w:val="002377D1"/>
    <w:rsid w:val="002409D1"/>
    <w:rsid w:val="00240A34"/>
    <w:rsid w:val="002420B7"/>
    <w:rsid w:val="0024225D"/>
    <w:rsid w:val="0024345F"/>
    <w:rsid w:val="002469D7"/>
    <w:rsid w:val="0024788E"/>
    <w:rsid w:val="00247F98"/>
    <w:rsid w:val="002506BC"/>
    <w:rsid w:val="002506BD"/>
    <w:rsid w:val="00250965"/>
    <w:rsid w:val="002522FA"/>
    <w:rsid w:val="00252B54"/>
    <w:rsid w:val="00254345"/>
    <w:rsid w:val="00254A8E"/>
    <w:rsid w:val="00254DFF"/>
    <w:rsid w:val="0025518D"/>
    <w:rsid w:val="002552F9"/>
    <w:rsid w:val="00260390"/>
    <w:rsid w:val="00260426"/>
    <w:rsid w:val="00261836"/>
    <w:rsid w:val="002618D7"/>
    <w:rsid w:val="00262AC9"/>
    <w:rsid w:val="00264557"/>
    <w:rsid w:val="00264715"/>
    <w:rsid w:val="00266FB8"/>
    <w:rsid w:val="00267152"/>
    <w:rsid w:val="00267DC1"/>
    <w:rsid w:val="00267FE6"/>
    <w:rsid w:val="002701DA"/>
    <w:rsid w:val="00271AD3"/>
    <w:rsid w:val="00271F7D"/>
    <w:rsid w:val="00272EA9"/>
    <w:rsid w:val="00273250"/>
    <w:rsid w:val="002745F6"/>
    <w:rsid w:val="00274DD9"/>
    <w:rsid w:val="002752F0"/>
    <w:rsid w:val="0027587D"/>
    <w:rsid w:val="00277187"/>
    <w:rsid w:val="002805AB"/>
    <w:rsid w:val="0028111D"/>
    <w:rsid w:val="002828BF"/>
    <w:rsid w:val="002829A6"/>
    <w:rsid w:val="0028313E"/>
    <w:rsid w:val="00283C96"/>
    <w:rsid w:val="00283E08"/>
    <w:rsid w:val="00284204"/>
    <w:rsid w:val="002847DB"/>
    <w:rsid w:val="002863DC"/>
    <w:rsid w:val="002872A7"/>
    <w:rsid w:val="00291405"/>
    <w:rsid w:val="00291514"/>
    <w:rsid w:val="00291773"/>
    <w:rsid w:val="00291B0E"/>
    <w:rsid w:val="0029349F"/>
    <w:rsid w:val="002963CA"/>
    <w:rsid w:val="00296974"/>
    <w:rsid w:val="002A02A7"/>
    <w:rsid w:val="002A168C"/>
    <w:rsid w:val="002A181B"/>
    <w:rsid w:val="002A1B1A"/>
    <w:rsid w:val="002A3DC7"/>
    <w:rsid w:val="002A6614"/>
    <w:rsid w:val="002A6DCF"/>
    <w:rsid w:val="002B0D0E"/>
    <w:rsid w:val="002B1939"/>
    <w:rsid w:val="002B3C16"/>
    <w:rsid w:val="002B4825"/>
    <w:rsid w:val="002B49E2"/>
    <w:rsid w:val="002B5223"/>
    <w:rsid w:val="002B7B00"/>
    <w:rsid w:val="002B7C44"/>
    <w:rsid w:val="002C06CD"/>
    <w:rsid w:val="002C1748"/>
    <w:rsid w:val="002C1991"/>
    <w:rsid w:val="002C1E9C"/>
    <w:rsid w:val="002C2B17"/>
    <w:rsid w:val="002C4987"/>
    <w:rsid w:val="002C4EA5"/>
    <w:rsid w:val="002C75B9"/>
    <w:rsid w:val="002D22D2"/>
    <w:rsid w:val="002D238E"/>
    <w:rsid w:val="002D3DD0"/>
    <w:rsid w:val="002D3ECC"/>
    <w:rsid w:val="002D51DB"/>
    <w:rsid w:val="002D5331"/>
    <w:rsid w:val="002D5FB3"/>
    <w:rsid w:val="002D68DE"/>
    <w:rsid w:val="002E02B0"/>
    <w:rsid w:val="002E1F3A"/>
    <w:rsid w:val="002E28C5"/>
    <w:rsid w:val="002E298A"/>
    <w:rsid w:val="002E2A1B"/>
    <w:rsid w:val="002E2C9F"/>
    <w:rsid w:val="002E3332"/>
    <w:rsid w:val="002E42AC"/>
    <w:rsid w:val="002E6022"/>
    <w:rsid w:val="002E6CA1"/>
    <w:rsid w:val="002E71A2"/>
    <w:rsid w:val="002E7287"/>
    <w:rsid w:val="002F1082"/>
    <w:rsid w:val="002F12C7"/>
    <w:rsid w:val="002F163E"/>
    <w:rsid w:val="002F45D4"/>
    <w:rsid w:val="002F4745"/>
    <w:rsid w:val="002F6857"/>
    <w:rsid w:val="002F6EF7"/>
    <w:rsid w:val="002F7A66"/>
    <w:rsid w:val="003007C0"/>
    <w:rsid w:val="00301978"/>
    <w:rsid w:val="00301F09"/>
    <w:rsid w:val="003021D5"/>
    <w:rsid w:val="0030332C"/>
    <w:rsid w:val="003051C2"/>
    <w:rsid w:val="0030526D"/>
    <w:rsid w:val="00305AB9"/>
    <w:rsid w:val="00306299"/>
    <w:rsid w:val="00306319"/>
    <w:rsid w:val="00306F2A"/>
    <w:rsid w:val="00307792"/>
    <w:rsid w:val="00307D88"/>
    <w:rsid w:val="0031090E"/>
    <w:rsid w:val="00311E66"/>
    <w:rsid w:val="00312296"/>
    <w:rsid w:val="00312D1C"/>
    <w:rsid w:val="0031351D"/>
    <w:rsid w:val="00314C4B"/>
    <w:rsid w:val="00314F0E"/>
    <w:rsid w:val="003206C8"/>
    <w:rsid w:val="00321D8E"/>
    <w:rsid w:val="003237AF"/>
    <w:rsid w:val="00325928"/>
    <w:rsid w:val="00326537"/>
    <w:rsid w:val="00326732"/>
    <w:rsid w:val="00326BD3"/>
    <w:rsid w:val="00326DB7"/>
    <w:rsid w:val="00327186"/>
    <w:rsid w:val="00330C2D"/>
    <w:rsid w:val="00330F75"/>
    <w:rsid w:val="003314D9"/>
    <w:rsid w:val="003316DF"/>
    <w:rsid w:val="003319D4"/>
    <w:rsid w:val="00332863"/>
    <w:rsid w:val="003353DF"/>
    <w:rsid w:val="0033684D"/>
    <w:rsid w:val="003368D4"/>
    <w:rsid w:val="0033699A"/>
    <w:rsid w:val="00337B42"/>
    <w:rsid w:val="00340383"/>
    <w:rsid w:val="00341B42"/>
    <w:rsid w:val="00342407"/>
    <w:rsid w:val="003425D6"/>
    <w:rsid w:val="00342728"/>
    <w:rsid w:val="0034348F"/>
    <w:rsid w:val="00345A19"/>
    <w:rsid w:val="0035106C"/>
    <w:rsid w:val="00351784"/>
    <w:rsid w:val="00352129"/>
    <w:rsid w:val="0035240D"/>
    <w:rsid w:val="00352892"/>
    <w:rsid w:val="00353062"/>
    <w:rsid w:val="0035333D"/>
    <w:rsid w:val="0035560E"/>
    <w:rsid w:val="00356653"/>
    <w:rsid w:val="003570FA"/>
    <w:rsid w:val="0035743F"/>
    <w:rsid w:val="00357BE2"/>
    <w:rsid w:val="00357DFF"/>
    <w:rsid w:val="00360320"/>
    <w:rsid w:val="003605EF"/>
    <w:rsid w:val="0036064A"/>
    <w:rsid w:val="003616BD"/>
    <w:rsid w:val="0036170C"/>
    <w:rsid w:val="0036244E"/>
    <w:rsid w:val="00363429"/>
    <w:rsid w:val="00366520"/>
    <w:rsid w:val="003669A0"/>
    <w:rsid w:val="00366E0F"/>
    <w:rsid w:val="003670D6"/>
    <w:rsid w:val="0037112D"/>
    <w:rsid w:val="003712E8"/>
    <w:rsid w:val="0037182F"/>
    <w:rsid w:val="00371BAB"/>
    <w:rsid w:val="003733BB"/>
    <w:rsid w:val="00374676"/>
    <w:rsid w:val="00374FB4"/>
    <w:rsid w:val="0038119C"/>
    <w:rsid w:val="003813E1"/>
    <w:rsid w:val="00381A72"/>
    <w:rsid w:val="0038212D"/>
    <w:rsid w:val="0038312B"/>
    <w:rsid w:val="00383151"/>
    <w:rsid w:val="00383586"/>
    <w:rsid w:val="00383D47"/>
    <w:rsid w:val="00384676"/>
    <w:rsid w:val="003853D5"/>
    <w:rsid w:val="003863C1"/>
    <w:rsid w:val="003868BF"/>
    <w:rsid w:val="00386B5D"/>
    <w:rsid w:val="00390857"/>
    <w:rsid w:val="00391EC1"/>
    <w:rsid w:val="00391F84"/>
    <w:rsid w:val="00391FF9"/>
    <w:rsid w:val="00392EA2"/>
    <w:rsid w:val="003940E3"/>
    <w:rsid w:val="003972A8"/>
    <w:rsid w:val="003A3F30"/>
    <w:rsid w:val="003A449B"/>
    <w:rsid w:val="003A4BF3"/>
    <w:rsid w:val="003A6FCB"/>
    <w:rsid w:val="003B1CCA"/>
    <w:rsid w:val="003B2A9F"/>
    <w:rsid w:val="003B3160"/>
    <w:rsid w:val="003B3758"/>
    <w:rsid w:val="003B420D"/>
    <w:rsid w:val="003C0112"/>
    <w:rsid w:val="003C058C"/>
    <w:rsid w:val="003C36AF"/>
    <w:rsid w:val="003C4290"/>
    <w:rsid w:val="003C48B2"/>
    <w:rsid w:val="003C6518"/>
    <w:rsid w:val="003C6C16"/>
    <w:rsid w:val="003C6F81"/>
    <w:rsid w:val="003D35D8"/>
    <w:rsid w:val="003D3D4A"/>
    <w:rsid w:val="003D46B1"/>
    <w:rsid w:val="003D77D4"/>
    <w:rsid w:val="003D794D"/>
    <w:rsid w:val="003E2980"/>
    <w:rsid w:val="003E3058"/>
    <w:rsid w:val="003E3780"/>
    <w:rsid w:val="003E59FF"/>
    <w:rsid w:val="003E5BC6"/>
    <w:rsid w:val="003E5C44"/>
    <w:rsid w:val="003E5CD7"/>
    <w:rsid w:val="003E76A9"/>
    <w:rsid w:val="003E7C6E"/>
    <w:rsid w:val="003F0809"/>
    <w:rsid w:val="003F1BF2"/>
    <w:rsid w:val="003F2F99"/>
    <w:rsid w:val="003F43B4"/>
    <w:rsid w:val="003F6A8C"/>
    <w:rsid w:val="003F6D15"/>
    <w:rsid w:val="003F6F87"/>
    <w:rsid w:val="003F73A9"/>
    <w:rsid w:val="003F755C"/>
    <w:rsid w:val="00400B6E"/>
    <w:rsid w:val="00401C2F"/>
    <w:rsid w:val="004032DF"/>
    <w:rsid w:val="004062DD"/>
    <w:rsid w:val="0040644A"/>
    <w:rsid w:val="00406F01"/>
    <w:rsid w:val="00407CB8"/>
    <w:rsid w:val="00411C3F"/>
    <w:rsid w:val="00416150"/>
    <w:rsid w:val="0041646D"/>
    <w:rsid w:val="004166D2"/>
    <w:rsid w:val="00416D50"/>
    <w:rsid w:val="00416FD5"/>
    <w:rsid w:val="00417772"/>
    <w:rsid w:val="004209E5"/>
    <w:rsid w:val="00420E6A"/>
    <w:rsid w:val="00420F54"/>
    <w:rsid w:val="00421084"/>
    <w:rsid w:val="00421E96"/>
    <w:rsid w:val="0042254D"/>
    <w:rsid w:val="00422BD0"/>
    <w:rsid w:val="00424B1F"/>
    <w:rsid w:val="00425A9E"/>
    <w:rsid w:val="00426B1D"/>
    <w:rsid w:val="00426C90"/>
    <w:rsid w:val="00426D6B"/>
    <w:rsid w:val="00426F16"/>
    <w:rsid w:val="004275E1"/>
    <w:rsid w:val="00427E0B"/>
    <w:rsid w:val="00430774"/>
    <w:rsid w:val="00430FA6"/>
    <w:rsid w:val="00431E6C"/>
    <w:rsid w:val="00433CE7"/>
    <w:rsid w:val="0043587E"/>
    <w:rsid w:val="004403EE"/>
    <w:rsid w:val="0044060B"/>
    <w:rsid w:val="00440B39"/>
    <w:rsid w:val="00441C05"/>
    <w:rsid w:val="0044277B"/>
    <w:rsid w:val="00442E0E"/>
    <w:rsid w:val="004444B3"/>
    <w:rsid w:val="00444F41"/>
    <w:rsid w:val="004450D3"/>
    <w:rsid w:val="004466F7"/>
    <w:rsid w:val="004468E0"/>
    <w:rsid w:val="004509C7"/>
    <w:rsid w:val="004512DB"/>
    <w:rsid w:val="00452738"/>
    <w:rsid w:val="00454284"/>
    <w:rsid w:val="004547CD"/>
    <w:rsid w:val="00455F02"/>
    <w:rsid w:val="00456091"/>
    <w:rsid w:val="004565BC"/>
    <w:rsid w:val="0045744F"/>
    <w:rsid w:val="0046074D"/>
    <w:rsid w:val="004625FA"/>
    <w:rsid w:val="00462E86"/>
    <w:rsid w:val="004643B9"/>
    <w:rsid w:val="00466321"/>
    <w:rsid w:val="00466FC0"/>
    <w:rsid w:val="004677CA"/>
    <w:rsid w:val="00470A4E"/>
    <w:rsid w:val="00470D0B"/>
    <w:rsid w:val="00470E7A"/>
    <w:rsid w:val="00471426"/>
    <w:rsid w:val="00472BFA"/>
    <w:rsid w:val="00472D4B"/>
    <w:rsid w:val="00472EF2"/>
    <w:rsid w:val="00475EB6"/>
    <w:rsid w:val="00481CE7"/>
    <w:rsid w:val="00484AE7"/>
    <w:rsid w:val="00484B9B"/>
    <w:rsid w:val="00484CED"/>
    <w:rsid w:val="0048525A"/>
    <w:rsid w:val="004855F6"/>
    <w:rsid w:val="0048661E"/>
    <w:rsid w:val="004908C4"/>
    <w:rsid w:val="004913BD"/>
    <w:rsid w:val="0049204E"/>
    <w:rsid w:val="00493C64"/>
    <w:rsid w:val="00494258"/>
    <w:rsid w:val="00494670"/>
    <w:rsid w:val="004A15D5"/>
    <w:rsid w:val="004A1EA6"/>
    <w:rsid w:val="004A3743"/>
    <w:rsid w:val="004A3823"/>
    <w:rsid w:val="004A3DE8"/>
    <w:rsid w:val="004A44F1"/>
    <w:rsid w:val="004A4861"/>
    <w:rsid w:val="004A4B4C"/>
    <w:rsid w:val="004A51AC"/>
    <w:rsid w:val="004A75D9"/>
    <w:rsid w:val="004B01F0"/>
    <w:rsid w:val="004B065C"/>
    <w:rsid w:val="004B1540"/>
    <w:rsid w:val="004B34A1"/>
    <w:rsid w:val="004B44BE"/>
    <w:rsid w:val="004B4AFD"/>
    <w:rsid w:val="004B66DE"/>
    <w:rsid w:val="004B7468"/>
    <w:rsid w:val="004B74A5"/>
    <w:rsid w:val="004B7E4C"/>
    <w:rsid w:val="004B7E97"/>
    <w:rsid w:val="004C08B5"/>
    <w:rsid w:val="004C0B99"/>
    <w:rsid w:val="004C42BA"/>
    <w:rsid w:val="004C492E"/>
    <w:rsid w:val="004D0AE7"/>
    <w:rsid w:val="004D2940"/>
    <w:rsid w:val="004D2C3F"/>
    <w:rsid w:val="004D60EE"/>
    <w:rsid w:val="004D704C"/>
    <w:rsid w:val="004D75FA"/>
    <w:rsid w:val="004E195E"/>
    <w:rsid w:val="004E256E"/>
    <w:rsid w:val="004E41BC"/>
    <w:rsid w:val="004E53ED"/>
    <w:rsid w:val="004E6946"/>
    <w:rsid w:val="004E75D0"/>
    <w:rsid w:val="004F1AD8"/>
    <w:rsid w:val="004F1C38"/>
    <w:rsid w:val="004F4937"/>
    <w:rsid w:val="004F64EB"/>
    <w:rsid w:val="005017B4"/>
    <w:rsid w:val="005026BB"/>
    <w:rsid w:val="00503411"/>
    <w:rsid w:val="005037E1"/>
    <w:rsid w:val="00503959"/>
    <w:rsid w:val="005039CB"/>
    <w:rsid w:val="0050558F"/>
    <w:rsid w:val="00505644"/>
    <w:rsid w:val="005056D8"/>
    <w:rsid w:val="00505B2D"/>
    <w:rsid w:val="00506286"/>
    <w:rsid w:val="00506F8D"/>
    <w:rsid w:val="0050714C"/>
    <w:rsid w:val="00507F11"/>
    <w:rsid w:val="00510813"/>
    <w:rsid w:val="00511990"/>
    <w:rsid w:val="00511DE0"/>
    <w:rsid w:val="0051211B"/>
    <w:rsid w:val="00514590"/>
    <w:rsid w:val="00514870"/>
    <w:rsid w:val="00514B9B"/>
    <w:rsid w:val="00514F93"/>
    <w:rsid w:val="00515414"/>
    <w:rsid w:val="00516193"/>
    <w:rsid w:val="00517F02"/>
    <w:rsid w:val="00520820"/>
    <w:rsid w:val="00521189"/>
    <w:rsid w:val="00523437"/>
    <w:rsid w:val="00523BBF"/>
    <w:rsid w:val="00523C03"/>
    <w:rsid w:val="00523F04"/>
    <w:rsid w:val="00524303"/>
    <w:rsid w:val="00524C3B"/>
    <w:rsid w:val="0052528B"/>
    <w:rsid w:val="005258A2"/>
    <w:rsid w:val="00526DAD"/>
    <w:rsid w:val="0052772A"/>
    <w:rsid w:val="00527F82"/>
    <w:rsid w:val="005303E9"/>
    <w:rsid w:val="00530768"/>
    <w:rsid w:val="00532953"/>
    <w:rsid w:val="00537A03"/>
    <w:rsid w:val="00537AD7"/>
    <w:rsid w:val="005401AE"/>
    <w:rsid w:val="00540A3F"/>
    <w:rsid w:val="00540F0A"/>
    <w:rsid w:val="0054100E"/>
    <w:rsid w:val="005428A4"/>
    <w:rsid w:val="00542DD4"/>
    <w:rsid w:val="00542E07"/>
    <w:rsid w:val="00543730"/>
    <w:rsid w:val="00544CB7"/>
    <w:rsid w:val="00545424"/>
    <w:rsid w:val="0054548B"/>
    <w:rsid w:val="00545A07"/>
    <w:rsid w:val="005470A0"/>
    <w:rsid w:val="0055043B"/>
    <w:rsid w:val="005520D7"/>
    <w:rsid w:val="005538A3"/>
    <w:rsid w:val="00553AF5"/>
    <w:rsid w:val="00554A7B"/>
    <w:rsid w:val="0055572C"/>
    <w:rsid w:val="00555982"/>
    <w:rsid w:val="00556C9F"/>
    <w:rsid w:val="005602F6"/>
    <w:rsid w:val="0056106A"/>
    <w:rsid w:val="00563088"/>
    <w:rsid w:val="005640F8"/>
    <w:rsid w:val="005643D4"/>
    <w:rsid w:val="00566634"/>
    <w:rsid w:val="005707FA"/>
    <w:rsid w:val="005720AE"/>
    <w:rsid w:val="005739A3"/>
    <w:rsid w:val="00573E38"/>
    <w:rsid w:val="00574557"/>
    <w:rsid w:val="0057657A"/>
    <w:rsid w:val="00577ADD"/>
    <w:rsid w:val="005802D9"/>
    <w:rsid w:val="005812C9"/>
    <w:rsid w:val="00583720"/>
    <w:rsid w:val="0058386E"/>
    <w:rsid w:val="00584ED8"/>
    <w:rsid w:val="005856EA"/>
    <w:rsid w:val="00585AEF"/>
    <w:rsid w:val="005861E1"/>
    <w:rsid w:val="00586F3F"/>
    <w:rsid w:val="005901F9"/>
    <w:rsid w:val="005948F3"/>
    <w:rsid w:val="00594CDD"/>
    <w:rsid w:val="00594D77"/>
    <w:rsid w:val="005951FE"/>
    <w:rsid w:val="00595534"/>
    <w:rsid w:val="00595DC3"/>
    <w:rsid w:val="0059628F"/>
    <w:rsid w:val="0059668A"/>
    <w:rsid w:val="005969E4"/>
    <w:rsid w:val="00597B66"/>
    <w:rsid w:val="005A0380"/>
    <w:rsid w:val="005A06B7"/>
    <w:rsid w:val="005A0DB8"/>
    <w:rsid w:val="005A1759"/>
    <w:rsid w:val="005A2625"/>
    <w:rsid w:val="005A3274"/>
    <w:rsid w:val="005A3BDF"/>
    <w:rsid w:val="005A49CD"/>
    <w:rsid w:val="005A4E5B"/>
    <w:rsid w:val="005A68A7"/>
    <w:rsid w:val="005A6D14"/>
    <w:rsid w:val="005B0373"/>
    <w:rsid w:val="005B1268"/>
    <w:rsid w:val="005B17ED"/>
    <w:rsid w:val="005B2607"/>
    <w:rsid w:val="005B28A9"/>
    <w:rsid w:val="005B32B0"/>
    <w:rsid w:val="005B7648"/>
    <w:rsid w:val="005B7879"/>
    <w:rsid w:val="005B7D71"/>
    <w:rsid w:val="005C088A"/>
    <w:rsid w:val="005C1927"/>
    <w:rsid w:val="005C1967"/>
    <w:rsid w:val="005C2593"/>
    <w:rsid w:val="005C4A4B"/>
    <w:rsid w:val="005D104B"/>
    <w:rsid w:val="005D1E82"/>
    <w:rsid w:val="005D36AB"/>
    <w:rsid w:val="005D45AE"/>
    <w:rsid w:val="005D55D2"/>
    <w:rsid w:val="005D5B22"/>
    <w:rsid w:val="005D7253"/>
    <w:rsid w:val="005E012F"/>
    <w:rsid w:val="005E0449"/>
    <w:rsid w:val="005E090F"/>
    <w:rsid w:val="005E0BD9"/>
    <w:rsid w:val="005E2728"/>
    <w:rsid w:val="005E2CFD"/>
    <w:rsid w:val="005E2E2A"/>
    <w:rsid w:val="005E424B"/>
    <w:rsid w:val="005E4909"/>
    <w:rsid w:val="005E548E"/>
    <w:rsid w:val="005E6C51"/>
    <w:rsid w:val="005E6FE8"/>
    <w:rsid w:val="005F0951"/>
    <w:rsid w:val="005F0DA1"/>
    <w:rsid w:val="005F262D"/>
    <w:rsid w:val="005F5866"/>
    <w:rsid w:val="005F598F"/>
    <w:rsid w:val="006013C1"/>
    <w:rsid w:val="00601C2A"/>
    <w:rsid w:val="00603584"/>
    <w:rsid w:val="006039A3"/>
    <w:rsid w:val="006040FC"/>
    <w:rsid w:val="006046A4"/>
    <w:rsid w:val="0060483A"/>
    <w:rsid w:val="0060535F"/>
    <w:rsid w:val="00607631"/>
    <w:rsid w:val="00607832"/>
    <w:rsid w:val="0060792A"/>
    <w:rsid w:val="0061030F"/>
    <w:rsid w:val="00610583"/>
    <w:rsid w:val="00610634"/>
    <w:rsid w:val="00610EEC"/>
    <w:rsid w:val="00612637"/>
    <w:rsid w:val="00613C88"/>
    <w:rsid w:val="00613F33"/>
    <w:rsid w:val="00614E1B"/>
    <w:rsid w:val="00617B89"/>
    <w:rsid w:val="00617CC3"/>
    <w:rsid w:val="00620561"/>
    <w:rsid w:val="0062197C"/>
    <w:rsid w:val="006241B1"/>
    <w:rsid w:val="00624543"/>
    <w:rsid w:val="00625B57"/>
    <w:rsid w:val="00626193"/>
    <w:rsid w:val="006311B2"/>
    <w:rsid w:val="00634E42"/>
    <w:rsid w:val="00634FDA"/>
    <w:rsid w:val="00635074"/>
    <w:rsid w:val="00635864"/>
    <w:rsid w:val="00635E8B"/>
    <w:rsid w:val="00636AC0"/>
    <w:rsid w:val="006377A6"/>
    <w:rsid w:val="00637A2B"/>
    <w:rsid w:val="00637A3D"/>
    <w:rsid w:val="00640426"/>
    <w:rsid w:val="00640FD7"/>
    <w:rsid w:val="006410A3"/>
    <w:rsid w:val="006411EF"/>
    <w:rsid w:val="0064167F"/>
    <w:rsid w:val="00642583"/>
    <w:rsid w:val="006425CB"/>
    <w:rsid w:val="0064270B"/>
    <w:rsid w:val="00645170"/>
    <w:rsid w:val="00645B68"/>
    <w:rsid w:val="00645CBA"/>
    <w:rsid w:val="00645FCE"/>
    <w:rsid w:val="006504D0"/>
    <w:rsid w:val="00650F3B"/>
    <w:rsid w:val="0065117C"/>
    <w:rsid w:val="00652D25"/>
    <w:rsid w:val="0065420A"/>
    <w:rsid w:val="0065522F"/>
    <w:rsid w:val="0065585F"/>
    <w:rsid w:val="00656274"/>
    <w:rsid w:val="00656392"/>
    <w:rsid w:val="00656A33"/>
    <w:rsid w:val="00660F9E"/>
    <w:rsid w:val="006624CB"/>
    <w:rsid w:val="00662C61"/>
    <w:rsid w:val="00664CBA"/>
    <w:rsid w:val="00666324"/>
    <w:rsid w:val="0066744D"/>
    <w:rsid w:val="00667781"/>
    <w:rsid w:val="00667C05"/>
    <w:rsid w:val="0067357F"/>
    <w:rsid w:val="00674695"/>
    <w:rsid w:val="006748B8"/>
    <w:rsid w:val="00675989"/>
    <w:rsid w:val="00676370"/>
    <w:rsid w:val="00676557"/>
    <w:rsid w:val="006775C3"/>
    <w:rsid w:val="006823B4"/>
    <w:rsid w:val="00682B08"/>
    <w:rsid w:val="00683BDB"/>
    <w:rsid w:val="006848E6"/>
    <w:rsid w:val="00684BC1"/>
    <w:rsid w:val="006856C5"/>
    <w:rsid w:val="00685AD8"/>
    <w:rsid w:val="00685CE5"/>
    <w:rsid w:val="00685E48"/>
    <w:rsid w:val="00686ADB"/>
    <w:rsid w:val="00690D23"/>
    <w:rsid w:val="00691727"/>
    <w:rsid w:val="0069290A"/>
    <w:rsid w:val="00692BCE"/>
    <w:rsid w:val="00696B13"/>
    <w:rsid w:val="0069775A"/>
    <w:rsid w:val="00697813"/>
    <w:rsid w:val="00697DB6"/>
    <w:rsid w:val="006A0F12"/>
    <w:rsid w:val="006A1083"/>
    <w:rsid w:val="006A15EB"/>
    <w:rsid w:val="006A1BF2"/>
    <w:rsid w:val="006A2C60"/>
    <w:rsid w:val="006A2CBC"/>
    <w:rsid w:val="006A3EE8"/>
    <w:rsid w:val="006A3EFB"/>
    <w:rsid w:val="006A407A"/>
    <w:rsid w:val="006A48A9"/>
    <w:rsid w:val="006A6142"/>
    <w:rsid w:val="006A6FB9"/>
    <w:rsid w:val="006A72BF"/>
    <w:rsid w:val="006A7FC6"/>
    <w:rsid w:val="006B03F2"/>
    <w:rsid w:val="006B06D0"/>
    <w:rsid w:val="006B0F06"/>
    <w:rsid w:val="006B14F9"/>
    <w:rsid w:val="006B27B1"/>
    <w:rsid w:val="006B37DC"/>
    <w:rsid w:val="006B4DD0"/>
    <w:rsid w:val="006B4F68"/>
    <w:rsid w:val="006B50FF"/>
    <w:rsid w:val="006B5F90"/>
    <w:rsid w:val="006B7FAA"/>
    <w:rsid w:val="006C0592"/>
    <w:rsid w:val="006C1549"/>
    <w:rsid w:val="006C272E"/>
    <w:rsid w:val="006C3E3D"/>
    <w:rsid w:val="006C5479"/>
    <w:rsid w:val="006C69E6"/>
    <w:rsid w:val="006D0B35"/>
    <w:rsid w:val="006D13B5"/>
    <w:rsid w:val="006D3C38"/>
    <w:rsid w:val="006D4A35"/>
    <w:rsid w:val="006D4C7A"/>
    <w:rsid w:val="006D6F1B"/>
    <w:rsid w:val="006E06B4"/>
    <w:rsid w:val="006E0C11"/>
    <w:rsid w:val="006E12FF"/>
    <w:rsid w:val="006E21FD"/>
    <w:rsid w:val="006E2352"/>
    <w:rsid w:val="006E36E1"/>
    <w:rsid w:val="006E3D40"/>
    <w:rsid w:val="006E5BC7"/>
    <w:rsid w:val="006E5ECE"/>
    <w:rsid w:val="006E607E"/>
    <w:rsid w:val="006E7EBD"/>
    <w:rsid w:val="006F1571"/>
    <w:rsid w:val="006F2CD0"/>
    <w:rsid w:val="006F2D71"/>
    <w:rsid w:val="006F4250"/>
    <w:rsid w:val="006F44B1"/>
    <w:rsid w:val="006F5500"/>
    <w:rsid w:val="006F6A8C"/>
    <w:rsid w:val="006F6DA3"/>
    <w:rsid w:val="007009C3"/>
    <w:rsid w:val="00700D1E"/>
    <w:rsid w:val="007024ED"/>
    <w:rsid w:val="007037F7"/>
    <w:rsid w:val="00703A0C"/>
    <w:rsid w:val="00703CFC"/>
    <w:rsid w:val="007043F2"/>
    <w:rsid w:val="00706AC9"/>
    <w:rsid w:val="00706ADE"/>
    <w:rsid w:val="00706C5D"/>
    <w:rsid w:val="00707961"/>
    <w:rsid w:val="00711D44"/>
    <w:rsid w:val="00711DE7"/>
    <w:rsid w:val="00713388"/>
    <w:rsid w:val="007158A1"/>
    <w:rsid w:val="00715CAE"/>
    <w:rsid w:val="00716D09"/>
    <w:rsid w:val="0072396D"/>
    <w:rsid w:val="007243D3"/>
    <w:rsid w:val="0072624E"/>
    <w:rsid w:val="00726A03"/>
    <w:rsid w:val="00726BFC"/>
    <w:rsid w:val="00731210"/>
    <w:rsid w:val="00731419"/>
    <w:rsid w:val="00732922"/>
    <w:rsid w:val="00734BC0"/>
    <w:rsid w:val="00735062"/>
    <w:rsid w:val="00737F51"/>
    <w:rsid w:val="007411E7"/>
    <w:rsid w:val="007418DF"/>
    <w:rsid w:val="007422F0"/>
    <w:rsid w:val="00742E68"/>
    <w:rsid w:val="00742EFA"/>
    <w:rsid w:val="007451A5"/>
    <w:rsid w:val="007456CF"/>
    <w:rsid w:val="00746096"/>
    <w:rsid w:val="00747CDE"/>
    <w:rsid w:val="00751384"/>
    <w:rsid w:val="0075162E"/>
    <w:rsid w:val="00753DA2"/>
    <w:rsid w:val="00754034"/>
    <w:rsid w:val="00755694"/>
    <w:rsid w:val="00755AAD"/>
    <w:rsid w:val="0075600B"/>
    <w:rsid w:val="00756071"/>
    <w:rsid w:val="007560F8"/>
    <w:rsid w:val="00756556"/>
    <w:rsid w:val="007566AC"/>
    <w:rsid w:val="00756F96"/>
    <w:rsid w:val="00757F68"/>
    <w:rsid w:val="00757FA1"/>
    <w:rsid w:val="007618C4"/>
    <w:rsid w:val="0076191B"/>
    <w:rsid w:val="0076221B"/>
    <w:rsid w:val="007627EF"/>
    <w:rsid w:val="00763814"/>
    <w:rsid w:val="007640A0"/>
    <w:rsid w:val="00764824"/>
    <w:rsid w:val="00765B8E"/>
    <w:rsid w:val="00765D01"/>
    <w:rsid w:val="007673BB"/>
    <w:rsid w:val="00767980"/>
    <w:rsid w:val="007707EE"/>
    <w:rsid w:val="00770B19"/>
    <w:rsid w:val="00774187"/>
    <w:rsid w:val="00774625"/>
    <w:rsid w:val="0077463F"/>
    <w:rsid w:val="007769D2"/>
    <w:rsid w:val="00780F6D"/>
    <w:rsid w:val="007836EA"/>
    <w:rsid w:val="00783EF2"/>
    <w:rsid w:val="00784CDA"/>
    <w:rsid w:val="00786B74"/>
    <w:rsid w:val="00786CF0"/>
    <w:rsid w:val="007870C6"/>
    <w:rsid w:val="007870E9"/>
    <w:rsid w:val="007879C9"/>
    <w:rsid w:val="007906C4"/>
    <w:rsid w:val="00790C79"/>
    <w:rsid w:val="00792DAF"/>
    <w:rsid w:val="007940EA"/>
    <w:rsid w:val="007958B0"/>
    <w:rsid w:val="007961CD"/>
    <w:rsid w:val="007967E8"/>
    <w:rsid w:val="00796928"/>
    <w:rsid w:val="007A0190"/>
    <w:rsid w:val="007A09FD"/>
    <w:rsid w:val="007A2170"/>
    <w:rsid w:val="007A22BF"/>
    <w:rsid w:val="007A3323"/>
    <w:rsid w:val="007A5837"/>
    <w:rsid w:val="007A5C25"/>
    <w:rsid w:val="007A749E"/>
    <w:rsid w:val="007B173F"/>
    <w:rsid w:val="007B2E60"/>
    <w:rsid w:val="007B4C33"/>
    <w:rsid w:val="007B5CE3"/>
    <w:rsid w:val="007B72B8"/>
    <w:rsid w:val="007B7A58"/>
    <w:rsid w:val="007C0629"/>
    <w:rsid w:val="007C11C2"/>
    <w:rsid w:val="007C21B5"/>
    <w:rsid w:val="007C2772"/>
    <w:rsid w:val="007C3522"/>
    <w:rsid w:val="007C5788"/>
    <w:rsid w:val="007C6AFD"/>
    <w:rsid w:val="007C6DF4"/>
    <w:rsid w:val="007D019A"/>
    <w:rsid w:val="007D04A0"/>
    <w:rsid w:val="007D190D"/>
    <w:rsid w:val="007D2BC2"/>
    <w:rsid w:val="007D3AE5"/>
    <w:rsid w:val="007D4C4F"/>
    <w:rsid w:val="007D768B"/>
    <w:rsid w:val="007D7DD5"/>
    <w:rsid w:val="007E03E1"/>
    <w:rsid w:val="007E1F30"/>
    <w:rsid w:val="007E46B0"/>
    <w:rsid w:val="007E4BD2"/>
    <w:rsid w:val="007E6F57"/>
    <w:rsid w:val="007E7386"/>
    <w:rsid w:val="007F0502"/>
    <w:rsid w:val="007F0B6A"/>
    <w:rsid w:val="007F2E1F"/>
    <w:rsid w:val="007F3712"/>
    <w:rsid w:val="007F4266"/>
    <w:rsid w:val="007F58BB"/>
    <w:rsid w:val="007F626D"/>
    <w:rsid w:val="007F74D9"/>
    <w:rsid w:val="008012E5"/>
    <w:rsid w:val="00801393"/>
    <w:rsid w:val="00801AE7"/>
    <w:rsid w:val="00801BE8"/>
    <w:rsid w:val="00802F88"/>
    <w:rsid w:val="00803254"/>
    <w:rsid w:val="008036D5"/>
    <w:rsid w:val="00803CC6"/>
    <w:rsid w:val="008053DB"/>
    <w:rsid w:val="00805547"/>
    <w:rsid w:val="00805949"/>
    <w:rsid w:val="00805F76"/>
    <w:rsid w:val="00806413"/>
    <w:rsid w:val="008077DE"/>
    <w:rsid w:val="0081293B"/>
    <w:rsid w:val="0081293E"/>
    <w:rsid w:val="00813CFF"/>
    <w:rsid w:val="00814693"/>
    <w:rsid w:val="00815465"/>
    <w:rsid w:val="00817314"/>
    <w:rsid w:val="00817A1D"/>
    <w:rsid w:val="00817E9A"/>
    <w:rsid w:val="00820197"/>
    <w:rsid w:val="0082044F"/>
    <w:rsid w:val="00823A1D"/>
    <w:rsid w:val="00824A4B"/>
    <w:rsid w:val="00824C19"/>
    <w:rsid w:val="00826032"/>
    <w:rsid w:val="008271B0"/>
    <w:rsid w:val="00827AEA"/>
    <w:rsid w:val="008306BD"/>
    <w:rsid w:val="00831A80"/>
    <w:rsid w:val="00833743"/>
    <w:rsid w:val="00833B57"/>
    <w:rsid w:val="00834099"/>
    <w:rsid w:val="008340A4"/>
    <w:rsid w:val="0083799C"/>
    <w:rsid w:val="0084296F"/>
    <w:rsid w:val="00842BAB"/>
    <w:rsid w:val="008435BF"/>
    <w:rsid w:val="00843D3C"/>
    <w:rsid w:val="00844C86"/>
    <w:rsid w:val="0084563D"/>
    <w:rsid w:val="00845C72"/>
    <w:rsid w:val="008476D4"/>
    <w:rsid w:val="00851F2D"/>
    <w:rsid w:val="008539DB"/>
    <w:rsid w:val="008543B4"/>
    <w:rsid w:val="00854A8B"/>
    <w:rsid w:val="00856D23"/>
    <w:rsid w:val="0086193A"/>
    <w:rsid w:val="00865A1A"/>
    <w:rsid w:val="00866712"/>
    <w:rsid w:val="008703CD"/>
    <w:rsid w:val="0087135F"/>
    <w:rsid w:val="00872D94"/>
    <w:rsid w:val="00874F0E"/>
    <w:rsid w:val="0087700F"/>
    <w:rsid w:val="00877EF2"/>
    <w:rsid w:val="00880106"/>
    <w:rsid w:val="0088018F"/>
    <w:rsid w:val="00880364"/>
    <w:rsid w:val="0088047C"/>
    <w:rsid w:val="00880A8B"/>
    <w:rsid w:val="00881208"/>
    <w:rsid w:val="00884476"/>
    <w:rsid w:val="0088621F"/>
    <w:rsid w:val="00886A11"/>
    <w:rsid w:val="00887880"/>
    <w:rsid w:val="00891592"/>
    <w:rsid w:val="00891E9E"/>
    <w:rsid w:val="008921F0"/>
    <w:rsid w:val="008928FC"/>
    <w:rsid w:val="00893DA9"/>
    <w:rsid w:val="00894C3F"/>
    <w:rsid w:val="00894D7A"/>
    <w:rsid w:val="008975F2"/>
    <w:rsid w:val="00897DB4"/>
    <w:rsid w:val="008A1D41"/>
    <w:rsid w:val="008A239E"/>
    <w:rsid w:val="008A2F68"/>
    <w:rsid w:val="008A3B2F"/>
    <w:rsid w:val="008A541A"/>
    <w:rsid w:val="008A58C7"/>
    <w:rsid w:val="008A6197"/>
    <w:rsid w:val="008A68A7"/>
    <w:rsid w:val="008A6FA3"/>
    <w:rsid w:val="008A73A5"/>
    <w:rsid w:val="008B45C2"/>
    <w:rsid w:val="008B4FA6"/>
    <w:rsid w:val="008B5282"/>
    <w:rsid w:val="008B6DD4"/>
    <w:rsid w:val="008B711D"/>
    <w:rsid w:val="008B7C17"/>
    <w:rsid w:val="008C0ED1"/>
    <w:rsid w:val="008C0FFC"/>
    <w:rsid w:val="008C2C95"/>
    <w:rsid w:val="008C2D01"/>
    <w:rsid w:val="008C2D42"/>
    <w:rsid w:val="008C40E6"/>
    <w:rsid w:val="008C4DA1"/>
    <w:rsid w:val="008C5C10"/>
    <w:rsid w:val="008C5DB0"/>
    <w:rsid w:val="008C6348"/>
    <w:rsid w:val="008C7706"/>
    <w:rsid w:val="008D0098"/>
    <w:rsid w:val="008D0F7A"/>
    <w:rsid w:val="008D24B4"/>
    <w:rsid w:val="008D2669"/>
    <w:rsid w:val="008D305C"/>
    <w:rsid w:val="008D3522"/>
    <w:rsid w:val="008D47FB"/>
    <w:rsid w:val="008D50B6"/>
    <w:rsid w:val="008D5EE1"/>
    <w:rsid w:val="008D6887"/>
    <w:rsid w:val="008D68E4"/>
    <w:rsid w:val="008E0506"/>
    <w:rsid w:val="008E0CFF"/>
    <w:rsid w:val="008E4897"/>
    <w:rsid w:val="008E58F5"/>
    <w:rsid w:val="008E5D6B"/>
    <w:rsid w:val="008E7206"/>
    <w:rsid w:val="008E76F0"/>
    <w:rsid w:val="008F15FE"/>
    <w:rsid w:val="008F1974"/>
    <w:rsid w:val="008F2D29"/>
    <w:rsid w:val="008F3ED7"/>
    <w:rsid w:val="008F4E79"/>
    <w:rsid w:val="008F5187"/>
    <w:rsid w:val="008F5E0B"/>
    <w:rsid w:val="008F60D8"/>
    <w:rsid w:val="009012ED"/>
    <w:rsid w:val="009015DE"/>
    <w:rsid w:val="00902727"/>
    <w:rsid w:val="00902E83"/>
    <w:rsid w:val="0090312B"/>
    <w:rsid w:val="00906848"/>
    <w:rsid w:val="00912DF7"/>
    <w:rsid w:val="009154A1"/>
    <w:rsid w:val="0091722A"/>
    <w:rsid w:val="0091736D"/>
    <w:rsid w:val="00917D82"/>
    <w:rsid w:val="00917EB3"/>
    <w:rsid w:val="009213E2"/>
    <w:rsid w:val="00922CFF"/>
    <w:rsid w:val="00923901"/>
    <w:rsid w:val="009250B5"/>
    <w:rsid w:val="009259F7"/>
    <w:rsid w:val="00925E57"/>
    <w:rsid w:val="00926021"/>
    <w:rsid w:val="009300AE"/>
    <w:rsid w:val="0093037A"/>
    <w:rsid w:val="00930B33"/>
    <w:rsid w:val="009326A2"/>
    <w:rsid w:val="0093359B"/>
    <w:rsid w:val="00936D35"/>
    <w:rsid w:val="00937FE4"/>
    <w:rsid w:val="009402B3"/>
    <w:rsid w:val="00940368"/>
    <w:rsid w:val="009405BC"/>
    <w:rsid w:val="00940A22"/>
    <w:rsid w:val="0094154D"/>
    <w:rsid w:val="00941587"/>
    <w:rsid w:val="00942B0B"/>
    <w:rsid w:val="009440EC"/>
    <w:rsid w:val="00946ECA"/>
    <w:rsid w:val="00947E4E"/>
    <w:rsid w:val="009501E1"/>
    <w:rsid w:val="0095155F"/>
    <w:rsid w:val="00951DEF"/>
    <w:rsid w:val="009526E1"/>
    <w:rsid w:val="0095279C"/>
    <w:rsid w:val="00952CAA"/>
    <w:rsid w:val="00953344"/>
    <w:rsid w:val="00953D74"/>
    <w:rsid w:val="00954022"/>
    <w:rsid w:val="00954429"/>
    <w:rsid w:val="00954CFC"/>
    <w:rsid w:val="00954E56"/>
    <w:rsid w:val="009563CE"/>
    <w:rsid w:val="0095729C"/>
    <w:rsid w:val="00964877"/>
    <w:rsid w:val="00964C10"/>
    <w:rsid w:val="00965F27"/>
    <w:rsid w:val="009665C6"/>
    <w:rsid w:val="00967378"/>
    <w:rsid w:val="009679C6"/>
    <w:rsid w:val="009736B1"/>
    <w:rsid w:val="0097399F"/>
    <w:rsid w:val="0097547C"/>
    <w:rsid w:val="009754EC"/>
    <w:rsid w:val="00976328"/>
    <w:rsid w:val="0097680D"/>
    <w:rsid w:val="00977B78"/>
    <w:rsid w:val="00977F15"/>
    <w:rsid w:val="009800D3"/>
    <w:rsid w:val="00980F9C"/>
    <w:rsid w:val="00981A2D"/>
    <w:rsid w:val="009821C3"/>
    <w:rsid w:val="00982438"/>
    <w:rsid w:val="00982682"/>
    <w:rsid w:val="00982E2D"/>
    <w:rsid w:val="009830C6"/>
    <w:rsid w:val="009833E2"/>
    <w:rsid w:val="009836EE"/>
    <w:rsid w:val="0098404C"/>
    <w:rsid w:val="009841E8"/>
    <w:rsid w:val="00984B0C"/>
    <w:rsid w:val="00984D24"/>
    <w:rsid w:val="0098518D"/>
    <w:rsid w:val="00985283"/>
    <w:rsid w:val="009857AF"/>
    <w:rsid w:val="00985E34"/>
    <w:rsid w:val="0098728A"/>
    <w:rsid w:val="009872BC"/>
    <w:rsid w:val="009879E9"/>
    <w:rsid w:val="00990F82"/>
    <w:rsid w:val="00991B24"/>
    <w:rsid w:val="00992572"/>
    <w:rsid w:val="009957A6"/>
    <w:rsid w:val="00995992"/>
    <w:rsid w:val="00997107"/>
    <w:rsid w:val="009A01C0"/>
    <w:rsid w:val="009A03E5"/>
    <w:rsid w:val="009A0F3B"/>
    <w:rsid w:val="009A19AE"/>
    <w:rsid w:val="009A1BB4"/>
    <w:rsid w:val="009A2036"/>
    <w:rsid w:val="009A21D0"/>
    <w:rsid w:val="009A2551"/>
    <w:rsid w:val="009A2628"/>
    <w:rsid w:val="009A3200"/>
    <w:rsid w:val="009A333B"/>
    <w:rsid w:val="009A35BD"/>
    <w:rsid w:val="009A5287"/>
    <w:rsid w:val="009A74C5"/>
    <w:rsid w:val="009A7E54"/>
    <w:rsid w:val="009B000A"/>
    <w:rsid w:val="009B0897"/>
    <w:rsid w:val="009B0AA2"/>
    <w:rsid w:val="009B2DFA"/>
    <w:rsid w:val="009B4782"/>
    <w:rsid w:val="009B745E"/>
    <w:rsid w:val="009B745F"/>
    <w:rsid w:val="009B7BD9"/>
    <w:rsid w:val="009B7F29"/>
    <w:rsid w:val="009C031A"/>
    <w:rsid w:val="009C05A4"/>
    <w:rsid w:val="009C39A2"/>
    <w:rsid w:val="009C3C24"/>
    <w:rsid w:val="009C3D72"/>
    <w:rsid w:val="009C48E4"/>
    <w:rsid w:val="009C4E8B"/>
    <w:rsid w:val="009C5ADA"/>
    <w:rsid w:val="009C62BA"/>
    <w:rsid w:val="009C630D"/>
    <w:rsid w:val="009C6736"/>
    <w:rsid w:val="009C6AE9"/>
    <w:rsid w:val="009C7DD5"/>
    <w:rsid w:val="009D1990"/>
    <w:rsid w:val="009D246B"/>
    <w:rsid w:val="009E195B"/>
    <w:rsid w:val="009E1CCC"/>
    <w:rsid w:val="009E227D"/>
    <w:rsid w:val="009E492B"/>
    <w:rsid w:val="009E5019"/>
    <w:rsid w:val="009E780F"/>
    <w:rsid w:val="009F052D"/>
    <w:rsid w:val="009F0A5A"/>
    <w:rsid w:val="009F2C4A"/>
    <w:rsid w:val="009F33F7"/>
    <w:rsid w:val="009F547D"/>
    <w:rsid w:val="009F5603"/>
    <w:rsid w:val="009F6E69"/>
    <w:rsid w:val="00A02621"/>
    <w:rsid w:val="00A0359F"/>
    <w:rsid w:val="00A03E3B"/>
    <w:rsid w:val="00A03F8E"/>
    <w:rsid w:val="00A04F1B"/>
    <w:rsid w:val="00A0501B"/>
    <w:rsid w:val="00A0792F"/>
    <w:rsid w:val="00A07F02"/>
    <w:rsid w:val="00A07F19"/>
    <w:rsid w:val="00A111E6"/>
    <w:rsid w:val="00A1231F"/>
    <w:rsid w:val="00A13E5C"/>
    <w:rsid w:val="00A14848"/>
    <w:rsid w:val="00A14947"/>
    <w:rsid w:val="00A15357"/>
    <w:rsid w:val="00A156E2"/>
    <w:rsid w:val="00A162F0"/>
    <w:rsid w:val="00A16759"/>
    <w:rsid w:val="00A2051C"/>
    <w:rsid w:val="00A22880"/>
    <w:rsid w:val="00A24C60"/>
    <w:rsid w:val="00A24CF3"/>
    <w:rsid w:val="00A30517"/>
    <w:rsid w:val="00A30EC8"/>
    <w:rsid w:val="00A31CEA"/>
    <w:rsid w:val="00A31D19"/>
    <w:rsid w:val="00A32A83"/>
    <w:rsid w:val="00A32FBE"/>
    <w:rsid w:val="00A34544"/>
    <w:rsid w:val="00A3492A"/>
    <w:rsid w:val="00A368AD"/>
    <w:rsid w:val="00A368DB"/>
    <w:rsid w:val="00A37C62"/>
    <w:rsid w:val="00A42048"/>
    <w:rsid w:val="00A421EE"/>
    <w:rsid w:val="00A423AA"/>
    <w:rsid w:val="00A43375"/>
    <w:rsid w:val="00A44325"/>
    <w:rsid w:val="00A4463D"/>
    <w:rsid w:val="00A4564D"/>
    <w:rsid w:val="00A45DA6"/>
    <w:rsid w:val="00A519F6"/>
    <w:rsid w:val="00A51B04"/>
    <w:rsid w:val="00A52391"/>
    <w:rsid w:val="00A53EC6"/>
    <w:rsid w:val="00A555A3"/>
    <w:rsid w:val="00A55C0F"/>
    <w:rsid w:val="00A57F10"/>
    <w:rsid w:val="00A607E6"/>
    <w:rsid w:val="00A60A3E"/>
    <w:rsid w:val="00A612B7"/>
    <w:rsid w:val="00A62212"/>
    <w:rsid w:val="00A63198"/>
    <w:rsid w:val="00A64D02"/>
    <w:rsid w:val="00A655DA"/>
    <w:rsid w:val="00A65C8B"/>
    <w:rsid w:val="00A65EDD"/>
    <w:rsid w:val="00A6629C"/>
    <w:rsid w:val="00A66E99"/>
    <w:rsid w:val="00A67E7A"/>
    <w:rsid w:val="00A72DFD"/>
    <w:rsid w:val="00A73411"/>
    <w:rsid w:val="00A734E5"/>
    <w:rsid w:val="00A7382C"/>
    <w:rsid w:val="00A73B0B"/>
    <w:rsid w:val="00A740C7"/>
    <w:rsid w:val="00A74483"/>
    <w:rsid w:val="00A7486F"/>
    <w:rsid w:val="00A749BA"/>
    <w:rsid w:val="00A74A68"/>
    <w:rsid w:val="00A75846"/>
    <w:rsid w:val="00A7646D"/>
    <w:rsid w:val="00A77E2D"/>
    <w:rsid w:val="00A80042"/>
    <w:rsid w:val="00A80F0E"/>
    <w:rsid w:val="00A818FA"/>
    <w:rsid w:val="00A836B2"/>
    <w:rsid w:val="00A843FE"/>
    <w:rsid w:val="00A84E00"/>
    <w:rsid w:val="00A86318"/>
    <w:rsid w:val="00A870A2"/>
    <w:rsid w:val="00A8713F"/>
    <w:rsid w:val="00A87389"/>
    <w:rsid w:val="00A90BA1"/>
    <w:rsid w:val="00A91538"/>
    <w:rsid w:val="00A9249C"/>
    <w:rsid w:val="00A9251C"/>
    <w:rsid w:val="00A92DE6"/>
    <w:rsid w:val="00A932EF"/>
    <w:rsid w:val="00A9378D"/>
    <w:rsid w:val="00A9429F"/>
    <w:rsid w:val="00A95A3E"/>
    <w:rsid w:val="00A968E2"/>
    <w:rsid w:val="00A97A9A"/>
    <w:rsid w:val="00AA0671"/>
    <w:rsid w:val="00AA0AE8"/>
    <w:rsid w:val="00AA0D46"/>
    <w:rsid w:val="00AA2531"/>
    <w:rsid w:val="00AA2635"/>
    <w:rsid w:val="00AA623D"/>
    <w:rsid w:val="00AA664B"/>
    <w:rsid w:val="00AA7163"/>
    <w:rsid w:val="00AB060F"/>
    <w:rsid w:val="00AB137B"/>
    <w:rsid w:val="00AB1484"/>
    <w:rsid w:val="00AB1786"/>
    <w:rsid w:val="00AB1E09"/>
    <w:rsid w:val="00AB2467"/>
    <w:rsid w:val="00AB5124"/>
    <w:rsid w:val="00AB5330"/>
    <w:rsid w:val="00AB5C00"/>
    <w:rsid w:val="00AB71B9"/>
    <w:rsid w:val="00AB7747"/>
    <w:rsid w:val="00AB7777"/>
    <w:rsid w:val="00AC074A"/>
    <w:rsid w:val="00AC0F68"/>
    <w:rsid w:val="00AC128C"/>
    <w:rsid w:val="00AC14CE"/>
    <w:rsid w:val="00AC2A56"/>
    <w:rsid w:val="00AC2AB1"/>
    <w:rsid w:val="00AC2C1D"/>
    <w:rsid w:val="00AC3A14"/>
    <w:rsid w:val="00AC466C"/>
    <w:rsid w:val="00AD055E"/>
    <w:rsid w:val="00AD06E1"/>
    <w:rsid w:val="00AD0BCC"/>
    <w:rsid w:val="00AD147D"/>
    <w:rsid w:val="00AD47A7"/>
    <w:rsid w:val="00AD5416"/>
    <w:rsid w:val="00AD6378"/>
    <w:rsid w:val="00AE0296"/>
    <w:rsid w:val="00AE1787"/>
    <w:rsid w:val="00AE2BA5"/>
    <w:rsid w:val="00AE32B5"/>
    <w:rsid w:val="00AE3E2B"/>
    <w:rsid w:val="00AE4094"/>
    <w:rsid w:val="00AE5C4B"/>
    <w:rsid w:val="00AF0CBF"/>
    <w:rsid w:val="00AF0EFD"/>
    <w:rsid w:val="00AF257F"/>
    <w:rsid w:val="00AF27A1"/>
    <w:rsid w:val="00AF33CF"/>
    <w:rsid w:val="00AF3F2F"/>
    <w:rsid w:val="00AF4C39"/>
    <w:rsid w:val="00AF4CC2"/>
    <w:rsid w:val="00AF4D50"/>
    <w:rsid w:val="00AF4DB0"/>
    <w:rsid w:val="00AF569A"/>
    <w:rsid w:val="00AF5FAD"/>
    <w:rsid w:val="00AF6179"/>
    <w:rsid w:val="00AF7E42"/>
    <w:rsid w:val="00B00DA5"/>
    <w:rsid w:val="00B00DCF"/>
    <w:rsid w:val="00B013B9"/>
    <w:rsid w:val="00B03918"/>
    <w:rsid w:val="00B06CCE"/>
    <w:rsid w:val="00B11038"/>
    <w:rsid w:val="00B115D3"/>
    <w:rsid w:val="00B117BD"/>
    <w:rsid w:val="00B11CC4"/>
    <w:rsid w:val="00B123A7"/>
    <w:rsid w:val="00B1295A"/>
    <w:rsid w:val="00B12B1A"/>
    <w:rsid w:val="00B13992"/>
    <w:rsid w:val="00B14BAA"/>
    <w:rsid w:val="00B16E46"/>
    <w:rsid w:val="00B171A6"/>
    <w:rsid w:val="00B20A45"/>
    <w:rsid w:val="00B20BDD"/>
    <w:rsid w:val="00B221AE"/>
    <w:rsid w:val="00B22C5C"/>
    <w:rsid w:val="00B23D0A"/>
    <w:rsid w:val="00B24F30"/>
    <w:rsid w:val="00B266A9"/>
    <w:rsid w:val="00B26B9E"/>
    <w:rsid w:val="00B272A2"/>
    <w:rsid w:val="00B31ABF"/>
    <w:rsid w:val="00B33022"/>
    <w:rsid w:val="00B330AC"/>
    <w:rsid w:val="00B33BE3"/>
    <w:rsid w:val="00B33F86"/>
    <w:rsid w:val="00B341D0"/>
    <w:rsid w:val="00B353EC"/>
    <w:rsid w:val="00B35EB2"/>
    <w:rsid w:val="00B36168"/>
    <w:rsid w:val="00B367B3"/>
    <w:rsid w:val="00B40FDD"/>
    <w:rsid w:val="00B4340E"/>
    <w:rsid w:val="00B43598"/>
    <w:rsid w:val="00B445F1"/>
    <w:rsid w:val="00B45249"/>
    <w:rsid w:val="00B45861"/>
    <w:rsid w:val="00B45CF8"/>
    <w:rsid w:val="00B4684C"/>
    <w:rsid w:val="00B46D06"/>
    <w:rsid w:val="00B475CA"/>
    <w:rsid w:val="00B50818"/>
    <w:rsid w:val="00B50DA9"/>
    <w:rsid w:val="00B52690"/>
    <w:rsid w:val="00B53B5D"/>
    <w:rsid w:val="00B54D34"/>
    <w:rsid w:val="00B55242"/>
    <w:rsid w:val="00B561C4"/>
    <w:rsid w:val="00B6037C"/>
    <w:rsid w:val="00B60498"/>
    <w:rsid w:val="00B6055E"/>
    <w:rsid w:val="00B60B22"/>
    <w:rsid w:val="00B612BD"/>
    <w:rsid w:val="00B623F0"/>
    <w:rsid w:val="00B6317D"/>
    <w:rsid w:val="00B63699"/>
    <w:rsid w:val="00B63F3A"/>
    <w:rsid w:val="00B64EEB"/>
    <w:rsid w:val="00B6504C"/>
    <w:rsid w:val="00B6550D"/>
    <w:rsid w:val="00B66CDF"/>
    <w:rsid w:val="00B67D01"/>
    <w:rsid w:val="00B734F3"/>
    <w:rsid w:val="00B73552"/>
    <w:rsid w:val="00B75955"/>
    <w:rsid w:val="00B76490"/>
    <w:rsid w:val="00B76E9C"/>
    <w:rsid w:val="00B7723F"/>
    <w:rsid w:val="00B80534"/>
    <w:rsid w:val="00B80743"/>
    <w:rsid w:val="00B81B22"/>
    <w:rsid w:val="00B81C6C"/>
    <w:rsid w:val="00B826CD"/>
    <w:rsid w:val="00B8433C"/>
    <w:rsid w:val="00B843BB"/>
    <w:rsid w:val="00B84A7A"/>
    <w:rsid w:val="00B85584"/>
    <w:rsid w:val="00B8626F"/>
    <w:rsid w:val="00B87491"/>
    <w:rsid w:val="00B91F6D"/>
    <w:rsid w:val="00B93E04"/>
    <w:rsid w:val="00B969C9"/>
    <w:rsid w:val="00B97CA7"/>
    <w:rsid w:val="00B97FB0"/>
    <w:rsid w:val="00BA117A"/>
    <w:rsid w:val="00BA29E9"/>
    <w:rsid w:val="00BA4DB9"/>
    <w:rsid w:val="00BA5798"/>
    <w:rsid w:val="00BA599C"/>
    <w:rsid w:val="00BA7142"/>
    <w:rsid w:val="00BB1EC2"/>
    <w:rsid w:val="00BB22C4"/>
    <w:rsid w:val="00BB237C"/>
    <w:rsid w:val="00BB272C"/>
    <w:rsid w:val="00BB3A25"/>
    <w:rsid w:val="00BB41A3"/>
    <w:rsid w:val="00BB4628"/>
    <w:rsid w:val="00BB5123"/>
    <w:rsid w:val="00BB5E4F"/>
    <w:rsid w:val="00BB61CF"/>
    <w:rsid w:val="00BB62A0"/>
    <w:rsid w:val="00BB63A5"/>
    <w:rsid w:val="00BB63DF"/>
    <w:rsid w:val="00BB7647"/>
    <w:rsid w:val="00BC01D0"/>
    <w:rsid w:val="00BC1871"/>
    <w:rsid w:val="00BC2B21"/>
    <w:rsid w:val="00BC32DC"/>
    <w:rsid w:val="00BC35B6"/>
    <w:rsid w:val="00BC3A08"/>
    <w:rsid w:val="00BC4D2F"/>
    <w:rsid w:val="00BC7CC8"/>
    <w:rsid w:val="00BD082E"/>
    <w:rsid w:val="00BD16EF"/>
    <w:rsid w:val="00BD1B51"/>
    <w:rsid w:val="00BD3730"/>
    <w:rsid w:val="00BD3985"/>
    <w:rsid w:val="00BD4596"/>
    <w:rsid w:val="00BD7133"/>
    <w:rsid w:val="00BE003D"/>
    <w:rsid w:val="00BE0859"/>
    <w:rsid w:val="00BE1405"/>
    <w:rsid w:val="00BE1743"/>
    <w:rsid w:val="00BE18EF"/>
    <w:rsid w:val="00BE2A4D"/>
    <w:rsid w:val="00BE2A85"/>
    <w:rsid w:val="00BE312D"/>
    <w:rsid w:val="00BE3262"/>
    <w:rsid w:val="00BE5414"/>
    <w:rsid w:val="00BE6421"/>
    <w:rsid w:val="00BE7250"/>
    <w:rsid w:val="00BF0042"/>
    <w:rsid w:val="00BF12C6"/>
    <w:rsid w:val="00BF1C20"/>
    <w:rsid w:val="00BF1D99"/>
    <w:rsid w:val="00BF282B"/>
    <w:rsid w:val="00BF528E"/>
    <w:rsid w:val="00BF53E1"/>
    <w:rsid w:val="00BF5B71"/>
    <w:rsid w:val="00BF6DAD"/>
    <w:rsid w:val="00BF7035"/>
    <w:rsid w:val="00C009DC"/>
    <w:rsid w:val="00C00DD4"/>
    <w:rsid w:val="00C03783"/>
    <w:rsid w:val="00C03982"/>
    <w:rsid w:val="00C039B6"/>
    <w:rsid w:val="00C0743D"/>
    <w:rsid w:val="00C07448"/>
    <w:rsid w:val="00C07982"/>
    <w:rsid w:val="00C10203"/>
    <w:rsid w:val="00C10446"/>
    <w:rsid w:val="00C10578"/>
    <w:rsid w:val="00C128C2"/>
    <w:rsid w:val="00C135BC"/>
    <w:rsid w:val="00C14226"/>
    <w:rsid w:val="00C146D8"/>
    <w:rsid w:val="00C14C2B"/>
    <w:rsid w:val="00C1539D"/>
    <w:rsid w:val="00C15468"/>
    <w:rsid w:val="00C15C95"/>
    <w:rsid w:val="00C164BF"/>
    <w:rsid w:val="00C173F5"/>
    <w:rsid w:val="00C2003F"/>
    <w:rsid w:val="00C22426"/>
    <w:rsid w:val="00C2549E"/>
    <w:rsid w:val="00C2596A"/>
    <w:rsid w:val="00C2725E"/>
    <w:rsid w:val="00C27537"/>
    <w:rsid w:val="00C301B8"/>
    <w:rsid w:val="00C3206B"/>
    <w:rsid w:val="00C328FE"/>
    <w:rsid w:val="00C33507"/>
    <w:rsid w:val="00C33A8B"/>
    <w:rsid w:val="00C34D02"/>
    <w:rsid w:val="00C364BA"/>
    <w:rsid w:val="00C40789"/>
    <w:rsid w:val="00C4108D"/>
    <w:rsid w:val="00C412C9"/>
    <w:rsid w:val="00C41732"/>
    <w:rsid w:val="00C429C8"/>
    <w:rsid w:val="00C43966"/>
    <w:rsid w:val="00C43E01"/>
    <w:rsid w:val="00C4409D"/>
    <w:rsid w:val="00C44DA1"/>
    <w:rsid w:val="00C44E72"/>
    <w:rsid w:val="00C45A06"/>
    <w:rsid w:val="00C45FF4"/>
    <w:rsid w:val="00C47E5B"/>
    <w:rsid w:val="00C5077F"/>
    <w:rsid w:val="00C51720"/>
    <w:rsid w:val="00C5217B"/>
    <w:rsid w:val="00C52E3B"/>
    <w:rsid w:val="00C540B3"/>
    <w:rsid w:val="00C565A0"/>
    <w:rsid w:val="00C56B84"/>
    <w:rsid w:val="00C60A03"/>
    <w:rsid w:val="00C60D5B"/>
    <w:rsid w:val="00C61E4B"/>
    <w:rsid w:val="00C6457F"/>
    <w:rsid w:val="00C64BFF"/>
    <w:rsid w:val="00C64EEE"/>
    <w:rsid w:val="00C65FCD"/>
    <w:rsid w:val="00C67FEA"/>
    <w:rsid w:val="00C7041B"/>
    <w:rsid w:val="00C704E9"/>
    <w:rsid w:val="00C71221"/>
    <w:rsid w:val="00C725EF"/>
    <w:rsid w:val="00C728D2"/>
    <w:rsid w:val="00C72C79"/>
    <w:rsid w:val="00C73419"/>
    <w:rsid w:val="00C763C9"/>
    <w:rsid w:val="00C7643E"/>
    <w:rsid w:val="00C77AE4"/>
    <w:rsid w:val="00C80057"/>
    <w:rsid w:val="00C80D3A"/>
    <w:rsid w:val="00C80DE6"/>
    <w:rsid w:val="00C814D8"/>
    <w:rsid w:val="00C82232"/>
    <w:rsid w:val="00C82913"/>
    <w:rsid w:val="00C82F2D"/>
    <w:rsid w:val="00C83229"/>
    <w:rsid w:val="00C83D3E"/>
    <w:rsid w:val="00C8693F"/>
    <w:rsid w:val="00C86EBD"/>
    <w:rsid w:val="00C86FA7"/>
    <w:rsid w:val="00C87D2A"/>
    <w:rsid w:val="00C90AAE"/>
    <w:rsid w:val="00C91540"/>
    <w:rsid w:val="00C934B8"/>
    <w:rsid w:val="00C96C32"/>
    <w:rsid w:val="00C972B1"/>
    <w:rsid w:val="00C97E5C"/>
    <w:rsid w:val="00CA191E"/>
    <w:rsid w:val="00CA2CCE"/>
    <w:rsid w:val="00CA3B90"/>
    <w:rsid w:val="00CA3FC0"/>
    <w:rsid w:val="00CA43FD"/>
    <w:rsid w:val="00CA45EF"/>
    <w:rsid w:val="00CA49B9"/>
    <w:rsid w:val="00CA610D"/>
    <w:rsid w:val="00CA6BCB"/>
    <w:rsid w:val="00CA7CFF"/>
    <w:rsid w:val="00CA7EF8"/>
    <w:rsid w:val="00CB141A"/>
    <w:rsid w:val="00CB38A4"/>
    <w:rsid w:val="00CB4AE4"/>
    <w:rsid w:val="00CB62D3"/>
    <w:rsid w:val="00CC0E22"/>
    <w:rsid w:val="00CC4270"/>
    <w:rsid w:val="00CC489B"/>
    <w:rsid w:val="00CC58E0"/>
    <w:rsid w:val="00CC60BE"/>
    <w:rsid w:val="00CC69FF"/>
    <w:rsid w:val="00CC7648"/>
    <w:rsid w:val="00CC7D42"/>
    <w:rsid w:val="00CD1AD8"/>
    <w:rsid w:val="00CD2605"/>
    <w:rsid w:val="00CD2763"/>
    <w:rsid w:val="00CD2767"/>
    <w:rsid w:val="00CD2BCD"/>
    <w:rsid w:val="00CD38B1"/>
    <w:rsid w:val="00CD3A4C"/>
    <w:rsid w:val="00CD3C7E"/>
    <w:rsid w:val="00CD4170"/>
    <w:rsid w:val="00CD41AD"/>
    <w:rsid w:val="00CD5C7A"/>
    <w:rsid w:val="00CD77B7"/>
    <w:rsid w:val="00CE08EC"/>
    <w:rsid w:val="00CE0CB5"/>
    <w:rsid w:val="00CE0DFD"/>
    <w:rsid w:val="00CE10E9"/>
    <w:rsid w:val="00CE14EF"/>
    <w:rsid w:val="00CE194C"/>
    <w:rsid w:val="00CE1F76"/>
    <w:rsid w:val="00CE2910"/>
    <w:rsid w:val="00CE2CFC"/>
    <w:rsid w:val="00CE3482"/>
    <w:rsid w:val="00CE3CC3"/>
    <w:rsid w:val="00CE5393"/>
    <w:rsid w:val="00CE5FB4"/>
    <w:rsid w:val="00CE6B53"/>
    <w:rsid w:val="00CE774D"/>
    <w:rsid w:val="00CE7F12"/>
    <w:rsid w:val="00CF05F8"/>
    <w:rsid w:val="00CF079F"/>
    <w:rsid w:val="00CF1093"/>
    <w:rsid w:val="00CF16C1"/>
    <w:rsid w:val="00CF327A"/>
    <w:rsid w:val="00CF36BE"/>
    <w:rsid w:val="00CF37FD"/>
    <w:rsid w:val="00CF3B17"/>
    <w:rsid w:val="00CF42E1"/>
    <w:rsid w:val="00CF46E8"/>
    <w:rsid w:val="00CF4D60"/>
    <w:rsid w:val="00CF6000"/>
    <w:rsid w:val="00CF7A86"/>
    <w:rsid w:val="00D003F3"/>
    <w:rsid w:val="00D016C3"/>
    <w:rsid w:val="00D01969"/>
    <w:rsid w:val="00D0364F"/>
    <w:rsid w:val="00D0365E"/>
    <w:rsid w:val="00D038E0"/>
    <w:rsid w:val="00D04ED5"/>
    <w:rsid w:val="00D06834"/>
    <w:rsid w:val="00D07800"/>
    <w:rsid w:val="00D107F2"/>
    <w:rsid w:val="00D1457D"/>
    <w:rsid w:val="00D149AD"/>
    <w:rsid w:val="00D178B0"/>
    <w:rsid w:val="00D23293"/>
    <w:rsid w:val="00D23ABE"/>
    <w:rsid w:val="00D249F2"/>
    <w:rsid w:val="00D25381"/>
    <w:rsid w:val="00D308ED"/>
    <w:rsid w:val="00D32A25"/>
    <w:rsid w:val="00D32D58"/>
    <w:rsid w:val="00D3374E"/>
    <w:rsid w:val="00D33FCC"/>
    <w:rsid w:val="00D34640"/>
    <w:rsid w:val="00D34F0F"/>
    <w:rsid w:val="00D354E2"/>
    <w:rsid w:val="00D358F9"/>
    <w:rsid w:val="00D36C9E"/>
    <w:rsid w:val="00D36D86"/>
    <w:rsid w:val="00D373F3"/>
    <w:rsid w:val="00D4019B"/>
    <w:rsid w:val="00D4276A"/>
    <w:rsid w:val="00D428AA"/>
    <w:rsid w:val="00D473F2"/>
    <w:rsid w:val="00D47C85"/>
    <w:rsid w:val="00D50A34"/>
    <w:rsid w:val="00D51252"/>
    <w:rsid w:val="00D51EC0"/>
    <w:rsid w:val="00D5392C"/>
    <w:rsid w:val="00D53EFA"/>
    <w:rsid w:val="00D54465"/>
    <w:rsid w:val="00D569E1"/>
    <w:rsid w:val="00D5714C"/>
    <w:rsid w:val="00D61FF1"/>
    <w:rsid w:val="00D62AF0"/>
    <w:rsid w:val="00D643DD"/>
    <w:rsid w:val="00D650F4"/>
    <w:rsid w:val="00D6688D"/>
    <w:rsid w:val="00D6755F"/>
    <w:rsid w:val="00D70615"/>
    <w:rsid w:val="00D70647"/>
    <w:rsid w:val="00D71076"/>
    <w:rsid w:val="00D72D0B"/>
    <w:rsid w:val="00D75A4B"/>
    <w:rsid w:val="00D75B6E"/>
    <w:rsid w:val="00D75D98"/>
    <w:rsid w:val="00D76B69"/>
    <w:rsid w:val="00D80488"/>
    <w:rsid w:val="00D81D53"/>
    <w:rsid w:val="00D81EE9"/>
    <w:rsid w:val="00D82255"/>
    <w:rsid w:val="00D8260D"/>
    <w:rsid w:val="00D82D9E"/>
    <w:rsid w:val="00D83624"/>
    <w:rsid w:val="00D83A95"/>
    <w:rsid w:val="00D83AF0"/>
    <w:rsid w:val="00D83D78"/>
    <w:rsid w:val="00D84941"/>
    <w:rsid w:val="00D90547"/>
    <w:rsid w:val="00D91598"/>
    <w:rsid w:val="00D93087"/>
    <w:rsid w:val="00D93932"/>
    <w:rsid w:val="00D93F94"/>
    <w:rsid w:val="00D9418E"/>
    <w:rsid w:val="00D94A7C"/>
    <w:rsid w:val="00D95896"/>
    <w:rsid w:val="00D960FC"/>
    <w:rsid w:val="00D9623C"/>
    <w:rsid w:val="00D96C1B"/>
    <w:rsid w:val="00DA1810"/>
    <w:rsid w:val="00DA20BC"/>
    <w:rsid w:val="00DA2ABF"/>
    <w:rsid w:val="00DA2B1E"/>
    <w:rsid w:val="00DA4A8F"/>
    <w:rsid w:val="00DA4AF4"/>
    <w:rsid w:val="00DA60D4"/>
    <w:rsid w:val="00DB1271"/>
    <w:rsid w:val="00DB176D"/>
    <w:rsid w:val="00DB2983"/>
    <w:rsid w:val="00DB5BF9"/>
    <w:rsid w:val="00DC1257"/>
    <w:rsid w:val="00DC1CC5"/>
    <w:rsid w:val="00DC1FB4"/>
    <w:rsid w:val="00DC3346"/>
    <w:rsid w:val="00DC3DC0"/>
    <w:rsid w:val="00DC5B2B"/>
    <w:rsid w:val="00DC65E7"/>
    <w:rsid w:val="00DC67CB"/>
    <w:rsid w:val="00DD318D"/>
    <w:rsid w:val="00DD6BE2"/>
    <w:rsid w:val="00DE3A70"/>
    <w:rsid w:val="00DE721F"/>
    <w:rsid w:val="00DE75C2"/>
    <w:rsid w:val="00DE76CF"/>
    <w:rsid w:val="00DF0023"/>
    <w:rsid w:val="00DF0E68"/>
    <w:rsid w:val="00DF113B"/>
    <w:rsid w:val="00DF2E12"/>
    <w:rsid w:val="00DF3D8E"/>
    <w:rsid w:val="00DF514A"/>
    <w:rsid w:val="00DF5AEA"/>
    <w:rsid w:val="00DF619A"/>
    <w:rsid w:val="00DF6690"/>
    <w:rsid w:val="00DF6804"/>
    <w:rsid w:val="00DF7390"/>
    <w:rsid w:val="00DF7BF1"/>
    <w:rsid w:val="00DF7E73"/>
    <w:rsid w:val="00E024F4"/>
    <w:rsid w:val="00E0358D"/>
    <w:rsid w:val="00E04323"/>
    <w:rsid w:val="00E04611"/>
    <w:rsid w:val="00E06403"/>
    <w:rsid w:val="00E06432"/>
    <w:rsid w:val="00E070A2"/>
    <w:rsid w:val="00E103F0"/>
    <w:rsid w:val="00E1083A"/>
    <w:rsid w:val="00E10A2F"/>
    <w:rsid w:val="00E10C44"/>
    <w:rsid w:val="00E119A9"/>
    <w:rsid w:val="00E14320"/>
    <w:rsid w:val="00E151B7"/>
    <w:rsid w:val="00E15676"/>
    <w:rsid w:val="00E1675F"/>
    <w:rsid w:val="00E17AB6"/>
    <w:rsid w:val="00E204DD"/>
    <w:rsid w:val="00E216C3"/>
    <w:rsid w:val="00E2227B"/>
    <w:rsid w:val="00E228D6"/>
    <w:rsid w:val="00E23F33"/>
    <w:rsid w:val="00E25556"/>
    <w:rsid w:val="00E26444"/>
    <w:rsid w:val="00E2656A"/>
    <w:rsid w:val="00E26616"/>
    <w:rsid w:val="00E27FFC"/>
    <w:rsid w:val="00E30FB1"/>
    <w:rsid w:val="00E319CF"/>
    <w:rsid w:val="00E32D47"/>
    <w:rsid w:val="00E3315E"/>
    <w:rsid w:val="00E3349C"/>
    <w:rsid w:val="00E33B6E"/>
    <w:rsid w:val="00E37B96"/>
    <w:rsid w:val="00E412D0"/>
    <w:rsid w:val="00E418E9"/>
    <w:rsid w:val="00E447CF"/>
    <w:rsid w:val="00E44FE2"/>
    <w:rsid w:val="00E45DB7"/>
    <w:rsid w:val="00E5061D"/>
    <w:rsid w:val="00E5214B"/>
    <w:rsid w:val="00E526CF"/>
    <w:rsid w:val="00E54928"/>
    <w:rsid w:val="00E54978"/>
    <w:rsid w:val="00E557AE"/>
    <w:rsid w:val="00E56322"/>
    <w:rsid w:val="00E575C4"/>
    <w:rsid w:val="00E57C6D"/>
    <w:rsid w:val="00E602DB"/>
    <w:rsid w:val="00E60982"/>
    <w:rsid w:val="00E60AB0"/>
    <w:rsid w:val="00E61DC4"/>
    <w:rsid w:val="00E62C62"/>
    <w:rsid w:val="00E639A9"/>
    <w:rsid w:val="00E63F60"/>
    <w:rsid w:val="00E654A7"/>
    <w:rsid w:val="00E654C1"/>
    <w:rsid w:val="00E65D97"/>
    <w:rsid w:val="00E71421"/>
    <w:rsid w:val="00E71756"/>
    <w:rsid w:val="00E71FF8"/>
    <w:rsid w:val="00E72881"/>
    <w:rsid w:val="00E72A5A"/>
    <w:rsid w:val="00E73354"/>
    <w:rsid w:val="00E73BED"/>
    <w:rsid w:val="00E73C23"/>
    <w:rsid w:val="00E73F47"/>
    <w:rsid w:val="00E763F9"/>
    <w:rsid w:val="00E806C4"/>
    <w:rsid w:val="00E80A44"/>
    <w:rsid w:val="00E8253A"/>
    <w:rsid w:val="00E825F5"/>
    <w:rsid w:val="00E82A1C"/>
    <w:rsid w:val="00E8394D"/>
    <w:rsid w:val="00E85664"/>
    <w:rsid w:val="00E909E5"/>
    <w:rsid w:val="00E9242D"/>
    <w:rsid w:val="00E94128"/>
    <w:rsid w:val="00E958D9"/>
    <w:rsid w:val="00E96E36"/>
    <w:rsid w:val="00EA1561"/>
    <w:rsid w:val="00EA1A54"/>
    <w:rsid w:val="00EA3393"/>
    <w:rsid w:val="00EA6575"/>
    <w:rsid w:val="00EA6F48"/>
    <w:rsid w:val="00EA761B"/>
    <w:rsid w:val="00EB0A98"/>
    <w:rsid w:val="00EB0FC0"/>
    <w:rsid w:val="00EB1F36"/>
    <w:rsid w:val="00EB5255"/>
    <w:rsid w:val="00EB5380"/>
    <w:rsid w:val="00EB5793"/>
    <w:rsid w:val="00EB5C47"/>
    <w:rsid w:val="00EB64C1"/>
    <w:rsid w:val="00EB7BD3"/>
    <w:rsid w:val="00EC2799"/>
    <w:rsid w:val="00EC4BC8"/>
    <w:rsid w:val="00EC56B2"/>
    <w:rsid w:val="00EC75B1"/>
    <w:rsid w:val="00EC76DF"/>
    <w:rsid w:val="00ED029C"/>
    <w:rsid w:val="00ED02E3"/>
    <w:rsid w:val="00ED047A"/>
    <w:rsid w:val="00ED0639"/>
    <w:rsid w:val="00ED17CF"/>
    <w:rsid w:val="00ED18C9"/>
    <w:rsid w:val="00ED2906"/>
    <w:rsid w:val="00ED798F"/>
    <w:rsid w:val="00EE2B98"/>
    <w:rsid w:val="00EE412E"/>
    <w:rsid w:val="00EE493D"/>
    <w:rsid w:val="00EE4E17"/>
    <w:rsid w:val="00EE5DD5"/>
    <w:rsid w:val="00EE66FC"/>
    <w:rsid w:val="00EF16A4"/>
    <w:rsid w:val="00EF253B"/>
    <w:rsid w:val="00EF2D42"/>
    <w:rsid w:val="00EF39B1"/>
    <w:rsid w:val="00EF4426"/>
    <w:rsid w:val="00EF4755"/>
    <w:rsid w:val="00EF4B3D"/>
    <w:rsid w:val="00EF61DB"/>
    <w:rsid w:val="00EF7135"/>
    <w:rsid w:val="00EF78C7"/>
    <w:rsid w:val="00F00650"/>
    <w:rsid w:val="00F023FF"/>
    <w:rsid w:val="00F027DB"/>
    <w:rsid w:val="00F054A1"/>
    <w:rsid w:val="00F05B96"/>
    <w:rsid w:val="00F05D8E"/>
    <w:rsid w:val="00F06394"/>
    <w:rsid w:val="00F06EC9"/>
    <w:rsid w:val="00F075C1"/>
    <w:rsid w:val="00F100BE"/>
    <w:rsid w:val="00F105E4"/>
    <w:rsid w:val="00F1090F"/>
    <w:rsid w:val="00F11FD0"/>
    <w:rsid w:val="00F12921"/>
    <w:rsid w:val="00F12E17"/>
    <w:rsid w:val="00F13089"/>
    <w:rsid w:val="00F1316D"/>
    <w:rsid w:val="00F1481B"/>
    <w:rsid w:val="00F1495A"/>
    <w:rsid w:val="00F14A7A"/>
    <w:rsid w:val="00F150EA"/>
    <w:rsid w:val="00F16EC2"/>
    <w:rsid w:val="00F1706E"/>
    <w:rsid w:val="00F20C92"/>
    <w:rsid w:val="00F22023"/>
    <w:rsid w:val="00F223C9"/>
    <w:rsid w:val="00F22779"/>
    <w:rsid w:val="00F22985"/>
    <w:rsid w:val="00F23562"/>
    <w:rsid w:val="00F246AB"/>
    <w:rsid w:val="00F25827"/>
    <w:rsid w:val="00F25A6B"/>
    <w:rsid w:val="00F27D59"/>
    <w:rsid w:val="00F321B7"/>
    <w:rsid w:val="00F3250D"/>
    <w:rsid w:val="00F3337D"/>
    <w:rsid w:val="00F33527"/>
    <w:rsid w:val="00F3383E"/>
    <w:rsid w:val="00F34525"/>
    <w:rsid w:val="00F35FB4"/>
    <w:rsid w:val="00F360A3"/>
    <w:rsid w:val="00F372C1"/>
    <w:rsid w:val="00F4464D"/>
    <w:rsid w:val="00F4630D"/>
    <w:rsid w:val="00F463F9"/>
    <w:rsid w:val="00F465A7"/>
    <w:rsid w:val="00F466D6"/>
    <w:rsid w:val="00F471ED"/>
    <w:rsid w:val="00F476AD"/>
    <w:rsid w:val="00F50B7C"/>
    <w:rsid w:val="00F50CDF"/>
    <w:rsid w:val="00F52A9B"/>
    <w:rsid w:val="00F54EEA"/>
    <w:rsid w:val="00F550E6"/>
    <w:rsid w:val="00F567CA"/>
    <w:rsid w:val="00F56C72"/>
    <w:rsid w:val="00F61F72"/>
    <w:rsid w:val="00F61FED"/>
    <w:rsid w:val="00F62921"/>
    <w:rsid w:val="00F62B4E"/>
    <w:rsid w:val="00F64077"/>
    <w:rsid w:val="00F641DD"/>
    <w:rsid w:val="00F64E3E"/>
    <w:rsid w:val="00F65838"/>
    <w:rsid w:val="00F66CBB"/>
    <w:rsid w:val="00F67244"/>
    <w:rsid w:val="00F71B2C"/>
    <w:rsid w:val="00F739B5"/>
    <w:rsid w:val="00F73FB1"/>
    <w:rsid w:val="00F74345"/>
    <w:rsid w:val="00F74BC3"/>
    <w:rsid w:val="00F76CF8"/>
    <w:rsid w:val="00F77856"/>
    <w:rsid w:val="00F779DD"/>
    <w:rsid w:val="00F80A0A"/>
    <w:rsid w:val="00F81A46"/>
    <w:rsid w:val="00F82505"/>
    <w:rsid w:val="00F82B19"/>
    <w:rsid w:val="00F830A4"/>
    <w:rsid w:val="00F83A15"/>
    <w:rsid w:val="00F83C69"/>
    <w:rsid w:val="00F849F0"/>
    <w:rsid w:val="00F85D61"/>
    <w:rsid w:val="00F86BA0"/>
    <w:rsid w:val="00F87974"/>
    <w:rsid w:val="00F87A33"/>
    <w:rsid w:val="00F87B29"/>
    <w:rsid w:val="00F900B6"/>
    <w:rsid w:val="00F90DEB"/>
    <w:rsid w:val="00F9212D"/>
    <w:rsid w:val="00F9503C"/>
    <w:rsid w:val="00F965DA"/>
    <w:rsid w:val="00F97A6D"/>
    <w:rsid w:val="00FA1B75"/>
    <w:rsid w:val="00FA1F57"/>
    <w:rsid w:val="00FA350F"/>
    <w:rsid w:val="00FA3F3E"/>
    <w:rsid w:val="00FA406A"/>
    <w:rsid w:val="00FA4ADF"/>
    <w:rsid w:val="00FA4FD5"/>
    <w:rsid w:val="00FA7DF1"/>
    <w:rsid w:val="00FB0A97"/>
    <w:rsid w:val="00FB10C0"/>
    <w:rsid w:val="00FB11AF"/>
    <w:rsid w:val="00FB503A"/>
    <w:rsid w:val="00FB516C"/>
    <w:rsid w:val="00FB5A63"/>
    <w:rsid w:val="00FC0C46"/>
    <w:rsid w:val="00FC303E"/>
    <w:rsid w:val="00FC3CB2"/>
    <w:rsid w:val="00FC4226"/>
    <w:rsid w:val="00FC6491"/>
    <w:rsid w:val="00FC6917"/>
    <w:rsid w:val="00FC6C83"/>
    <w:rsid w:val="00FC7DAA"/>
    <w:rsid w:val="00FD0236"/>
    <w:rsid w:val="00FD1059"/>
    <w:rsid w:val="00FD18F4"/>
    <w:rsid w:val="00FD2F67"/>
    <w:rsid w:val="00FD4A68"/>
    <w:rsid w:val="00FD54DB"/>
    <w:rsid w:val="00FD5A0F"/>
    <w:rsid w:val="00FD5B13"/>
    <w:rsid w:val="00FD619F"/>
    <w:rsid w:val="00FD654C"/>
    <w:rsid w:val="00FD7DFA"/>
    <w:rsid w:val="00FD7E16"/>
    <w:rsid w:val="00FE233F"/>
    <w:rsid w:val="00FE3728"/>
    <w:rsid w:val="00FE4F56"/>
    <w:rsid w:val="00FE66E2"/>
    <w:rsid w:val="00FE79CD"/>
    <w:rsid w:val="00FF0B53"/>
    <w:rsid w:val="00FF0B77"/>
    <w:rsid w:val="00FF2676"/>
    <w:rsid w:val="00FF37BE"/>
    <w:rsid w:val="00FF60D7"/>
    <w:rsid w:val="010B5592"/>
    <w:rsid w:val="01290F7E"/>
    <w:rsid w:val="015D1E09"/>
    <w:rsid w:val="01774086"/>
    <w:rsid w:val="018D1931"/>
    <w:rsid w:val="01BC7302"/>
    <w:rsid w:val="01C524FC"/>
    <w:rsid w:val="01E4322D"/>
    <w:rsid w:val="01F01BD2"/>
    <w:rsid w:val="02135A23"/>
    <w:rsid w:val="02146517"/>
    <w:rsid w:val="0226299B"/>
    <w:rsid w:val="022C3670"/>
    <w:rsid w:val="022C686B"/>
    <w:rsid w:val="025C30E2"/>
    <w:rsid w:val="02630935"/>
    <w:rsid w:val="02697903"/>
    <w:rsid w:val="026B60B8"/>
    <w:rsid w:val="026D3223"/>
    <w:rsid w:val="027F2F56"/>
    <w:rsid w:val="02931E56"/>
    <w:rsid w:val="02974045"/>
    <w:rsid w:val="0298594A"/>
    <w:rsid w:val="02A46519"/>
    <w:rsid w:val="02BF1515"/>
    <w:rsid w:val="02CC7201"/>
    <w:rsid w:val="02F96569"/>
    <w:rsid w:val="02FD7F21"/>
    <w:rsid w:val="0330604B"/>
    <w:rsid w:val="033C0E47"/>
    <w:rsid w:val="03407427"/>
    <w:rsid w:val="03451AAA"/>
    <w:rsid w:val="03451FBF"/>
    <w:rsid w:val="034C1790"/>
    <w:rsid w:val="035F783F"/>
    <w:rsid w:val="036964FC"/>
    <w:rsid w:val="038D09F0"/>
    <w:rsid w:val="038E07EA"/>
    <w:rsid w:val="03A8129D"/>
    <w:rsid w:val="03B20EA7"/>
    <w:rsid w:val="03B81945"/>
    <w:rsid w:val="03C75EE0"/>
    <w:rsid w:val="03D8291E"/>
    <w:rsid w:val="03EA7B21"/>
    <w:rsid w:val="03EC1FC7"/>
    <w:rsid w:val="04015589"/>
    <w:rsid w:val="04155920"/>
    <w:rsid w:val="04385083"/>
    <w:rsid w:val="043E429C"/>
    <w:rsid w:val="04536D05"/>
    <w:rsid w:val="04554A98"/>
    <w:rsid w:val="048E56D2"/>
    <w:rsid w:val="04B97507"/>
    <w:rsid w:val="04D46F81"/>
    <w:rsid w:val="050A2669"/>
    <w:rsid w:val="0516368E"/>
    <w:rsid w:val="05410997"/>
    <w:rsid w:val="0545480C"/>
    <w:rsid w:val="05465FAD"/>
    <w:rsid w:val="054A3C8A"/>
    <w:rsid w:val="054B5371"/>
    <w:rsid w:val="05524489"/>
    <w:rsid w:val="057B0CF5"/>
    <w:rsid w:val="05A171F0"/>
    <w:rsid w:val="05B91908"/>
    <w:rsid w:val="05D9472B"/>
    <w:rsid w:val="05E11832"/>
    <w:rsid w:val="05E9316F"/>
    <w:rsid w:val="05F83EAE"/>
    <w:rsid w:val="060A0903"/>
    <w:rsid w:val="062C13F4"/>
    <w:rsid w:val="063E7D85"/>
    <w:rsid w:val="06436049"/>
    <w:rsid w:val="06532730"/>
    <w:rsid w:val="067F1777"/>
    <w:rsid w:val="06A236BC"/>
    <w:rsid w:val="06B351D8"/>
    <w:rsid w:val="06C2658B"/>
    <w:rsid w:val="06FD53CC"/>
    <w:rsid w:val="0706063A"/>
    <w:rsid w:val="071255C4"/>
    <w:rsid w:val="07184BB5"/>
    <w:rsid w:val="07293586"/>
    <w:rsid w:val="07295285"/>
    <w:rsid w:val="07465865"/>
    <w:rsid w:val="0753364C"/>
    <w:rsid w:val="07636392"/>
    <w:rsid w:val="076F7ED3"/>
    <w:rsid w:val="07770C56"/>
    <w:rsid w:val="07966D78"/>
    <w:rsid w:val="07BD4DE9"/>
    <w:rsid w:val="07C84A8A"/>
    <w:rsid w:val="07EA02AB"/>
    <w:rsid w:val="07F804B6"/>
    <w:rsid w:val="07FC0F06"/>
    <w:rsid w:val="08234384"/>
    <w:rsid w:val="084120E9"/>
    <w:rsid w:val="084A55EF"/>
    <w:rsid w:val="084F5B93"/>
    <w:rsid w:val="08501528"/>
    <w:rsid w:val="08555851"/>
    <w:rsid w:val="08571D21"/>
    <w:rsid w:val="08616C16"/>
    <w:rsid w:val="0865674A"/>
    <w:rsid w:val="086E1AA3"/>
    <w:rsid w:val="08780E2D"/>
    <w:rsid w:val="087B5F6E"/>
    <w:rsid w:val="08836BD0"/>
    <w:rsid w:val="08865476"/>
    <w:rsid w:val="08900CB2"/>
    <w:rsid w:val="089B6044"/>
    <w:rsid w:val="08A04A65"/>
    <w:rsid w:val="08A36065"/>
    <w:rsid w:val="08B628E2"/>
    <w:rsid w:val="08BF68A7"/>
    <w:rsid w:val="08C12CA0"/>
    <w:rsid w:val="08DF2DD9"/>
    <w:rsid w:val="08F10DED"/>
    <w:rsid w:val="090E6DE2"/>
    <w:rsid w:val="092217DD"/>
    <w:rsid w:val="093A7294"/>
    <w:rsid w:val="093F045B"/>
    <w:rsid w:val="095F13EB"/>
    <w:rsid w:val="096C57E5"/>
    <w:rsid w:val="097314F5"/>
    <w:rsid w:val="0984111B"/>
    <w:rsid w:val="098D41AA"/>
    <w:rsid w:val="098D51F4"/>
    <w:rsid w:val="099472E7"/>
    <w:rsid w:val="09D058E9"/>
    <w:rsid w:val="09F764BA"/>
    <w:rsid w:val="0A263993"/>
    <w:rsid w:val="0A2D3AC2"/>
    <w:rsid w:val="0A4C7BC2"/>
    <w:rsid w:val="0A5C592B"/>
    <w:rsid w:val="0A8E01DA"/>
    <w:rsid w:val="0A907A23"/>
    <w:rsid w:val="0A9B6453"/>
    <w:rsid w:val="0AA755DF"/>
    <w:rsid w:val="0ACC239D"/>
    <w:rsid w:val="0AFF46F4"/>
    <w:rsid w:val="0B102C3E"/>
    <w:rsid w:val="0B120D44"/>
    <w:rsid w:val="0B1B7A70"/>
    <w:rsid w:val="0B311469"/>
    <w:rsid w:val="0B3717DF"/>
    <w:rsid w:val="0B3C0E9E"/>
    <w:rsid w:val="0B6158EF"/>
    <w:rsid w:val="0B6269AF"/>
    <w:rsid w:val="0B753148"/>
    <w:rsid w:val="0B9859DC"/>
    <w:rsid w:val="0B9F2076"/>
    <w:rsid w:val="0BA756D6"/>
    <w:rsid w:val="0BAC19CD"/>
    <w:rsid w:val="0BAF5D3B"/>
    <w:rsid w:val="0BCA3494"/>
    <w:rsid w:val="0BD27BF6"/>
    <w:rsid w:val="0BF4069F"/>
    <w:rsid w:val="0C036D14"/>
    <w:rsid w:val="0C090F0D"/>
    <w:rsid w:val="0C381612"/>
    <w:rsid w:val="0C3B3C7D"/>
    <w:rsid w:val="0C5E697A"/>
    <w:rsid w:val="0C6C350D"/>
    <w:rsid w:val="0C803B53"/>
    <w:rsid w:val="0CAB2EAE"/>
    <w:rsid w:val="0CBD7923"/>
    <w:rsid w:val="0CCE0D62"/>
    <w:rsid w:val="0CE642FD"/>
    <w:rsid w:val="0CF32EA4"/>
    <w:rsid w:val="0D170BD8"/>
    <w:rsid w:val="0D1D3CF3"/>
    <w:rsid w:val="0D2F50B7"/>
    <w:rsid w:val="0D305579"/>
    <w:rsid w:val="0D417786"/>
    <w:rsid w:val="0D621C7D"/>
    <w:rsid w:val="0D6F03F4"/>
    <w:rsid w:val="0D73181A"/>
    <w:rsid w:val="0D771A6D"/>
    <w:rsid w:val="0DA6345C"/>
    <w:rsid w:val="0DA6583B"/>
    <w:rsid w:val="0DB77A48"/>
    <w:rsid w:val="0DBF7CD2"/>
    <w:rsid w:val="0DCC11B6"/>
    <w:rsid w:val="0DDC125D"/>
    <w:rsid w:val="0DF50570"/>
    <w:rsid w:val="0DF76096"/>
    <w:rsid w:val="0DF94F7A"/>
    <w:rsid w:val="0E466D50"/>
    <w:rsid w:val="0E5D6EA0"/>
    <w:rsid w:val="0E5F06F5"/>
    <w:rsid w:val="0E5F13EE"/>
    <w:rsid w:val="0E702812"/>
    <w:rsid w:val="0E73034D"/>
    <w:rsid w:val="0E8518F4"/>
    <w:rsid w:val="0E8611C8"/>
    <w:rsid w:val="0E8E507E"/>
    <w:rsid w:val="0E8E7060"/>
    <w:rsid w:val="0E96629E"/>
    <w:rsid w:val="0EB35D6C"/>
    <w:rsid w:val="0EB42DE4"/>
    <w:rsid w:val="0F13775A"/>
    <w:rsid w:val="0F195E86"/>
    <w:rsid w:val="0F1A5C85"/>
    <w:rsid w:val="0F284887"/>
    <w:rsid w:val="0F5F45FE"/>
    <w:rsid w:val="0F80665A"/>
    <w:rsid w:val="0F9A112B"/>
    <w:rsid w:val="0F9C1A87"/>
    <w:rsid w:val="0F9E00F3"/>
    <w:rsid w:val="0FB54AE7"/>
    <w:rsid w:val="0FBC0EA0"/>
    <w:rsid w:val="0FEA1D09"/>
    <w:rsid w:val="0FF22CB1"/>
    <w:rsid w:val="0FF24D67"/>
    <w:rsid w:val="0FF52AA9"/>
    <w:rsid w:val="100A5921"/>
    <w:rsid w:val="10227E6D"/>
    <w:rsid w:val="1039189F"/>
    <w:rsid w:val="104227D1"/>
    <w:rsid w:val="104D5BF8"/>
    <w:rsid w:val="10546225"/>
    <w:rsid w:val="10645539"/>
    <w:rsid w:val="106D2F64"/>
    <w:rsid w:val="10726ACE"/>
    <w:rsid w:val="107A4013"/>
    <w:rsid w:val="10880C6B"/>
    <w:rsid w:val="10987EED"/>
    <w:rsid w:val="109B5445"/>
    <w:rsid w:val="10B63710"/>
    <w:rsid w:val="10C20F6D"/>
    <w:rsid w:val="10D345F8"/>
    <w:rsid w:val="10D76532"/>
    <w:rsid w:val="10E85D69"/>
    <w:rsid w:val="10F10820"/>
    <w:rsid w:val="11071A15"/>
    <w:rsid w:val="11197F75"/>
    <w:rsid w:val="111C2F7A"/>
    <w:rsid w:val="115D4462"/>
    <w:rsid w:val="11617743"/>
    <w:rsid w:val="11665CA1"/>
    <w:rsid w:val="1169441B"/>
    <w:rsid w:val="11777D88"/>
    <w:rsid w:val="118D3C2C"/>
    <w:rsid w:val="11967974"/>
    <w:rsid w:val="11C10E95"/>
    <w:rsid w:val="11CD3243"/>
    <w:rsid w:val="11CE0C2B"/>
    <w:rsid w:val="11DA4A8E"/>
    <w:rsid w:val="1209283C"/>
    <w:rsid w:val="12107A9B"/>
    <w:rsid w:val="1233302F"/>
    <w:rsid w:val="123959CD"/>
    <w:rsid w:val="12421618"/>
    <w:rsid w:val="124B4C03"/>
    <w:rsid w:val="12802AFE"/>
    <w:rsid w:val="12810BEA"/>
    <w:rsid w:val="128402E9"/>
    <w:rsid w:val="12840907"/>
    <w:rsid w:val="12AB5A1E"/>
    <w:rsid w:val="12B479E8"/>
    <w:rsid w:val="12B51DEE"/>
    <w:rsid w:val="12C31FBB"/>
    <w:rsid w:val="12C36EED"/>
    <w:rsid w:val="12D726B4"/>
    <w:rsid w:val="12DF6902"/>
    <w:rsid w:val="12FE3A23"/>
    <w:rsid w:val="131B071F"/>
    <w:rsid w:val="132E255A"/>
    <w:rsid w:val="13300448"/>
    <w:rsid w:val="133A4152"/>
    <w:rsid w:val="13564F52"/>
    <w:rsid w:val="137E6912"/>
    <w:rsid w:val="138F10FE"/>
    <w:rsid w:val="13951726"/>
    <w:rsid w:val="139A199E"/>
    <w:rsid w:val="13AB57BF"/>
    <w:rsid w:val="140D629E"/>
    <w:rsid w:val="14114DB3"/>
    <w:rsid w:val="14227EFD"/>
    <w:rsid w:val="142D3953"/>
    <w:rsid w:val="1431485D"/>
    <w:rsid w:val="14377928"/>
    <w:rsid w:val="14396509"/>
    <w:rsid w:val="14414AE5"/>
    <w:rsid w:val="14524FCF"/>
    <w:rsid w:val="14726477"/>
    <w:rsid w:val="14CD2209"/>
    <w:rsid w:val="14DD2C3C"/>
    <w:rsid w:val="14EC25CE"/>
    <w:rsid w:val="14F90946"/>
    <w:rsid w:val="14FA505E"/>
    <w:rsid w:val="14FC201D"/>
    <w:rsid w:val="151D3D8F"/>
    <w:rsid w:val="1528122B"/>
    <w:rsid w:val="152F762B"/>
    <w:rsid w:val="154F0566"/>
    <w:rsid w:val="156B7C38"/>
    <w:rsid w:val="157D50D3"/>
    <w:rsid w:val="15A120AC"/>
    <w:rsid w:val="15BF57BD"/>
    <w:rsid w:val="15E63943"/>
    <w:rsid w:val="15EC6D4C"/>
    <w:rsid w:val="15FA2BC8"/>
    <w:rsid w:val="160413A2"/>
    <w:rsid w:val="16075FF2"/>
    <w:rsid w:val="16087E1D"/>
    <w:rsid w:val="160F2880"/>
    <w:rsid w:val="162E0FED"/>
    <w:rsid w:val="16461969"/>
    <w:rsid w:val="16535725"/>
    <w:rsid w:val="16715E73"/>
    <w:rsid w:val="1677009D"/>
    <w:rsid w:val="16796819"/>
    <w:rsid w:val="16821794"/>
    <w:rsid w:val="169775BE"/>
    <w:rsid w:val="16F4453F"/>
    <w:rsid w:val="16FE0813"/>
    <w:rsid w:val="17254FE0"/>
    <w:rsid w:val="173739A8"/>
    <w:rsid w:val="17384862"/>
    <w:rsid w:val="174E133D"/>
    <w:rsid w:val="174F1860"/>
    <w:rsid w:val="1767603B"/>
    <w:rsid w:val="17701D14"/>
    <w:rsid w:val="17735226"/>
    <w:rsid w:val="17740758"/>
    <w:rsid w:val="1784744F"/>
    <w:rsid w:val="1788427F"/>
    <w:rsid w:val="17AD77C6"/>
    <w:rsid w:val="17B7101C"/>
    <w:rsid w:val="17CE6D57"/>
    <w:rsid w:val="17E4768B"/>
    <w:rsid w:val="184522D3"/>
    <w:rsid w:val="18463EA2"/>
    <w:rsid w:val="184B5E62"/>
    <w:rsid w:val="18514FE8"/>
    <w:rsid w:val="18535349"/>
    <w:rsid w:val="186755A9"/>
    <w:rsid w:val="187C3D68"/>
    <w:rsid w:val="188552C2"/>
    <w:rsid w:val="189F624C"/>
    <w:rsid w:val="18BC4F27"/>
    <w:rsid w:val="18C02B8E"/>
    <w:rsid w:val="18F17998"/>
    <w:rsid w:val="18FE38BD"/>
    <w:rsid w:val="190F3767"/>
    <w:rsid w:val="19566367"/>
    <w:rsid w:val="1957088A"/>
    <w:rsid w:val="195775C3"/>
    <w:rsid w:val="1959481C"/>
    <w:rsid w:val="1966229F"/>
    <w:rsid w:val="196A3BC0"/>
    <w:rsid w:val="197E7D74"/>
    <w:rsid w:val="199D6EEE"/>
    <w:rsid w:val="19B33439"/>
    <w:rsid w:val="19E260AE"/>
    <w:rsid w:val="19F03148"/>
    <w:rsid w:val="1A1C66C0"/>
    <w:rsid w:val="1A3E7654"/>
    <w:rsid w:val="1A42393B"/>
    <w:rsid w:val="1AA2738A"/>
    <w:rsid w:val="1AAD45DE"/>
    <w:rsid w:val="1AB37F43"/>
    <w:rsid w:val="1AD104D1"/>
    <w:rsid w:val="1ADD0B94"/>
    <w:rsid w:val="1AE031EF"/>
    <w:rsid w:val="1AF40C41"/>
    <w:rsid w:val="1B046F80"/>
    <w:rsid w:val="1B0C010F"/>
    <w:rsid w:val="1B2606DC"/>
    <w:rsid w:val="1B2908B7"/>
    <w:rsid w:val="1B2D4122"/>
    <w:rsid w:val="1B3267B5"/>
    <w:rsid w:val="1B40161D"/>
    <w:rsid w:val="1B441859"/>
    <w:rsid w:val="1B5C4117"/>
    <w:rsid w:val="1B6606B1"/>
    <w:rsid w:val="1B6B0E0E"/>
    <w:rsid w:val="1B6D18C5"/>
    <w:rsid w:val="1B70057D"/>
    <w:rsid w:val="1B705BA4"/>
    <w:rsid w:val="1B78507E"/>
    <w:rsid w:val="1B9D672E"/>
    <w:rsid w:val="1BA50634"/>
    <w:rsid w:val="1BB92BDD"/>
    <w:rsid w:val="1BE40E95"/>
    <w:rsid w:val="1BE467BC"/>
    <w:rsid w:val="1C0A168B"/>
    <w:rsid w:val="1C107FCA"/>
    <w:rsid w:val="1C18223D"/>
    <w:rsid w:val="1C257840"/>
    <w:rsid w:val="1C301F7A"/>
    <w:rsid w:val="1C48460A"/>
    <w:rsid w:val="1C4D2EEC"/>
    <w:rsid w:val="1C4F16D7"/>
    <w:rsid w:val="1C597F1C"/>
    <w:rsid w:val="1C5E7925"/>
    <w:rsid w:val="1C927E45"/>
    <w:rsid w:val="1C937D3F"/>
    <w:rsid w:val="1C99656B"/>
    <w:rsid w:val="1CA66DBA"/>
    <w:rsid w:val="1CAC1AE1"/>
    <w:rsid w:val="1CC23D13"/>
    <w:rsid w:val="1CFD070F"/>
    <w:rsid w:val="1D0205B4"/>
    <w:rsid w:val="1D283A33"/>
    <w:rsid w:val="1D5B27DB"/>
    <w:rsid w:val="1D5F6196"/>
    <w:rsid w:val="1D61177E"/>
    <w:rsid w:val="1D6132A5"/>
    <w:rsid w:val="1D733EAC"/>
    <w:rsid w:val="1D79795B"/>
    <w:rsid w:val="1D86563F"/>
    <w:rsid w:val="1D8E56D5"/>
    <w:rsid w:val="1D90796E"/>
    <w:rsid w:val="1DA06B03"/>
    <w:rsid w:val="1DB16262"/>
    <w:rsid w:val="1DCC1D71"/>
    <w:rsid w:val="1DEB01B8"/>
    <w:rsid w:val="1DED6B6E"/>
    <w:rsid w:val="1DFD14A7"/>
    <w:rsid w:val="1E2D1C4F"/>
    <w:rsid w:val="1E2F68D5"/>
    <w:rsid w:val="1E322FD9"/>
    <w:rsid w:val="1E370533"/>
    <w:rsid w:val="1E621476"/>
    <w:rsid w:val="1E6F5576"/>
    <w:rsid w:val="1E747D2D"/>
    <w:rsid w:val="1E7A43DA"/>
    <w:rsid w:val="1E7D6144"/>
    <w:rsid w:val="1E9A6CF6"/>
    <w:rsid w:val="1EA81514"/>
    <w:rsid w:val="1EAE454F"/>
    <w:rsid w:val="1ED06A9D"/>
    <w:rsid w:val="1EE058AC"/>
    <w:rsid w:val="1EE124F6"/>
    <w:rsid w:val="1F0F6F8A"/>
    <w:rsid w:val="1F1E09AB"/>
    <w:rsid w:val="1F2D0591"/>
    <w:rsid w:val="1F881CE0"/>
    <w:rsid w:val="1F933643"/>
    <w:rsid w:val="1F9D16C9"/>
    <w:rsid w:val="1F9D22E5"/>
    <w:rsid w:val="1FA04270"/>
    <w:rsid w:val="1FA105E7"/>
    <w:rsid w:val="1FBC7C68"/>
    <w:rsid w:val="1FC35DD8"/>
    <w:rsid w:val="1FC87893"/>
    <w:rsid w:val="1FCD3B59"/>
    <w:rsid w:val="1FD26A4F"/>
    <w:rsid w:val="1FD67D27"/>
    <w:rsid w:val="1FE135CF"/>
    <w:rsid w:val="1FE7539E"/>
    <w:rsid w:val="1FEF3071"/>
    <w:rsid w:val="1FEF4E1F"/>
    <w:rsid w:val="1FFE0318"/>
    <w:rsid w:val="1FFE2B85"/>
    <w:rsid w:val="200A7EAB"/>
    <w:rsid w:val="20177206"/>
    <w:rsid w:val="2019783D"/>
    <w:rsid w:val="20221DF2"/>
    <w:rsid w:val="204727BE"/>
    <w:rsid w:val="20573441"/>
    <w:rsid w:val="20671BE0"/>
    <w:rsid w:val="207455FB"/>
    <w:rsid w:val="207558D8"/>
    <w:rsid w:val="209029D8"/>
    <w:rsid w:val="20963CB8"/>
    <w:rsid w:val="209E65E7"/>
    <w:rsid w:val="20A81A1B"/>
    <w:rsid w:val="20A84338"/>
    <w:rsid w:val="20B07FB6"/>
    <w:rsid w:val="20B646FB"/>
    <w:rsid w:val="20CA3197"/>
    <w:rsid w:val="20D612B5"/>
    <w:rsid w:val="211455B2"/>
    <w:rsid w:val="212E7BF8"/>
    <w:rsid w:val="213B2595"/>
    <w:rsid w:val="213B74B1"/>
    <w:rsid w:val="215417A8"/>
    <w:rsid w:val="215A2310"/>
    <w:rsid w:val="21603961"/>
    <w:rsid w:val="21702111"/>
    <w:rsid w:val="218A1756"/>
    <w:rsid w:val="21B416CC"/>
    <w:rsid w:val="21D02A2F"/>
    <w:rsid w:val="21DE318A"/>
    <w:rsid w:val="21E25ACC"/>
    <w:rsid w:val="21EA1E51"/>
    <w:rsid w:val="21EC56D6"/>
    <w:rsid w:val="21EF5B80"/>
    <w:rsid w:val="21F01575"/>
    <w:rsid w:val="21F02935"/>
    <w:rsid w:val="21FC6962"/>
    <w:rsid w:val="22235683"/>
    <w:rsid w:val="22576990"/>
    <w:rsid w:val="22600256"/>
    <w:rsid w:val="22645EEA"/>
    <w:rsid w:val="22680EB9"/>
    <w:rsid w:val="2272773F"/>
    <w:rsid w:val="22833F45"/>
    <w:rsid w:val="228850B7"/>
    <w:rsid w:val="22CF0F38"/>
    <w:rsid w:val="22D510D2"/>
    <w:rsid w:val="22F47480"/>
    <w:rsid w:val="22F56643"/>
    <w:rsid w:val="23246089"/>
    <w:rsid w:val="233B0E20"/>
    <w:rsid w:val="233E1464"/>
    <w:rsid w:val="235D6544"/>
    <w:rsid w:val="23617754"/>
    <w:rsid w:val="236E7200"/>
    <w:rsid w:val="23985FD7"/>
    <w:rsid w:val="23CF0DBB"/>
    <w:rsid w:val="23DE1C48"/>
    <w:rsid w:val="23F722FE"/>
    <w:rsid w:val="23FF7385"/>
    <w:rsid w:val="240210CD"/>
    <w:rsid w:val="24747FE9"/>
    <w:rsid w:val="247B0214"/>
    <w:rsid w:val="247E3C8E"/>
    <w:rsid w:val="247E76DD"/>
    <w:rsid w:val="248B33E5"/>
    <w:rsid w:val="248D4EF2"/>
    <w:rsid w:val="24B13C82"/>
    <w:rsid w:val="24BE3012"/>
    <w:rsid w:val="24BF09F7"/>
    <w:rsid w:val="24C74FB8"/>
    <w:rsid w:val="24D26670"/>
    <w:rsid w:val="24D66E91"/>
    <w:rsid w:val="24DE36B4"/>
    <w:rsid w:val="24FC1FBC"/>
    <w:rsid w:val="2503311B"/>
    <w:rsid w:val="25093533"/>
    <w:rsid w:val="25115342"/>
    <w:rsid w:val="251605A0"/>
    <w:rsid w:val="251C178F"/>
    <w:rsid w:val="252D53FE"/>
    <w:rsid w:val="25351150"/>
    <w:rsid w:val="25383D5F"/>
    <w:rsid w:val="25537BFE"/>
    <w:rsid w:val="256B33C8"/>
    <w:rsid w:val="25A920F9"/>
    <w:rsid w:val="25B5179A"/>
    <w:rsid w:val="25CB19DA"/>
    <w:rsid w:val="25E76599"/>
    <w:rsid w:val="25EC2D81"/>
    <w:rsid w:val="26065BCC"/>
    <w:rsid w:val="260809E9"/>
    <w:rsid w:val="2609582F"/>
    <w:rsid w:val="260C6C6F"/>
    <w:rsid w:val="2617556C"/>
    <w:rsid w:val="26261778"/>
    <w:rsid w:val="263F7ABD"/>
    <w:rsid w:val="2654618F"/>
    <w:rsid w:val="266E0A04"/>
    <w:rsid w:val="26757AAC"/>
    <w:rsid w:val="269953E2"/>
    <w:rsid w:val="269D7210"/>
    <w:rsid w:val="26C2534E"/>
    <w:rsid w:val="26D53E6B"/>
    <w:rsid w:val="26D61AA0"/>
    <w:rsid w:val="26EF7DFB"/>
    <w:rsid w:val="26FC6703"/>
    <w:rsid w:val="273E40DB"/>
    <w:rsid w:val="2750196A"/>
    <w:rsid w:val="27633147"/>
    <w:rsid w:val="277057A2"/>
    <w:rsid w:val="27736336"/>
    <w:rsid w:val="27796570"/>
    <w:rsid w:val="279369D8"/>
    <w:rsid w:val="27BA2BD8"/>
    <w:rsid w:val="27C32683"/>
    <w:rsid w:val="27FF0087"/>
    <w:rsid w:val="28013942"/>
    <w:rsid w:val="282633A8"/>
    <w:rsid w:val="283933A9"/>
    <w:rsid w:val="283C1372"/>
    <w:rsid w:val="284E43EB"/>
    <w:rsid w:val="28694363"/>
    <w:rsid w:val="28706AEF"/>
    <w:rsid w:val="28C52FE2"/>
    <w:rsid w:val="28D1472C"/>
    <w:rsid w:val="28F2659B"/>
    <w:rsid w:val="29133B4A"/>
    <w:rsid w:val="29206EB8"/>
    <w:rsid w:val="29332221"/>
    <w:rsid w:val="2939144B"/>
    <w:rsid w:val="2947688C"/>
    <w:rsid w:val="294978E1"/>
    <w:rsid w:val="29586F2B"/>
    <w:rsid w:val="29595666"/>
    <w:rsid w:val="295A732C"/>
    <w:rsid w:val="295B3526"/>
    <w:rsid w:val="29622D86"/>
    <w:rsid w:val="29657F00"/>
    <w:rsid w:val="29662D23"/>
    <w:rsid w:val="29874881"/>
    <w:rsid w:val="29934E41"/>
    <w:rsid w:val="29AA63FC"/>
    <w:rsid w:val="29DA4A06"/>
    <w:rsid w:val="29E325E0"/>
    <w:rsid w:val="2A027C1D"/>
    <w:rsid w:val="2A1A13E7"/>
    <w:rsid w:val="2A266AD9"/>
    <w:rsid w:val="2A377BD6"/>
    <w:rsid w:val="2A3A0527"/>
    <w:rsid w:val="2A430CAA"/>
    <w:rsid w:val="2A452503"/>
    <w:rsid w:val="2A4915D0"/>
    <w:rsid w:val="2A583058"/>
    <w:rsid w:val="2A590497"/>
    <w:rsid w:val="2A5A7BFB"/>
    <w:rsid w:val="2A5E4242"/>
    <w:rsid w:val="2A6102E1"/>
    <w:rsid w:val="2A7E3970"/>
    <w:rsid w:val="2A936B8A"/>
    <w:rsid w:val="2A9C3E4A"/>
    <w:rsid w:val="2AAA5685"/>
    <w:rsid w:val="2ABB29D8"/>
    <w:rsid w:val="2AFF1807"/>
    <w:rsid w:val="2B010C4A"/>
    <w:rsid w:val="2B0A6FB1"/>
    <w:rsid w:val="2B0D4CF3"/>
    <w:rsid w:val="2B163DB4"/>
    <w:rsid w:val="2B3C1135"/>
    <w:rsid w:val="2B7C09C7"/>
    <w:rsid w:val="2B8878B7"/>
    <w:rsid w:val="2B8A3EC7"/>
    <w:rsid w:val="2B940F71"/>
    <w:rsid w:val="2BA016C4"/>
    <w:rsid w:val="2BA936A8"/>
    <w:rsid w:val="2BB71400"/>
    <w:rsid w:val="2BBC5615"/>
    <w:rsid w:val="2BCF6676"/>
    <w:rsid w:val="2BF35C97"/>
    <w:rsid w:val="2C2E7758"/>
    <w:rsid w:val="2C315A5A"/>
    <w:rsid w:val="2C3E69A1"/>
    <w:rsid w:val="2C4B1C25"/>
    <w:rsid w:val="2C4B581C"/>
    <w:rsid w:val="2C4F1944"/>
    <w:rsid w:val="2C55425C"/>
    <w:rsid w:val="2C5F2E20"/>
    <w:rsid w:val="2CBA6B82"/>
    <w:rsid w:val="2CBF1EDA"/>
    <w:rsid w:val="2CC13E88"/>
    <w:rsid w:val="2CCA30ED"/>
    <w:rsid w:val="2CE25629"/>
    <w:rsid w:val="2CF241A1"/>
    <w:rsid w:val="2CFC6DCE"/>
    <w:rsid w:val="2D012636"/>
    <w:rsid w:val="2D4A7B39"/>
    <w:rsid w:val="2D4B2B56"/>
    <w:rsid w:val="2D8172D3"/>
    <w:rsid w:val="2D9E56F5"/>
    <w:rsid w:val="2DED155B"/>
    <w:rsid w:val="2E007139"/>
    <w:rsid w:val="2E0979F4"/>
    <w:rsid w:val="2E156399"/>
    <w:rsid w:val="2E255193"/>
    <w:rsid w:val="2E3C1B78"/>
    <w:rsid w:val="2E5B2EA9"/>
    <w:rsid w:val="2E5F186E"/>
    <w:rsid w:val="2E667F96"/>
    <w:rsid w:val="2E8226AB"/>
    <w:rsid w:val="2E8D7F49"/>
    <w:rsid w:val="2EA65243"/>
    <w:rsid w:val="2F083700"/>
    <w:rsid w:val="2F245F88"/>
    <w:rsid w:val="2F4C0517"/>
    <w:rsid w:val="2F5729E1"/>
    <w:rsid w:val="2F662C24"/>
    <w:rsid w:val="2F8F5CD7"/>
    <w:rsid w:val="2F9C22C6"/>
    <w:rsid w:val="2FA3568B"/>
    <w:rsid w:val="2FAE0FC6"/>
    <w:rsid w:val="2FC00586"/>
    <w:rsid w:val="2FC6290B"/>
    <w:rsid w:val="2FD065E6"/>
    <w:rsid w:val="2FD96870"/>
    <w:rsid w:val="2FEF49C8"/>
    <w:rsid w:val="30021656"/>
    <w:rsid w:val="30052A29"/>
    <w:rsid w:val="3041296F"/>
    <w:rsid w:val="30547245"/>
    <w:rsid w:val="30580BC9"/>
    <w:rsid w:val="306929CC"/>
    <w:rsid w:val="3095556F"/>
    <w:rsid w:val="30A6777C"/>
    <w:rsid w:val="30AA5742"/>
    <w:rsid w:val="30AC6860"/>
    <w:rsid w:val="30B117DF"/>
    <w:rsid w:val="30B654E5"/>
    <w:rsid w:val="30C37274"/>
    <w:rsid w:val="30C61666"/>
    <w:rsid w:val="30E43759"/>
    <w:rsid w:val="30FD39D4"/>
    <w:rsid w:val="31170389"/>
    <w:rsid w:val="311E2ED7"/>
    <w:rsid w:val="315619EE"/>
    <w:rsid w:val="315947EF"/>
    <w:rsid w:val="315C449C"/>
    <w:rsid w:val="31821B16"/>
    <w:rsid w:val="319121DA"/>
    <w:rsid w:val="31991D77"/>
    <w:rsid w:val="319C46DB"/>
    <w:rsid w:val="31B82709"/>
    <w:rsid w:val="31C165D8"/>
    <w:rsid w:val="31CB27AC"/>
    <w:rsid w:val="31CB34FB"/>
    <w:rsid w:val="31CF4AB1"/>
    <w:rsid w:val="31D05482"/>
    <w:rsid w:val="31DD5420"/>
    <w:rsid w:val="31F343E6"/>
    <w:rsid w:val="31F612F4"/>
    <w:rsid w:val="31FD007E"/>
    <w:rsid w:val="31FE46EF"/>
    <w:rsid w:val="31FE65A8"/>
    <w:rsid w:val="321772A1"/>
    <w:rsid w:val="321D40D5"/>
    <w:rsid w:val="32251378"/>
    <w:rsid w:val="323E301A"/>
    <w:rsid w:val="32400B34"/>
    <w:rsid w:val="32485E37"/>
    <w:rsid w:val="324E146B"/>
    <w:rsid w:val="32731853"/>
    <w:rsid w:val="32792E2E"/>
    <w:rsid w:val="329E6876"/>
    <w:rsid w:val="32A80A7D"/>
    <w:rsid w:val="32CE0CBB"/>
    <w:rsid w:val="33122EA7"/>
    <w:rsid w:val="332C4A18"/>
    <w:rsid w:val="333015F2"/>
    <w:rsid w:val="334B6320"/>
    <w:rsid w:val="33511B85"/>
    <w:rsid w:val="3392406A"/>
    <w:rsid w:val="3392494A"/>
    <w:rsid w:val="33AD2FC4"/>
    <w:rsid w:val="33AD64C3"/>
    <w:rsid w:val="33C61EE3"/>
    <w:rsid w:val="33D934D4"/>
    <w:rsid w:val="33F6261A"/>
    <w:rsid w:val="33FA4BD0"/>
    <w:rsid w:val="33FE2F6A"/>
    <w:rsid w:val="340824FC"/>
    <w:rsid w:val="340E07E5"/>
    <w:rsid w:val="341B3FDD"/>
    <w:rsid w:val="34235BF7"/>
    <w:rsid w:val="34396275"/>
    <w:rsid w:val="348621A5"/>
    <w:rsid w:val="34B556B5"/>
    <w:rsid w:val="34D01CEF"/>
    <w:rsid w:val="34D20A5B"/>
    <w:rsid w:val="34D46CCE"/>
    <w:rsid w:val="34EF54F2"/>
    <w:rsid w:val="3513554F"/>
    <w:rsid w:val="351F18AB"/>
    <w:rsid w:val="354C784B"/>
    <w:rsid w:val="355A755C"/>
    <w:rsid w:val="355D6388"/>
    <w:rsid w:val="35695279"/>
    <w:rsid w:val="356D0868"/>
    <w:rsid w:val="358C5FA8"/>
    <w:rsid w:val="35917F75"/>
    <w:rsid w:val="35AD2F16"/>
    <w:rsid w:val="35AE0533"/>
    <w:rsid w:val="35C15DF1"/>
    <w:rsid w:val="35C30B9C"/>
    <w:rsid w:val="35D354F2"/>
    <w:rsid w:val="35D8162A"/>
    <w:rsid w:val="35E17369"/>
    <w:rsid w:val="35E37139"/>
    <w:rsid w:val="35F066FA"/>
    <w:rsid w:val="35F25212"/>
    <w:rsid w:val="36074A7F"/>
    <w:rsid w:val="36214A2E"/>
    <w:rsid w:val="36252EF1"/>
    <w:rsid w:val="36333195"/>
    <w:rsid w:val="36471C6F"/>
    <w:rsid w:val="365126FC"/>
    <w:rsid w:val="365732C7"/>
    <w:rsid w:val="36582B23"/>
    <w:rsid w:val="366C1CEE"/>
    <w:rsid w:val="367A7B72"/>
    <w:rsid w:val="3683427B"/>
    <w:rsid w:val="368B674D"/>
    <w:rsid w:val="36923549"/>
    <w:rsid w:val="369F0323"/>
    <w:rsid w:val="36A02F26"/>
    <w:rsid w:val="36B75FBF"/>
    <w:rsid w:val="36BB50CB"/>
    <w:rsid w:val="36BD0C45"/>
    <w:rsid w:val="36CC3958"/>
    <w:rsid w:val="36D732AC"/>
    <w:rsid w:val="36DD1A1E"/>
    <w:rsid w:val="36DF562B"/>
    <w:rsid w:val="36F86858"/>
    <w:rsid w:val="37103BA1"/>
    <w:rsid w:val="372E0CF4"/>
    <w:rsid w:val="37902F95"/>
    <w:rsid w:val="37963E29"/>
    <w:rsid w:val="37A71FAA"/>
    <w:rsid w:val="37C93D50"/>
    <w:rsid w:val="37E00298"/>
    <w:rsid w:val="382962D2"/>
    <w:rsid w:val="383107CC"/>
    <w:rsid w:val="3833314B"/>
    <w:rsid w:val="3837726B"/>
    <w:rsid w:val="38402264"/>
    <w:rsid w:val="3851621F"/>
    <w:rsid w:val="385B0E4C"/>
    <w:rsid w:val="385D671C"/>
    <w:rsid w:val="387E3538"/>
    <w:rsid w:val="388679AA"/>
    <w:rsid w:val="38881374"/>
    <w:rsid w:val="388A508E"/>
    <w:rsid w:val="38A722E3"/>
    <w:rsid w:val="38B302F9"/>
    <w:rsid w:val="38DA1581"/>
    <w:rsid w:val="38F12CD3"/>
    <w:rsid w:val="38F94775"/>
    <w:rsid w:val="39162FC5"/>
    <w:rsid w:val="391F00CC"/>
    <w:rsid w:val="392456E2"/>
    <w:rsid w:val="392971ED"/>
    <w:rsid w:val="39325651"/>
    <w:rsid w:val="39396CB4"/>
    <w:rsid w:val="39695A15"/>
    <w:rsid w:val="396B5912"/>
    <w:rsid w:val="397877DC"/>
    <w:rsid w:val="39916AF0"/>
    <w:rsid w:val="39A405AA"/>
    <w:rsid w:val="39B8678E"/>
    <w:rsid w:val="39C329C3"/>
    <w:rsid w:val="39C51C3E"/>
    <w:rsid w:val="39D42485"/>
    <w:rsid w:val="39DE3610"/>
    <w:rsid w:val="39F34670"/>
    <w:rsid w:val="39F53C19"/>
    <w:rsid w:val="3A23599A"/>
    <w:rsid w:val="3A415444"/>
    <w:rsid w:val="3A452C42"/>
    <w:rsid w:val="3A542E22"/>
    <w:rsid w:val="3A802DEC"/>
    <w:rsid w:val="3A825EC0"/>
    <w:rsid w:val="3A872856"/>
    <w:rsid w:val="3A97532C"/>
    <w:rsid w:val="3AA749FD"/>
    <w:rsid w:val="3AAD7959"/>
    <w:rsid w:val="3AB40CE8"/>
    <w:rsid w:val="3AC01DBC"/>
    <w:rsid w:val="3AFC677B"/>
    <w:rsid w:val="3B0260D3"/>
    <w:rsid w:val="3B1A14A3"/>
    <w:rsid w:val="3B320480"/>
    <w:rsid w:val="3B3763D1"/>
    <w:rsid w:val="3B5F6CB1"/>
    <w:rsid w:val="3B6B44EC"/>
    <w:rsid w:val="3B7010B2"/>
    <w:rsid w:val="3B742FF2"/>
    <w:rsid w:val="3BB07701"/>
    <w:rsid w:val="3BBD0467"/>
    <w:rsid w:val="3BC06454"/>
    <w:rsid w:val="3BC62A80"/>
    <w:rsid w:val="3BD36E4F"/>
    <w:rsid w:val="3C081B09"/>
    <w:rsid w:val="3C1C0565"/>
    <w:rsid w:val="3C1E658D"/>
    <w:rsid w:val="3C2F6E1E"/>
    <w:rsid w:val="3C394C36"/>
    <w:rsid w:val="3C3D6ABB"/>
    <w:rsid w:val="3C4542ED"/>
    <w:rsid w:val="3C4F64BA"/>
    <w:rsid w:val="3C52085B"/>
    <w:rsid w:val="3C553E04"/>
    <w:rsid w:val="3C7124D2"/>
    <w:rsid w:val="3C7324DC"/>
    <w:rsid w:val="3CDA245A"/>
    <w:rsid w:val="3CFD7124"/>
    <w:rsid w:val="3D02190C"/>
    <w:rsid w:val="3D0E7A18"/>
    <w:rsid w:val="3D1305E8"/>
    <w:rsid w:val="3D1E06B7"/>
    <w:rsid w:val="3D1E1A76"/>
    <w:rsid w:val="3D4A4FA9"/>
    <w:rsid w:val="3D4D2460"/>
    <w:rsid w:val="3D6F66E0"/>
    <w:rsid w:val="3D7B789B"/>
    <w:rsid w:val="3D89645B"/>
    <w:rsid w:val="3DA43295"/>
    <w:rsid w:val="3DA83C1E"/>
    <w:rsid w:val="3DB42DAD"/>
    <w:rsid w:val="3DBF7966"/>
    <w:rsid w:val="3DEE2762"/>
    <w:rsid w:val="3DF11955"/>
    <w:rsid w:val="3E005E3A"/>
    <w:rsid w:val="3E0F4040"/>
    <w:rsid w:val="3E150EFD"/>
    <w:rsid w:val="3E22661F"/>
    <w:rsid w:val="3E526909"/>
    <w:rsid w:val="3E6D3772"/>
    <w:rsid w:val="3E73498E"/>
    <w:rsid w:val="3E831CDC"/>
    <w:rsid w:val="3EA6303D"/>
    <w:rsid w:val="3EB9042E"/>
    <w:rsid w:val="3EBE0387"/>
    <w:rsid w:val="3EC7312C"/>
    <w:rsid w:val="3ED01E68"/>
    <w:rsid w:val="3EDA0523"/>
    <w:rsid w:val="3EFA7FC6"/>
    <w:rsid w:val="3F0F3D1E"/>
    <w:rsid w:val="3F1D32FF"/>
    <w:rsid w:val="3F6A506D"/>
    <w:rsid w:val="3F7D3A0A"/>
    <w:rsid w:val="3F7D6A90"/>
    <w:rsid w:val="3F813EFD"/>
    <w:rsid w:val="3F895E8F"/>
    <w:rsid w:val="3FBB2933"/>
    <w:rsid w:val="3FBC53E4"/>
    <w:rsid w:val="3FBE0A92"/>
    <w:rsid w:val="3FC841AF"/>
    <w:rsid w:val="3FD8425A"/>
    <w:rsid w:val="3FDC26AA"/>
    <w:rsid w:val="3FFE1D6B"/>
    <w:rsid w:val="404B17A6"/>
    <w:rsid w:val="404C4E26"/>
    <w:rsid w:val="404F46B6"/>
    <w:rsid w:val="405C176B"/>
    <w:rsid w:val="4066403F"/>
    <w:rsid w:val="4071000B"/>
    <w:rsid w:val="40746F0F"/>
    <w:rsid w:val="407A6407"/>
    <w:rsid w:val="4089597C"/>
    <w:rsid w:val="409741EB"/>
    <w:rsid w:val="409D33F8"/>
    <w:rsid w:val="40A415D2"/>
    <w:rsid w:val="40A435AC"/>
    <w:rsid w:val="40A86BF9"/>
    <w:rsid w:val="40BB6C9A"/>
    <w:rsid w:val="40C96D5A"/>
    <w:rsid w:val="40D3171C"/>
    <w:rsid w:val="40E907ED"/>
    <w:rsid w:val="41044264"/>
    <w:rsid w:val="41287D7D"/>
    <w:rsid w:val="412A13B6"/>
    <w:rsid w:val="41421D5F"/>
    <w:rsid w:val="41430B8B"/>
    <w:rsid w:val="4147403D"/>
    <w:rsid w:val="41687DA8"/>
    <w:rsid w:val="41834359"/>
    <w:rsid w:val="418C4D18"/>
    <w:rsid w:val="41931657"/>
    <w:rsid w:val="41AB6823"/>
    <w:rsid w:val="41BD2683"/>
    <w:rsid w:val="41D025F0"/>
    <w:rsid w:val="41EF57BD"/>
    <w:rsid w:val="41F453CB"/>
    <w:rsid w:val="4200449D"/>
    <w:rsid w:val="4206515C"/>
    <w:rsid w:val="42162288"/>
    <w:rsid w:val="422229DB"/>
    <w:rsid w:val="42226CBB"/>
    <w:rsid w:val="422C63EB"/>
    <w:rsid w:val="423A3BCC"/>
    <w:rsid w:val="424219C4"/>
    <w:rsid w:val="424E57D2"/>
    <w:rsid w:val="42572AFB"/>
    <w:rsid w:val="425758C4"/>
    <w:rsid w:val="42672AE3"/>
    <w:rsid w:val="426E45CA"/>
    <w:rsid w:val="426E7CA2"/>
    <w:rsid w:val="427253E6"/>
    <w:rsid w:val="42781771"/>
    <w:rsid w:val="42881AA6"/>
    <w:rsid w:val="429A7734"/>
    <w:rsid w:val="42A06724"/>
    <w:rsid w:val="42B26C49"/>
    <w:rsid w:val="42CB25B2"/>
    <w:rsid w:val="42CC2ADD"/>
    <w:rsid w:val="42F97BDF"/>
    <w:rsid w:val="43194233"/>
    <w:rsid w:val="433557CD"/>
    <w:rsid w:val="433A6FE6"/>
    <w:rsid w:val="43476CB6"/>
    <w:rsid w:val="43480868"/>
    <w:rsid w:val="4350713C"/>
    <w:rsid w:val="4356566F"/>
    <w:rsid w:val="435F0C7D"/>
    <w:rsid w:val="436653E0"/>
    <w:rsid w:val="43716024"/>
    <w:rsid w:val="437234EE"/>
    <w:rsid w:val="43730CC1"/>
    <w:rsid w:val="43790D20"/>
    <w:rsid w:val="438A2D5B"/>
    <w:rsid w:val="438F6F2B"/>
    <w:rsid w:val="43A63824"/>
    <w:rsid w:val="43AC4C52"/>
    <w:rsid w:val="43AF32DF"/>
    <w:rsid w:val="43C4431A"/>
    <w:rsid w:val="43FB5AEC"/>
    <w:rsid w:val="44064E36"/>
    <w:rsid w:val="440D1B91"/>
    <w:rsid w:val="442C78FF"/>
    <w:rsid w:val="44305883"/>
    <w:rsid w:val="44330ECF"/>
    <w:rsid w:val="44370EF0"/>
    <w:rsid w:val="44394B72"/>
    <w:rsid w:val="443D4CBF"/>
    <w:rsid w:val="44437BC7"/>
    <w:rsid w:val="444C543F"/>
    <w:rsid w:val="4454372B"/>
    <w:rsid w:val="44715D6A"/>
    <w:rsid w:val="448E3D1D"/>
    <w:rsid w:val="449A2CFC"/>
    <w:rsid w:val="449B614F"/>
    <w:rsid w:val="449D459A"/>
    <w:rsid w:val="449E3D0E"/>
    <w:rsid w:val="44B46CB6"/>
    <w:rsid w:val="44B951CC"/>
    <w:rsid w:val="44BC2C73"/>
    <w:rsid w:val="44CD14E0"/>
    <w:rsid w:val="44CF19E1"/>
    <w:rsid w:val="44D47A4A"/>
    <w:rsid w:val="44E93A5D"/>
    <w:rsid w:val="44F20B0B"/>
    <w:rsid w:val="44F670A7"/>
    <w:rsid w:val="450E1C75"/>
    <w:rsid w:val="450E5003"/>
    <w:rsid w:val="452977D5"/>
    <w:rsid w:val="452E5F4C"/>
    <w:rsid w:val="45374A76"/>
    <w:rsid w:val="45612018"/>
    <w:rsid w:val="458946E9"/>
    <w:rsid w:val="458F5039"/>
    <w:rsid w:val="459B4B29"/>
    <w:rsid w:val="459C2AA4"/>
    <w:rsid w:val="45A47C0E"/>
    <w:rsid w:val="45BE0C6C"/>
    <w:rsid w:val="45C80314"/>
    <w:rsid w:val="45E5269D"/>
    <w:rsid w:val="45EC43C4"/>
    <w:rsid w:val="46311A6E"/>
    <w:rsid w:val="464F5D68"/>
    <w:rsid w:val="46537607"/>
    <w:rsid w:val="46537E03"/>
    <w:rsid w:val="46577FD6"/>
    <w:rsid w:val="465A72B1"/>
    <w:rsid w:val="46690BD8"/>
    <w:rsid w:val="469770BD"/>
    <w:rsid w:val="46B42853"/>
    <w:rsid w:val="46D955A7"/>
    <w:rsid w:val="46DA3884"/>
    <w:rsid w:val="46F10BCE"/>
    <w:rsid w:val="46FE4680"/>
    <w:rsid w:val="47094169"/>
    <w:rsid w:val="47133957"/>
    <w:rsid w:val="47307819"/>
    <w:rsid w:val="47317E68"/>
    <w:rsid w:val="476700F6"/>
    <w:rsid w:val="47A07E0C"/>
    <w:rsid w:val="47DC50FD"/>
    <w:rsid w:val="480118F4"/>
    <w:rsid w:val="48030BB8"/>
    <w:rsid w:val="483C6D09"/>
    <w:rsid w:val="48410A34"/>
    <w:rsid w:val="4870272E"/>
    <w:rsid w:val="48801A89"/>
    <w:rsid w:val="488E7654"/>
    <w:rsid w:val="48975774"/>
    <w:rsid w:val="48CC18F2"/>
    <w:rsid w:val="48D367DD"/>
    <w:rsid w:val="48DE2D50"/>
    <w:rsid w:val="48E5096A"/>
    <w:rsid w:val="48E74B87"/>
    <w:rsid w:val="48F52BF7"/>
    <w:rsid w:val="49014AED"/>
    <w:rsid w:val="490746D8"/>
    <w:rsid w:val="49090450"/>
    <w:rsid w:val="49117305"/>
    <w:rsid w:val="49137521"/>
    <w:rsid w:val="493F6731"/>
    <w:rsid w:val="4948792F"/>
    <w:rsid w:val="495968F4"/>
    <w:rsid w:val="4961028C"/>
    <w:rsid w:val="49690A3B"/>
    <w:rsid w:val="49794CAD"/>
    <w:rsid w:val="498530BE"/>
    <w:rsid w:val="498F38BE"/>
    <w:rsid w:val="49B67CA8"/>
    <w:rsid w:val="49D42220"/>
    <w:rsid w:val="49DC7715"/>
    <w:rsid w:val="49E05097"/>
    <w:rsid w:val="49E54749"/>
    <w:rsid w:val="49EF5898"/>
    <w:rsid w:val="4A023139"/>
    <w:rsid w:val="4A5716F8"/>
    <w:rsid w:val="4A5A3051"/>
    <w:rsid w:val="4A743FEF"/>
    <w:rsid w:val="4A7A38A1"/>
    <w:rsid w:val="4A7B576F"/>
    <w:rsid w:val="4A9F72BE"/>
    <w:rsid w:val="4AE44B51"/>
    <w:rsid w:val="4AF561A9"/>
    <w:rsid w:val="4AFC2B80"/>
    <w:rsid w:val="4B0E78FD"/>
    <w:rsid w:val="4B3F0159"/>
    <w:rsid w:val="4B6A69C7"/>
    <w:rsid w:val="4BA3059A"/>
    <w:rsid w:val="4BA601D9"/>
    <w:rsid w:val="4BB453FF"/>
    <w:rsid w:val="4BCA036B"/>
    <w:rsid w:val="4BD415B0"/>
    <w:rsid w:val="4BDC5725"/>
    <w:rsid w:val="4BEF39E7"/>
    <w:rsid w:val="4C1A6E1F"/>
    <w:rsid w:val="4C250093"/>
    <w:rsid w:val="4C410CE6"/>
    <w:rsid w:val="4C4A0649"/>
    <w:rsid w:val="4C4F29A2"/>
    <w:rsid w:val="4C621F26"/>
    <w:rsid w:val="4C7700F4"/>
    <w:rsid w:val="4C7A26F4"/>
    <w:rsid w:val="4C7D53DD"/>
    <w:rsid w:val="4C7E5ECA"/>
    <w:rsid w:val="4C7F0446"/>
    <w:rsid w:val="4C876AA5"/>
    <w:rsid w:val="4CA649E4"/>
    <w:rsid w:val="4CB31574"/>
    <w:rsid w:val="4CB71CDB"/>
    <w:rsid w:val="4CC2186B"/>
    <w:rsid w:val="4CF57C64"/>
    <w:rsid w:val="4D035956"/>
    <w:rsid w:val="4D0E00FB"/>
    <w:rsid w:val="4D12706E"/>
    <w:rsid w:val="4D176606"/>
    <w:rsid w:val="4D2C3178"/>
    <w:rsid w:val="4D3D5F9A"/>
    <w:rsid w:val="4D42288A"/>
    <w:rsid w:val="4D423F31"/>
    <w:rsid w:val="4D886B44"/>
    <w:rsid w:val="4DA22273"/>
    <w:rsid w:val="4DAA338D"/>
    <w:rsid w:val="4DB46035"/>
    <w:rsid w:val="4DB74440"/>
    <w:rsid w:val="4DC84A2B"/>
    <w:rsid w:val="4DD64459"/>
    <w:rsid w:val="4DE755D5"/>
    <w:rsid w:val="4DEC4FB0"/>
    <w:rsid w:val="4DF37B01"/>
    <w:rsid w:val="4E075D8A"/>
    <w:rsid w:val="4E0C1ADB"/>
    <w:rsid w:val="4E157897"/>
    <w:rsid w:val="4E1E04FA"/>
    <w:rsid w:val="4E3E4D42"/>
    <w:rsid w:val="4E424F73"/>
    <w:rsid w:val="4E473EF5"/>
    <w:rsid w:val="4E4F2A50"/>
    <w:rsid w:val="4E83548F"/>
    <w:rsid w:val="4E902622"/>
    <w:rsid w:val="4EA5175D"/>
    <w:rsid w:val="4EC00FAD"/>
    <w:rsid w:val="4EF63225"/>
    <w:rsid w:val="4F007B20"/>
    <w:rsid w:val="4F323823"/>
    <w:rsid w:val="4F6E04EE"/>
    <w:rsid w:val="4F777901"/>
    <w:rsid w:val="4F933404"/>
    <w:rsid w:val="4F9843DC"/>
    <w:rsid w:val="4FAD422B"/>
    <w:rsid w:val="4FB96E6B"/>
    <w:rsid w:val="4FC52A35"/>
    <w:rsid w:val="4FC62A8C"/>
    <w:rsid w:val="4FE20F0D"/>
    <w:rsid w:val="4FE51552"/>
    <w:rsid w:val="4FE63299"/>
    <w:rsid w:val="5040654F"/>
    <w:rsid w:val="50504C4B"/>
    <w:rsid w:val="50811214"/>
    <w:rsid w:val="5083312A"/>
    <w:rsid w:val="509166B3"/>
    <w:rsid w:val="509C6E7C"/>
    <w:rsid w:val="50C01D3C"/>
    <w:rsid w:val="50CB33FA"/>
    <w:rsid w:val="50CE392A"/>
    <w:rsid w:val="50EA6DB9"/>
    <w:rsid w:val="50F25710"/>
    <w:rsid w:val="50FD540C"/>
    <w:rsid w:val="51157B6D"/>
    <w:rsid w:val="514575D4"/>
    <w:rsid w:val="5153670D"/>
    <w:rsid w:val="51543AA4"/>
    <w:rsid w:val="5162104E"/>
    <w:rsid w:val="5165658D"/>
    <w:rsid w:val="51873098"/>
    <w:rsid w:val="51972CF4"/>
    <w:rsid w:val="51E253B7"/>
    <w:rsid w:val="51F003FF"/>
    <w:rsid w:val="51FE5382"/>
    <w:rsid w:val="52052D1F"/>
    <w:rsid w:val="5206142A"/>
    <w:rsid w:val="520E7042"/>
    <w:rsid w:val="523C53F3"/>
    <w:rsid w:val="524D48D7"/>
    <w:rsid w:val="524E4C50"/>
    <w:rsid w:val="525070F0"/>
    <w:rsid w:val="52694EC1"/>
    <w:rsid w:val="52744321"/>
    <w:rsid w:val="52804F8B"/>
    <w:rsid w:val="52907045"/>
    <w:rsid w:val="52AA2CA4"/>
    <w:rsid w:val="52AD42C3"/>
    <w:rsid w:val="52C61160"/>
    <w:rsid w:val="52FB3500"/>
    <w:rsid w:val="532F30EC"/>
    <w:rsid w:val="53332104"/>
    <w:rsid w:val="5334256E"/>
    <w:rsid w:val="53654E1D"/>
    <w:rsid w:val="53A039CC"/>
    <w:rsid w:val="53A1505A"/>
    <w:rsid w:val="53BD2563"/>
    <w:rsid w:val="53CD55D3"/>
    <w:rsid w:val="53DA5AFE"/>
    <w:rsid w:val="54022FCE"/>
    <w:rsid w:val="54063E08"/>
    <w:rsid w:val="541128F0"/>
    <w:rsid w:val="54326EA4"/>
    <w:rsid w:val="543437E8"/>
    <w:rsid w:val="543C5B7E"/>
    <w:rsid w:val="5455388C"/>
    <w:rsid w:val="545679FF"/>
    <w:rsid w:val="545C3B2A"/>
    <w:rsid w:val="54A674F1"/>
    <w:rsid w:val="54CA2659"/>
    <w:rsid w:val="54CF07A0"/>
    <w:rsid w:val="54DC0DEA"/>
    <w:rsid w:val="54F621D1"/>
    <w:rsid w:val="54F73313"/>
    <w:rsid w:val="54F80955"/>
    <w:rsid w:val="5518555E"/>
    <w:rsid w:val="551D59AF"/>
    <w:rsid w:val="55254E13"/>
    <w:rsid w:val="552E7C91"/>
    <w:rsid w:val="554E310A"/>
    <w:rsid w:val="555170A7"/>
    <w:rsid w:val="55574CCF"/>
    <w:rsid w:val="558660AA"/>
    <w:rsid w:val="5587536D"/>
    <w:rsid w:val="559B174B"/>
    <w:rsid w:val="55C23E61"/>
    <w:rsid w:val="55CA0BB0"/>
    <w:rsid w:val="55CE0CF4"/>
    <w:rsid w:val="55DA5051"/>
    <w:rsid w:val="55DE12CD"/>
    <w:rsid w:val="55E16306"/>
    <w:rsid w:val="55E738C7"/>
    <w:rsid w:val="562E08CC"/>
    <w:rsid w:val="56372AA1"/>
    <w:rsid w:val="56393B78"/>
    <w:rsid w:val="5647497B"/>
    <w:rsid w:val="566E5D97"/>
    <w:rsid w:val="56717635"/>
    <w:rsid w:val="567322BA"/>
    <w:rsid w:val="56755377"/>
    <w:rsid w:val="56884FC8"/>
    <w:rsid w:val="56AD10C8"/>
    <w:rsid w:val="56B22A9C"/>
    <w:rsid w:val="56D62915"/>
    <w:rsid w:val="56D67B97"/>
    <w:rsid w:val="570F30D6"/>
    <w:rsid w:val="572C3F3F"/>
    <w:rsid w:val="575136EE"/>
    <w:rsid w:val="57563CB6"/>
    <w:rsid w:val="57982E9C"/>
    <w:rsid w:val="57A33A90"/>
    <w:rsid w:val="57AF23E7"/>
    <w:rsid w:val="57B72A76"/>
    <w:rsid w:val="57B7532A"/>
    <w:rsid w:val="57C3426C"/>
    <w:rsid w:val="57C4498A"/>
    <w:rsid w:val="57CE1F93"/>
    <w:rsid w:val="57D0621E"/>
    <w:rsid w:val="57D95BB1"/>
    <w:rsid w:val="57E14298"/>
    <w:rsid w:val="580323F8"/>
    <w:rsid w:val="58160494"/>
    <w:rsid w:val="58195FFE"/>
    <w:rsid w:val="582E3A6C"/>
    <w:rsid w:val="583F5C3D"/>
    <w:rsid w:val="58456E64"/>
    <w:rsid w:val="584A26FB"/>
    <w:rsid w:val="584D32F7"/>
    <w:rsid w:val="584E1946"/>
    <w:rsid w:val="58507E4A"/>
    <w:rsid w:val="58711B6E"/>
    <w:rsid w:val="588743D1"/>
    <w:rsid w:val="5887701A"/>
    <w:rsid w:val="58A8054E"/>
    <w:rsid w:val="58AF094F"/>
    <w:rsid w:val="58C114B4"/>
    <w:rsid w:val="58FB75DE"/>
    <w:rsid w:val="590F7FA3"/>
    <w:rsid w:val="59200ABB"/>
    <w:rsid w:val="592278FA"/>
    <w:rsid w:val="595E04DD"/>
    <w:rsid w:val="59676679"/>
    <w:rsid w:val="59817DB2"/>
    <w:rsid w:val="598E6955"/>
    <w:rsid w:val="598E7711"/>
    <w:rsid w:val="59B23396"/>
    <w:rsid w:val="59B733A8"/>
    <w:rsid w:val="59C0439F"/>
    <w:rsid w:val="59C55518"/>
    <w:rsid w:val="59D14FBA"/>
    <w:rsid w:val="59D36007"/>
    <w:rsid w:val="59EF233D"/>
    <w:rsid w:val="59F34F31"/>
    <w:rsid w:val="5A1A3FE3"/>
    <w:rsid w:val="5A5359CF"/>
    <w:rsid w:val="5A634F75"/>
    <w:rsid w:val="5A6E693B"/>
    <w:rsid w:val="5A767910"/>
    <w:rsid w:val="5A781B28"/>
    <w:rsid w:val="5A816250"/>
    <w:rsid w:val="5A8E79AB"/>
    <w:rsid w:val="5AA846AB"/>
    <w:rsid w:val="5ABE2233"/>
    <w:rsid w:val="5AC1330B"/>
    <w:rsid w:val="5AF0321E"/>
    <w:rsid w:val="5AF314CF"/>
    <w:rsid w:val="5AFD593B"/>
    <w:rsid w:val="5B046CCA"/>
    <w:rsid w:val="5B18348D"/>
    <w:rsid w:val="5B1C1AF7"/>
    <w:rsid w:val="5B512782"/>
    <w:rsid w:val="5B7C6694"/>
    <w:rsid w:val="5B864FA9"/>
    <w:rsid w:val="5B9641E3"/>
    <w:rsid w:val="5B9C1779"/>
    <w:rsid w:val="5BA32FE4"/>
    <w:rsid w:val="5BAD7FD5"/>
    <w:rsid w:val="5BAF4E87"/>
    <w:rsid w:val="5BB478E2"/>
    <w:rsid w:val="5BC1147D"/>
    <w:rsid w:val="5BCC74AF"/>
    <w:rsid w:val="5BDF5D95"/>
    <w:rsid w:val="5BFE7528"/>
    <w:rsid w:val="5C007CAF"/>
    <w:rsid w:val="5C0827EA"/>
    <w:rsid w:val="5C0C4088"/>
    <w:rsid w:val="5C313D9F"/>
    <w:rsid w:val="5C55656D"/>
    <w:rsid w:val="5C6E6AF1"/>
    <w:rsid w:val="5CA5630A"/>
    <w:rsid w:val="5CAD6DB7"/>
    <w:rsid w:val="5CB306AB"/>
    <w:rsid w:val="5CBA379E"/>
    <w:rsid w:val="5CBB2094"/>
    <w:rsid w:val="5CBC5AAE"/>
    <w:rsid w:val="5D0320A2"/>
    <w:rsid w:val="5D045B24"/>
    <w:rsid w:val="5D123DEB"/>
    <w:rsid w:val="5D270949"/>
    <w:rsid w:val="5D2D212D"/>
    <w:rsid w:val="5D3715D8"/>
    <w:rsid w:val="5D454B57"/>
    <w:rsid w:val="5D485594"/>
    <w:rsid w:val="5D5418FE"/>
    <w:rsid w:val="5D5F17A4"/>
    <w:rsid w:val="5D606C47"/>
    <w:rsid w:val="5D6677C8"/>
    <w:rsid w:val="5D6867D4"/>
    <w:rsid w:val="5D6A375C"/>
    <w:rsid w:val="5D7B180B"/>
    <w:rsid w:val="5D8875C1"/>
    <w:rsid w:val="5DA16CAF"/>
    <w:rsid w:val="5DA402F0"/>
    <w:rsid w:val="5DB54270"/>
    <w:rsid w:val="5E004BFD"/>
    <w:rsid w:val="5E195734"/>
    <w:rsid w:val="5E1E4546"/>
    <w:rsid w:val="5E2467F1"/>
    <w:rsid w:val="5E3D49CC"/>
    <w:rsid w:val="5E435999"/>
    <w:rsid w:val="5E677C9B"/>
    <w:rsid w:val="5E7E3A37"/>
    <w:rsid w:val="5E856BD1"/>
    <w:rsid w:val="5E8E347A"/>
    <w:rsid w:val="5EC70711"/>
    <w:rsid w:val="5ED14B84"/>
    <w:rsid w:val="5EDA221B"/>
    <w:rsid w:val="5EE57575"/>
    <w:rsid w:val="5EFD5F0A"/>
    <w:rsid w:val="5F013C4C"/>
    <w:rsid w:val="5F1527E7"/>
    <w:rsid w:val="5F1A2B43"/>
    <w:rsid w:val="5F2B6F1B"/>
    <w:rsid w:val="5F322E09"/>
    <w:rsid w:val="5F323EEB"/>
    <w:rsid w:val="5F33080D"/>
    <w:rsid w:val="5F367F01"/>
    <w:rsid w:val="5F455A3A"/>
    <w:rsid w:val="5F704BB8"/>
    <w:rsid w:val="5F7E34EF"/>
    <w:rsid w:val="5F806226"/>
    <w:rsid w:val="5F9A0FF4"/>
    <w:rsid w:val="5FB837BB"/>
    <w:rsid w:val="5FCB425A"/>
    <w:rsid w:val="5FDC4659"/>
    <w:rsid w:val="5FE13A7D"/>
    <w:rsid w:val="6009355C"/>
    <w:rsid w:val="603D6F06"/>
    <w:rsid w:val="60827C38"/>
    <w:rsid w:val="609F40CF"/>
    <w:rsid w:val="60CC405A"/>
    <w:rsid w:val="60E91840"/>
    <w:rsid w:val="60FB691F"/>
    <w:rsid w:val="61343CE2"/>
    <w:rsid w:val="613D1187"/>
    <w:rsid w:val="61461DEA"/>
    <w:rsid w:val="615F2DF5"/>
    <w:rsid w:val="61715597"/>
    <w:rsid w:val="61753AC7"/>
    <w:rsid w:val="61850577"/>
    <w:rsid w:val="6197270E"/>
    <w:rsid w:val="619A0388"/>
    <w:rsid w:val="619D5782"/>
    <w:rsid w:val="61A11716"/>
    <w:rsid w:val="61B03B64"/>
    <w:rsid w:val="61E215D8"/>
    <w:rsid w:val="61F21F72"/>
    <w:rsid w:val="621B3775"/>
    <w:rsid w:val="62364782"/>
    <w:rsid w:val="623656E3"/>
    <w:rsid w:val="623B0DA7"/>
    <w:rsid w:val="623C5AB8"/>
    <w:rsid w:val="624A317C"/>
    <w:rsid w:val="625A2EEB"/>
    <w:rsid w:val="625A3B56"/>
    <w:rsid w:val="626420D2"/>
    <w:rsid w:val="6280757E"/>
    <w:rsid w:val="628202AE"/>
    <w:rsid w:val="62CB609F"/>
    <w:rsid w:val="62DA4EE0"/>
    <w:rsid w:val="62E802B0"/>
    <w:rsid w:val="62F615EE"/>
    <w:rsid w:val="630C1893"/>
    <w:rsid w:val="630C7063"/>
    <w:rsid w:val="63247F09"/>
    <w:rsid w:val="633F4D43"/>
    <w:rsid w:val="634631D6"/>
    <w:rsid w:val="634A0DD6"/>
    <w:rsid w:val="634B1DCB"/>
    <w:rsid w:val="63576530"/>
    <w:rsid w:val="635D233B"/>
    <w:rsid w:val="636925BA"/>
    <w:rsid w:val="63716D5F"/>
    <w:rsid w:val="6373518F"/>
    <w:rsid w:val="638D5A31"/>
    <w:rsid w:val="6394356A"/>
    <w:rsid w:val="63AF5C83"/>
    <w:rsid w:val="63C065F8"/>
    <w:rsid w:val="63C61B2C"/>
    <w:rsid w:val="63D336DD"/>
    <w:rsid w:val="63D40BE9"/>
    <w:rsid w:val="63D53B77"/>
    <w:rsid w:val="63D94EDB"/>
    <w:rsid w:val="63E37DC4"/>
    <w:rsid w:val="63E80775"/>
    <w:rsid w:val="64102431"/>
    <w:rsid w:val="642042D7"/>
    <w:rsid w:val="64223BEF"/>
    <w:rsid w:val="642503DD"/>
    <w:rsid w:val="642C175C"/>
    <w:rsid w:val="6472739A"/>
    <w:rsid w:val="64803865"/>
    <w:rsid w:val="64A25090"/>
    <w:rsid w:val="64A5243A"/>
    <w:rsid w:val="64B63B91"/>
    <w:rsid w:val="64CB4B6D"/>
    <w:rsid w:val="64D8391C"/>
    <w:rsid w:val="64F531DE"/>
    <w:rsid w:val="64F8789F"/>
    <w:rsid w:val="651D2EE5"/>
    <w:rsid w:val="651D5558"/>
    <w:rsid w:val="65256B3E"/>
    <w:rsid w:val="65257F2A"/>
    <w:rsid w:val="65373578"/>
    <w:rsid w:val="653B778C"/>
    <w:rsid w:val="654A67B3"/>
    <w:rsid w:val="655068C5"/>
    <w:rsid w:val="656473D1"/>
    <w:rsid w:val="65913850"/>
    <w:rsid w:val="65AE58D2"/>
    <w:rsid w:val="65B03CD6"/>
    <w:rsid w:val="65B42E1D"/>
    <w:rsid w:val="65B574C0"/>
    <w:rsid w:val="65D5198E"/>
    <w:rsid w:val="65E9368C"/>
    <w:rsid w:val="66094F0E"/>
    <w:rsid w:val="660C498C"/>
    <w:rsid w:val="6617339F"/>
    <w:rsid w:val="661F0E5C"/>
    <w:rsid w:val="6643670D"/>
    <w:rsid w:val="664D3C1B"/>
    <w:rsid w:val="66560A84"/>
    <w:rsid w:val="66772E16"/>
    <w:rsid w:val="66894914"/>
    <w:rsid w:val="669265A4"/>
    <w:rsid w:val="66B141AA"/>
    <w:rsid w:val="66C814F3"/>
    <w:rsid w:val="66D449CF"/>
    <w:rsid w:val="67027B50"/>
    <w:rsid w:val="671F124A"/>
    <w:rsid w:val="67392596"/>
    <w:rsid w:val="673E2441"/>
    <w:rsid w:val="67446533"/>
    <w:rsid w:val="676254A4"/>
    <w:rsid w:val="677A33C6"/>
    <w:rsid w:val="6790738C"/>
    <w:rsid w:val="67A55390"/>
    <w:rsid w:val="67D363A2"/>
    <w:rsid w:val="67E40D77"/>
    <w:rsid w:val="67E57B10"/>
    <w:rsid w:val="67EF2937"/>
    <w:rsid w:val="67F45FB1"/>
    <w:rsid w:val="68025295"/>
    <w:rsid w:val="68026250"/>
    <w:rsid w:val="68112A26"/>
    <w:rsid w:val="681E2F9F"/>
    <w:rsid w:val="681F6961"/>
    <w:rsid w:val="6828189F"/>
    <w:rsid w:val="68610A2F"/>
    <w:rsid w:val="686F6420"/>
    <w:rsid w:val="68701E42"/>
    <w:rsid w:val="68805514"/>
    <w:rsid w:val="68923D78"/>
    <w:rsid w:val="689C6793"/>
    <w:rsid w:val="68A16B63"/>
    <w:rsid w:val="68BA0CF8"/>
    <w:rsid w:val="68DC4DE2"/>
    <w:rsid w:val="68EE1667"/>
    <w:rsid w:val="69023866"/>
    <w:rsid w:val="69140A20"/>
    <w:rsid w:val="691F3B13"/>
    <w:rsid w:val="69316E2F"/>
    <w:rsid w:val="6933534A"/>
    <w:rsid w:val="69414646"/>
    <w:rsid w:val="694E2071"/>
    <w:rsid w:val="69766163"/>
    <w:rsid w:val="697962F6"/>
    <w:rsid w:val="697A3B33"/>
    <w:rsid w:val="699007FE"/>
    <w:rsid w:val="699E17DC"/>
    <w:rsid w:val="699E714C"/>
    <w:rsid w:val="69C73CE4"/>
    <w:rsid w:val="69D44760"/>
    <w:rsid w:val="69E50B3A"/>
    <w:rsid w:val="6A1851F7"/>
    <w:rsid w:val="6A3A25AD"/>
    <w:rsid w:val="6A4B221F"/>
    <w:rsid w:val="6A4D243B"/>
    <w:rsid w:val="6A4E61B3"/>
    <w:rsid w:val="6A520EC7"/>
    <w:rsid w:val="6A521800"/>
    <w:rsid w:val="6A5710F3"/>
    <w:rsid w:val="6A68712F"/>
    <w:rsid w:val="6ABE4573"/>
    <w:rsid w:val="6AE8261D"/>
    <w:rsid w:val="6AF641F8"/>
    <w:rsid w:val="6AF87E20"/>
    <w:rsid w:val="6AFC176B"/>
    <w:rsid w:val="6B0B1692"/>
    <w:rsid w:val="6B105BD0"/>
    <w:rsid w:val="6B166CD1"/>
    <w:rsid w:val="6B2A63D6"/>
    <w:rsid w:val="6B322639"/>
    <w:rsid w:val="6B364C7D"/>
    <w:rsid w:val="6B416023"/>
    <w:rsid w:val="6B4C4AE6"/>
    <w:rsid w:val="6B6D6D93"/>
    <w:rsid w:val="6BC50FDA"/>
    <w:rsid w:val="6BCF02CD"/>
    <w:rsid w:val="6BFC686E"/>
    <w:rsid w:val="6C003B09"/>
    <w:rsid w:val="6C636C38"/>
    <w:rsid w:val="6C935749"/>
    <w:rsid w:val="6C9C2E87"/>
    <w:rsid w:val="6CA248BD"/>
    <w:rsid w:val="6CA812D8"/>
    <w:rsid w:val="6CB30550"/>
    <w:rsid w:val="6CBA1C8C"/>
    <w:rsid w:val="6CC268D7"/>
    <w:rsid w:val="6CDC3F79"/>
    <w:rsid w:val="6D1006F4"/>
    <w:rsid w:val="6D3276C6"/>
    <w:rsid w:val="6D356589"/>
    <w:rsid w:val="6D4C4C2C"/>
    <w:rsid w:val="6D4E43B0"/>
    <w:rsid w:val="6D5E782B"/>
    <w:rsid w:val="6D9E0DCB"/>
    <w:rsid w:val="6DB34098"/>
    <w:rsid w:val="6DB545B6"/>
    <w:rsid w:val="6DD212A7"/>
    <w:rsid w:val="6DE02FB4"/>
    <w:rsid w:val="6DE07122"/>
    <w:rsid w:val="6DE25CB5"/>
    <w:rsid w:val="6DED2C8E"/>
    <w:rsid w:val="6E0B6B0F"/>
    <w:rsid w:val="6E2E57DF"/>
    <w:rsid w:val="6E312B1C"/>
    <w:rsid w:val="6E3D4902"/>
    <w:rsid w:val="6E4B4084"/>
    <w:rsid w:val="6E4B4E87"/>
    <w:rsid w:val="6E514CED"/>
    <w:rsid w:val="6E6828A9"/>
    <w:rsid w:val="6E71421E"/>
    <w:rsid w:val="6E9E061F"/>
    <w:rsid w:val="6EAD34A8"/>
    <w:rsid w:val="6EB563D5"/>
    <w:rsid w:val="6EC977BC"/>
    <w:rsid w:val="6ED92677"/>
    <w:rsid w:val="6EE64C0C"/>
    <w:rsid w:val="6F06705D"/>
    <w:rsid w:val="6F214FC3"/>
    <w:rsid w:val="6F225983"/>
    <w:rsid w:val="6F2B261F"/>
    <w:rsid w:val="6F541B76"/>
    <w:rsid w:val="6F552188"/>
    <w:rsid w:val="6F5F3EE0"/>
    <w:rsid w:val="6F676472"/>
    <w:rsid w:val="6F74473E"/>
    <w:rsid w:val="6F7734AA"/>
    <w:rsid w:val="6F886237"/>
    <w:rsid w:val="6F9E1043"/>
    <w:rsid w:val="6FA521ED"/>
    <w:rsid w:val="6FC211D5"/>
    <w:rsid w:val="6FD03FAE"/>
    <w:rsid w:val="6FE64B79"/>
    <w:rsid w:val="6FF62C2D"/>
    <w:rsid w:val="6FFC5590"/>
    <w:rsid w:val="700B4014"/>
    <w:rsid w:val="701514FB"/>
    <w:rsid w:val="70186481"/>
    <w:rsid w:val="701C726D"/>
    <w:rsid w:val="703462F3"/>
    <w:rsid w:val="703A0AFE"/>
    <w:rsid w:val="70455963"/>
    <w:rsid w:val="7052538A"/>
    <w:rsid w:val="70547F9C"/>
    <w:rsid w:val="70626515"/>
    <w:rsid w:val="706D1DD0"/>
    <w:rsid w:val="707760F1"/>
    <w:rsid w:val="70856B87"/>
    <w:rsid w:val="70955E3C"/>
    <w:rsid w:val="709F1517"/>
    <w:rsid w:val="70C05238"/>
    <w:rsid w:val="70D527EE"/>
    <w:rsid w:val="70D90117"/>
    <w:rsid w:val="70DA284B"/>
    <w:rsid w:val="7107788A"/>
    <w:rsid w:val="71162540"/>
    <w:rsid w:val="71250E7D"/>
    <w:rsid w:val="715B5300"/>
    <w:rsid w:val="71663602"/>
    <w:rsid w:val="717958C4"/>
    <w:rsid w:val="718F330A"/>
    <w:rsid w:val="71916308"/>
    <w:rsid w:val="71956476"/>
    <w:rsid w:val="71986767"/>
    <w:rsid w:val="719D0AE2"/>
    <w:rsid w:val="719E17CE"/>
    <w:rsid w:val="71BC7EA6"/>
    <w:rsid w:val="71C40F54"/>
    <w:rsid w:val="71C86406"/>
    <w:rsid w:val="71CC1B6E"/>
    <w:rsid w:val="71D27F8A"/>
    <w:rsid w:val="71D65C41"/>
    <w:rsid w:val="71DB5EC0"/>
    <w:rsid w:val="71E511AB"/>
    <w:rsid w:val="71F3502F"/>
    <w:rsid w:val="72040967"/>
    <w:rsid w:val="720D3028"/>
    <w:rsid w:val="722E11C0"/>
    <w:rsid w:val="72395053"/>
    <w:rsid w:val="72553024"/>
    <w:rsid w:val="72581B15"/>
    <w:rsid w:val="72605A1C"/>
    <w:rsid w:val="72621744"/>
    <w:rsid w:val="726245AA"/>
    <w:rsid w:val="7289603D"/>
    <w:rsid w:val="729D55E2"/>
    <w:rsid w:val="72A81BF6"/>
    <w:rsid w:val="72AC5DEC"/>
    <w:rsid w:val="72BE1FC1"/>
    <w:rsid w:val="72BF37AA"/>
    <w:rsid w:val="72C2329A"/>
    <w:rsid w:val="72D36FA6"/>
    <w:rsid w:val="72F85B63"/>
    <w:rsid w:val="73122968"/>
    <w:rsid w:val="73136862"/>
    <w:rsid w:val="731F5D5E"/>
    <w:rsid w:val="73260050"/>
    <w:rsid w:val="732851CC"/>
    <w:rsid w:val="73322149"/>
    <w:rsid w:val="73487C44"/>
    <w:rsid w:val="735465E8"/>
    <w:rsid w:val="73563A76"/>
    <w:rsid w:val="7366593F"/>
    <w:rsid w:val="738A6720"/>
    <w:rsid w:val="73920450"/>
    <w:rsid w:val="73B372FF"/>
    <w:rsid w:val="73B37AEF"/>
    <w:rsid w:val="73C17C5B"/>
    <w:rsid w:val="73C51AD5"/>
    <w:rsid w:val="73D01C2D"/>
    <w:rsid w:val="73D25D0E"/>
    <w:rsid w:val="73E16E49"/>
    <w:rsid w:val="73F4025B"/>
    <w:rsid w:val="73F76F74"/>
    <w:rsid w:val="74001ED5"/>
    <w:rsid w:val="740F6E0E"/>
    <w:rsid w:val="7419513C"/>
    <w:rsid w:val="741E793C"/>
    <w:rsid w:val="74200ECA"/>
    <w:rsid w:val="74416441"/>
    <w:rsid w:val="74476312"/>
    <w:rsid w:val="744A3547"/>
    <w:rsid w:val="744A575C"/>
    <w:rsid w:val="744C72C0"/>
    <w:rsid w:val="7456127F"/>
    <w:rsid w:val="745E3944"/>
    <w:rsid w:val="746731C5"/>
    <w:rsid w:val="746A386C"/>
    <w:rsid w:val="747D0312"/>
    <w:rsid w:val="748163B3"/>
    <w:rsid w:val="74842BFC"/>
    <w:rsid w:val="74923DD8"/>
    <w:rsid w:val="74940C67"/>
    <w:rsid w:val="7499627D"/>
    <w:rsid w:val="74D6302D"/>
    <w:rsid w:val="75046BAE"/>
    <w:rsid w:val="752E0831"/>
    <w:rsid w:val="753B54F0"/>
    <w:rsid w:val="753F2BA4"/>
    <w:rsid w:val="754B08CB"/>
    <w:rsid w:val="75564B29"/>
    <w:rsid w:val="756B730A"/>
    <w:rsid w:val="756C0561"/>
    <w:rsid w:val="75800C68"/>
    <w:rsid w:val="7598164F"/>
    <w:rsid w:val="75A923CE"/>
    <w:rsid w:val="75BC41FA"/>
    <w:rsid w:val="75C32E72"/>
    <w:rsid w:val="75EF7FE9"/>
    <w:rsid w:val="760D2A7F"/>
    <w:rsid w:val="76141930"/>
    <w:rsid w:val="7635099D"/>
    <w:rsid w:val="763B04FD"/>
    <w:rsid w:val="763C0D8D"/>
    <w:rsid w:val="763E2648"/>
    <w:rsid w:val="763E70DC"/>
    <w:rsid w:val="767434F4"/>
    <w:rsid w:val="767B2BBA"/>
    <w:rsid w:val="76B25651"/>
    <w:rsid w:val="77181CE9"/>
    <w:rsid w:val="771E78C8"/>
    <w:rsid w:val="774F4C86"/>
    <w:rsid w:val="776F3C10"/>
    <w:rsid w:val="77762421"/>
    <w:rsid w:val="77980A6E"/>
    <w:rsid w:val="77A80CB1"/>
    <w:rsid w:val="77AC096F"/>
    <w:rsid w:val="77B56B1F"/>
    <w:rsid w:val="77BF5FFA"/>
    <w:rsid w:val="77C71A27"/>
    <w:rsid w:val="77C71BAD"/>
    <w:rsid w:val="780F09F4"/>
    <w:rsid w:val="78104AA8"/>
    <w:rsid w:val="7824158D"/>
    <w:rsid w:val="78462278"/>
    <w:rsid w:val="78467A71"/>
    <w:rsid w:val="78796E32"/>
    <w:rsid w:val="787E5EB6"/>
    <w:rsid w:val="78986F77"/>
    <w:rsid w:val="78992CEF"/>
    <w:rsid w:val="78A530E5"/>
    <w:rsid w:val="78A90480"/>
    <w:rsid w:val="78CC09CF"/>
    <w:rsid w:val="78D629B0"/>
    <w:rsid w:val="78E26444"/>
    <w:rsid w:val="791048D6"/>
    <w:rsid w:val="79125C43"/>
    <w:rsid w:val="791342AE"/>
    <w:rsid w:val="79233D2D"/>
    <w:rsid w:val="792478CA"/>
    <w:rsid w:val="79272AC6"/>
    <w:rsid w:val="79397A59"/>
    <w:rsid w:val="79405B2F"/>
    <w:rsid w:val="7975442E"/>
    <w:rsid w:val="79B5100C"/>
    <w:rsid w:val="79D23D09"/>
    <w:rsid w:val="79D41E99"/>
    <w:rsid w:val="79DE20DB"/>
    <w:rsid w:val="79F24465"/>
    <w:rsid w:val="7A0F01B1"/>
    <w:rsid w:val="7A1845EE"/>
    <w:rsid w:val="7A364017"/>
    <w:rsid w:val="7A39347C"/>
    <w:rsid w:val="7A3A38FF"/>
    <w:rsid w:val="7A7C01D3"/>
    <w:rsid w:val="7A8265E1"/>
    <w:rsid w:val="7A88301C"/>
    <w:rsid w:val="7A903C7E"/>
    <w:rsid w:val="7AA34334"/>
    <w:rsid w:val="7AAE056D"/>
    <w:rsid w:val="7ACC376D"/>
    <w:rsid w:val="7AF15074"/>
    <w:rsid w:val="7B02692A"/>
    <w:rsid w:val="7B0C0115"/>
    <w:rsid w:val="7B137599"/>
    <w:rsid w:val="7B256ABC"/>
    <w:rsid w:val="7B511C22"/>
    <w:rsid w:val="7B512E8E"/>
    <w:rsid w:val="7B59095D"/>
    <w:rsid w:val="7B686D42"/>
    <w:rsid w:val="7B841746"/>
    <w:rsid w:val="7B8C602F"/>
    <w:rsid w:val="7B965ED6"/>
    <w:rsid w:val="7B9A6194"/>
    <w:rsid w:val="7BC24719"/>
    <w:rsid w:val="7BC968A9"/>
    <w:rsid w:val="7BDC72FB"/>
    <w:rsid w:val="7BDD2EF3"/>
    <w:rsid w:val="7BE86A9F"/>
    <w:rsid w:val="7BF17930"/>
    <w:rsid w:val="7C1D203B"/>
    <w:rsid w:val="7C2D5C29"/>
    <w:rsid w:val="7C49114F"/>
    <w:rsid w:val="7C5461B0"/>
    <w:rsid w:val="7C66113B"/>
    <w:rsid w:val="7C6C5AC7"/>
    <w:rsid w:val="7C7B3F5E"/>
    <w:rsid w:val="7CC6544B"/>
    <w:rsid w:val="7CCC1201"/>
    <w:rsid w:val="7CE41794"/>
    <w:rsid w:val="7CED1C47"/>
    <w:rsid w:val="7D0239FF"/>
    <w:rsid w:val="7D052A0C"/>
    <w:rsid w:val="7D171AF4"/>
    <w:rsid w:val="7D1F73D2"/>
    <w:rsid w:val="7D28155C"/>
    <w:rsid w:val="7D3A4FDA"/>
    <w:rsid w:val="7D3D1598"/>
    <w:rsid w:val="7D52346D"/>
    <w:rsid w:val="7D5B0573"/>
    <w:rsid w:val="7D5D72DF"/>
    <w:rsid w:val="7D5E40CD"/>
    <w:rsid w:val="7D6438CC"/>
    <w:rsid w:val="7D735F23"/>
    <w:rsid w:val="7D7B29C4"/>
    <w:rsid w:val="7D7B2B9E"/>
    <w:rsid w:val="7D823D52"/>
    <w:rsid w:val="7D8E0949"/>
    <w:rsid w:val="7D9D40C2"/>
    <w:rsid w:val="7DBB54B6"/>
    <w:rsid w:val="7DC620F9"/>
    <w:rsid w:val="7DCD56F2"/>
    <w:rsid w:val="7DE411E5"/>
    <w:rsid w:val="7DE95B7F"/>
    <w:rsid w:val="7DF0493A"/>
    <w:rsid w:val="7DFB691F"/>
    <w:rsid w:val="7DFC1A33"/>
    <w:rsid w:val="7DFF6DA4"/>
    <w:rsid w:val="7E09208C"/>
    <w:rsid w:val="7E1441FE"/>
    <w:rsid w:val="7E335396"/>
    <w:rsid w:val="7E4422CE"/>
    <w:rsid w:val="7E4506A0"/>
    <w:rsid w:val="7E4A3282"/>
    <w:rsid w:val="7E8C369F"/>
    <w:rsid w:val="7E917B65"/>
    <w:rsid w:val="7EBB27AA"/>
    <w:rsid w:val="7EDC1B31"/>
    <w:rsid w:val="7EE60311"/>
    <w:rsid w:val="7EF2127D"/>
    <w:rsid w:val="7F001CE7"/>
    <w:rsid w:val="7F0E66AF"/>
    <w:rsid w:val="7F62208D"/>
    <w:rsid w:val="7F6B5697"/>
    <w:rsid w:val="7F927033"/>
    <w:rsid w:val="7F9A269B"/>
    <w:rsid w:val="7FB7310E"/>
    <w:rsid w:val="7FC71EF0"/>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2"/>
    <w:autoRedefine/>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60"/>
    <w:autoRedefine/>
    <w:qFormat/>
    <w:locked/>
    <w:uiPriority w:val="0"/>
    <w:pPr>
      <w:ind w:firstLine="420"/>
    </w:pPr>
    <w:rPr>
      <w:rFonts w:ascii="Calibri" w:hAnsi="Calibri"/>
      <w:szCs w:val="20"/>
    </w:rPr>
  </w:style>
  <w:style w:type="paragraph" w:styleId="6">
    <w:name w:val="annotation text"/>
    <w:basedOn w:val="1"/>
    <w:link w:val="42"/>
    <w:autoRedefine/>
    <w:qFormat/>
    <w:uiPriority w:val="0"/>
    <w:pPr>
      <w:jc w:val="left"/>
    </w:pPr>
    <w:rPr>
      <w:kern w:val="0"/>
      <w:sz w:val="24"/>
      <w:szCs w:val="20"/>
    </w:rPr>
  </w:style>
  <w:style w:type="paragraph" w:styleId="7">
    <w:name w:val="Body Text"/>
    <w:basedOn w:val="1"/>
    <w:next w:val="1"/>
    <w:link w:val="41"/>
    <w:autoRedefine/>
    <w:qFormat/>
    <w:uiPriority w:val="0"/>
    <w:pPr>
      <w:widowControl/>
      <w:snapToGrid w:val="0"/>
      <w:spacing w:before="60" w:after="160" w:line="259" w:lineRule="auto"/>
      <w:ind w:right="113"/>
    </w:pPr>
    <w:rPr>
      <w:kern w:val="0"/>
      <w:sz w:val="18"/>
      <w:szCs w:val="20"/>
    </w:rPr>
  </w:style>
  <w:style w:type="paragraph" w:styleId="8">
    <w:name w:val="Body Text Indent"/>
    <w:basedOn w:val="1"/>
    <w:next w:val="5"/>
    <w:link w:val="51"/>
    <w:autoRedefine/>
    <w:qFormat/>
    <w:uiPriority w:val="0"/>
    <w:pPr>
      <w:spacing w:after="120"/>
      <w:ind w:left="420" w:leftChars="200"/>
    </w:pPr>
    <w:rPr>
      <w:kern w:val="0"/>
      <w:sz w:val="24"/>
      <w:szCs w:val="20"/>
    </w:rPr>
  </w:style>
  <w:style w:type="paragraph" w:styleId="9">
    <w:name w:val="Block Text"/>
    <w:basedOn w:val="1"/>
    <w:autoRedefine/>
    <w:qFormat/>
    <w:locked/>
    <w:uiPriority w:val="0"/>
    <w:pPr>
      <w:spacing w:after="120"/>
      <w:ind w:left="1440" w:leftChars="700" w:right="1440" w:rightChars="700"/>
    </w:pPr>
    <w:rPr>
      <w:rFonts w:ascii="Calibri" w:hAnsi="Calibri"/>
      <w:szCs w:val="20"/>
    </w:rPr>
  </w:style>
  <w:style w:type="paragraph" w:styleId="10">
    <w:name w:val="Plain Text"/>
    <w:basedOn w:val="1"/>
    <w:next w:val="11"/>
    <w:link w:val="63"/>
    <w:autoRedefine/>
    <w:qFormat/>
    <w:locked/>
    <w:uiPriority w:val="0"/>
    <w:rPr>
      <w:rFonts w:ascii="宋体" w:hAnsi="Courier New"/>
      <w:szCs w:val="20"/>
    </w:rPr>
  </w:style>
  <w:style w:type="paragraph" w:styleId="11">
    <w:name w:val="toc 1"/>
    <w:basedOn w:val="1"/>
    <w:next w:val="1"/>
    <w:autoRedefine/>
    <w:qFormat/>
    <w:locked/>
    <w:uiPriority w:val="39"/>
    <w:pPr>
      <w:spacing w:before="120" w:after="120"/>
      <w:jc w:val="left"/>
    </w:pPr>
    <w:rPr>
      <w:rFonts w:ascii="Calibri" w:hAnsi="Calibri"/>
      <w:b/>
      <w:bCs/>
      <w:caps/>
      <w:sz w:val="20"/>
      <w:szCs w:val="20"/>
    </w:rPr>
  </w:style>
  <w:style w:type="paragraph" w:styleId="12">
    <w:name w:val="List Bullet 5"/>
    <w:basedOn w:val="1"/>
    <w:autoRedefine/>
    <w:qFormat/>
    <w:locked/>
    <w:uiPriority w:val="0"/>
    <w:pPr>
      <w:numPr>
        <w:ilvl w:val="0"/>
        <w:numId w:val="1"/>
      </w:numPr>
    </w:pPr>
  </w:style>
  <w:style w:type="paragraph" w:styleId="13">
    <w:name w:val="Date"/>
    <w:basedOn w:val="1"/>
    <w:next w:val="1"/>
    <w:link w:val="37"/>
    <w:autoRedefine/>
    <w:qFormat/>
    <w:uiPriority w:val="0"/>
    <w:pPr>
      <w:ind w:left="100" w:leftChars="2500"/>
    </w:pPr>
    <w:rPr>
      <w:kern w:val="0"/>
      <w:sz w:val="24"/>
      <w:szCs w:val="20"/>
    </w:rPr>
  </w:style>
  <w:style w:type="paragraph" w:styleId="14">
    <w:name w:val="Body Text Indent 2"/>
    <w:basedOn w:val="1"/>
    <w:link w:val="64"/>
    <w:autoRedefine/>
    <w:qFormat/>
    <w:locked/>
    <w:uiPriority w:val="0"/>
    <w:pPr>
      <w:spacing w:line="500" w:lineRule="exact"/>
      <w:ind w:firstLine="480" w:firstLineChars="200"/>
    </w:pPr>
    <w:rPr>
      <w:rFonts w:ascii="宋体" w:hAnsi="Calibri"/>
      <w:bCs/>
      <w:sz w:val="24"/>
      <w:szCs w:val="20"/>
    </w:rPr>
  </w:style>
  <w:style w:type="paragraph" w:styleId="15">
    <w:name w:val="Balloon Text"/>
    <w:basedOn w:val="1"/>
    <w:link w:val="47"/>
    <w:autoRedefine/>
    <w:qFormat/>
    <w:uiPriority w:val="0"/>
    <w:rPr>
      <w:kern w:val="0"/>
      <w:sz w:val="18"/>
      <w:szCs w:val="20"/>
    </w:rPr>
  </w:style>
  <w:style w:type="paragraph" w:styleId="16">
    <w:name w:val="footer"/>
    <w:basedOn w:val="1"/>
    <w:link w:val="36"/>
    <w:autoRedefine/>
    <w:qFormat/>
    <w:uiPriority w:val="99"/>
    <w:pPr>
      <w:tabs>
        <w:tab w:val="center" w:pos="4153"/>
        <w:tab w:val="right" w:pos="8306"/>
      </w:tabs>
      <w:snapToGrid w:val="0"/>
      <w:jc w:val="left"/>
    </w:pPr>
    <w:rPr>
      <w:kern w:val="0"/>
      <w:sz w:val="18"/>
      <w:szCs w:val="20"/>
    </w:rPr>
  </w:style>
  <w:style w:type="paragraph" w:styleId="17">
    <w:name w:val="header"/>
    <w:basedOn w:val="1"/>
    <w:link w:val="49"/>
    <w:autoRedefine/>
    <w:qFormat/>
    <w:uiPriority w:val="0"/>
    <w:pPr>
      <w:tabs>
        <w:tab w:val="center" w:pos="4153"/>
        <w:tab w:val="right" w:pos="8306"/>
      </w:tabs>
      <w:snapToGrid w:val="0"/>
      <w:jc w:val="center"/>
    </w:pPr>
    <w:rPr>
      <w:kern w:val="0"/>
      <w:sz w:val="18"/>
      <w:szCs w:val="20"/>
    </w:rPr>
  </w:style>
  <w:style w:type="paragraph" w:styleId="18">
    <w:name w:val="List"/>
    <w:basedOn w:val="1"/>
    <w:autoRedefine/>
    <w:qFormat/>
    <w:locked/>
    <w:uiPriority w:val="0"/>
    <w:pPr>
      <w:spacing w:line="360" w:lineRule="exact"/>
      <w:jc w:val="center"/>
    </w:pPr>
    <w:rPr>
      <w:rFonts w:ascii="仿宋_GB2312" w:eastAsia="仿宋_GB2312"/>
      <w:sz w:val="28"/>
    </w:rPr>
  </w:style>
  <w:style w:type="paragraph" w:styleId="19">
    <w:name w:val="Body Text Indent 3"/>
    <w:basedOn w:val="1"/>
    <w:link w:val="65"/>
    <w:autoRedefine/>
    <w:qFormat/>
    <w:locked/>
    <w:uiPriority w:val="0"/>
    <w:pPr>
      <w:spacing w:line="360" w:lineRule="auto"/>
      <w:ind w:firstLine="471" w:firstLineChars="200"/>
    </w:pPr>
    <w:rPr>
      <w:rFonts w:ascii="宋体" w:hAnsi="宋体"/>
      <w:sz w:val="24"/>
      <w:szCs w:val="20"/>
    </w:rPr>
  </w:style>
  <w:style w:type="paragraph" w:styleId="20">
    <w:name w:val="toc 2"/>
    <w:basedOn w:val="1"/>
    <w:next w:val="1"/>
    <w:autoRedefine/>
    <w:qFormat/>
    <w:locked/>
    <w:uiPriority w:val="39"/>
    <w:pPr>
      <w:widowControl/>
      <w:tabs>
        <w:tab w:val="left" w:pos="840"/>
        <w:tab w:val="right" w:leader="dot" w:pos="8511"/>
      </w:tabs>
      <w:spacing w:line="320" w:lineRule="exact"/>
      <w:ind w:left="210"/>
      <w:jc w:val="left"/>
    </w:pPr>
    <w:rPr>
      <w:rFonts w:ascii="Calibri" w:hAnsi="Calibri"/>
      <w:smallCaps/>
      <w:kern w:val="0"/>
      <w:sz w:val="24"/>
      <w:szCs w:val="22"/>
    </w:rPr>
  </w:style>
  <w:style w:type="paragraph" w:styleId="21">
    <w:name w:val="Body Text 2"/>
    <w:basedOn w:val="1"/>
    <w:link w:val="55"/>
    <w:autoRedefine/>
    <w:qFormat/>
    <w:locked/>
    <w:uiPriority w:val="0"/>
    <w:pPr>
      <w:spacing w:after="120" w:line="480" w:lineRule="auto"/>
    </w:pPr>
  </w:style>
  <w:style w:type="paragraph" w:styleId="22">
    <w:name w:val="Normal (Web)"/>
    <w:basedOn w:val="1"/>
    <w:link w:val="39"/>
    <w:autoRedefine/>
    <w:qFormat/>
    <w:uiPriority w:val="99"/>
    <w:pPr>
      <w:widowControl/>
      <w:spacing w:before="100" w:beforeAutospacing="1" w:after="100" w:afterAutospacing="1"/>
      <w:jc w:val="left"/>
    </w:pPr>
    <w:rPr>
      <w:rFonts w:ascii="宋体" w:hAnsi="宋体"/>
      <w:kern w:val="0"/>
      <w:sz w:val="24"/>
      <w:szCs w:val="20"/>
    </w:rPr>
  </w:style>
  <w:style w:type="paragraph" w:styleId="23">
    <w:name w:val="annotation subject"/>
    <w:basedOn w:val="6"/>
    <w:next w:val="6"/>
    <w:link w:val="48"/>
    <w:autoRedefine/>
    <w:qFormat/>
    <w:uiPriority w:val="0"/>
    <w:rPr>
      <w:b/>
    </w:rPr>
  </w:style>
  <w:style w:type="paragraph" w:styleId="24">
    <w:name w:val="Body Text First Indent 2"/>
    <w:basedOn w:val="8"/>
    <w:next w:val="25"/>
    <w:link w:val="66"/>
    <w:autoRedefine/>
    <w:qFormat/>
    <w:locked/>
    <w:uiPriority w:val="0"/>
    <w:pPr>
      <w:ind w:firstLine="420" w:firstLineChars="200"/>
    </w:pPr>
    <w:rPr>
      <w:rFonts w:ascii="Calibri" w:hAnsi="Calibri" w:eastAsia="楷体_GB2312"/>
      <w:color w:val="000000"/>
      <w:kern w:val="2"/>
      <w:sz w:val="21"/>
    </w:rPr>
  </w:style>
  <w:style w:type="paragraph" w:customStyle="1" w:styleId="25">
    <w:name w:val="Default"/>
    <w:basedOn w:val="26"/>
    <w:next w:val="24"/>
    <w:autoRedefine/>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26">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autoRedefine/>
    <w:qFormat/>
    <w:locked/>
    <w:uiPriority w:val="0"/>
    <w:rPr>
      <w:rFonts w:ascii="Times New Roman" w:hAnsi="Times New Roman" w:eastAsia="宋体" w:cs="Times New Roman"/>
      <w:b/>
      <w:bCs/>
    </w:rPr>
  </w:style>
  <w:style w:type="character" w:styleId="31">
    <w:name w:val="page number"/>
    <w:basedOn w:val="29"/>
    <w:autoRedefine/>
    <w:qFormat/>
    <w:locked/>
    <w:uiPriority w:val="0"/>
  </w:style>
  <w:style w:type="character" w:styleId="32">
    <w:name w:val="Emphasis"/>
    <w:basedOn w:val="29"/>
    <w:autoRedefine/>
    <w:qFormat/>
    <w:locked/>
    <w:uiPriority w:val="0"/>
    <w:rPr>
      <w:i/>
    </w:rPr>
  </w:style>
  <w:style w:type="character" w:styleId="33">
    <w:name w:val="Hyperlink"/>
    <w:basedOn w:val="29"/>
    <w:autoRedefine/>
    <w:unhideWhenUsed/>
    <w:qFormat/>
    <w:locked/>
    <w:uiPriority w:val="99"/>
    <w:rPr>
      <w:color w:val="0000FF"/>
      <w:u w:val="single"/>
    </w:rPr>
  </w:style>
  <w:style w:type="character" w:styleId="34">
    <w:name w:val="annotation reference"/>
    <w:autoRedefine/>
    <w:qFormat/>
    <w:uiPriority w:val="0"/>
    <w:rPr>
      <w:sz w:val="21"/>
    </w:rPr>
  </w:style>
  <w:style w:type="paragraph" w:customStyle="1" w:styleId="35">
    <w:name w:val="BlockQuote"/>
    <w:basedOn w:val="1"/>
    <w:autoRedefine/>
    <w:qFormat/>
    <w:uiPriority w:val="0"/>
    <w:pPr>
      <w:widowControl/>
      <w:spacing w:line="300" w:lineRule="exact"/>
      <w:ind w:left="-96" w:leftChars="-40" w:right="-16" w:firstLine="482" w:firstLineChars="200"/>
      <w:textAlignment w:val="baseline"/>
    </w:pPr>
    <w:rPr>
      <w:rFonts w:ascii="宋体" w:hAnsi="宋体" w:eastAsia="仿宋_GB2312"/>
      <w:sz w:val="28"/>
    </w:rPr>
  </w:style>
  <w:style w:type="character" w:customStyle="1" w:styleId="36">
    <w:name w:val="页脚 字符1"/>
    <w:link w:val="16"/>
    <w:autoRedefine/>
    <w:qFormat/>
    <w:locked/>
    <w:uiPriority w:val="99"/>
    <w:rPr>
      <w:sz w:val="18"/>
    </w:rPr>
  </w:style>
  <w:style w:type="character" w:customStyle="1" w:styleId="37">
    <w:name w:val="日期 字符1"/>
    <w:link w:val="13"/>
    <w:autoRedefine/>
    <w:qFormat/>
    <w:locked/>
    <w:uiPriority w:val="0"/>
    <w:rPr>
      <w:rFonts w:ascii="Times New Roman" w:hAnsi="Times New Roman" w:eastAsia="宋体"/>
      <w:sz w:val="24"/>
    </w:rPr>
  </w:style>
  <w:style w:type="character" w:customStyle="1" w:styleId="38">
    <w:name w:val="页脚 字符"/>
    <w:basedOn w:val="29"/>
    <w:autoRedefine/>
    <w:qFormat/>
    <w:uiPriority w:val="99"/>
  </w:style>
  <w:style w:type="character" w:customStyle="1" w:styleId="39">
    <w:name w:val="普通(网站) 字符"/>
    <w:link w:val="22"/>
    <w:autoRedefine/>
    <w:qFormat/>
    <w:locked/>
    <w:uiPriority w:val="0"/>
    <w:rPr>
      <w:rFonts w:ascii="宋体" w:hAnsi="宋体" w:eastAsia="宋体"/>
      <w:sz w:val="24"/>
    </w:rPr>
  </w:style>
  <w:style w:type="character" w:customStyle="1" w:styleId="40">
    <w:name w:val="正文文本 字符1"/>
    <w:autoRedefine/>
    <w:semiHidden/>
    <w:qFormat/>
    <w:uiPriority w:val="0"/>
    <w:rPr>
      <w:rFonts w:ascii="Times New Roman" w:hAnsi="Times New Roman" w:eastAsia="宋体"/>
      <w:sz w:val="24"/>
    </w:rPr>
  </w:style>
  <w:style w:type="character" w:customStyle="1" w:styleId="41">
    <w:name w:val="正文文本 字符"/>
    <w:link w:val="7"/>
    <w:autoRedefine/>
    <w:qFormat/>
    <w:locked/>
    <w:uiPriority w:val="0"/>
    <w:rPr>
      <w:sz w:val="18"/>
    </w:rPr>
  </w:style>
  <w:style w:type="character" w:customStyle="1" w:styleId="42">
    <w:name w:val="批注文字 字符"/>
    <w:link w:val="6"/>
    <w:autoRedefine/>
    <w:qFormat/>
    <w:locked/>
    <w:uiPriority w:val="0"/>
    <w:rPr>
      <w:rFonts w:ascii="Times New Roman" w:hAnsi="Times New Roman" w:eastAsia="宋体"/>
      <w:sz w:val="24"/>
    </w:rPr>
  </w:style>
  <w:style w:type="character" w:customStyle="1" w:styleId="43">
    <w:name w:val="表格 Char"/>
    <w:link w:val="44"/>
    <w:autoRedefine/>
    <w:qFormat/>
    <w:locked/>
    <w:uiPriority w:val="0"/>
    <w:rPr>
      <w:rFonts w:ascii="宋体"/>
      <w:sz w:val="21"/>
    </w:rPr>
  </w:style>
  <w:style w:type="paragraph" w:customStyle="1" w:styleId="44">
    <w:name w:val="表格"/>
    <w:basedOn w:val="45"/>
    <w:next w:val="1"/>
    <w:link w:val="43"/>
    <w:autoRedefine/>
    <w:qFormat/>
    <w:uiPriority w:val="0"/>
    <w:pPr>
      <w:adjustRightInd w:val="0"/>
      <w:snapToGrid w:val="0"/>
      <w:spacing w:beforeLines="10" w:afterLines="10" w:line="259" w:lineRule="auto"/>
      <w:jc w:val="center"/>
    </w:pPr>
    <w:rPr>
      <w:rFonts w:ascii="宋体"/>
      <w:kern w:val="0"/>
      <w:szCs w:val="20"/>
    </w:rPr>
  </w:style>
  <w:style w:type="paragraph" w:customStyle="1" w:styleId="45">
    <w:name w:val="表格文字"/>
    <w:basedOn w:val="1"/>
    <w:autoRedefine/>
    <w:qFormat/>
    <w:uiPriority w:val="0"/>
    <w:pPr>
      <w:adjustRightInd w:val="0"/>
      <w:snapToGrid w:val="0"/>
      <w:jc w:val="center"/>
    </w:pPr>
    <w:rPr>
      <w:rFonts w:ascii="仿宋_GB2312" w:hAnsi="Arial Black" w:eastAsia="仿宋_GB2312"/>
      <w:kern w:val="44"/>
      <w:sz w:val="24"/>
      <w:szCs w:val="20"/>
    </w:rPr>
  </w:style>
  <w:style w:type="character" w:customStyle="1" w:styleId="46">
    <w:name w:val="日期 字符"/>
    <w:autoRedefine/>
    <w:semiHidden/>
    <w:qFormat/>
    <w:uiPriority w:val="0"/>
    <w:rPr>
      <w:rFonts w:ascii="Times New Roman" w:hAnsi="Times New Roman" w:eastAsia="宋体"/>
      <w:sz w:val="24"/>
    </w:rPr>
  </w:style>
  <w:style w:type="character" w:customStyle="1" w:styleId="47">
    <w:name w:val="批注框文本 字符"/>
    <w:link w:val="15"/>
    <w:autoRedefine/>
    <w:semiHidden/>
    <w:qFormat/>
    <w:locked/>
    <w:uiPriority w:val="0"/>
    <w:rPr>
      <w:rFonts w:ascii="Times New Roman" w:hAnsi="Times New Roman" w:eastAsia="宋体"/>
      <w:sz w:val="18"/>
    </w:rPr>
  </w:style>
  <w:style w:type="character" w:customStyle="1" w:styleId="48">
    <w:name w:val="批注主题 字符"/>
    <w:link w:val="23"/>
    <w:autoRedefine/>
    <w:semiHidden/>
    <w:qFormat/>
    <w:locked/>
    <w:uiPriority w:val="0"/>
    <w:rPr>
      <w:rFonts w:ascii="Times New Roman" w:hAnsi="Times New Roman" w:eastAsia="宋体"/>
      <w:b/>
      <w:kern w:val="2"/>
      <w:sz w:val="24"/>
    </w:rPr>
  </w:style>
  <w:style w:type="character" w:customStyle="1" w:styleId="49">
    <w:name w:val="页眉 字符"/>
    <w:link w:val="17"/>
    <w:autoRedefine/>
    <w:qFormat/>
    <w:locked/>
    <w:uiPriority w:val="0"/>
    <w:rPr>
      <w:sz w:val="18"/>
    </w:rPr>
  </w:style>
  <w:style w:type="character" w:customStyle="1" w:styleId="50">
    <w:name w:val="批注文字 字符1"/>
    <w:autoRedefine/>
    <w:semiHidden/>
    <w:qFormat/>
    <w:uiPriority w:val="0"/>
    <w:rPr>
      <w:rFonts w:ascii="Times New Roman" w:hAnsi="Times New Roman" w:eastAsia="宋体"/>
      <w:sz w:val="24"/>
    </w:rPr>
  </w:style>
  <w:style w:type="character" w:customStyle="1" w:styleId="51">
    <w:name w:val="正文文本缩进 字符"/>
    <w:link w:val="8"/>
    <w:autoRedefine/>
    <w:semiHidden/>
    <w:qFormat/>
    <w:locked/>
    <w:uiPriority w:val="0"/>
    <w:rPr>
      <w:rFonts w:ascii="Times New Roman" w:hAnsi="Times New Roman" w:eastAsia="宋体"/>
      <w:sz w:val="24"/>
    </w:rPr>
  </w:style>
  <w:style w:type="paragraph" w:customStyle="1" w:styleId="5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4">
    <w:name w:val="表格内文字"/>
    <w:basedOn w:val="1"/>
    <w:autoRedefine/>
    <w:qFormat/>
    <w:uiPriority w:val="0"/>
    <w:pPr>
      <w:widowControl/>
      <w:tabs>
        <w:tab w:val="left" w:pos="0"/>
      </w:tabs>
      <w:snapToGrid w:val="0"/>
      <w:jc w:val="center"/>
    </w:pPr>
    <w:rPr>
      <w:rFonts w:ascii="仿宋_GB2312" w:hAnsi="宋体" w:eastAsia="仿宋_GB2312" w:cs="宋体"/>
      <w:w w:val="90"/>
      <w:kern w:val="18"/>
      <w:sz w:val="24"/>
    </w:rPr>
  </w:style>
  <w:style w:type="character" w:customStyle="1" w:styleId="55">
    <w:name w:val="正文文本 2 字符"/>
    <w:basedOn w:val="29"/>
    <w:link w:val="21"/>
    <w:autoRedefine/>
    <w:qFormat/>
    <w:uiPriority w:val="0"/>
    <w:rPr>
      <w:kern w:val="2"/>
      <w:sz w:val="21"/>
      <w:szCs w:val="24"/>
    </w:rPr>
  </w:style>
  <w:style w:type="character" w:customStyle="1" w:styleId="56">
    <w:name w:val="批注文字 Char"/>
    <w:basedOn w:val="29"/>
    <w:autoRedefine/>
    <w:qFormat/>
    <w:uiPriority w:val="0"/>
    <w:rPr>
      <w:rFonts w:ascii="Calibri" w:hAnsi="Calibri"/>
      <w:kern w:val="2"/>
      <w:sz w:val="21"/>
    </w:rPr>
  </w:style>
  <w:style w:type="paragraph" w:customStyle="1" w:styleId="57">
    <w:name w:val="Table Paragraph"/>
    <w:basedOn w:val="1"/>
    <w:autoRedefine/>
    <w:qFormat/>
    <w:uiPriority w:val="1"/>
    <w:pPr>
      <w:autoSpaceDE w:val="0"/>
      <w:autoSpaceDN w:val="0"/>
      <w:adjustRightInd w:val="0"/>
      <w:jc w:val="left"/>
    </w:pPr>
    <w:rPr>
      <w:rFonts w:ascii="Calibri" w:hAnsi="Calibri"/>
      <w:kern w:val="0"/>
      <w:sz w:val="24"/>
    </w:rPr>
  </w:style>
  <w:style w:type="paragraph" w:customStyle="1" w:styleId="58">
    <w:name w:val="图表文字"/>
    <w:basedOn w:val="1"/>
    <w:link w:val="61"/>
    <w:autoRedefine/>
    <w:qFormat/>
    <w:uiPriority w:val="0"/>
    <w:pPr>
      <w:spacing w:line="300" w:lineRule="exact"/>
      <w:jc w:val="center"/>
    </w:pPr>
    <w:rPr>
      <w:rFonts w:ascii="Calibri" w:hAnsi="Calibri"/>
      <w:bCs/>
      <w:szCs w:val="20"/>
    </w:rPr>
  </w:style>
  <w:style w:type="paragraph" w:customStyle="1" w:styleId="59">
    <w:name w:val="我的样式（正文）"/>
    <w:basedOn w:val="1"/>
    <w:autoRedefine/>
    <w:qFormat/>
    <w:uiPriority w:val="0"/>
    <w:pPr>
      <w:spacing w:line="440" w:lineRule="exact"/>
    </w:pPr>
    <w:rPr>
      <w:rFonts w:ascii="宋体" w:hAnsi="Calibri"/>
      <w:sz w:val="28"/>
    </w:rPr>
  </w:style>
  <w:style w:type="character" w:customStyle="1" w:styleId="60">
    <w:name w:val="正文缩进 字符"/>
    <w:basedOn w:val="29"/>
    <w:link w:val="5"/>
    <w:autoRedefine/>
    <w:qFormat/>
    <w:uiPriority w:val="0"/>
    <w:rPr>
      <w:rFonts w:ascii="Calibri" w:hAnsi="Calibri"/>
      <w:kern w:val="2"/>
      <w:sz w:val="21"/>
    </w:rPr>
  </w:style>
  <w:style w:type="character" w:customStyle="1" w:styleId="61">
    <w:name w:val="图表文字 Char"/>
    <w:link w:val="58"/>
    <w:autoRedefine/>
    <w:qFormat/>
    <w:uiPriority w:val="0"/>
    <w:rPr>
      <w:rFonts w:ascii="Calibri" w:hAnsi="Calibri"/>
      <w:bCs/>
      <w:kern w:val="2"/>
      <w:sz w:val="21"/>
    </w:rPr>
  </w:style>
  <w:style w:type="character" w:customStyle="1" w:styleId="62">
    <w:name w:val="标题 2 字符"/>
    <w:basedOn w:val="29"/>
    <w:link w:val="3"/>
    <w:autoRedefine/>
    <w:semiHidden/>
    <w:qFormat/>
    <w:uiPriority w:val="0"/>
    <w:rPr>
      <w:rFonts w:asciiTheme="majorHAnsi" w:hAnsiTheme="majorHAnsi" w:eastAsiaTheme="majorEastAsia" w:cstheme="majorBidi"/>
      <w:b/>
      <w:bCs/>
      <w:kern w:val="2"/>
      <w:sz w:val="32"/>
      <w:szCs w:val="32"/>
    </w:rPr>
  </w:style>
  <w:style w:type="character" w:customStyle="1" w:styleId="63">
    <w:name w:val="纯文本 字符"/>
    <w:basedOn w:val="29"/>
    <w:link w:val="10"/>
    <w:autoRedefine/>
    <w:qFormat/>
    <w:uiPriority w:val="0"/>
    <w:rPr>
      <w:rFonts w:ascii="宋体" w:hAnsi="Courier New"/>
      <w:kern w:val="2"/>
      <w:sz w:val="21"/>
    </w:rPr>
  </w:style>
  <w:style w:type="character" w:customStyle="1" w:styleId="64">
    <w:name w:val="正文文本缩进 2 字符"/>
    <w:basedOn w:val="29"/>
    <w:link w:val="14"/>
    <w:autoRedefine/>
    <w:qFormat/>
    <w:uiPriority w:val="0"/>
    <w:rPr>
      <w:rFonts w:ascii="宋体" w:hAnsi="Calibri"/>
      <w:bCs/>
      <w:kern w:val="2"/>
      <w:sz w:val="24"/>
    </w:rPr>
  </w:style>
  <w:style w:type="character" w:customStyle="1" w:styleId="65">
    <w:name w:val="正文文本缩进 3 字符"/>
    <w:basedOn w:val="29"/>
    <w:link w:val="19"/>
    <w:autoRedefine/>
    <w:qFormat/>
    <w:uiPriority w:val="0"/>
    <w:rPr>
      <w:rFonts w:ascii="宋体" w:hAnsi="宋体"/>
      <w:kern w:val="2"/>
      <w:sz w:val="24"/>
    </w:rPr>
  </w:style>
  <w:style w:type="character" w:customStyle="1" w:styleId="66">
    <w:name w:val="正文文本首行缩进 2 字符"/>
    <w:basedOn w:val="51"/>
    <w:link w:val="24"/>
    <w:autoRedefine/>
    <w:qFormat/>
    <w:uiPriority w:val="0"/>
    <w:rPr>
      <w:rFonts w:ascii="Calibri" w:hAnsi="Calibri" w:eastAsia="楷体_GB2312"/>
      <w:color w:val="000000"/>
      <w:kern w:val="2"/>
      <w:sz w:val="21"/>
    </w:rPr>
  </w:style>
  <w:style w:type="paragraph" w:customStyle="1" w:styleId="67">
    <w:name w:val="Body Text 21"/>
    <w:basedOn w:val="1"/>
    <w:autoRedefine/>
    <w:qFormat/>
    <w:uiPriority w:val="0"/>
    <w:pPr>
      <w:textAlignment w:val="baseline"/>
    </w:pPr>
    <w:rPr>
      <w:rFonts w:ascii="Calibri" w:hAnsi="Calibri"/>
      <w:color w:val="000000"/>
      <w:sz w:val="24"/>
      <w:szCs w:val="20"/>
    </w:rPr>
  </w:style>
  <w:style w:type="paragraph" w:customStyle="1" w:styleId="68">
    <w:name w:val="图文框"/>
    <w:basedOn w:val="1"/>
    <w:autoRedefine/>
    <w:qFormat/>
    <w:uiPriority w:val="0"/>
    <w:pPr>
      <w:adjustRightInd w:val="0"/>
      <w:snapToGrid w:val="0"/>
      <w:jc w:val="center"/>
    </w:pPr>
    <w:rPr>
      <w:rFonts w:ascii="宋体" w:hAnsi="宋体"/>
      <w:color w:val="000000"/>
      <w:sz w:val="18"/>
    </w:rPr>
  </w:style>
  <w:style w:type="paragraph" w:customStyle="1" w:styleId="69">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70">
    <w:name w:val="p0"/>
    <w:basedOn w:val="1"/>
    <w:autoRedefine/>
    <w:qFormat/>
    <w:uiPriority w:val="0"/>
    <w:pPr>
      <w:widowControl/>
    </w:pPr>
    <w:rPr>
      <w:rFonts w:ascii="Calibri" w:hAnsi="Calibri"/>
      <w:kern w:val="0"/>
      <w:szCs w:val="21"/>
    </w:rPr>
  </w:style>
  <w:style w:type="paragraph" w:customStyle="1" w:styleId="71">
    <w:name w:val="表格标题"/>
    <w:basedOn w:val="1"/>
    <w:autoRedefine/>
    <w:qFormat/>
    <w:uiPriority w:val="0"/>
    <w:pPr>
      <w:adjustRightInd w:val="0"/>
      <w:spacing w:before="120" w:line="360" w:lineRule="auto"/>
      <w:jc w:val="center"/>
    </w:pPr>
    <w:rPr>
      <w:rFonts w:ascii="Calibri" w:hAnsi="Calibri" w:eastAsia="文鼎CS中宋"/>
      <w:kern w:val="0"/>
      <w:sz w:val="24"/>
      <w:szCs w:val="20"/>
    </w:rPr>
  </w:style>
  <w:style w:type="paragraph" w:customStyle="1" w:styleId="72">
    <w:name w:val="文本框样式"/>
    <w:basedOn w:val="1"/>
    <w:autoRedefine/>
    <w:qFormat/>
    <w:uiPriority w:val="0"/>
    <w:pPr>
      <w:jc w:val="center"/>
    </w:pPr>
    <w:rPr>
      <w:rFonts w:ascii="Calibri" w:hAnsi="Calibri"/>
      <w:szCs w:val="21"/>
    </w:rPr>
  </w:style>
  <w:style w:type="paragraph" w:customStyle="1" w:styleId="73">
    <w:name w:val="图标题"/>
    <w:basedOn w:val="1"/>
    <w:autoRedefine/>
    <w:qFormat/>
    <w:uiPriority w:val="0"/>
    <w:pPr>
      <w:spacing w:line="300" w:lineRule="exact"/>
    </w:pPr>
    <w:rPr>
      <w:rFonts w:ascii="仿宋_GB2312" w:hAnsi="Calibri" w:eastAsia="仿宋_GB2312"/>
      <w:b/>
      <w:bCs/>
      <w:sz w:val="24"/>
    </w:rPr>
  </w:style>
  <w:style w:type="character" w:customStyle="1" w:styleId="74">
    <w:name w:val="font11"/>
    <w:basedOn w:val="29"/>
    <w:autoRedefine/>
    <w:qFormat/>
    <w:uiPriority w:val="0"/>
    <w:rPr>
      <w:rFonts w:hint="eastAsia" w:ascii="宋体" w:hAnsi="宋体" w:eastAsia="宋体" w:cs="宋体"/>
      <w:color w:val="000000"/>
      <w:sz w:val="18"/>
      <w:szCs w:val="18"/>
      <w:u w:val="none"/>
    </w:rPr>
  </w:style>
  <w:style w:type="character" w:customStyle="1" w:styleId="75">
    <w:name w:val="font21"/>
    <w:basedOn w:val="29"/>
    <w:autoRedefine/>
    <w:qFormat/>
    <w:uiPriority w:val="0"/>
    <w:rPr>
      <w:rFonts w:hint="default" w:ascii="TimesNewRomanPSMT" w:hAnsi="TimesNewRomanPSMT" w:eastAsia="TimesNewRomanPSMT" w:cs="TimesNewRomanPSMT"/>
      <w:color w:val="000000"/>
      <w:sz w:val="18"/>
      <w:szCs w:val="18"/>
      <w:u w:val="none"/>
    </w:rPr>
  </w:style>
  <w:style w:type="paragraph" w:customStyle="1" w:styleId="76">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77">
    <w:name w:val="Other|1"/>
    <w:basedOn w:val="1"/>
    <w:autoRedefine/>
    <w:qFormat/>
    <w:uiPriority w:val="0"/>
    <w:rPr>
      <w:rFonts w:ascii="MingLiU" w:hAnsi="MingLiU" w:eastAsia="MingLiU" w:cs="MingLiU"/>
      <w:sz w:val="19"/>
      <w:szCs w:val="19"/>
      <w:lang w:val="zh-TW" w:eastAsia="zh-TW" w:bidi="zh-TW"/>
    </w:rPr>
  </w:style>
  <w:style w:type="paragraph" w:customStyle="1" w:styleId="78">
    <w:name w:val="Body text|1"/>
    <w:basedOn w:val="1"/>
    <w:autoRedefine/>
    <w:qFormat/>
    <w:uiPriority w:val="0"/>
    <w:pPr>
      <w:spacing w:after="180" w:line="413" w:lineRule="auto"/>
    </w:pPr>
    <w:rPr>
      <w:rFonts w:ascii="宋体" w:hAnsi="宋体" w:cs="宋体"/>
      <w:szCs w:val="20"/>
      <w:lang w:val="zh-TW" w:eastAsia="zh-TW" w:bidi="zh-TW"/>
    </w:rPr>
  </w:style>
  <w:style w:type="paragraph" w:customStyle="1" w:styleId="79">
    <w:name w:val="Table caption|1"/>
    <w:basedOn w:val="1"/>
    <w:autoRedefine/>
    <w:qFormat/>
    <w:uiPriority w:val="0"/>
    <w:rPr>
      <w:rFonts w:ascii="MingLiU" w:hAnsi="MingLiU" w:eastAsia="MingLiU" w:cs="MingLiU"/>
      <w:sz w:val="19"/>
      <w:szCs w:val="19"/>
      <w:lang w:val="zh-TW" w:eastAsia="zh-TW" w:bidi="zh-TW"/>
    </w:rPr>
  </w:style>
  <w:style w:type="character" w:customStyle="1" w:styleId="80">
    <w:name w:val="批注框文本 Char"/>
    <w:basedOn w:val="29"/>
    <w:autoRedefine/>
    <w:qFormat/>
    <w:uiPriority w:val="0"/>
    <w:rPr>
      <w:rFonts w:ascii="Calibri" w:hAnsi="Calibri"/>
      <w:kern w:val="2"/>
      <w:sz w:val="18"/>
      <w:szCs w:val="18"/>
    </w:rPr>
  </w:style>
  <w:style w:type="character" w:styleId="81">
    <w:name w:val="Placeholder Text"/>
    <w:basedOn w:val="29"/>
    <w:autoRedefine/>
    <w:unhideWhenUsed/>
    <w:qFormat/>
    <w:uiPriority w:val="99"/>
    <w:rPr>
      <w:color w:val="808080"/>
    </w:rPr>
  </w:style>
  <w:style w:type="paragraph" w:styleId="82">
    <w:name w:val="List Paragraph"/>
    <w:basedOn w:val="1"/>
    <w:autoRedefine/>
    <w:unhideWhenUsed/>
    <w:qFormat/>
    <w:uiPriority w:val="99"/>
    <w:pPr>
      <w:ind w:firstLine="420" w:firstLineChars="200"/>
    </w:pPr>
    <w:rPr>
      <w:rFonts w:ascii="Calibri" w:hAnsi="Calibri"/>
      <w:szCs w:val="20"/>
    </w:rPr>
  </w:style>
  <w:style w:type="character" w:customStyle="1" w:styleId="83">
    <w:name w:val="批注主题 Char"/>
    <w:basedOn w:val="56"/>
    <w:autoRedefine/>
    <w:qFormat/>
    <w:uiPriority w:val="0"/>
    <w:rPr>
      <w:rFonts w:ascii="Calibri" w:hAnsi="Calibri"/>
      <w:kern w:val="2"/>
      <w:sz w:val="21"/>
    </w:rPr>
  </w:style>
  <w:style w:type="character" w:customStyle="1" w:styleId="84">
    <w:name w:val="页眉 Char"/>
    <w:basedOn w:val="29"/>
    <w:autoRedefine/>
    <w:qFormat/>
    <w:uiPriority w:val="0"/>
    <w:rPr>
      <w:rFonts w:ascii="Calibri" w:hAnsi="Calibri"/>
      <w:kern w:val="2"/>
      <w:sz w:val="18"/>
      <w:szCs w:val="24"/>
    </w:rPr>
  </w:style>
  <w:style w:type="paragraph" w:customStyle="1" w:styleId="85">
    <w:name w:val="样式 自动设置"/>
    <w:basedOn w:val="1"/>
    <w:autoRedefine/>
    <w:qFormat/>
    <w:uiPriority w:val="0"/>
    <w:pPr>
      <w:autoSpaceDE w:val="0"/>
      <w:autoSpaceDN w:val="0"/>
      <w:adjustRightInd w:val="0"/>
      <w:snapToGrid w:val="0"/>
      <w:spacing w:beforeLines="50" w:line="288" w:lineRule="auto"/>
      <w:ind w:firstLine="200" w:firstLineChars="200"/>
    </w:pPr>
    <w:rPr>
      <w:rFonts w:cs="宋体"/>
      <w:sz w:val="24"/>
      <w:szCs w:val="20"/>
    </w:rPr>
  </w:style>
  <w:style w:type="paragraph" w:customStyle="1" w:styleId="86">
    <w:name w:val="+正文"/>
    <w:basedOn w:val="1"/>
    <w:autoRedefine/>
    <w:qFormat/>
    <w:uiPriority w:val="0"/>
    <w:pPr>
      <w:spacing w:line="360" w:lineRule="auto"/>
      <w:ind w:firstLine="200" w:firstLineChars="200"/>
    </w:pPr>
    <w:rPr>
      <w:sz w:val="24"/>
      <w:szCs w:val="22"/>
    </w:rPr>
  </w:style>
  <w:style w:type="paragraph" w:customStyle="1" w:styleId="87">
    <w:name w:val="1  正文"/>
    <w:basedOn w:val="1"/>
    <w:autoRedefine/>
    <w:qFormat/>
    <w:uiPriority w:val="0"/>
    <w:pPr>
      <w:spacing w:line="360" w:lineRule="auto"/>
      <w:ind w:firstLine="480" w:firstLineChars="200"/>
    </w:pPr>
    <w:rPr>
      <w:sz w:val="24"/>
    </w:rPr>
  </w:style>
  <w:style w:type="paragraph" w:customStyle="1" w:styleId="88">
    <w:name w:val="列出段落1"/>
    <w:basedOn w:val="1"/>
    <w:autoRedefine/>
    <w:qFormat/>
    <w:uiPriority w:val="0"/>
    <w:pPr>
      <w:ind w:firstLine="420" w:firstLineChars="200"/>
    </w:pPr>
    <w:rPr>
      <w:szCs w:val="20"/>
    </w:rPr>
  </w:style>
  <w:style w:type="paragraph" w:customStyle="1" w:styleId="89">
    <w:name w:val="表内文字"/>
    <w:basedOn w:val="1"/>
    <w:autoRedefine/>
    <w:qFormat/>
    <w:uiPriority w:val="0"/>
    <w:pPr>
      <w:jc w:val="center"/>
    </w:pPr>
    <w:rPr>
      <w:sz w:val="24"/>
    </w:rPr>
  </w:style>
  <w:style w:type="paragraph" w:customStyle="1" w:styleId="90">
    <w:name w:val="报告表正文"/>
    <w:basedOn w:val="91"/>
    <w:autoRedefine/>
    <w:qFormat/>
    <w:uiPriority w:val="0"/>
    <w:pPr>
      <w:ind w:firstLine="200" w:firstLineChars="200"/>
      <w:jc w:val="left"/>
    </w:pPr>
    <w:rPr>
      <w:rFonts w:ascii="Times New Roman" w:hAnsi="Times New Roman"/>
      <w:szCs w:val="24"/>
    </w:rPr>
  </w:style>
  <w:style w:type="paragraph" w:customStyle="1" w:styleId="91">
    <w:name w:val="列表1"/>
    <w:basedOn w:val="1"/>
    <w:autoRedefine/>
    <w:qFormat/>
    <w:uiPriority w:val="0"/>
    <w:pPr>
      <w:spacing w:line="400" w:lineRule="exact"/>
      <w:jc w:val="center"/>
    </w:pPr>
    <w:rPr>
      <w:rFonts w:ascii="宋体" w:hAnsi="宋体" w:eastAsia="仿宋_GB2312"/>
      <w:sz w:val="24"/>
      <w:szCs w:val="20"/>
    </w:rPr>
  </w:style>
  <w:style w:type="character" w:customStyle="1" w:styleId="92">
    <w:name w:val="font31"/>
    <w:basedOn w:val="29"/>
    <w:autoRedefine/>
    <w:qFormat/>
    <w:uiPriority w:val="0"/>
    <w:rPr>
      <w:rFonts w:hint="eastAsia" w:ascii="宋体" w:hAnsi="宋体" w:eastAsia="宋体" w:cs="宋体"/>
      <w:color w:val="000000"/>
      <w:sz w:val="24"/>
      <w:szCs w:val="24"/>
      <w:u w:val="none"/>
    </w:rPr>
  </w:style>
  <w:style w:type="paragraph" w:customStyle="1" w:styleId="93">
    <w:name w:val="3表格正文"/>
    <w:basedOn w:val="1"/>
    <w:autoRedefine/>
    <w:qFormat/>
    <w:uiPriority w:val="0"/>
    <w:pPr>
      <w:widowControl w:val="0"/>
      <w:adjustRightInd w:val="0"/>
      <w:snapToGrid w:val="0"/>
      <w:jc w:val="center"/>
    </w:pPr>
    <w:rPr>
      <w:rFonts w:ascii="Times New Roman" w:hAnsi="Times New Roman" w:eastAsia="宋体" w:cs="Times New Roman"/>
      <w:bCs/>
      <w:color w:val="FF0000"/>
      <w:kern w:val="2"/>
      <w:sz w:val="21"/>
      <w:szCs w:val="21"/>
    </w:rPr>
  </w:style>
  <w:style w:type="paragraph" w:customStyle="1" w:styleId="94">
    <w:name w:val="正文11"/>
    <w:basedOn w:val="1"/>
    <w:autoRedefine/>
    <w:qFormat/>
    <w:uiPriority w:val="0"/>
    <w:pPr>
      <w:widowControl w:val="0"/>
      <w:autoSpaceDE w:val="0"/>
      <w:autoSpaceDN w:val="0"/>
      <w:snapToGrid w:val="0"/>
      <w:spacing w:before="240" w:line="520" w:lineRule="atLeast"/>
      <w:ind w:firstLine="510"/>
      <w:jc w:val="both"/>
    </w:pPr>
    <w:rPr>
      <w:rFonts w:cs="Times New Roman"/>
      <w:szCs w:val="20"/>
    </w:rPr>
  </w:style>
  <w:style w:type="paragraph" w:customStyle="1" w:styleId="95">
    <w:name w:val="Z表格标题"/>
    <w:basedOn w:val="1"/>
    <w:next w:val="1"/>
    <w:autoRedefine/>
    <w:qFormat/>
    <w:uiPriority w:val="0"/>
    <w:pPr>
      <w:spacing w:line="400" w:lineRule="exact"/>
      <w:jc w:val="center"/>
    </w:pPr>
    <w:rPr>
      <w:rFonts w:ascii="Times New Roman" w:hAnsi="Times New Roman" w:eastAsia="宋体"/>
      <w:b/>
    </w:rPr>
  </w:style>
  <w:style w:type="paragraph" w:customStyle="1" w:styleId="96">
    <w:name w:val="Z嵌套表格内容"/>
    <w:basedOn w:val="1"/>
    <w:autoRedefine/>
    <w:qFormat/>
    <w:uiPriority w:val="0"/>
    <w:pPr>
      <w:jc w:val="center"/>
    </w:pPr>
  </w:style>
  <w:style w:type="paragraph" w:customStyle="1" w:styleId="97">
    <w:name w:val="文本正文"/>
    <w:basedOn w:val="1"/>
    <w:autoRedefine/>
    <w:qFormat/>
    <w:uiPriority w:val="0"/>
    <w:pPr>
      <w:autoSpaceDE w:val="0"/>
      <w:autoSpaceDN w:val="0"/>
      <w:adjustRightInd w:val="0"/>
      <w:spacing w:line="360" w:lineRule="auto"/>
      <w:ind w:firstLine="200" w:firstLineChars="200"/>
      <w:textAlignment w:val="baseline"/>
    </w:pPr>
    <w:rPr>
      <w:rFonts w:ascii="宋体" w:hAnsi="宋体"/>
      <w:snapToGrid w:val="0"/>
      <w:color w:val="000000"/>
      <w:spacing w:val="4"/>
      <w:kern w:val="18"/>
      <w:sz w:val="24"/>
    </w:rPr>
  </w:style>
  <w:style w:type="paragraph" w:customStyle="1" w:styleId="98">
    <w:name w:val="表格的文字"/>
    <w:basedOn w:val="58"/>
    <w:autoRedefine/>
    <w:qFormat/>
    <w:uiPriority w:val="0"/>
    <w:rPr>
      <w:rFonts w:ascii="仿宋_GB2312" w:eastAsia="仿宋_GB2312"/>
    </w:rPr>
  </w:style>
  <w:style w:type="paragraph" w:customStyle="1" w:styleId="99">
    <w:name w:val="表题"/>
    <w:basedOn w:val="18"/>
    <w:autoRedefine/>
    <w:qFormat/>
    <w:uiPriority w:val="0"/>
    <w:pPr>
      <w:spacing w:beforeLines="50" w:line="480" w:lineRule="exact"/>
    </w:pPr>
    <w:rPr>
      <w:rFonts w:ascii="Times New Roman" w:eastAsia="黑体"/>
      <w:szCs w:val="24"/>
    </w:rPr>
  </w:style>
  <w:style w:type="paragraph" w:customStyle="1" w:styleId="100">
    <w:name w:val="陈表格标题"/>
    <w:basedOn w:val="1"/>
    <w:autoRedefine/>
    <w:qFormat/>
    <w:uiPriority w:val="0"/>
    <w:pPr>
      <w:adjustRightInd w:val="0"/>
      <w:snapToGrid w:val="0"/>
      <w:spacing w:line="240" w:lineRule="auto"/>
      <w:ind w:firstLine="720"/>
      <w:jc w:val="center"/>
    </w:pPr>
    <w:rPr>
      <w:b/>
      <w:kern w:val="0"/>
      <w:szCs w:val="20"/>
    </w:rPr>
  </w:style>
  <w:style w:type="paragraph" w:customStyle="1" w:styleId="101">
    <w:name w:val="陈表格"/>
    <w:basedOn w:val="1"/>
    <w:autoRedefine/>
    <w:qFormat/>
    <w:uiPriority w:val="0"/>
    <w:pPr>
      <w:adjustRightInd w:val="0"/>
      <w:snapToGrid w:val="0"/>
      <w:spacing w:line="240" w:lineRule="auto"/>
      <w:ind w:firstLine="0" w:firstLineChars="0"/>
      <w:jc w:val="center"/>
    </w:pPr>
    <w:rPr>
      <w:kern w:val="0"/>
      <w:szCs w:val="20"/>
    </w:rPr>
  </w:style>
  <w:style w:type="paragraph" w:customStyle="1" w:styleId="102">
    <w:name w:val="a表"/>
    <w:basedOn w:val="1"/>
    <w:autoRedefine/>
    <w:qFormat/>
    <w:uiPriority w:val="0"/>
    <w:pPr>
      <w:snapToGrid w:val="0"/>
      <w:spacing w:line="240" w:lineRule="auto"/>
      <w:ind w:firstLine="0" w:firstLineChars="0"/>
      <w:jc w:val="center"/>
    </w:pPr>
    <w:rPr>
      <w:spacing w:val="2"/>
      <w:szCs w:val="22"/>
    </w:rPr>
  </w:style>
  <w:style w:type="paragraph" w:customStyle="1" w:styleId="103">
    <w:name w:val="陈正文"/>
    <w:basedOn w:val="1"/>
    <w:next w:val="1"/>
    <w:autoRedefine/>
    <w:qFormat/>
    <w:uiPriority w:val="0"/>
    <w:pPr>
      <w:adjustRightInd w:val="0"/>
      <w:snapToGrid w:val="0"/>
      <w:spacing w:line="360" w:lineRule="auto"/>
      <w:ind w:firstLine="720" w:firstLineChars="200"/>
      <w:jc w:val="left"/>
    </w:pPr>
    <w:rPr>
      <w:rFonts w:ascii="Times New Roman" w:hAnsi="Times New Roman" w:eastAsia="宋体"/>
      <w:kern w:val="0"/>
      <w:sz w:val="24"/>
      <w:szCs w:val="20"/>
    </w:rPr>
  </w:style>
  <w:style w:type="paragraph" w:customStyle="1" w:styleId="104">
    <w:name w:val="Char Char Char Char"/>
    <w:basedOn w:val="1"/>
    <w:autoRedefine/>
    <w:qFormat/>
    <w:uiPriority w:val="0"/>
    <w:pPr>
      <w:adjustRightInd w:val="0"/>
      <w:snapToGrid w:val="0"/>
      <w:ind w:firstLine="420"/>
    </w:pPr>
  </w:style>
  <w:style w:type="paragraph" w:customStyle="1" w:styleId="105">
    <w:name w:val="1正文"/>
    <w:basedOn w:val="1"/>
    <w:autoRedefine/>
    <w:qFormat/>
    <w:uiPriority w:val="99"/>
    <w:pPr>
      <w:autoSpaceDE w:val="0"/>
      <w:autoSpaceDN w:val="0"/>
      <w:adjustRightInd w:val="0"/>
      <w:snapToGrid w:val="0"/>
      <w:spacing w:line="500" w:lineRule="exact"/>
      <w:ind w:firstLine="200" w:firstLineChars="200"/>
    </w:pPr>
    <w:rPr>
      <w:bCs/>
      <w:spacing w:val="5"/>
      <w:kern w:val="0"/>
      <w:sz w:val="24"/>
      <w:szCs w:val="21"/>
    </w:rPr>
  </w:style>
  <w:style w:type="paragraph" w:customStyle="1" w:styleId="106">
    <w:name w:val="正文缩进2"/>
    <w:basedOn w:val="1"/>
    <w:autoRedefine/>
    <w:qFormat/>
    <w:uiPriority w:val="0"/>
    <w:pPr>
      <w:spacing w:line="500" w:lineRule="exact"/>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wmf"/><Relationship Id="rId22" Type="http://schemas.openxmlformats.org/officeDocument/2006/relationships/oleObject" Target="embeddings/oleObject1.bin"/><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87</Pages>
  <Words>15286</Words>
  <Characters>16143</Characters>
  <Lines>393</Lines>
  <Paragraphs>110</Paragraphs>
  <TotalTime>1</TotalTime>
  <ScaleCrop>false</ScaleCrop>
  <LinksUpToDate>false</LinksUpToDate>
  <CharactersWithSpaces>16206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2021-04-26T02:29:00Z</dcterms:created>
  <dc:creator>lhj</dc:creator>
  <cp:lastModifiedBy>球球</cp:lastModifiedBy>
  <cp:lastPrinted>2023-11-28T08:15:00Z</cp:lastPrinted>
  <dcterms:modified xsi:type="dcterms:W3CDTF">2025-01-02T07:23:26Z</dcterms:modified>
  <dc:title>附件2</dc:title>
  <cp:revision>958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55890C15BDD647239AE8F86BFB75E25B</vt:lpwstr>
  </property>
  <property fmtid="{D5CDD505-2E9C-101B-9397-08002B2CF9AE}" pid="4" name="KSOTemplateDocerSaveRecord">
    <vt:lpwstr>eyJoZGlkIjoiYWZhMzA0MTE2MGQ3ODcwOTgyMWY3NzY0ZDhkYzQxODciLCJ1c2VySWQiOiIzODk2NzQyOTcifQ==</vt:lpwstr>
  </property>
</Properties>
</file>