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1F56E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63DE4BF3"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年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省级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衔接资金项目入库汇总表</w:t>
      </w:r>
    </w:p>
    <w:tbl>
      <w:tblPr>
        <w:tblStyle w:val="14"/>
        <w:tblW w:w="13642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3105"/>
        <w:gridCol w:w="1080"/>
        <w:gridCol w:w="1155"/>
        <w:gridCol w:w="945"/>
        <w:gridCol w:w="1065"/>
        <w:gridCol w:w="1440"/>
        <w:gridCol w:w="1620"/>
        <w:gridCol w:w="1830"/>
      </w:tblGrid>
      <w:tr w14:paraId="32C0F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2" w:type="dxa"/>
            <w:vMerge w:val="restart"/>
            <w:tcBorders>
              <w:bottom w:val="nil"/>
            </w:tcBorders>
          </w:tcPr>
          <w:p w14:paraId="4B3A31DB">
            <w:pPr>
              <w:spacing w:before="293" w:line="219" w:lineRule="auto"/>
              <w:ind w:firstLine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项目名称</w:t>
            </w:r>
          </w:p>
        </w:tc>
        <w:tc>
          <w:tcPr>
            <w:tcW w:w="3105" w:type="dxa"/>
            <w:vMerge w:val="restart"/>
            <w:tcBorders>
              <w:bottom w:val="nil"/>
            </w:tcBorders>
            <w:vAlign w:val="center"/>
          </w:tcPr>
          <w:p w14:paraId="236E540A">
            <w:pPr>
              <w:spacing w:before="68" w:line="219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1"/>
                <w:szCs w:val="21"/>
              </w:rPr>
              <w:t>建设内容与规模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 w14:paraId="225A5ABC">
            <w:pPr>
              <w:pStyle w:val="13"/>
              <w:spacing w:line="363" w:lineRule="auto"/>
              <w:rPr>
                <w:rFonts w:ascii="方正仿宋_GBK" w:hAnsi="方正仿宋_GBK" w:eastAsia="方正仿宋_GBK" w:cs="方正仿宋_GBK"/>
                <w:b/>
                <w:bCs/>
                <w:sz w:val="21"/>
              </w:rPr>
            </w:pPr>
          </w:p>
          <w:p w14:paraId="027C1DB2">
            <w:pPr>
              <w:spacing w:before="68" w:line="219" w:lineRule="auto"/>
              <w:ind w:firstLine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1"/>
                <w:szCs w:val="21"/>
              </w:rPr>
              <w:t xml:space="preserve"> 责任单位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14:paraId="4656AB7C">
            <w:pPr>
              <w:pStyle w:val="13"/>
              <w:spacing w:line="364" w:lineRule="auto"/>
              <w:rPr>
                <w:rFonts w:ascii="方正仿宋_GBK" w:hAnsi="方正仿宋_GBK" w:eastAsia="方正仿宋_GBK" w:cs="方正仿宋_GBK"/>
                <w:b/>
                <w:bCs/>
                <w:sz w:val="21"/>
              </w:rPr>
            </w:pPr>
          </w:p>
          <w:p w14:paraId="3F9A707C">
            <w:pPr>
              <w:spacing w:before="68" w:line="221" w:lineRule="auto"/>
              <w:ind w:firstLine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1"/>
                <w:szCs w:val="21"/>
              </w:rPr>
              <w:t xml:space="preserve"> 建设地点</w:t>
            </w:r>
          </w:p>
        </w:tc>
        <w:tc>
          <w:tcPr>
            <w:tcW w:w="2010" w:type="dxa"/>
            <w:gridSpan w:val="2"/>
          </w:tcPr>
          <w:p w14:paraId="3A820F2E">
            <w:pPr>
              <w:spacing w:before="43" w:line="211" w:lineRule="auto"/>
              <w:ind w:firstLine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1"/>
                <w:szCs w:val="21"/>
              </w:rPr>
              <w:t xml:space="preserve">     资金投入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14:paraId="4B967CAA">
            <w:pPr>
              <w:spacing w:before="69" w:line="220" w:lineRule="auto"/>
              <w:ind w:firstLine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1"/>
                <w:szCs w:val="21"/>
              </w:rPr>
              <w:t>绩效目标</w:t>
            </w: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 w14:paraId="53018488">
            <w:pPr>
              <w:spacing w:before="283" w:line="219" w:lineRule="auto"/>
              <w:ind w:left="276" w:right="59" w:hanging="209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 xml:space="preserve">联农带农机制 </w:t>
            </w:r>
          </w:p>
        </w:tc>
        <w:tc>
          <w:tcPr>
            <w:tcW w:w="1830" w:type="dxa"/>
            <w:vMerge w:val="restart"/>
            <w:tcBorders>
              <w:bottom w:val="nil"/>
            </w:tcBorders>
          </w:tcPr>
          <w:p w14:paraId="177F6545">
            <w:pPr>
              <w:spacing w:before="293" w:line="219" w:lineRule="auto"/>
              <w:ind w:firstLine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资产确权与              运营管护</w:t>
            </w:r>
          </w:p>
        </w:tc>
      </w:tr>
      <w:tr w14:paraId="17AE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" w:type="dxa"/>
            <w:vMerge w:val="continue"/>
            <w:tcBorders>
              <w:top w:val="nil"/>
            </w:tcBorders>
          </w:tcPr>
          <w:p w14:paraId="0819B40A">
            <w:pPr>
              <w:pStyle w:val="13"/>
              <w:jc w:val="left"/>
              <w:rPr>
                <w:rFonts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</w:tcBorders>
          </w:tcPr>
          <w:p w14:paraId="5A56690D">
            <w:pPr>
              <w:pStyle w:val="13"/>
              <w:rPr>
                <w:rFonts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 w14:paraId="243F3EB4">
            <w:pPr>
              <w:pStyle w:val="13"/>
              <w:rPr>
                <w:rFonts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</w:tcPr>
          <w:p w14:paraId="42C4352D">
            <w:pPr>
              <w:pStyle w:val="13"/>
              <w:rPr>
                <w:rFonts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45" w:type="dxa"/>
          </w:tcPr>
          <w:p w14:paraId="348D7A79">
            <w:pPr>
              <w:spacing w:before="280" w:line="220" w:lineRule="auto"/>
              <w:ind w:firstLine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1"/>
                <w:szCs w:val="21"/>
              </w:rPr>
              <w:t>总投入量</w:t>
            </w:r>
          </w:p>
        </w:tc>
        <w:tc>
          <w:tcPr>
            <w:tcW w:w="1065" w:type="dxa"/>
          </w:tcPr>
          <w:p w14:paraId="0BAC5291">
            <w:pPr>
              <w:spacing w:before="10" w:line="211" w:lineRule="auto"/>
              <w:ind w:right="90" w:firstLine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1"/>
                <w:szCs w:val="21"/>
              </w:rPr>
              <w:t>其中省级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1"/>
                <w:szCs w:val="21"/>
                <w:lang w:eastAsia="zh-CN"/>
              </w:rPr>
              <w:t>补助资金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 w14:paraId="351063D3">
            <w:pPr>
              <w:pStyle w:val="13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 w14:paraId="5E158AB9">
            <w:pPr>
              <w:pStyle w:val="13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</w:tcBorders>
          </w:tcPr>
          <w:p w14:paraId="01336A27">
            <w:pPr>
              <w:pStyle w:val="13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</w:p>
        </w:tc>
      </w:tr>
      <w:tr w14:paraId="426C3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E32E">
            <w:pPr>
              <w:spacing w:before="293" w:line="220" w:lineRule="auto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</w:rPr>
              <w:t>吕坵村新建蔬菜大棚基地项目</w:t>
            </w:r>
          </w:p>
        </w:tc>
        <w:tc>
          <w:tcPr>
            <w:tcW w:w="3105" w:type="dxa"/>
            <w:tcBorders>
              <w:left w:val="single" w:color="auto" w:sz="4" w:space="0"/>
            </w:tcBorders>
            <w:vAlign w:val="center"/>
          </w:tcPr>
          <w:p w14:paraId="0A6C37A7">
            <w:pPr>
              <w:spacing w:before="21" w:line="222" w:lineRule="auto"/>
              <w:ind w:right="90" w:firstLine="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</w:rPr>
              <w:t>新建单体蔬菜大棚约16000平米，以及U型渠道500米、水泥机耕道300米等配套设施建设。</w:t>
            </w:r>
          </w:p>
        </w:tc>
        <w:tc>
          <w:tcPr>
            <w:tcW w:w="1080" w:type="dxa"/>
            <w:vAlign w:val="center"/>
          </w:tcPr>
          <w:p w14:paraId="43C3E3E3">
            <w:pPr>
              <w:pStyle w:val="13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直溪镇吕坵村委会</w:t>
            </w:r>
          </w:p>
        </w:tc>
        <w:tc>
          <w:tcPr>
            <w:tcW w:w="1155" w:type="dxa"/>
            <w:vAlign w:val="center"/>
          </w:tcPr>
          <w:p w14:paraId="61FFBC7B">
            <w:pPr>
              <w:pStyle w:val="13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吕坵村</w:t>
            </w:r>
          </w:p>
        </w:tc>
        <w:tc>
          <w:tcPr>
            <w:tcW w:w="945" w:type="dxa"/>
            <w:vAlign w:val="center"/>
          </w:tcPr>
          <w:p w14:paraId="65CC37A4">
            <w:pPr>
              <w:pStyle w:val="13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100</w:t>
            </w:r>
          </w:p>
        </w:tc>
        <w:tc>
          <w:tcPr>
            <w:tcW w:w="1065" w:type="dxa"/>
            <w:vAlign w:val="center"/>
          </w:tcPr>
          <w:p w14:paraId="658B6EC8">
            <w:pPr>
              <w:pStyle w:val="13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70</w:t>
            </w:r>
          </w:p>
        </w:tc>
        <w:tc>
          <w:tcPr>
            <w:tcW w:w="1440" w:type="dxa"/>
            <w:vAlign w:val="center"/>
          </w:tcPr>
          <w:p w14:paraId="3DEEFC07">
            <w:pPr>
              <w:spacing w:before="291" w:line="219" w:lineRule="auto"/>
              <w:ind w:right="37" w:firstLine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>村集体每年增收10万元</w:t>
            </w:r>
          </w:p>
        </w:tc>
        <w:tc>
          <w:tcPr>
            <w:tcW w:w="1620" w:type="dxa"/>
            <w:vAlign w:val="center"/>
          </w:tcPr>
          <w:p w14:paraId="7187C20E">
            <w:pPr>
              <w:spacing w:before="291" w:line="219" w:lineRule="auto"/>
              <w:ind w:firstLine="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>解决约20人的就业问题</w:t>
            </w:r>
          </w:p>
        </w:tc>
        <w:tc>
          <w:tcPr>
            <w:tcW w:w="1830" w:type="dxa"/>
            <w:vAlign w:val="top"/>
          </w:tcPr>
          <w:p w14:paraId="37E09FC9">
            <w:pPr>
              <w:spacing w:before="291" w:line="219" w:lineRule="auto"/>
              <w:ind w:right="34" w:firstLine="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>资产归村集体所有，第三方运营管护</w:t>
            </w:r>
          </w:p>
        </w:tc>
      </w:tr>
      <w:tr w14:paraId="275AD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82A6">
            <w:pPr>
              <w:spacing w:before="293" w:line="220" w:lineRule="auto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</w:rPr>
              <w:t>新河村盆栽蓝莓项目</w:t>
            </w:r>
          </w:p>
        </w:tc>
        <w:tc>
          <w:tcPr>
            <w:tcW w:w="31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05864A1">
            <w:pPr>
              <w:spacing w:before="21" w:line="222" w:lineRule="auto"/>
              <w:ind w:right="90" w:firstLine="0"/>
              <w:rPr>
                <w:rFonts w:ascii="方正仿宋_GBK" w:hAnsi="方正仿宋_GBK" w:eastAsia="方正仿宋_GBK" w:cs="方正仿宋_GBK"/>
                <w:spacing w:val="-1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</w:rPr>
              <w:t>面积：总用地约45亩</w:t>
            </w:r>
          </w:p>
          <w:p w14:paraId="56BCD7B8">
            <w:pPr>
              <w:spacing w:before="21" w:line="222" w:lineRule="auto"/>
              <w:ind w:right="90" w:firstLine="0"/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</w:rPr>
              <w:t>建设内容：新建钢架大棚约26000㎡（占地40亩）培育蓝莓，临时用房面积约2000㎡（占地3亩）,道路硬化500米、沟渠400米，以及水循环处理、滴灌、喷雾等配套设施。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58F1CB">
            <w:pPr>
              <w:pStyle w:val="13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直溪镇新河村委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F7A9EA">
            <w:pPr>
              <w:pStyle w:val="13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新河村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D20431">
            <w:pPr>
              <w:pStyle w:val="13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350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E40D08">
            <w:pPr>
              <w:pStyle w:val="13"/>
              <w:ind w:firstLine="0"/>
              <w:jc w:val="center"/>
              <w:rPr>
                <w:rFonts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250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F841BC">
            <w:pPr>
              <w:spacing w:before="291" w:line="219" w:lineRule="auto"/>
              <w:ind w:right="37" w:firstLine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>预计村集体年收益30万元以上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297A74">
            <w:pPr>
              <w:spacing w:before="291" w:line="219" w:lineRule="auto"/>
              <w:ind w:firstLine="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解决农村部分剩余劳动力就业，带动村民推广种植，促进村民增收。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433E6FC">
            <w:pPr>
              <w:spacing w:before="291" w:line="219" w:lineRule="auto"/>
              <w:ind w:right="34" w:firstLine="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>资产归村集体所有，第三方公司运营管护（省农科院俞映倞博士牵头）</w:t>
            </w:r>
          </w:p>
        </w:tc>
      </w:tr>
      <w:tr w14:paraId="0FA12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0D161">
            <w:pPr>
              <w:spacing w:before="23" w:line="190" w:lineRule="auto"/>
              <w:ind w:firstLine="0"/>
              <w:rPr>
                <w:rFonts w:ascii="方正仿宋_GBK" w:hAnsi="方正仿宋_GBK" w:eastAsia="方正仿宋_GBK" w:cs="方正仿宋_GBK"/>
                <w:spacing w:val="2"/>
                <w:sz w:val="21"/>
                <w:szCs w:val="21"/>
              </w:rPr>
            </w:pPr>
          </w:p>
          <w:p w14:paraId="64BDBDFF">
            <w:pPr>
              <w:spacing w:before="23" w:line="190" w:lineRule="auto"/>
              <w:ind w:firstLine="0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泉江村农旅项目</w:t>
            </w:r>
          </w:p>
        </w:tc>
        <w:tc>
          <w:tcPr>
            <w:tcW w:w="31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2B6433">
            <w:pPr>
              <w:pStyle w:val="13"/>
              <w:spacing w:line="240" w:lineRule="exact"/>
              <w:ind w:firstLine="0"/>
              <w:jc w:val="left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村委与芥舟民宿合建农旅综合项目，新建框架结构建筑主体面积1920㎡（占地面积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640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），总共三层，结合当地农业资源和文化特色，为游客提供餐饮、住宿、观光、体验为一体的农旅服务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8EF6A6">
            <w:pPr>
              <w:pStyle w:val="13"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薛埠镇泉江村委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673E10">
            <w:pPr>
              <w:pStyle w:val="13"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泉江村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933C95">
            <w:pPr>
              <w:pStyle w:val="13"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350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A5A0E77">
            <w:pPr>
              <w:pStyle w:val="13"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A67EAA">
            <w:pPr>
              <w:pStyle w:val="13"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预计每年为村集体增收30万元左右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1A0A19">
            <w:pPr>
              <w:pStyle w:val="13"/>
              <w:spacing w:line="240" w:lineRule="exact"/>
              <w:ind w:firstLine="0"/>
              <w:jc w:val="left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为周边农户提供就业机会，通过游客的观光体验服务带动周边农副产品的销售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E9AA7CF">
            <w:pPr>
              <w:pStyle w:val="13"/>
              <w:spacing w:line="240" w:lineRule="exact"/>
              <w:ind w:firstLine="0"/>
              <w:jc w:val="left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泉江村负责建筑主体建设，后期芥舟民宿投入约300万元负责建筑内部装修，建成后运营管护由芥舟民宿负责</w:t>
            </w:r>
          </w:p>
        </w:tc>
      </w:tr>
    </w:tbl>
    <w:p w14:paraId="4B514369">
      <w:pPr>
        <w:widowControl/>
        <w:jc w:val="center"/>
        <w:textAlignment w:val="center"/>
        <w:rPr>
          <w:rFonts w:ascii="仿宋_GB2312" w:hAnsi="仿宋_GB2312" w:eastAsia="仿宋_GB2312" w:cs="仿宋_GB2312"/>
          <w:color w:val="000000"/>
          <w:sz w:val="24"/>
        </w:rPr>
      </w:pPr>
    </w:p>
    <w:sectPr>
      <w:pgSz w:w="16838" w:h="11906" w:orient="landscape"/>
      <w:pgMar w:top="1531" w:right="1417" w:bottom="1134" w:left="1701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05D7E09"/>
    <w:rsid w:val="00132EB2"/>
    <w:rsid w:val="001824AF"/>
    <w:rsid w:val="00340890"/>
    <w:rsid w:val="004E1C0E"/>
    <w:rsid w:val="005D7E09"/>
    <w:rsid w:val="0060602C"/>
    <w:rsid w:val="007553F9"/>
    <w:rsid w:val="007E3301"/>
    <w:rsid w:val="008A288A"/>
    <w:rsid w:val="0092483A"/>
    <w:rsid w:val="009822E5"/>
    <w:rsid w:val="009A32F9"/>
    <w:rsid w:val="00AA31AE"/>
    <w:rsid w:val="00B65226"/>
    <w:rsid w:val="00BF3DC6"/>
    <w:rsid w:val="00C6746A"/>
    <w:rsid w:val="00DC5530"/>
    <w:rsid w:val="00F12953"/>
    <w:rsid w:val="00F3770A"/>
    <w:rsid w:val="00F960E5"/>
    <w:rsid w:val="01F62E5F"/>
    <w:rsid w:val="05C41D7F"/>
    <w:rsid w:val="0C665126"/>
    <w:rsid w:val="0E3D4CCF"/>
    <w:rsid w:val="105F26AE"/>
    <w:rsid w:val="1423784E"/>
    <w:rsid w:val="144B3AE7"/>
    <w:rsid w:val="16A54B3E"/>
    <w:rsid w:val="18A01C22"/>
    <w:rsid w:val="1D807E56"/>
    <w:rsid w:val="250134F0"/>
    <w:rsid w:val="28BA05E3"/>
    <w:rsid w:val="29DA2A1F"/>
    <w:rsid w:val="2A071FC6"/>
    <w:rsid w:val="2A491C8A"/>
    <w:rsid w:val="2E6B2DDB"/>
    <w:rsid w:val="32FE5CE1"/>
    <w:rsid w:val="359C73A0"/>
    <w:rsid w:val="363C4BA7"/>
    <w:rsid w:val="3BE27687"/>
    <w:rsid w:val="3C286CEE"/>
    <w:rsid w:val="3D992C23"/>
    <w:rsid w:val="42EE4958"/>
    <w:rsid w:val="44CE28BD"/>
    <w:rsid w:val="49B44860"/>
    <w:rsid w:val="4F5B18C4"/>
    <w:rsid w:val="4FAD17C3"/>
    <w:rsid w:val="506D5769"/>
    <w:rsid w:val="519A2BEA"/>
    <w:rsid w:val="53F0318C"/>
    <w:rsid w:val="55F97735"/>
    <w:rsid w:val="55F97791"/>
    <w:rsid w:val="57CE5FEB"/>
    <w:rsid w:val="5A861A08"/>
    <w:rsid w:val="61696499"/>
    <w:rsid w:val="6219671A"/>
    <w:rsid w:val="64300B2F"/>
    <w:rsid w:val="695A040B"/>
    <w:rsid w:val="6CAE12F7"/>
    <w:rsid w:val="72117838"/>
    <w:rsid w:val="731F6654"/>
    <w:rsid w:val="75F776FF"/>
    <w:rsid w:val="76BE191E"/>
    <w:rsid w:val="77674E77"/>
    <w:rsid w:val="79221C96"/>
    <w:rsid w:val="7A704850"/>
    <w:rsid w:val="7D22263E"/>
    <w:rsid w:val="7DA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  <w:rPr>
      <w:sz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0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1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Char"/>
    <w:basedOn w:val="8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lang w:eastAsia="en-US"/>
    </w:rPr>
  </w:style>
  <w:style w:type="table" w:customStyle="1" w:styleId="1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834</Words>
  <Characters>933</Characters>
  <Lines>10</Lines>
  <Paragraphs>2</Paragraphs>
  <TotalTime>20</TotalTime>
  <ScaleCrop>false</ScaleCrop>
  <LinksUpToDate>false</LinksUpToDate>
  <CharactersWithSpaces>1002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詹小棠</cp:lastModifiedBy>
  <cp:lastPrinted>2019-08-26T09:37:00Z</cp:lastPrinted>
  <dcterms:modified xsi:type="dcterms:W3CDTF">2024-11-14T02:29:11Z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A1821F68AF2F4035894FA2256A2D6AB6_13</vt:lpwstr>
  </property>
</Properties>
</file>