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2024年省级财政衔接推进乡村振兴补助资金分配表</w:t>
      </w:r>
      <w:bookmarkEnd w:id="0"/>
    </w:p>
    <w:tbl>
      <w:tblPr>
        <w:tblStyle w:val="4"/>
        <w:tblpPr w:leftFromText="180" w:rightFromText="180" w:vertAnchor="text" w:horzAnchor="page" w:tblpXSpec="center" w:tblpY="673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35"/>
        <w:gridCol w:w="1680"/>
        <w:gridCol w:w="2010"/>
        <w:gridCol w:w="670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项目类别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项目单位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建设内容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革命老区相对薄弱乡镇振兴发展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薛埠镇倪巷村委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薛埠镇倪巷村种子冷诱导处理及仓储建设（二期）项目</w:t>
            </w:r>
          </w:p>
        </w:tc>
        <w:tc>
          <w:tcPr>
            <w:tcW w:w="670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</w:rPr>
              <w:t>新建1座占地930平方米种子冷诱导仓储用房，以及场地硬化、围墙围栏、车位、电力推拉门等附属配套设施，二是购置装载机、输送机等项目配套设备。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黄茅老区发展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朱林镇红旗圩村委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朱林镇红旗圩村水芹产业化示范基地建设（二期）项目</w:t>
            </w:r>
          </w:p>
        </w:tc>
        <w:tc>
          <w:tcPr>
            <w:tcW w:w="670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建钢结构水芹综合性生产厂房800平米（水芹加工、冷库、化氧地坪等），改建芹芽培育室193平米(房屋翻新、培育池、喷淋)，为农服务中心135平方米（原集散中心提档升级，内部装修、为农服务台、农产品展示柜），水循环系统(排污管网、泵站、净化池、水生植物)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道路硬化668米（水芹塘田埂道路硬化），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以及围栏、道路硬化、铺设沥青、品牌宣传等附属配套设施。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5BF85B23"/>
    <w:rsid w:val="5BF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2024-07-10T08:07:00Z</dcterms:created>
  <dc:creator>詹小棠</dc:creator>
  <cp:lastModifiedBy>詹小棠</cp:lastModifiedBy>
  <dcterms:modified xsi:type="dcterms:W3CDTF">2024-07-10T08:07:56Z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41E9B0479FB34494BEC8ECDEAC6EF77B_11</vt:lpwstr>
  </property>
</Properties>
</file>