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8" w:rsidRDefault="005232C8" w:rsidP="005232C8">
      <w:pPr>
        <w:pStyle w:val="Bodytext1"/>
        <w:spacing w:after="0" w:line="570" w:lineRule="exact"/>
        <w:rPr>
          <w:rFonts w:ascii="Times New Roman" w:eastAsia="方正小标宋简体" w:hAnsi="Times New Roman" w:cs="Times New Roman" w:hint="eastAsia"/>
          <w:color w:val="000000"/>
          <w:sz w:val="44"/>
          <w:szCs w:val="44"/>
          <w:lang w:eastAsia="zh-CN"/>
        </w:rPr>
      </w:pPr>
      <w:r w:rsidRPr="007B4BA9">
        <w:rPr>
          <w:rFonts w:ascii="Times New Roman" w:eastAsia="方正小标宋简体" w:hAnsi="Times New Roman" w:cs="Times New Roman"/>
          <w:color w:val="000000"/>
          <w:sz w:val="44"/>
          <w:szCs w:val="44"/>
        </w:rPr>
        <w:t>劳务派遣单位信用等级评</w:t>
      </w:r>
      <w:r w:rsidRPr="007B4BA9">
        <w:rPr>
          <w:rFonts w:ascii="Times New Roman" w:eastAsia="方正小标宋简体" w:hAnsi="Times New Roman" w:cs="Times New Roman"/>
          <w:color w:val="000000"/>
          <w:sz w:val="44"/>
          <w:szCs w:val="44"/>
          <w:lang w:eastAsia="zh-CN"/>
        </w:rPr>
        <w:t>价表</w:t>
      </w:r>
    </w:p>
    <w:p w:rsidR="005232C8" w:rsidRPr="007B4BA9" w:rsidRDefault="005232C8" w:rsidP="005232C8">
      <w:pPr>
        <w:pStyle w:val="Bodytext1"/>
        <w:spacing w:after="0" w:line="570" w:lineRule="exact"/>
        <w:rPr>
          <w:rFonts w:ascii="Times New Roman" w:eastAsia="方正小标宋简体" w:hAnsi="Times New Roman" w:cs="Times New Roman"/>
          <w:color w:val="000000"/>
          <w:sz w:val="44"/>
          <w:szCs w:val="44"/>
          <w:lang w:eastAsia="zh-CN"/>
        </w:rPr>
      </w:pPr>
    </w:p>
    <w:tbl>
      <w:tblPr>
        <w:tblW w:w="1391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219"/>
        <w:gridCol w:w="1965"/>
        <w:gridCol w:w="9679"/>
        <w:gridCol w:w="1055"/>
      </w:tblGrid>
      <w:tr w:rsidR="005232C8" w:rsidRPr="00852D31" w:rsidTr="00092F7C">
        <w:trPr>
          <w:trHeight w:hRule="exact" w:val="510"/>
          <w:tblHeader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评价细则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自评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得分</w:t>
            </w:r>
          </w:p>
        </w:tc>
      </w:tr>
      <w:tr w:rsidR="005232C8" w:rsidRPr="00852D31" w:rsidTr="00092F7C">
        <w:trPr>
          <w:trHeight w:hRule="exact" w:val="61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初始分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（60分）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获得许可并参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加核验（60分）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依法取得有效劳务派遣经营许可证或劳务派遣分公司备案证明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且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依法参加劳务派遣年度经营情况核验的，初始分为60分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6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基本指标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经营行业（5分）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主营业务是劳务派遣的，得5分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5232C8">
        <w:trPr>
          <w:trHeight w:hRule="exact" w:val="669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人员配备（3分）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公司拥有持有劳动关系协调、劳动人事争议调解或人力资源资格等证书的专业人员，满2名的，得1分；每多1名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>增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加1分，最多得3分。持证人员以与本公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司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签订劳动合同并缴纳社会保险费为准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经营年限（4分）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实际经营劳务派遣业务年限每满3年的，得1分，累计最多不超过4分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612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经营场地（3分）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 xml:space="preserve">经营场所为自有商业地产且面积50 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2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 xml:space="preserve">以上不满100 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2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 xml:space="preserve">的，得2分，100 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2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以上的得3分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；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经营场所为租赁商业地产，租赁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面积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50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2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以上且租赁期限3年以上的，得1分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624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注册资本（3分）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实缴资本300万元以上不满500万元的，得1分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；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500万元以上不满1000万元的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得2分；1000万元以上的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得3分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党组织（2分）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设立党的基层组织的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得2分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3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工会组织（2分）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依法建立工会组织的，得1分；每年至少开展工会活动2次的，得1分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56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规章制度（2分）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有完善的劳务派遣管理制度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管理制度经职工代表大会或者全体职工讨论，并公示或者告知劳动者的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得2分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信息系统（2分）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有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完善的信息管理系统并通过信息管理系统进行管理的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得2分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安全生产（1分）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建立健全安全生产规章制度、操作规程、事故应急预案等并进行演练的.得1分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职工培训（1分）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建立培训制度，对被派遣劳动者进行上岗知识、安全教育培训的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得1分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5232C8">
        <w:trPr>
          <w:trHeight w:hRule="exact" w:val="69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信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zh-CN" w:eastAsia="zh-CN"/>
              </w:rPr>
              <w:t>息公开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（1分）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在经营场所显著位置公示劳务派遣经营许可证、营业执照、服务项目、服务收费标准、公示管理制度、服务流程等的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得1分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6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其他（1分）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建立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服务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质量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体系,并通过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 xml:space="preserve">ISO 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9000等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质量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管理体系标准认证通过的，得1分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D714BA">
        <w:trPr>
          <w:trHeight w:hRule="exact" w:val="489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lastRenderedPageBreak/>
              <w:t>加分指标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（70分）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获得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表彰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获得党中央、国务院（含中办、国办）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表彰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的，加30分；其他国家级综合性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表彰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或认定先进的（人力资源社会保障部单独或联合 发文），加20分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D714BA">
        <w:trPr>
          <w:trHeight w:hRule="exact" w:val="425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获得省委、省政府（含两办）表彰的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加20分；其他省级综合性表彰或认定先进的（省人力资源社会保障厅单独或联合发文），加 10分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D714BA">
        <w:trPr>
          <w:trHeight w:hRule="exact" w:val="559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获得设区的市委、市政府（含两办）表彰的，加10分；其他市级综合性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表彰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或认定先进的（设区的市人力资源社会保障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局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单独或 联合发文）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加6分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D714BA">
        <w:trPr>
          <w:trHeight w:hRule="exact" w:val="436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获得县（市、区）委、县（市、区）政府（含两办）表彰的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加6分；其他县级综合性表彰或认定先进的［县（市、区）人力资源社会保障局单独或联合发文］，加3分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5232C8">
        <w:trPr>
          <w:trHeight w:hRule="exact" w:val="56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和谐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劳动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关系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建设（30分）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2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被认定为和谐劳动关系企业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国家级的，加30分；省级的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加20分；市级的，加10分；县级的，加5分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5232C8">
        <w:trPr>
          <w:trHeight w:hRule="exact" w:val="42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协调机制（2分）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建立劳动争议调解组织的，加2分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56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人才培养（2分）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在评价周期内，培养岀持有高级工及以上职业资格（职业技能等级）或中级及以上专业技术资格证书的技术技能人才，加2分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605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保障用工需求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（6分）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在评价周期内组织输入外省户籍劳动力在苏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稳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定就业人数、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且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在本单位连续参保缴费3个月以上，200人以上不满500人的， 加2分；500人以上不满1000人的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加4分；1000人以上的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加6分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减分指标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（160分）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抽逃资本（10分）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抽逃注册资本的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扣10分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49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虚报注册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资本（5分）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实缴资本与注册资本不一致的，扣5分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虚开发票（10分）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虚开劳务派遣方面发票的，扣10分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741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业务开展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未正常开展劳务派遣业务的不得评为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val="en-US" w:eastAsia="zh-CN"/>
              </w:rPr>
              <w:t>A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级，并按照以下标准扣分：评价周期内未正常开展劳务派遣业务的,扣5分；连续两个周期内未正常开展劳务派遣业务的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扣10分；连续三个周期内未正常开展劳务派遣业务的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扣15分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353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社保稽核（10分）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社会保险稽核中发现存在违法行为的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每次扣5分,最多扣10分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59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劳动保障监察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因劳动保障违法行为被依法行政处理处罚的，每次扣10分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最多扣20分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527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注册地与经营地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不一致（5分）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注册地和实际经营地不一致的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扣5分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232C8" w:rsidRPr="00852D31" w:rsidTr="00092F7C">
        <w:trPr>
          <w:trHeight w:hRule="exact" w:val="56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lastRenderedPageBreak/>
              <w:t>减分指标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（160 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劳动争议仲裁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发生集体劳动争议案件且败诉（含部分败诉）的，每件扣10分，发生非集体劳动争议案件且败诉（含部分败诉）的，每件扣5分，最多扣20分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A860F9">
        <w:trPr>
          <w:trHeight w:hRule="exact" w:val="487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逾期参加年度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核验（10分）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逾期参加劳务派遣单位年度经营情况核验的，扣10分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A860F9">
        <w:trPr>
          <w:trHeight w:hRule="exact" w:val="564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警示约谈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被人力资源和社会保障行政部门警示约谈的，每次扣5分，最多扣10分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567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个人社保代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理（15分）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通过虚构劳动关系等手段，违法为他人办理参加社会保险手续，缴纳社会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  <w:lang w:eastAsia="zh-CN"/>
              </w:rPr>
              <w:t>保险</w:t>
            </w: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费的，不满10人的，扣5分；10人以上不满100人的，扣10分；100人以上的，扣15分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567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违法派遣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（30分）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以承揽、外包等名义实施的假外包真派遣，自派遣，派遣非全日制用工，派遣日结工等情形，每有一项扣10分，最多扣30分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56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直接认定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为C级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未参加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年度核验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不参加劳务派遣单位年度经营情况核验，或提供虚假材料参加劳务派遣单位年度经营情况核验，或年度经营情况核验不合格的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A860F9">
        <w:trPr>
          <w:trHeight w:hRule="exact" w:val="47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Default="005232C8" w:rsidP="005232C8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 w:hint="eastAsia"/>
                <w:color w:val="000000"/>
                <w:sz w:val="21"/>
                <w:szCs w:val="21"/>
                <w:lang w:eastAsia="zh-CN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违法派遣行业</w:t>
            </w:r>
          </w:p>
          <w:p w:rsidR="005232C8" w:rsidRPr="00852D31" w:rsidRDefault="005232C8" w:rsidP="005232C8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或岗位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向专职消防员、煤矿井下、涉密、核心技术等安全生产岗位和煤炭、非煤矿山、化工等行业开展劳务派遣业务的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虚假获证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隐瞒真实情况或提供虚假材料取得劳务派遣经营许可证的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非法转让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存在涂改、倒卖、出租、岀借或者以其他形式非法转让经营劳务派遣业务资质的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不良信用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单位被列为失信执行人等严重失信主体名单的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安全事故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发生重大及以上安全生产事故的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340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不良社会影响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发生因单位原因引发的劳动关系领域群体性、突发性等事件，造成不良社会影响的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A860F9">
        <w:trPr>
          <w:trHeight w:hRule="exact" w:val="474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劳动保障</w:t>
            </w:r>
          </w:p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违法行为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因劳动保障违法行为被依法行政处理处罚三次以上（含三次）的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8" w:rsidRPr="00852D31" w:rsidRDefault="005232C8" w:rsidP="00092F7C">
            <w:pPr>
              <w:spacing w:line="240" w:lineRule="exact"/>
              <w:rPr>
                <w:rFonts w:ascii="仿宋" w:eastAsia="仿宋" w:hAnsi="仿宋"/>
                <w:sz w:val="11"/>
                <w:szCs w:val="11"/>
              </w:rPr>
            </w:pPr>
          </w:p>
        </w:tc>
      </w:tr>
      <w:tr w:rsidR="005232C8" w:rsidRPr="00852D31" w:rsidTr="00092F7C">
        <w:trPr>
          <w:trHeight w:hRule="exact" w:val="626"/>
          <w:jc w:val="center"/>
        </w:trPr>
        <w:tc>
          <w:tcPr>
            <w:tcW w:w="1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C8" w:rsidRPr="00852D31" w:rsidRDefault="005232C8" w:rsidP="00092F7C">
            <w:pPr>
              <w:pStyle w:val="Other1"/>
              <w:adjustRightInd w:val="0"/>
              <w:snapToGrid w:val="0"/>
              <w:spacing w:line="240" w:lineRule="exact"/>
              <w:ind w:left="57" w:right="57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 w:rsidRPr="00852D31">
              <w:rPr>
                <w:rFonts w:ascii="仿宋" w:eastAsia="仿宋" w:hAnsi="仿宋" w:cs="Times New Roman"/>
                <w:color w:val="000000"/>
                <w:sz w:val="21"/>
                <w:szCs w:val="21"/>
              </w:rPr>
              <w:t>注：二级指标中“获得表彰”“和谐劳动关系建设”获得或被认定的时间为评价周期内获得或被认定，因为同一事项符合该两项同时加分的，以单项加分的最高分为准，不重复加分</w:t>
            </w:r>
            <w:r>
              <w:rPr>
                <w:rFonts w:ascii="仿宋" w:eastAsia="仿宋" w:hAnsi="仿宋" w:cs="Times New Roman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 w:rsidR="00CC71F1" w:rsidRPr="005232C8" w:rsidRDefault="00CC71F1" w:rsidP="00970D5F"/>
    <w:sectPr w:rsidR="00CC71F1" w:rsidRPr="005232C8" w:rsidSect="005232C8"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7C" w:rsidRDefault="00D714BA">
    <w:pPr>
      <w:pStyle w:val="a3"/>
      <w:framePr w:h="1568" w:hRule="exact" w:wrap="around" w:vAnchor="text" w:hAnchor="margin" w:xAlign="outside" w:y="1"/>
      <w:tabs>
        <w:tab w:val="left" w:pos="1036"/>
      </w:tabs>
      <w:ind w:right="319" w:firstLine="280"/>
      <w:rPr>
        <w:rStyle w:val="a5"/>
        <w:sz w:val="28"/>
        <w:szCs w:val="28"/>
      </w:rPr>
    </w:pPr>
    <w:r w:rsidRPr="007F6704">
      <w:rPr>
        <w:rStyle w:val="a5"/>
        <w:rFonts w:ascii="仿宋" w:eastAsia="仿宋" w:hAnsi="仿宋"/>
        <w:sz w:val="28"/>
        <w:szCs w:val="28"/>
      </w:rPr>
      <w:t>—</w:t>
    </w:r>
    <w:r>
      <w:rPr>
        <w:rStyle w:val="a5"/>
        <w:sz w:val="28"/>
        <w:szCs w:val="28"/>
      </w:rPr>
      <w:t xml:space="preserve"> </w:t>
    </w:r>
    <w:r w:rsidRPr="007F6704">
      <w:rPr>
        <w:rStyle w:val="a5"/>
        <w:rFonts w:ascii="Times New Roman" w:hAnsi="Times New Roman"/>
        <w:sz w:val="28"/>
        <w:szCs w:val="28"/>
      </w:rPr>
      <w:fldChar w:fldCharType="begin"/>
    </w:r>
    <w:r w:rsidRPr="007F6704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7F6704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7F6704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</w:t>
    </w:r>
    <w:r w:rsidRPr="007F6704">
      <w:rPr>
        <w:rStyle w:val="a5"/>
        <w:rFonts w:ascii="仿宋" w:eastAsia="仿宋" w:hAnsi="仿宋"/>
        <w:sz w:val="28"/>
        <w:szCs w:val="28"/>
      </w:rPr>
      <w:t>—</w:t>
    </w:r>
  </w:p>
  <w:p w:rsidR="00FE357C" w:rsidRDefault="00D714BA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7C" w:rsidRDefault="00D714BA">
    <w:pPr>
      <w:pStyle w:val="a4"/>
      <w:pBdr>
        <w:bottom w:val="none" w:sz="0" w:space="0" w:color="auto"/>
      </w:pBdr>
    </w:pPr>
  </w:p>
  <w:p w:rsidR="00FE357C" w:rsidRDefault="00D714B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2C8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2C8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0D5F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860F9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714BA"/>
    <w:rsid w:val="00D80226"/>
    <w:rsid w:val="00D82581"/>
    <w:rsid w:val="00D93055"/>
    <w:rsid w:val="00D96EAE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D568D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32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5232C8"/>
    <w:rPr>
      <w:rFonts w:ascii="Calibri" w:eastAsia="宋体" w:hAnsi="Calibri" w:cs="Times New Roman"/>
      <w:kern w:val="0"/>
      <w:sz w:val="18"/>
      <w:szCs w:val="20"/>
    </w:rPr>
  </w:style>
  <w:style w:type="paragraph" w:styleId="a4">
    <w:name w:val="header"/>
    <w:basedOn w:val="a"/>
    <w:link w:val="Char0"/>
    <w:rsid w:val="0052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32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232C8"/>
    <w:rPr>
      <w:rFonts w:cs="Times New Roman"/>
    </w:rPr>
  </w:style>
  <w:style w:type="paragraph" w:customStyle="1" w:styleId="Bodytext1">
    <w:name w:val="Body text|1"/>
    <w:basedOn w:val="a"/>
    <w:rsid w:val="005232C8"/>
    <w:pPr>
      <w:spacing w:after="40"/>
      <w:jc w:val="center"/>
    </w:pPr>
    <w:rPr>
      <w:rFonts w:ascii="宋体" w:hAnsi="宋体" w:cs="宋体"/>
      <w:sz w:val="18"/>
      <w:szCs w:val="18"/>
      <w:lang w:val="zh-TW" w:eastAsia="zh-TW"/>
    </w:rPr>
  </w:style>
  <w:style w:type="paragraph" w:customStyle="1" w:styleId="Other1">
    <w:name w:val="Other|1"/>
    <w:basedOn w:val="a"/>
    <w:rsid w:val="005232C8"/>
    <w:rPr>
      <w:rFonts w:ascii="宋体" w:hAnsi="宋体" w:cs="宋体"/>
      <w:sz w:val="16"/>
      <w:szCs w:val="16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</Words>
  <Characters>2182</Characters>
  <Application>Microsoft Office Word</Application>
  <DocSecurity>0</DocSecurity>
  <Lines>18</Lines>
  <Paragraphs>5</Paragraphs>
  <ScaleCrop>false</ScaleCrop>
  <Company>P R C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5</cp:revision>
  <dcterms:created xsi:type="dcterms:W3CDTF">2024-03-06T02:00:00Z</dcterms:created>
  <dcterms:modified xsi:type="dcterms:W3CDTF">2024-03-06T02:14:00Z</dcterms:modified>
</cp:coreProperties>
</file>