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中国人民银行金坛支行</w:t>
      </w:r>
    </w:p>
    <w:p>
      <w:pPr>
        <w:spacing w:line="56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202</w:t>
      </w:r>
      <w:r>
        <w:rPr>
          <w:rFonts w:hint="eastAsia" w:ascii="方正小标宋_GBK" w:eastAsia="方正小标宋_GBK"/>
          <w:sz w:val="44"/>
          <w:szCs w:val="44"/>
          <w:lang w:val="en-US" w:eastAsia="zh-CN"/>
        </w:rPr>
        <w:t>3</w:t>
      </w:r>
      <w:r>
        <w:rPr>
          <w:rFonts w:hint="eastAsia" w:ascii="方正小标宋_GBK" w:eastAsia="方正小标宋_GBK"/>
          <w:sz w:val="44"/>
          <w:szCs w:val="44"/>
        </w:rPr>
        <w:t>年度政府信息公开工作报告</w:t>
      </w:r>
    </w:p>
    <w:bookmarkEnd w:id="0"/>
    <w:p>
      <w:pPr>
        <w:rPr>
          <w:rFonts w:hint="eastAsia"/>
          <w:color w:val="auto"/>
          <w:sz w:val="32"/>
          <w:szCs w:val="32"/>
        </w:rPr>
      </w:pPr>
    </w:p>
    <w:p>
      <w:pPr>
        <w:spacing w:line="560" w:lineRule="exact"/>
        <w:ind w:firstLine="640" w:firstLineChars="200"/>
        <w:rPr>
          <w:rFonts w:hint="eastAsia" w:ascii="方正小标宋简体" w:hAnsi="方正小标宋简体" w:eastAsia="方正小标宋简体" w:cs="方正小标宋简体"/>
          <w:b/>
          <w:bCs/>
          <w:color w:val="auto"/>
          <w:sz w:val="32"/>
          <w:szCs w:val="32"/>
          <w:shd w:val="clear" w:color="auto" w:fill="FFFFFF"/>
        </w:rPr>
      </w:pPr>
      <w:r>
        <w:rPr>
          <w:rFonts w:hint="eastAsia" w:ascii="仿宋_GB2312" w:eastAsia="仿宋_GB2312"/>
          <w:color w:val="auto"/>
          <w:sz w:val="32"/>
          <w:szCs w:val="32"/>
        </w:rPr>
        <w:t>本年报依据《中华人民共和国政府信息公开条例》（以下简称《条例》）《中国人民银行政务公开实施办法》和区政府有关政府信息公开工作要求编制，全文包括总体情况、主动公开政府信息情况、收到和处理政府信息公开申请情况、因政府信息公开工作被申请行政复议和提起行政诉讼情况、政府信息公开工作存在的主要问题和改进措施以及其他需要报告的事项。本年报中所列数据的统计期限自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年1月1日起至202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年12月31日止。</w:t>
      </w:r>
    </w:p>
    <w:p>
      <w:pPr>
        <w:pStyle w:val="4"/>
        <w:widowControl/>
        <w:shd w:val="clear" w:color="auto" w:fill="FFFFFF"/>
        <w:spacing w:beforeAutospacing="0" w:afterAutospacing="0" w:line="560" w:lineRule="exact"/>
        <w:ind w:firstLine="420"/>
        <w:jc w:val="both"/>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b/>
          <w:bCs/>
          <w:color w:val="auto"/>
          <w:sz w:val="32"/>
          <w:szCs w:val="32"/>
          <w:shd w:val="clear" w:color="auto" w:fill="FFFFFF"/>
        </w:rPr>
        <w:t>一、总体情况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年，我行坚持以习近平新时代中国特色社会主义思想为指导，认真贯彻执行《条例》，以公开为常态、不公开为例外，遵循公正、公平、合法、便民的原则，加强信息公开制度规范，加大政府信息公开力度，着力提高政务公开标准化、规范化水平。</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（一）主动公开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我行高度重视政务公开工作，成立由行领导担任组长、各部门参与的政务公开领导小组，日常工作由办公室牵头协调，专人负责具体政府信息公开各项工作落实，及时做好政府信息公开内容的补充和对已公开内容的删补。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年，我行累计主动公开行政许可事项</w:t>
      </w:r>
      <w:r>
        <w:rPr>
          <w:rFonts w:hint="eastAsia" w:ascii="仿宋_GB2312" w:hAnsi="仿宋_GB2312" w:eastAsia="仿宋_GB2312" w:cs="仿宋_GB2312"/>
          <w:color w:val="auto"/>
          <w:sz w:val="32"/>
          <w:szCs w:val="32"/>
          <w:shd w:val="clear" w:color="auto" w:fill="FFFFFF"/>
          <w:lang w:val="en-US" w:eastAsia="zh-CN"/>
        </w:rPr>
        <w:t>87</w:t>
      </w:r>
      <w:r>
        <w:rPr>
          <w:rFonts w:hint="eastAsia" w:ascii="仿宋_GB2312" w:hAnsi="仿宋_GB2312" w:eastAsia="仿宋_GB2312" w:cs="仿宋_GB2312"/>
          <w:color w:val="auto"/>
          <w:sz w:val="32"/>
          <w:szCs w:val="32"/>
          <w:shd w:val="clear" w:color="auto" w:fill="FFFFFF"/>
        </w:rPr>
        <w:t>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（二）依申请公开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我行建立政府信息公开申请渠道，为申请人依法申请政府信息公开提供便利。202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年，我行</w:t>
      </w:r>
      <w:r>
        <w:rPr>
          <w:rFonts w:hint="eastAsia" w:ascii="仿宋_GB2312" w:hAnsi="仿宋_GB2312" w:eastAsia="仿宋_GB2312" w:cs="仿宋_GB2312"/>
          <w:color w:val="auto"/>
          <w:sz w:val="32"/>
          <w:szCs w:val="32"/>
          <w:shd w:val="clear" w:color="auto" w:fill="FFFFFF"/>
          <w:lang w:eastAsia="zh-CN"/>
        </w:rPr>
        <w:t>未收到</w:t>
      </w:r>
      <w:r>
        <w:rPr>
          <w:rFonts w:hint="eastAsia" w:ascii="仿宋_GB2312" w:hAnsi="仿宋_GB2312" w:eastAsia="仿宋_GB2312" w:cs="仿宋_GB2312"/>
          <w:color w:val="auto"/>
          <w:sz w:val="32"/>
          <w:szCs w:val="32"/>
          <w:shd w:val="clear" w:color="auto" w:fill="FFFFFF"/>
        </w:rPr>
        <w:t>依申请公开</w:t>
      </w:r>
      <w:r>
        <w:rPr>
          <w:rFonts w:hint="eastAsia" w:ascii="仿宋_GB2312" w:hAnsi="仿宋_GB2312" w:eastAsia="仿宋_GB2312" w:cs="仿宋_GB2312"/>
          <w:color w:val="auto"/>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（三）政府信息管理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我行积极做好主动公开政府信息的维护、更新和报送工作，根据《条例》以及区政府工作要求，按时完成并主动公开政府信息公开工作年报，将增强透明度、加强对内监督等作为政务公开工作重点。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（四）平台建设</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借助政府信息公开平台在区政府门户网站集中发布政府信息公开目录、政府信息公开指南等，明确公众获取主动公开和依申请公开信息的主要渠道和具体方式。</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（五）监督保障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我行将政府信息公开列入重要议事内容，组织召开办公会议，对政务公开工作进行研究部署，形成部门提供公开政务信息、办公室对拟公开信息进行保密性审核和合规性审核的工作机制。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b/>
          <w:bCs/>
          <w:color w:val="333333"/>
          <w:sz w:val="32"/>
          <w:szCs w:val="32"/>
          <w:shd w:val="clear" w:color="auto" w:fill="FFFFFF"/>
        </w:rPr>
        <w:t>二、主动公开政府信息情况</w:t>
      </w:r>
    </w:p>
    <w:p>
      <w:pPr>
        <w:pStyle w:val="4"/>
        <w:widowControl/>
        <w:shd w:val="clear" w:color="auto" w:fill="FFFFFF"/>
        <w:spacing w:beforeAutospacing="0" w:afterAutospacing="0"/>
        <w:ind w:firstLine="420"/>
        <w:jc w:val="both"/>
        <w:rPr>
          <w:rFonts w:ascii="宋体" w:hAnsi="宋体" w:cs="宋体"/>
          <w:color w:val="333333"/>
        </w:rPr>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sz w:val="24"/>
              </w:rPr>
            </w:pPr>
            <w:r>
              <w:rPr>
                <w:rFonts w:hint="eastAsia" w:ascii="宋体" w:hAnsi="宋体" w:cs="宋体"/>
                <w:color w:val="000000"/>
                <w:kern w:val="0"/>
                <w:sz w:val="24"/>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cs="宋体"/>
                <w:color w:val="000000"/>
                <w:kern w:val="0"/>
                <w:sz w:val="24"/>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cs="宋体"/>
                <w:color w:val="000000"/>
                <w:kern w:val="0"/>
                <w:sz w:val="24"/>
              </w:rPr>
              <w:t>本年</w:t>
            </w:r>
            <w:r>
              <w:rPr>
                <w:rFonts w:hint="eastAsia" w:ascii="宋体" w:hAnsi="宋体" w:cs="宋体"/>
                <w:kern w:val="0"/>
                <w:sz w:val="24"/>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cs="宋体"/>
                <w:color w:val="000000"/>
                <w:kern w:val="0"/>
                <w:sz w:val="24"/>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cs="宋体"/>
                <w:color w:val="000000"/>
                <w:kern w:val="0"/>
                <w:sz w:val="24"/>
              </w:rPr>
              <w:t>现行有效件</w:t>
            </w:r>
            <w:r>
              <w:rPr>
                <w:rFonts w:hint="eastAsia" w:ascii="宋体" w:hAnsi="宋体" w:cs="宋体"/>
                <w:kern w:val="0"/>
                <w:sz w:val="24"/>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cs="宋体"/>
                <w:color w:val="000000"/>
                <w:kern w:val="0"/>
                <w:sz w:val="24"/>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cs="宋体"/>
                <w:color w:val="000000"/>
                <w:kern w:val="0"/>
                <w:sz w:val="24"/>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cs="宋体"/>
                <w:color w:val="000000"/>
                <w:kern w:val="0"/>
                <w:sz w:val="24"/>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ascii="Calibri" w:hAnsi="Calibri" w:cs="Calibri" w:eastAsiaTheme="minorEastAsia"/>
                <w:kern w:val="0"/>
                <w:sz w:val="24"/>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cs="宋体"/>
                <w:color w:val="000000"/>
                <w:kern w:val="0"/>
                <w:sz w:val="24"/>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cs="宋体"/>
                <w:color w:val="000000"/>
                <w:kern w:val="0"/>
                <w:sz w:val="24"/>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cs="宋体"/>
                <w:color w:val="000000"/>
                <w:kern w:val="0"/>
                <w:sz w:val="24"/>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ascii="Calibri" w:hAnsi="Calibri" w:cs="Calibri" w:eastAsiaTheme="minorEastAsia"/>
                <w:kern w:val="0"/>
                <w:sz w:val="24"/>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sz w:val="24"/>
              </w:rPr>
            </w:pPr>
            <w:r>
              <w:rPr>
                <w:rFonts w:hint="eastAsia" w:ascii="宋体" w:hAnsi="宋体" w:cs="宋体"/>
                <w:color w:val="000000"/>
                <w:kern w:val="0"/>
                <w:sz w:val="24"/>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cs="宋体"/>
                <w:color w:val="000000"/>
                <w:kern w:val="0"/>
                <w:sz w:val="24"/>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cs="宋体"/>
                <w:color w:val="000000"/>
                <w:kern w:val="0"/>
                <w:sz w:val="24"/>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cs="宋体"/>
                <w:color w:val="000000"/>
                <w:kern w:val="0"/>
                <w:sz w:val="24"/>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eastAsia="宋体"/>
                <w:sz w:val="24"/>
                <w:lang w:val="en-US" w:eastAsia="zh-CN"/>
              </w:rPr>
            </w:pPr>
            <w:r>
              <w:rPr>
                <w:rFonts w:hint="eastAsia"/>
                <w:sz w:val="24"/>
                <w:lang w:val="en-US" w:eastAsia="zh-CN"/>
              </w:rPr>
              <w:t>87</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sz w:val="24"/>
              </w:rPr>
            </w:pPr>
            <w:r>
              <w:rPr>
                <w:rFonts w:hint="eastAsia" w:ascii="宋体" w:hAnsi="宋体" w:cs="宋体"/>
                <w:color w:val="000000"/>
                <w:kern w:val="0"/>
                <w:sz w:val="24"/>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cs="宋体"/>
                <w:color w:val="000000"/>
                <w:kern w:val="0"/>
                <w:sz w:val="24"/>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cs="宋体"/>
                <w:color w:val="000000"/>
                <w:kern w:val="0"/>
                <w:sz w:val="24"/>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cs="宋体"/>
                <w:color w:val="000000"/>
                <w:kern w:val="0"/>
                <w:sz w:val="24"/>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cs="宋体"/>
                <w:color w:val="000000"/>
                <w:kern w:val="0"/>
                <w:sz w:val="24"/>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sz w:val="24"/>
              </w:rPr>
            </w:pPr>
            <w:r>
              <w:rPr>
                <w:rFonts w:hint="eastAsia" w:ascii="宋体" w:hAnsi="宋体" w:cs="宋体"/>
                <w:color w:val="000000"/>
                <w:kern w:val="0"/>
                <w:sz w:val="24"/>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cs="宋体"/>
                <w:color w:val="000000"/>
                <w:kern w:val="0"/>
                <w:sz w:val="24"/>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rPr>
                <w:sz w:val="24"/>
              </w:rPr>
            </w:pPr>
            <w:r>
              <w:rPr>
                <w:rFonts w:hint="eastAsia" w:ascii="宋体" w:hAnsi="宋体" w:cs="宋体"/>
                <w:color w:val="000000"/>
                <w:kern w:val="0"/>
                <w:sz w:val="24"/>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cs="宋体"/>
                <w:color w:val="000000"/>
                <w:kern w:val="0"/>
                <w:sz w:val="24"/>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ascii="宋体"/>
                <w:sz w:val="24"/>
              </w:rPr>
            </w:pPr>
          </w:p>
        </w:tc>
      </w:tr>
    </w:tbl>
    <w:p>
      <w:pPr>
        <w:widowControl/>
        <w:jc w:val="left"/>
      </w:pPr>
    </w:p>
    <w:p>
      <w:pPr>
        <w:pStyle w:val="4"/>
        <w:widowControl/>
        <w:shd w:val="clear" w:color="auto" w:fill="FFFFFF"/>
        <w:spacing w:beforeAutospacing="0" w:afterAutospacing="0"/>
        <w:ind w:firstLine="420"/>
        <w:jc w:val="both"/>
        <w:rPr>
          <w:rFonts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b/>
          <w:bCs/>
          <w:color w:val="333333"/>
          <w:sz w:val="32"/>
          <w:szCs w:val="32"/>
          <w:shd w:val="clear" w:color="auto" w:fill="FFFFFF"/>
        </w:rPr>
        <w:t>三、收到和处理政府信息公开申请情况</w:t>
      </w:r>
    </w:p>
    <w:p>
      <w:pPr>
        <w:pStyle w:val="4"/>
        <w:widowControl/>
        <w:shd w:val="clear" w:color="auto" w:fill="FFFFFF"/>
        <w:spacing w:beforeAutospacing="0" w:afterAutospacing="0"/>
        <w:ind w:firstLine="420"/>
        <w:jc w:val="both"/>
        <w:rPr>
          <w:rFonts w:ascii="宋体" w:hAnsi="宋体" w:cs="宋体"/>
          <w:color w:val="333333"/>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0"/>
        <w:gridCol w:w="949"/>
        <w:gridCol w:w="3206"/>
        <w:gridCol w:w="689"/>
        <w:gridCol w:w="689"/>
        <w:gridCol w:w="689"/>
        <w:gridCol w:w="689"/>
        <w:gridCol w:w="689"/>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（本列数据的勾稽关系为：第一项加第二项之和，等于第三项加第四项之和）</w:t>
            </w:r>
          </w:p>
        </w:tc>
        <w:tc>
          <w:tcPr>
            <w:tcW w:w="482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spacing w:before="0" w:after="0" w:line="260" w:lineRule="exact"/>
              <w:rPr>
                <w:rFonts w:asciiTheme="minorEastAsia" w:hAnsiTheme="minorEastAsia" w:eastAsiaTheme="minorEastAsia" w:cstheme="minorEastAsia"/>
                <w:b/>
                <w:bCs/>
                <w:sz w:val="24"/>
              </w:rPr>
            </w:pPr>
          </w:p>
        </w:tc>
        <w:tc>
          <w:tcPr>
            <w:tcW w:w="689"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自然人</w:t>
            </w:r>
          </w:p>
        </w:tc>
        <w:tc>
          <w:tcPr>
            <w:tcW w:w="344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widowControl/>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6" w:hRule="atLeast"/>
          <w:jc w:val="center"/>
        </w:trPr>
        <w:tc>
          <w:tcPr>
            <w:tcW w:w="492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spacing w:before="0" w:after="0" w:line="260" w:lineRule="exact"/>
              <w:rPr>
                <w:rFonts w:asciiTheme="minorEastAsia" w:hAnsiTheme="minorEastAsia" w:eastAsiaTheme="minorEastAsia" w:cstheme="minorEastAsia"/>
                <w:b/>
                <w:bCs/>
                <w:sz w:val="24"/>
              </w:rPr>
            </w:pPr>
          </w:p>
        </w:tc>
        <w:tc>
          <w:tcPr>
            <w:tcW w:w="689"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pacing w:before="0" w:after="0" w:line="260" w:lineRule="exact"/>
              <w:rPr>
                <w:rFonts w:asciiTheme="minorEastAsia" w:hAnsiTheme="minorEastAsia" w:eastAsiaTheme="minorEastAsia" w:cstheme="minorEastAsia"/>
                <w:b/>
                <w:bCs/>
                <w:sz w:val="24"/>
              </w:rPr>
            </w:pP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商业</w:t>
            </w:r>
          </w:p>
          <w:p>
            <w:pPr>
              <w:widowControl/>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企业</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科研</w:t>
            </w:r>
          </w:p>
          <w:p>
            <w:pPr>
              <w:widowControl/>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机构</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社会公益组织</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法律服务机构</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keepNext w:val="0"/>
              <w:keepLines w:val="0"/>
              <w:spacing w:before="0" w:after="0" w:line="260" w:lineRule="exact"/>
              <w:rPr>
                <w:rFonts w:asciiTheme="minorEastAsia" w:hAnsiTheme="minorEastAsia" w:eastAsiaTheme="minorEastAsia" w:cstheme="minorEastAsia"/>
                <w:b/>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一、本年新收政府信息公开申请数量</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二、上年结转政府信息公开申请数量</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三、本年度办理结果</w:t>
            </w:r>
          </w:p>
        </w:tc>
        <w:tc>
          <w:tcPr>
            <w:tcW w:w="415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（一）予以公开</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415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（二）部分公开（区分处理的，只计这一情形，不计其他情形）</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（三）不予公开</w:t>
            </w: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1.属于国家秘密</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2.其他法律行政法规禁止公开</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7" w:hRule="atLeast"/>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3.危及“三安全一稳定”</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4.保护第三方合法权益</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5.属于三类内部事务信息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lang w:val="en-US" w:eastAsia="zh-CN"/>
              </w:rPr>
              <w:t>1</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6.属于四类过程性信息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7.属于行政执法案卷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8.属于行政查询事项</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（四）无法提供</w:t>
            </w: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1.本机关不掌握相关政府信息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2.没有现成信息需要另行制作</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3.补正后申请内容仍不明确</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（五）不予处理</w:t>
            </w: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1.信访举报投诉类申请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2.重复申请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3.要求提供公开出版物</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4.无正当理由大量反复申请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3206"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2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5.要求行政机关确认或重新出具已获取信息</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spacing w:before="0" w:after="0" w:line="260" w:lineRule="exact"/>
              <w:rPr>
                <w:rFonts w:asciiTheme="minorEastAsia" w:hAnsiTheme="minorEastAsia" w:eastAsiaTheme="minorEastAsia" w:cstheme="minorEastAsia"/>
                <w:b/>
                <w:bCs/>
                <w:sz w:val="24"/>
              </w:rPr>
            </w:pPr>
          </w:p>
        </w:tc>
        <w:tc>
          <w:tcPr>
            <w:tcW w:w="94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（六）其他处理</w:t>
            </w:r>
          </w:p>
        </w:tc>
        <w:tc>
          <w:tcPr>
            <w:tcW w:w="32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2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1.申请人无正当理由逾期不补正、行政机关不再处理其政府信息公开申请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spacing w:before="0" w:after="0" w:line="260" w:lineRule="exact"/>
              <w:rPr>
                <w:rFonts w:asciiTheme="minorEastAsia" w:hAnsiTheme="minorEastAsia" w:eastAsiaTheme="minorEastAsia" w:cstheme="minorEastAsia"/>
                <w:b/>
                <w:bCs/>
                <w:sz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spacing w:before="0" w:after="0" w:line="260" w:lineRule="exact"/>
              <w:rPr>
                <w:rFonts w:asciiTheme="minorEastAsia" w:hAnsiTheme="minorEastAsia" w:eastAsiaTheme="minorEastAsia" w:cstheme="minorEastAsia"/>
                <w:b/>
                <w:bCs/>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2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2.申请人逾期未按收费通知要求缴纳费用、行政机关不再处理其政府信息公开申请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b/>
                <w:bCs/>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spacing w:before="0" w:after="0" w:line="260" w:lineRule="exact"/>
              <w:rPr>
                <w:rFonts w:asciiTheme="minorEastAsia" w:hAnsiTheme="minorEastAsia" w:eastAsiaTheme="minorEastAsia" w:cstheme="minorEastAsia"/>
                <w:b/>
                <w:bCs/>
                <w:sz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spacing w:before="0" w:after="0" w:line="260" w:lineRule="exact"/>
              <w:rPr>
                <w:rFonts w:asciiTheme="minorEastAsia" w:hAnsiTheme="minorEastAsia" w:eastAsiaTheme="minorEastAsia" w:cstheme="minorEastAsia"/>
                <w:b/>
                <w:bCs/>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3.其他</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260" w:lineRule="exact"/>
              <w:rPr>
                <w:rFonts w:asciiTheme="minorEastAsia" w:hAnsiTheme="minorEastAsia" w:eastAsiaTheme="minorEastAsia" w:cstheme="minorEastAsia"/>
                <w:sz w:val="24"/>
              </w:rPr>
            </w:pPr>
          </w:p>
        </w:tc>
        <w:tc>
          <w:tcPr>
            <w:tcW w:w="415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（七）总计</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2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四、结转下年度继续办理</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Theme="minorEastAsia" w:hAnsiTheme="minorEastAsia" w:eastAsiaTheme="minorEastAsia" w:cstheme="minorEastAsia"/>
                <w:sz w:val="24"/>
              </w:rPr>
            </w:pPr>
            <w:r>
              <w:rPr>
                <w:rFonts w:hint="eastAsia" w:ascii="宋体" w:hAnsi="宋体" w:cs="宋体"/>
                <w:color w:val="auto"/>
                <w:sz w:val="24"/>
                <w:szCs w:val="24"/>
                <w:lang w:val="en-US" w:eastAsia="zh-CN"/>
              </w:rPr>
              <w:t>0</w:t>
            </w:r>
          </w:p>
        </w:tc>
      </w:tr>
    </w:tbl>
    <w:p>
      <w:pPr>
        <w:widowControl/>
        <w:shd w:val="clear" w:color="auto" w:fill="FFFFFF"/>
        <w:jc w:val="center"/>
        <w:rPr>
          <w:rFonts w:ascii="宋体" w:hAnsi="宋体" w:cs="宋体"/>
          <w:color w:val="333333"/>
          <w:sz w:val="24"/>
        </w:rPr>
      </w:pPr>
    </w:p>
    <w:p>
      <w:pPr>
        <w:pStyle w:val="4"/>
        <w:widowControl/>
        <w:shd w:val="clear" w:color="auto" w:fill="FFFFFF"/>
        <w:spacing w:beforeAutospacing="0" w:afterAutospacing="0"/>
        <w:ind w:firstLine="420"/>
        <w:jc w:val="both"/>
        <w:rPr>
          <w:rFonts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b/>
          <w:bCs/>
          <w:color w:val="333333"/>
          <w:sz w:val="32"/>
          <w:szCs w:val="32"/>
          <w:shd w:val="clear" w:color="auto" w:fill="FFFFFF"/>
        </w:rPr>
        <w:t>四、政府信息公开行政复议、行政诉讼情况</w:t>
      </w:r>
    </w:p>
    <w:p>
      <w:pPr>
        <w:widowControl/>
        <w:shd w:val="clear" w:color="auto" w:fill="FFFFFF"/>
        <w:jc w:val="center"/>
        <w:rPr>
          <w:rFonts w:ascii="宋体" w:hAnsi="宋体" w:cs="宋体"/>
          <w:color w:val="333333"/>
          <w:sz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kern w:val="0"/>
                <w:sz w:val="24"/>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kern w:val="0"/>
                <w:sz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kern w:val="0"/>
                <w:sz w:val="24"/>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结果</w:t>
            </w:r>
          </w:p>
          <w:p>
            <w:pPr>
              <w:widowControl/>
              <w:jc w:val="center"/>
              <w:rPr>
                <w:sz w:val="24"/>
              </w:rPr>
            </w:pPr>
            <w:r>
              <w:rPr>
                <w:rFonts w:hint="eastAsia" w:ascii="宋体" w:hAnsi="宋体" w:cs="宋体"/>
                <w:kern w:val="0"/>
                <w:sz w:val="24"/>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其他</w:t>
            </w:r>
          </w:p>
          <w:p>
            <w:pPr>
              <w:widowControl/>
              <w:jc w:val="center"/>
              <w:rPr>
                <w:sz w:val="24"/>
              </w:rPr>
            </w:pPr>
            <w:r>
              <w:rPr>
                <w:rFonts w:hint="eastAsia" w:ascii="宋体" w:hAnsi="宋体" w:cs="宋体"/>
                <w:kern w:val="0"/>
                <w:sz w:val="24"/>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尚未</w:t>
            </w:r>
          </w:p>
          <w:p>
            <w:pPr>
              <w:widowControl/>
              <w:jc w:val="center"/>
              <w:rPr>
                <w:sz w:val="24"/>
              </w:rPr>
            </w:pPr>
            <w:r>
              <w:rPr>
                <w:rFonts w:hint="eastAsia" w:ascii="宋体" w:hAnsi="宋体" w:cs="宋体"/>
                <w:kern w:val="0"/>
                <w:sz w:val="24"/>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kern w:val="0"/>
                <w:sz w:val="24"/>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kern w:val="0"/>
                <w:sz w:val="24"/>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kern w:val="0"/>
                <w:sz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结果</w:t>
            </w:r>
          </w:p>
          <w:p>
            <w:pPr>
              <w:widowControl/>
              <w:jc w:val="center"/>
              <w:rPr>
                <w:sz w:val="24"/>
              </w:rPr>
            </w:pPr>
            <w:r>
              <w:rPr>
                <w:rFonts w:hint="eastAsia" w:ascii="宋体" w:hAnsi="宋体" w:cs="宋体"/>
                <w:kern w:val="0"/>
                <w:sz w:val="24"/>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结果</w:t>
            </w:r>
          </w:p>
          <w:p>
            <w:pPr>
              <w:widowControl/>
              <w:jc w:val="center"/>
              <w:rPr>
                <w:sz w:val="24"/>
              </w:rPr>
            </w:pPr>
            <w:r>
              <w:rPr>
                <w:rFonts w:hint="eastAsia" w:ascii="宋体" w:hAnsi="宋体" w:cs="宋体"/>
                <w:kern w:val="0"/>
                <w:sz w:val="24"/>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其他</w:t>
            </w:r>
          </w:p>
          <w:p>
            <w:pPr>
              <w:widowControl/>
              <w:jc w:val="center"/>
              <w:rPr>
                <w:sz w:val="24"/>
              </w:rPr>
            </w:pPr>
            <w:r>
              <w:rPr>
                <w:rFonts w:hint="eastAsia" w:ascii="宋体" w:hAnsi="宋体" w:cs="宋体"/>
                <w:kern w:val="0"/>
                <w:sz w:val="24"/>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尚未</w:t>
            </w:r>
          </w:p>
          <w:p>
            <w:pPr>
              <w:widowControl/>
              <w:jc w:val="center"/>
              <w:rPr>
                <w:sz w:val="24"/>
              </w:rPr>
            </w:pPr>
            <w:r>
              <w:rPr>
                <w:rFonts w:hint="eastAsia" w:ascii="宋体" w:hAnsi="宋体" w:cs="宋体"/>
                <w:kern w:val="0"/>
                <w:sz w:val="24"/>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000000"/>
                <w:kern w:val="0"/>
                <w:sz w:val="24"/>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结果</w:t>
            </w:r>
          </w:p>
          <w:p>
            <w:pPr>
              <w:widowControl/>
              <w:jc w:val="center"/>
              <w:rPr>
                <w:sz w:val="24"/>
              </w:rPr>
            </w:pPr>
            <w:r>
              <w:rPr>
                <w:rFonts w:hint="eastAsia" w:ascii="宋体" w:hAnsi="宋体" w:cs="宋体"/>
                <w:kern w:val="0"/>
                <w:sz w:val="24"/>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结果</w:t>
            </w:r>
          </w:p>
          <w:p>
            <w:pPr>
              <w:widowControl/>
              <w:jc w:val="center"/>
              <w:rPr>
                <w:sz w:val="24"/>
              </w:rPr>
            </w:pPr>
            <w:r>
              <w:rPr>
                <w:rFonts w:hint="eastAsia" w:ascii="宋体" w:hAnsi="宋体" w:cs="宋体"/>
                <w:kern w:val="0"/>
                <w:sz w:val="24"/>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w:t>
            </w:r>
          </w:p>
          <w:p>
            <w:pPr>
              <w:widowControl/>
              <w:jc w:val="center"/>
              <w:rPr>
                <w:sz w:val="24"/>
              </w:rPr>
            </w:pPr>
            <w:r>
              <w:rPr>
                <w:rFonts w:hint="eastAsia" w:ascii="宋体" w:hAnsi="宋体" w:cs="宋体"/>
                <w:color w:val="000000"/>
                <w:kern w:val="0"/>
                <w:sz w:val="24"/>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尚未</w:t>
            </w:r>
          </w:p>
          <w:p>
            <w:pPr>
              <w:widowControl/>
              <w:jc w:val="center"/>
              <w:rPr>
                <w:sz w:val="24"/>
              </w:rPr>
            </w:pPr>
            <w:r>
              <w:rPr>
                <w:rFonts w:hint="eastAsia" w:ascii="宋体" w:hAnsi="宋体" w:cs="宋体"/>
                <w:kern w:val="0"/>
                <w:sz w:val="24"/>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000000"/>
                <w:kern w:val="0"/>
                <w:sz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auto"/>
                <w:kern w:val="0"/>
                <w:sz w:val="24"/>
                <w:szCs w:val="24"/>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auto"/>
                <w:kern w:val="0"/>
                <w:sz w:val="24"/>
                <w:szCs w:val="24"/>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auto"/>
                <w:kern w:val="0"/>
                <w:sz w:val="24"/>
                <w:szCs w:val="24"/>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auto"/>
                <w:kern w:val="0"/>
                <w:sz w:val="24"/>
                <w:szCs w:val="24"/>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auto"/>
                <w:kern w:val="0"/>
                <w:sz w:val="24"/>
                <w:szCs w:val="24"/>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auto"/>
                <w:kern w:val="0"/>
                <w:sz w:val="24"/>
                <w:szCs w:val="24"/>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auto"/>
                <w:kern w:val="0"/>
                <w:sz w:val="24"/>
                <w:szCs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auto"/>
                <w:kern w:val="0"/>
                <w:sz w:val="24"/>
                <w:szCs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auto"/>
                <w:kern w:val="0"/>
                <w:sz w:val="24"/>
                <w:szCs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auto"/>
                <w:kern w:val="0"/>
                <w:sz w:val="24"/>
                <w:szCs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auto"/>
                <w:kern w:val="0"/>
                <w:sz w:val="24"/>
                <w:szCs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auto"/>
                <w:kern w:val="0"/>
                <w:sz w:val="24"/>
                <w:szCs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auto"/>
                <w:kern w:val="0"/>
                <w:sz w:val="24"/>
                <w:szCs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cs="宋体"/>
                <w:color w:val="auto"/>
                <w:kern w:val="0"/>
                <w:sz w:val="24"/>
                <w:szCs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r>
              <w:rPr>
                <w:rFonts w:hint="eastAsia" w:ascii="宋体" w:hAnsi="宋体" w:cs="宋体"/>
                <w:color w:val="auto"/>
                <w:sz w:val="24"/>
                <w:szCs w:val="24"/>
              </w:rPr>
              <w:t>0</w:t>
            </w:r>
          </w:p>
        </w:tc>
      </w:tr>
    </w:tbl>
    <w:p>
      <w:pPr>
        <w:widowControl/>
        <w:jc w:val="left"/>
      </w:pPr>
    </w:p>
    <w:p>
      <w:pPr>
        <w:pStyle w:val="4"/>
        <w:widowControl/>
        <w:numPr>
          <w:ilvl w:val="0"/>
          <w:numId w:val="1"/>
        </w:numPr>
        <w:shd w:val="clear" w:color="auto" w:fill="FFFFFF"/>
        <w:spacing w:beforeAutospacing="0" w:afterAutospacing="0" w:line="560" w:lineRule="exact"/>
        <w:ind w:firstLine="420"/>
        <w:jc w:val="both"/>
        <w:rPr>
          <w:rFonts w:ascii="方正小标宋简体" w:hAnsi="方正小标宋简体" w:eastAsia="方正小标宋简体" w:cs="方正小标宋简体"/>
          <w:b/>
          <w:bCs/>
          <w:color w:val="333333"/>
          <w:sz w:val="32"/>
          <w:szCs w:val="32"/>
          <w:shd w:val="clear" w:color="auto" w:fill="FFFFFF"/>
        </w:rPr>
      </w:pPr>
      <w:r>
        <w:rPr>
          <w:rFonts w:hint="eastAsia" w:ascii="方正小标宋简体" w:hAnsi="方正小标宋简体" w:eastAsia="方正小标宋简体" w:cs="方正小标宋简体"/>
          <w:b/>
          <w:bCs/>
          <w:color w:val="333333"/>
          <w:sz w:val="32"/>
          <w:szCs w:val="32"/>
          <w:shd w:val="clear" w:color="auto" w:fill="FFFFFF"/>
        </w:rPr>
        <w:t>存在的主要问题及改进情况</w:t>
      </w:r>
    </w:p>
    <w:p>
      <w:pPr>
        <w:spacing w:line="560" w:lineRule="exact"/>
        <w:ind w:firstLine="640" w:firstLineChars="200"/>
        <w:jc w:val="left"/>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202</w:t>
      </w:r>
      <w:r>
        <w:rPr>
          <w:rFonts w:hint="eastAsia" w:ascii="仿宋_GB2312" w:eastAsia="仿宋_GB2312"/>
          <w:color w:val="auto"/>
          <w:sz w:val="32"/>
          <w:szCs w:val="32"/>
          <w:shd w:val="clear" w:color="auto" w:fill="FFFFFF"/>
          <w:lang w:val="en-US" w:eastAsia="zh-CN"/>
        </w:rPr>
        <w:t>3</w:t>
      </w:r>
      <w:r>
        <w:rPr>
          <w:rFonts w:hint="eastAsia" w:ascii="仿宋_GB2312" w:eastAsia="仿宋_GB2312"/>
          <w:color w:val="auto"/>
          <w:sz w:val="32"/>
          <w:szCs w:val="32"/>
          <w:shd w:val="clear" w:color="auto" w:fill="FFFFFF"/>
        </w:rPr>
        <w:t>年我行政务公开工作取得了一定成效，但在健全公开机制、提升服务水平方面还有提升空间。202</w:t>
      </w:r>
      <w:r>
        <w:rPr>
          <w:rFonts w:hint="eastAsia" w:ascii="仿宋_GB2312" w:eastAsia="仿宋_GB2312"/>
          <w:color w:val="auto"/>
          <w:sz w:val="32"/>
          <w:szCs w:val="32"/>
          <w:shd w:val="clear" w:color="auto" w:fill="FFFFFF"/>
          <w:lang w:val="en-US" w:eastAsia="zh-CN"/>
        </w:rPr>
        <w:t>4</w:t>
      </w:r>
      <w:r>
        <w:rPr>
          <w:rFonts w:hint="eastAsia" w:ascii="仿宋_GB2312" w:eastAsia="仿宋_GB2312"/>
          <w:color w:val="auto"/>
          <w:sz w:val="32"/>
          <w:szCs w:val="32"/>
          <w:shd w:val="clear" w:color="auto" w:fill="FFFFFF"/>
        </w:rPr>
        <w:t>年，我行将不断完善相关制度建设，努力实现信息公开的制度化、规范化、常态化，进一步落实全面推进政务公开工作，加大推进政务信息公开力度。</w:t>
      </w:r>
    </w:p>
    <w:p>
      <w:pPr>
        <w:pStyle w:val="4"/>
        <w:widowControl/>
        <w:shd w:val="clear" w:color="auto" w:fill="FFFFFF"/>
        <w:spacing w:beforeAutospacing="0" w:afterAutospacing="0" w:line="560" w:lineRule="exact"/>
        <w:ind w:firstLine="420"/>
        <w:jc w:val="both"/>
        <w:rPr>
          <w:rFonts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b/>
          <w:bCs/>
          <w:color w:val="333333"/>
          <w:sz w:val="32"/>
          <w:szCs w:val="32"/>
          <w:shd w:val="clear" w:color="auto" w:fill="FFFFFF"/>
        </w:rPr>
        <w:t>六、其他需要报告的事项</w:t>
      </w:r>
    </w:p>
    <w:p>
      <w:pPr>
        <w:ind w:firstLine="540"/>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本年度政府信息公开事项未收取任何费用。</w:t>
      </w:r>
    </w:p>
    <w:p>
      <w:pPr>
        <w:spacing w:line="560" w:lineRule="exact"/>
        <w:ind w:firstLine="640" w:firstLineChars="200"/>
        <w:jc w:val="left"/>
        <w:rPr>
          <w:rFonts w:hint="eastAsia" w:ascii="仿宋" w:hAnsi="仿宋" w:eastAsia="仿宋" w:cs="仿宋"/>
          <w:color w:val="auto"/>
          <w:sz w:val="32"/>
          <w:szCs w:val="32"/>
          <w:shd w:val="clear" w:color="auto" w:fill="FFFFFF"/>
        </w:rPr>
      </w:pPr>
    </w:p>
    <w:p>
      <w:pPr>
        <w:spacing w:line="560" w:lineRule="exact"/>
        <w:ind w:firstLine="640" w:firstLineChars="200"/>
        <w:jc w:val="right"/>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中国人民银行金坛支行</w:t>
      </w:r>
    </w:p>
    <w:p>
      <w:pPr>
        <w:spacing w:line="560" w:lineRule="exact"/>
        <w:ind w:right="320" w:firstLine="640" w:firstLineChars="200"/>
        <w:jc w:val="right"/>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年1月1</w:t>
      </w:r>
      <w:r>
        <w:rPr>
          <w:rFonts w:hint="eastAsia" w:ascii="仿宋" w:hAnsi="仿宋" w:eastAsia="仿宋" w:cs="仿宋"/>
          <w:color w:val="auto"/>
          <w:sz w:val="32"/>
          <w:szCs w:val="32"/>
          <w:shd w:val="clear" w:color="auto" w:fill="FFFFFF"/>
          <w:lang w:val="en-US" w:eastAsia="zh-CN"/>
        </w:rPr>
        <w:t>8</w:t>
      </w:r>
      <w:r>
        <w:rPr>
          <w:rFonts w:hint="eastAsia" w:ascii="仿宋" w:hAnsi="仿宋" w:eastAsia="仿宋" w:cs="仿宋"/>
          <w:color w:val="auto"/>
          <w:sz w:val="32"/>
          <w:szCs w:val="32"/>
          <w:shd w:val="clear" w:color="auto" w:fill="FFFFFF"/>
        </w:rPr>
        <w:t>日</w:t>
      </w:r>
    </w:p>
    <w:p>
      <w:pPr>
        <w:spacing w:line="580" w:lineRule="exact"/>
        <w:rPr>
          <w:rFonts w:ascii="黑体" w:hAnsi="黑体" w:eastAsia="黑体"/>
          <w:bCs/>
          <w:color w:val="000000"/>
          <w:sz w:val="32"/>
          <w:szCs w:val="32"/>
        </w:rPr>
      </w:pPr>
    </w:p>
    <w:p>
      <w:pPr>
        <w:rPr>
          <w:rFonts w:ascii="黑体" w:hAnsi="黑体" w:eastAsia="黑体"/>
          <w:bCs/>
          <w:color w:val="000000"/>
          <w:sz w:val="32"/>
          <w:szCs w:val="32"/>
        </w:rPr>
      </w:pPr>
      <w:r>
        <w:rPr>
          <w:rFonts w:ascii="黑体" w:hAnsi="黑体" w:eastAsia="黑体"/>
          <w:bCs/>
          <w:color w:val="000000"/>
          <w:sz w:val="32"/>
          <w:szCs w:val="32"/>
        </w:rPr>
        <w:br w:type="page"/>
      </w:r>
    </w:p>
    <w:p>
      <w:pPr>
        <w:spacing w:line="580" w:lineRule="exact"/>
        <w:rPr>
          <w:rFonts w:ascii="黑体" w:hAnsi="黑体" w:eastAsia="黑体"/>
          <w:b/>
          <w:color w:val="000000"/>
          <w:sz w:val="32"/>
          <w:szCs w:val="32"/>
        </w:rPr>
      </w:pPr>
      <w:r>
        <w:rPr>
          <w:rFonts w:hint="eastAsia" w:ascii="黑体" w:hAnsi="黑体" w:eastAsia="黑体"/>
          <w:bCs/>
          <w:color w:val="000000"/>
          <w:sz w:val="32"/>
          <w:szCs w:val="32"/>
        </w:rPr>
        <w:t>附件</w:t>
      </w:r>
      <w:r>
        <w:rPr>
          <w:rFonts w:eastAsia="黑体"/>
          <w:bCs/>
          <w:color w:val="000000"/>
          <w:sz w:val="32"/>
          <w:szCs w:val="32"/>
        </w:rPr>
        <w:t>2</w:t>
      </w:r>
      <w:r>
        <w:rPr>
          <w:rFonts w:hint="eastAsia" w:ascii="黑体" w:hAnsi="黑体" w:eastAsia="黑体"/>
          <w:b/>
          <w:color w:val="000000"/>
          <w:sz w:val="32"/>
          <w:szCs w:val="32"/>
        </w:rPr>
        <w:t>：</w:t>
      </w:r>
    </w:p>
    <w:p>
      <w:pPr>
        <w:spacing w:line="580" w:lineRule="exact"/>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政府信息公开回应解读情况统计表</w:t>
      </w:r>
    </w:p>
    <w:p>
      <w:pPr>
        <w:spacing w:line="580" w:lineRule="exact"/>
        <w:rPr>
          <w:rFonts w:ascii="黑体" w:hAnsi="黑体" w:eastAsia="黑体"/>
          <w:b/>
          <w:color w:val="000000"/>
          <w:sz w:val="32"/>
          <w:szCs w:val="32"/>
        </w:rPr>
      </w:pPr>
    </w:p>
    <w:p>
      <w:pPr>
        <w:spacing w:line="580" w:lineRule="exact"/>
        <w:ind w:firstLine="160" w:firstLineChars="50"/>
        <w:rPr>
          <w:rFonts w:ascii="黑体" w:hAnsi="黑体" w:eastAsia="黑体"/>
          <w:b/>
          <w:color w:val="000000"/>
          <w:sz w:val="32"/>
          <w:szCs w:val="32"/>
        </w:rPr>
      </w:pPr>
      <w:r>
        <w:rPr>
          <w:rFonts w:hint="eastAsia" w:ascii="仿宋_GB2312" w:hAnsi="仿宋_GB2312" w:eastAsia="仿宋_GB2312" w:cs="仿宋_GB2312"/>
          <w:bCs/>
          <w:color w:val="000000"/>
          <w:sz w:val="32"/>
          <w:szCs w:val="32"/>
        </w:rPr>
        <w:t>填报单位（单位盖章）：        填报日期：</w:t>
      </w:r>
      <w:r>
        <w:rPr>
          <w:rFonts w:hint="eastAsia" w:ascii="仿宋_GB2312" w:hAnsi="仿宋_GB2312" w:eastAsia="仿宋_GB2312" w:cs="仿宋_GB2312"/>
          <w:bCs/>
          <w:color w:val="000000"/>
          <w:sz w:val="32"/>
          <w:szCs w:val="32"/>
          <w:lang w:val="en-US" w:eastAsia="zh-CN"/>
        </w:rPr>
        <w:t>2024</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18</w:t>
      </w:r>
      <w:r>
        <w:rPr>
          <w:rFonts w:hint="eastAsia" w:ascii="仿宋_GB2312" w:hAnsi="仿宋_GB2312" w:eastAsia="仿宋_GB2312" w:cs="仿宋_GB2312"/>
          <w:bCs/>
          <w:color w:val="000000"/>
          <w:sz w:val="32"/>
          <w:szCs w:val="32"/>
        </w:rPr>
        <w:t>日</w:t>
      </w:r>
    </w:p>
    <w:tbl>
      <w:tblPr>
        <w:tblStyle w:val="5"/>
        <w:tblpPr w:leftFromText="180" w:rightFromText="180" w:vertAnchor="text" w:tblpXSpec="center" w:tblpY="1"/>
        <w:tblOverlap w:val="never"/>
        <w:tblW w:w="8700" w:type="dxa"/>
        <w:tblInd w:w="96" w:type="dxa"/>
        <w:tblLayout w:type="fixed"/>
        <w:tblCellMar>
          <w:top w:w="0" w:type="dxa"/>
          <w:left w:w="108" w:type="dxa"/>
          <w:bottom w:w="0" w:type="dxa"/>
          <w:right w:w="108" w:type="dxa"/>
        </w:tblCellMar>
      </w:tblPr>
      <w:tblGrid>
        <w:gridCol w:w="6743"/>
        <w:gridCol w:w="859"/>
        <w:gridCol w:w="1098"/>
      </w:tblGrid>
      <w:tr>
        <w:tblPrEx>
          <w:tblCellMar>
            <w:top w:w="0" w:type="dxa"/>
            <w:left w:w="108" w:type="dxa"/>
            <w:bottom w:w="0" w:type="dxa"/>
            <w:right w:w="108" w:type="dxa"/>
          </w:tblCellMar>
        </w:tblPrEx>
        <w:trPr>
          <w:trHeight w:val="617" w:hRule="atLeast"/>
        </w:trPr>
        <w:tc>
          <w:tcPr>
            <w:tcW w:w="6743" w:type="dxa"/>
            <w:tcBorders>
              <w:top w:val="single" w:color="auto" w:sz="4" w:space="0"/>
              <w:left w:val="single" w:color="auto" w:sz="4" w:space="0"/>
              <w:bottom w:val="single" w:color="auto" w:sz="4" w:space="0"/>
              <w:right w:val="single" w:color="auto" w:sz="4" w:space="0"/>
            </w:tcBorders>
            <w:vAlign w:val="center"/>
          </w:tcPr>
          <w:p>
            <w:pPr>
              <w:widowControl/>
              <w:jc w:val="center"/>
              <w:rPr>
                <w:sz w:val="28"/>
                <w:szCs w:val="28"/>
              </w:rPr>
            </w:pPr>
            <w:r>
              <w:rPr>
                <w:b/>
                <w:bCs/>
                <w:sz w:val="28"/>
                <w:szCs w:val="28"/>
              </w:rPr>
              <w:t>统 计 指 标</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sz w:val="28"/>
                <w:szCs w:val="28"/>
              </w:rPr>
            </w:pPr>
            <w:r>
              <w:rPr>
                <w:b/>
                <w:bCs/>
                <w:sz w:val="28"/>
                <w:szCs w:val="28"/>
              </w:rPr>
              <w:t>单位</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rPr>
                <w:sz w:val="28"/>
                <w:szCs w:val="28"/>
              </w:rPr>
            </w:pPr>
            <w:r>
              <w:rPr>
                <w:b/>
                <w:bCs/>
                <w:sz w:val="28"/>
                <w:szCs w:val="28"/>
              </w:rPr>
              <w:t>统计数</w:t>
            </w:r>
          </w:p>
        </w:tc>
      </w:tr>
      <w:tr>
        <w:tblPrEx>
          <w:tblCellMar>
            <w:top w:w="0" w:type="dxa"/>
            <w:left w:w="108" w:type="dxa"/>
            <w:bottom w:w="0" w:type="dxa"/>
            <w:right w:w="108" w:type="dxa"/>
          </w:tblCellMar>
        </w:tblPrEx>
        <w:trPr>
          <w:trHeight w:val="702" w:hRule="atLeast"/>
        </w:trPr>
        <w:tc>
          <w:tcPr>
            <w:tcW w:w="674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一、回应公众关注热点或重大舆情数 </w:t>
            </w:r>
          </w:p>
          <w:p>
            <w:pPr>
              <w:widowControl/>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（不同方式回应同一热点或舆情计1次）</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次</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CellMar>
            <w:top w:w="0" w:type="dxa"/>
            <w:left w:w="108" w:type="dxa"/>
            <w:bottom w:w="0" w:type="dxa"/>
            <w:right w:w="108" w:type="dxa"/>
          </w:tblCellMar>
        </w:tblPrEx>
        <w:trPr>
          <w:trHeight w:val="499" w:hRule="atLeast"/>
        </w:trPr>
        <w:tc>
          <w:tcPr>
            <w:tcW w:w="674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8"/>
                <w:szCs w:val="28"/>
              </w:rPr>
            </w:pPr>
            <w:r>
              <w:rPr>
                <w:rFonts w:hint="eastAsia" w:ascii="仿宋_GB2312" w:hAnsi="仿宋_GB2312" w:eastAsia="仿宋_GB2312" w:cs="仿宋_GB2312"/>
                <w:sz w:val="28"/>
                <w:szCs w:val="28"/>
              </w:rPr>
              <w:t>二、通过不同渠道和方式回应解读的情况</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CellMar>
            <w:top w:w="0" w:type="dxa"/>
            <w:left w:w="108" w:type="dxa"/>
            <w:bottom w:w="0" w:type="dxa"/>
            <w:right w:w="108" w:type="dxa"/>
          </w:tblCellMar>
        </w:tblPrEx>
        <w:trPr>
          <w:trHeight w:val="499" w:hRule="atLeast"/>
        </w:trPr>
        <w:tc>
          <w:tcPr>
            <w:tcW w:w="674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（一）参加或举办新闻发布会总次数</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次</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CellMar>
            <w:top w:w="0" w:type="dxa"/>
            <w:left w:w="108" w:type="dxa"/>
            <w:bottom w:w="0" w:type="dxa"/>
            <w:right w:w="108" w:type="dxa"/>
          </w:tblCellMar>
        </w:tblPrEx>
        <w:trPr>
          <w:trHeight w:val="499" w:hRule="atLeast"/>
        </w:trPr>
        <w:tc>
          <w:tcPr>
            <w:tcW w:w="674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其中：主要负责同志参加新闻发布会次数</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次</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CellMar>
            <w:top w:w="0" w:type="dxa"/>
            <w:left w:w="108" w:type="dxa"/>
            <w:bottom w:w="0" w:type="dxa"/>
            <w:right w:w="108" w:type="dxa"/>
          </w:tblCellMar>
        </w:tblPrEx>
        <w:trPr>
          <w:trHeight w:val="499" w:hRule="atLeast"/>
        </w:trPr>
        <w:tc>
          <w:tcPr>
            <w:tcW w:w="674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（二）政府网站在线访谈次数</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次</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CellMar>
            <w:top w:w="0" w:type="dxa"/>
            <w:left w:w="108" w:type="dxa"/>
            <w:bottom w:w="0" w:type="dxa"/>
            <w:right w:w="108" w:type="dxa"/>
          </w:tblCellMar>
        </w:tblPrEx>
        <w:trPr>
          <w:trHeight w:val="499" w:hRule="atLeast"/>
        </w:trPr>
        <w:tc>
          <w:tcPr>
            <w:tcW w:w="674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其中：主要负责同志参加政府网站在线访谈次数</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次</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CellMar>
            <w:top w:w="0" w:type="dxa"/>
            <w:left w:w="108" w:type="dxa"/>
            <w:bottom w:w="0" w:type="dxa"/>
            <w:right w:w="108" w:type="dxa"/>
          </w:tblCellMar>
        </w:tblPrEx>
        <w:trPr>
          <w:trHeight w:val="499" w:hRule="atLeast"/>
        </w:trPr>
        <w:tc>
          <w:tcPr>
            <w:tcW w:w="674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（三）政策解读稿件发布数</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篇</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CellMar>
            <w:top w:w="0" w:type="dxa"/>
            <w:left w:w="108" w:type="dxa"/>
            <w:bottom w:w="0" w:type="dxa"/>
            <w:right w:w="108" w:type="dxa"/>
          </w:tblCellMar>
        </w:tblPrEx>
        <w:trPr>
          <w:trHeight w:val="499" w:hRule="atLeast"/>
        </w:trPr>
        <w:tc>
          <w:tcPr>
            <w:tcW w:w="674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（四）微博微信回应事件数</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次</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CellMar>
            <w:top w:w="0" w:type="dxa"/>
            <w:left w:w="108" w:type="dxa"/>
            <w:bottom w:w="0" w:type="dxa"/>
            <w:right w:w="108" w:type="dxa"/>
          </w:tblCellMar>
        </w:tblPrEx>
        <w:trPr>
          <w:trHeight w:val="499" w:hRule="atLeast"/>
        </w:trPr>
        <w:tc>
          <w:tcPr>
            <w:tcW w:w="6743" w:type="dxa"/>
            <w:tcBorders>
              <w:top w:val="single" w:color="auto" w:sz="4" w:space="0"/>
              <w:left w:val="single" w:color="auto" w:sz="4" w:space="0"/>
              <w:bottom w:val="single" w:color="auto" w:sz="4" w:space="0"/>
              <w:right w:val="single" w:color="auto" w:sz="4" w:space="0"/>
            </w:tcBorders>
            <w:vAlign w:val="center"/>
          </w:tcPr>
          <w:p>
            <w:pPr>
              <w:widowControl/>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（五）其他方式回应事件数</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次</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bl>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ascii="仿宋_GB2312" w:hAnsi="仿宋_GB2312" w:eastAsia="仿宋_GB2312" w:cs="仿宋_GB2312"/>
          <w:bCs/>
          <w:color w:val="000000"/>
          <w:sz w:val="32"/>
          <w:szCs w:val="32"/>
        </w:rPr>
      </w:pPr>
    </w:p>
    <w:p/>
    <w:sectPr>
      <w:headerReference r:id="rId3" w:type="default"/>
      <w:footerReference r:id="rId5" w:type="default"/>
      <w:headerReference r:id="rId4" w:type="even"/>
      <w:footerReference r:id="rId6"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6209"/>
      <w:docPartObj>
        <w:docPartGallery w:val="autotext"/>
      </w:docPartObj>
    </w:sdtPr>
    <w:sdtContent>
      <w:p>
        <w:pPr>
          <w:pStyle w:val="2"/>
          <w:jc w:val="right"/>
        </w:pPr>
        <w:r>
          <w:rPr>
            <w:rFonts w:hint="eastAsia" w:ascii="Times New Roman" w:hAnsi="Times New Roman" w:cs="Times New Roman"/>
            <w:sz w:val="28"/>
            <w:szCs w:val="28"/>
          </w:rPr>
          <w:t xml:space="preserve">— </w:t>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   \* MERGEFORMAT </w:instrText>
        </w:r>
        <w:r>
          <w:rPr>
            <w:rFonts w:ascii="Times New Roman" w:hAnsi="Times New Roman" w:cs="Times New Roman" w:eastAsiaTheme="minorEastAsia"/>
            <w:sz w:val="28"/>
            <w:szCs w:val="28"/>
          </w:rPr>
          <w:fldChar w:fldCharType="separate"/>
        </w:r>
        <w:r>
          <w:rPr>
            <w:rFonts w:ascii="Times New Roman" w:hAnsi="Times New Roman" w:cs="Times New Roman"/>
            <w:sz w:val="28"/>
            <w:szCs w:val="28"/>
            <w:lang w:val="zh-CN"/>
          </w:rPr>
          <w:t>1</w:t>
        </w:r>
        <w:r>
          <w:rPr>
            <w:rFonts w:ascii="Times New Roman" w:hAnsi="Times New Roman" w:cs="Times New Roman" w:eastAsiaTheme="minorEastAsia"/>
            <w:sz w:val="28"/>
            <w:szCs w:val="28"/>
          </w:rPr>
          <w:fldChar w:fldCharType="end"/>
        </w:r>
        <w:r>
          <w:rPr>
            <w:rFonts w:hint="eastAsia" w:ascii="Times New Roman" w:hAnsi="Times New Roman" w:cs="Times New Roman"/>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6221"/>
      <w:docPartObj>
        <w:docPartGallery w:val="autotext"/>
      </w:docPartObj>
    </w:sdtPr>
    <w:sdtContent>
      <w:p>
        <w:pPr>
          <w:pStyle w:val="2"/>
        </w:pPr>
        <w:r>
          <w:rPr>
            <w:rFonts w:hint="eastAsia" w:ascii="Times New Roman" w:hAnsi="Times New Roman" w:cs="Times New Roman"/>
            <w:sz w:val="28"/>
            <w:szCs w:val="28"/>
          </w:rPr>
          <w:t xml:space="preserve">— </w:t>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   \* MERGEFORMAT </w:instrText>
        </w:r>
        <w:r>
          <w:rPr>
            <w:rFonts w:ascii="Times New Roman" w:hAnsi="Times New Roman" w:cs="Times New Roman" w:eastAsiaTheme="minorEastAsia"/>
            <w:sz w:val="28"/>
            <w:szCs w:val="28"/>
          </w:rPr>
          <w:fldChar w:fldCharType="separate"/>
        </w:r>
        <w:r>
          <w:rPr>
            <w:rFonts w:ascii="Times New Roman" w:hAnsi="Times New Roman" w:cs="Times New Roman"/>
            <w:sz w:val="28"/>
            <w:szCs w:val="28"/>
            <w:lang w:val="zh-CN"/>
          </w:rPr>
          <w:t>2</w:t>
        </w:r>
        <w:r>
          <w:rPr>
            <w:rFonts w:ascii="Times New Roman" w:hAnsi="Times New Roman" w:cs="Times New Roman" w:eastAsiaTheme="minorEastAsia"/>
            <w:sz w:val="28"/>
            <w:szCs w:val="28"/>
          </w:rPr>
          <w:fldChar w:fldCharType="end"/>
        </w:r>
        <w:r>
          <w:rPr>
            <w:rFonts w:hint="eastAsia" w:ascii="Times New Roman" w:hAnsi="Times New Roman" w:cs="Times New Roman"/>
            <w:sz w:val="28"/>
            <w:szCs w:val="28"/>
          </w:rPr>
          <w:t xml:space="preserve"> —</w:t>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6EE5B"/>
    <w:multiLevelType w:val="singleLevel"/>
    <w:tmpl w:val="6946EE5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A439F"/>
    <w:rsid w:val="09955CF8"/>
    <w:rsid w:val="5AEA4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2024-01-18T08:13:00Z</dcterms:created>
  <dc:creator>李思洁</dc:creator>
  <cp:lastModifiedBy>李思洁</cp:lastModifiedBy>
  <dcterms:modified xsi:type="dcterms:W3CDTF">2024-01-18T08:47:07Z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